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22"/>
          <w:szCs w:val="22"/>
          <w:b w:val="1"/>
          <w:bCs w:val="1"/>
          <w:color w:val="auto"/>
        </w:rPr>
        <w:t>UNITED STATES</w:t>
      </w:r>
    </w:p>
    <w:p>
      <w:pPr>
        <w:spacing w:after="0" w:line="28"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SECURITIES AND EXCHANGE COMMISSION</w:t>
      </w:r>
    </w:p>
    <w:p>
      <w:pPr>
        <w:spacing w:after="0" w:line="34"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Washington, D.C. 20549</w:t>
      </w:r>
    </w:p>
    <w:p>
      <w:pPr>
        <w:spacing w:after="0" w:line="158" w:lineRule="exact"/>
        <w:rPr>
          <w:sz w:val="24"/>
          <w:szCs w:val="24"/>
          <w:color w:val="auto"/>
        </w:rPr>
      </w:pPr>
    </w:p>
    <w:p>
      <w:pPr>
        <w:jc w:val="center"/>
        <w:ind w:right="-99"/>
        <w:spacing w:after="0"/>
        <w:rPr>
          <w:sz w:val="20"/>
          <w:szCs w:val="20"/>
          <w:color w:val="auto"/>
        </w:rPr>
      </w:pPr>
      <w:r>
        <w:rPr>
          <w:rFonts w:ascii="Arial" w:cs="Arial" w:eastAsia="Arial" w:hAnsi="Arial"/>
          <w:sz w:val="22"/>
          <w:szCs w:val="22"/>
          <w:color w:val="auto"/>
        </w:rPr>
        <w:t>FORM 10-K</w:t>
      </w:r>
    </w:p>
    <w:p>
      <w:pPr>
        <w:spacing w:after="0" w:line="78" w:lineRule="exact"/>
        <w:rPr>
          <w:sz w:val="24"/>
          <w:szCs w:val="24"/>
          <w:color w:val="auto"/>
        </w:rPr>
      </w:pPr>
    </w:p>
    <w:p>
      <w:pPr>
        <w:ind w:left="1280"/>
        <w:spacing w:after="0"/>
        <w:rPr>
          <w:sz w:val="20"/>
          <w:szCs w:val="20"/>
          <w:color w:val="auto"/>
        </w:rPr>
      </w:pPr>
      <w:r>
        <w:rPr>
          <w:rFonts w:ascii="Arial" w:cs="Arial" w:eastAsia="Arial" w:hAnsi="Arial"/>
          <w:sz w:val="18"/>
          <w:szCs w:val="18"/>
          <w:color w:val="auto"/>
        </w:rPr>
        <w:t>x ANNUAL REPORT PURSUANT TO SECTION 13 OR 15(d) OF THE SECURITIES EXCHANGE ACT OF 1934:</w:t>
      </w:r>
    </w:p>
    <w:p>
      <w:pPr>
        <w:spacing w:after="0" w:line="77" w:lineRule="exact"/>
        <w:rPr>
          <w:sz w:val="24"/>
          <w:szCs w:val="24"/>
          <w:color w:val="auto"/>
        </w:rPr>
      </w:pPr>
    </w:p>
    <w:p>
      <w:pPr>
        <w:ind w:left="4100"/>
        <w:spacing w:after="0"/>
        <w:rPr>
          <w:sz w:val="20"/>
          <w:szCs w:val="20"/>
          <w:color w:val="auto"/>
        </w:rPr>
      </w:pPr>
      <w:r>
        <w:rPr>
          <w:rFonts w:ascii="Arial" w:cs="Arial" w:eastAsia="Arial" w:hAnsi="Arial"/>
          <w:sz w:val="18"/>
          <w:szCs w:val="18"/>
          <w:color w:val="auto"/>
        </w:rPr>
        <w:t>For the fiscal year ended December 31, 2010</w:t>
      </w:r>
    </w:p>
    <w:p>
      <w:pPr>
        <w:spacing w:after="0" w:line="77"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OR</w:t>
      </w:r>
    </w:p>
    <w:p>
      <w:pPr>
        <w:spacing w:after="0" w:line="77" w:lineRule="exact"/>
        <w:rPr>
          <w:sz w:val="24"/>
          <w:szCs w:val="24"/>
          <w:color w:val="auto"/>
        </w:rPr>
      </w:pPr>
    </w:p>
    <w:p>
      <w:pPr>
        <w:jc w:val="center"/>
        <w:ind w:left="4620" w:right="1160" w:hanging="3357"/>
        <w:spacing w:after="0" w:line="324" w:lineRule="auto"/>
        <w:tabs>
          <w:tab w:leader="none" w:pos="1471"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TRANSITION REPORT PURSUANT TO SECTION 13 OR 15(d) OF THE SECURITIES EXCHANGE ACT OF 1934 Commission File No. 1-10686</w:t>
      </w:r>
    </w:p>
    <w:p>
      <w:pPr>
        <w:jc w:val="center"/>
        <w:ind w:right="-99"/>
        <w:spacing w:after="0" w:line="215" w:lineRule="auto"/>
        <w:rPr>
          <w:sz w:val="20"/>
          <w:szCs w:val="20"/>
          <w:color w:val="auto"/>
        </w:rPr>
      </w:pPr>
      <w:r>
        <w:rPr>
          <w:rFonts w:ascii="Arial" w:cs="Arial" w:eastAsia="Arial" w:hAnsi="Arial"/>
          <w:sz w:val="22"/>
          <w:szCs w:val="22"/>
          <w:color w:val="auto"/>
        </w:rPr>
        <w:t>MANPOWER INC.</w:t>
      </w:r>
    </w:p>
    <w:p>
      <w:pPr>
        <w:jc w:val="center"/>
        <w:ind w:right="-9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5" w:lineRule="exact"/>
        <w:rPr>
          <w:sz w:val="24"/>
          <w:szCs w:val="24"/>
          <w:color w:val="auto"/>
        </w:rPr>
      </w:pPr>
    </w:p>
    <w:tbl>
      <w:tblPr>
        <w:tblLayout w:type="fixed"/>
        <w:tblInd w:w="500" w:type="dxa"/>
        <w:tblCellMar>
          <w:top w:w="0" w:type="dxa"/>
          <w:left w:w="0" w:type="dxa"/>
          <w:bottom w:w="0" w:type="dxa"/>
          <w:right w:w="0" w:type="dxa"/>
        </w:tblCellMar>
      </w:tblPr>
      <w:tr>
        <w:trPr>
          <w:trHeight w:val="216"/>
        </w:trPr>
        <w:tc>
          <w:tcPr>
            <w:tcW w:w="5200" w:type="dxa"/>
            <w:vAlign w:val="bottom"/>
          </w:tcPr>
          <w:p>
            <w:pPr>
              <w:jc w:val="center"/>
              <w:ind w:right="390"/>
              <w:spacing w:after="0"/>
              <w:rPr>
                <w:sz w:val="20"/>
                <w:szCs w:val="20"/>
                <w:color w:val="auto"/>
              </w:rPr>
            </w:pPr>
            <w:r>
              <w:rPr>
                <w:rFonts w:ascii="Arial" w:cs="Arial" w:eastAsia="Arial" w:hAnsi="Arial"/>
                <w:sz w:val="18"/>
                <w:szCs w:val="18"/>
                <w:b w:val="1"/>
                <w:bCs w:val="1"/>
                <w:color w:val="auto"/>
                <w:w w:val="99"/>
              </w:rPr>
              <w:t>WISCONSIN</w:t>
            </w:r>
          </w:p>
        </w:tc>
        <w:tc>
          <w:tcPr>
            <w:tcW w:w="3440" w:type="dxa"/>
            <w:vAlign w:val="bottom"/>
          </w:tcPr>
          <w:p>
            <w:pPr>
              <w:jc w:val="right"/>
              <w:ind w:right="50"/>
              <w:spacing w:after="0"/>
              <w:rPr>
                <w:sz w:val="20"/>
                <w:szCs w:val="20"/>
                <w:color w:val="auto"/>
              </w:rPr>
            </w:pPr>
            <w:r>
              <w:rPr>
                <w:rFonts w:ascii="Arial" w:cs="Arial" w:eastAsia="Arial" w:hAnsi="Arial"/>
                <w:sz w:val="18"/>
                <w:szCs w:val="18"/>
                <w:b w:val="1"/>
                <w:bCs w:val="1"/>
                <w:color w:val="auto"/>
              </w:rPr>
              <w:t>39-1672779</w:t>
            </w:r>
          </w:p>
        </w:tc>
        <w:tc>
          <w:tcPr>
            <w:tcW w:w="48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5200" w:type="dxa"/>
            <w:vAlign w:val="bottom"/>
          </w:tcPr>
          <w:p>
            <w:pPr>
              <w:jc w:val="center"/>
              <w:ind w:right="390"/>
              <w:spacing w:after="0"/>
              <w:rPr>
                <w:sz w:val="20"/>
                <w:szCs w:val="20"/>
                <w:color w:val="auto"/>
              </w:rPr>
            </w:pPr>
            <w:r>
              <w:rPr>
                <w:rFonts w:ascii="Arial" w:cs="Arial" w:eastAsia="Arial" w:hAnsi="Arial"/>
                <w:sz w:val="18"/>
                <w:szCs w:val="18"/>
                <w:b w:val="1"/>
                <w:bCs w:val="1"/>
                <w:color w:val="auto"/>
                <w:w w:val="90"/>
              </w:rPr>
              <w:t>(State or other jurisdiction of</w:t>
            </w:r>
          </w:p>
        </w:tc>
        <w:tc>
          <w:tcPr>
            <w:tcW w:w="3920" w:type="dxa"/>
            <w:vAlign w:val="bottom"/>
            <w:gridSpan w:val="2"/>
          </w:tcPr>
          <w:p>
            <w:pPr>
              <w:jc w:val="center"/>
              <w:ind w:left="1730"/>
              <w:spacing w:after="0"/>
              <w:rPr>
                <w:sz w:val="20"/>
                <w:szCs w:val="20"/>
                <w:color w:val="auto"/>
              </w:rPr>
            </w:pPr>
            <w:r>
              <w:rPr>
                <w:rFonts w:ascii="Arial" w:cs="Arial" w:eastAsia="Arial" w:hAnsi="Arial"/>
                <w:sz w:val="18"/>
                <w:szCs w:val="18"/>
                <w:b w:val="1"/>
                <w:bCs w:val="1"/>
                <w:color w:val="auto"/>
                <w:w w:val="94"/>
              </w:rPr>
              <w:t>(I.R.S. Employer</w:t>
            </w:r>
          </w:p>
        </w:tc>
        <w:tc>
          <w:tcPr>
            <w:tcW w:w="760" w:type="dxa"/>
            <w:vAlign w:val="bottom"/>
          </w:tcPr>
          <w:p>
            <w:pPr>
              <w:spacing w:after="0"/>
              <w:rPr>
                <w:sz w:val="18"/>
                <w:szCs w:val="18"/>
                <w:color w:val="auto"/>
              </w:rPr>
            </w:pPr>
          </w:p>
        </w:tc>
      </w:tr>
      <w:tr>
        <w:trPr>
          <w:trHeight w:val="234"/>
        </w:trPr>
        <w:tc>
          <w:tcPr>
            <w:tcW w:w="5200" w:type="dxa"/>
            <w:vAlign w:val="bottom"/>
          </w:tcPr>
          <w:p>
            <w:pPr>
              <w:jc w:val="center"/>
              <w:ind w:right="390"/>
              <w:spacing w:after="0"/>
              <w:rPr>
                <w:sz w:val="20"/>
                <w:szCs w:val="20"/>
                <w:color w:val="auto"/>
              </w:rPr>
            </w:pPr>
            <w:r>
              <w:rPr>
                <w:rFonts w:ascii="Arial" w:cs="Arial" w:eastAsia="Arial" w:hAnsi="Arial"/>
                <w:sz w:val="18"/>
                <w:szCs w:val="18"/>
                <w:b w:val="1"/>
                <w:bCs w:val="1"/>
                <w:color w:val="auto"/>
                <w:w w:val="91"/>
              </w:rPr>
              <w:t>incorporation or organization)</w:t>
            </w:r>
          </w:p>
        </w:tc>
        <w:tc>
          <w:tcPr>
            <w:tcW w:w="3920" w:type="dxa"/>
            <w:vAlign w:val="bottom"/>
            <w:gridSpan w:val="2"/>
          </w:tcPr>
          <w:p>
            <w:pPr>
              <w:jc w:val="center"/>
              <w:ind w:left="1710"/>
              <w:spacing w:after="0"/>
              <w:rPr>
                <w:sz w:val="20"/>
                <w:szCs w:val="20"/>
                <w:color w:val="auto"/>
              </w:rPr>
            </w:pPr>
            <w:r>
              <w:rPr>
                <w:rFonts w:ascii="Arial" w:cs="Arial" w:eastAsia="Arial" w:hAnsi="Arial"/>
                <w:sz w:val="18"/>
                <w:szCs w:val="18"/>
                <w:b w:val="1"/>
                <w:bCs w:val="1"/>
                <w:color w:val="auto"/>
                <w:w w:val="92"/>
              </w:rPr>
              <w:t>Identification No.)</w:t>
            </w:r>
          </w:p>
        </w:tc>
        <w:tc>
          <w:tcPr>
            <w:tcW w:w="760" w:type="dxa"/>
            <w:vAlign w:val="bottom"/>
          </w:tcPr>
          <w:p>
            <w:pPr>
              <w:spacing w:after="0"/>
              <w:rPr>
                <w:sz w:val="20"/>
                <w:szCs w:val="20"/>
                <w:color w:val="auto"/>
              </w:rPr>
            </w:pPr>
          </w:p>
        </w:tc>
      </w:tr>
      <w:tr>
        <w:trPr>
          <w:trHeight w:val="414"/>
        </w:trPr>
        <w:tc>
          <w:tcPr>
            <w:tcW w:w="5200" w:type="dxa"/>
            <w:vAlign w:val="bottom"/>
          </w:tcPr>
          <w:p>
            <w:pPr>
              <w:jc w:val="center"/>
              <w:ind w:right="390"/>
              <w:spacing w:after="0"/>
              <w:rPr>
                <w:sz w:val="20"/>
                <w:szCs w:val="20"/>
                <w:color w:val="auto"/>
              </w:rPr>
            </w:pPr>
            <w:r>
              <w:rPr>
                <w:rFonts w:ascii="Arial" w:cs="Arial" w:eastAsia="Arial" w:hAnsi="Arial"/>
                <w:sz w:val="18"/>
                <w:szCs w:val="18"/>
                <w:b w:val="1"/>
                <w:bCs w:val="1"/>
                <w:color w:val="auto"/>
                <w:w w:val="99"/>
              </w:rPr>
              <w:t>100 MANPOWER PLACE</w:t>
            </w:r>
          </w:p>
        </w:tc>
        <w:tc>
          <w:tcPr>
            <w:tcW w:w="3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16"/>
        </w:trPr>
        <w:tc>
          <w:tcPr>
            <w:tcW w:w="5200" w:type="dxa"/>
            <w:vAlign w:val="bottom"/>
          </w:tcPr>
          <w:p>
            <w:pPr>
              <w:jc w:val="center"/>
              <w:ind w:right="390"/>
              <w:spacing w:after="0"/>
              <w:rPr>
                <w:sz w:val="20"/>
                <w:szCs w:val="20"/>
                <w:color w:val="auto"/>
              </w:rPr>
            </w:pPr>
            <w:r>
              <w:rPr>
                <w:rFonts w:ascii="Arial" w:cs="Arial" w:eastAsia="Arial" w:hAnsi="Arial"/>
                <w:sz w:val="18"/>
                <w:szCs w:val="18"/>
                <w:b w:val="1"/>
                <w:bCs w:val="1"/>
                <w:color w:val="auto"/>
              </w:rPr>
              <w:t>MILWAUKEE, WISCONSIN</w:t>
            </w:r>
          </w:p>
        </w:tc>
        <w:tc>
          <w:tcPr>
            <w:tcW w:w="3440" w:type="dxa"/>
            <w:vAlign w:val="bottom"/>
          </w:tcPr>
          <w:p>
            <w:pPr>
              <w:jc w:val="right"/>
              <w:ind w:right="270"/>
              <w:spacing w:after="0"/>
              <w:rPr>
                <w:sz w:val="20"/>
                <w:szCs w:val="20"/>
                <w:color w:val="auto"/>
              </w:rPr>
            </w:pPr>
            <w:r>
              <w:rPr>
                <w:rFonts w:ascii="Arial" w:cs="Arial" w:eastAsia="Arial" w:hAnsi="Arial"/>
                <w:sz w:val="18"/>
                <w:szCs w:val="18"/>
                <w:b w:val="1"/>
                <w:bCs w:val="1"/>
                <w:color w:val="auto"/>
              </w:rPr>
              <w:t>53212</w:t>
            </w:r>
          </w:p>
        </w:tc>
        <w:tc>
          <w:tcPr>
            <w:tcW w:w="48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5200" w:type="dxa"/>
            <w:vAlign w:val="bottom"/>
          </w:tcPr>
          <w:p>
            <w:pPr>
              <w:jc w:val="center"/>
              <w:ind w:right="410"/>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3440" w:type="dxa"/>
            <w:vAlign w:val="bottom"/>
          </w:tcPr>
          <w:p>
            <w:pPr>
              <w:jc w:val="center"/>
              <w:ind w:left="2190"/>
              <w:spacing w:after="0"/>
              <w:rPr>
                <w:sz w:val="20"/>
                <w:szCs w:val="20"/>
                <w:color w:val="auto"/>
              </w:rPr>
            </w:pPr>
            <w:r>
              <w:rPr>
                <w:rFonts w:ascii="Arial" w:cs="Arial" w:eastAsia="Arial" w:hAnsi="Arial"/>
                <w:sz w:val="18"/>
                <w:szCs w:val="18"/>
                <w:b w:val="1"/>
                <w:bCs w:val="1"/>
                <w:color w:val="auto"/>
                <w:w w:val="94"/>
              </w:rPr>
              <w:t>(Zip Code)</w:t>
            </w:r>
          </w:p>
        </w:tc>
        <w:tc>
          <w:tcPr>
            <w:tcW w:w="48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8640" w:type="dxa"/>
            <w:vAlign w:val="bottom"/>
            <w:gridSpan w:val="2"/>
          </w:tcPr>
          <w:p>
            <w:pPr>
              <w:jc w:val="center"/>
              <w:ind w:left="1690"/>
              <w:spacing w:after="0"/>
              <w:rPr>
                <w:sz w:val="20"/>
                <w:szCs w:val="20"/>
                <w:color w:val="auto"/>
              </w:rPr>
            </w:pPr>
            <w:r>
              <w:rPr>
                <w:rFonts w:ascii="Arial" w:cs="Arial" w:eastAsia="Arial" w:hAnsi="Arial"/>
                <w:sz w:val="18"/>
                <w:szCs w:val="18"/>
                <w:b w:val="1"/>
                <w:bCs w:val="1"/>
                <w:color w:val="auto"/>
                <w:w w:val="89"/>
              </w:rPr>
              <w:t>Registrant’s telephone number, including area code: (414) 961-1000</w:t>
            </w:r>
          </w:p>
        </w:tc>
        <w:tc>
          <w:tcPr>
            <w:tcW w:w="48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34"/>
        </w:trPr>
        <w:tc>
          <w:tcPr>
            <w:tcW w:w="8640" w:type="dxa"/>
            <w:vAlign w:val="bottom"/>
            <w:gridSpan w:val="2"/>
          </w:tcPr>
          <w:p>
            <w:pPr>
              <w:jc w:val="center"/>
              <w:ind w:left="1710"/>
              <w:spacing w:after="0"/>
              <w:rPr>
                <w:sz w:val="20"/>
                <w:szCs w:val="20"/>
                <w:color w:val="auto"/>
              </w:rPr>
            </w:pPr>
            <w:r>
              <w:rPr>
                <w:rFonts w:ascii="Arial" w:cs="Arial" w:eastAsia="Arial" w:hAnsi="Arial"/>
                <w:sz w:val="18"/>
                <w:szCs w:val="18"/>
                <w:b w:val="1"/>
                <w:bCs w:val="1"/>
                <w:color w:val="auto"/>
                <w:w w:val="89"/>
              </w:rPr>
              <w:t>Securities registered pursuant to Section 12(b) of the Act:</w:t>
            </w:r>
          </w:p>
        </w:tc>
        <w:tc>
          <w:tcPr>
            <w:tcW w:w="48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414"/>
        </w:trPr>
        <w:tc>
          <w:tcPr>
            <w:tcW w:w="5200" w:type="dxa"/>
            <w:vAlign w:val="bottom"/>
          </w:tcPr>
          <w:p>
            <w:pPr>
              <w:jc w:val="center"/>
              <w:ind w:right="390"/>
              <w:spacing w:after="0"/>
              <w:rPr>
                <w:sz w:val="20"/>
                <w:szCs w:val="20"/>
                <w:color w:val="auto"/>
              </w:rPr>
            </w:pPr>
            <w:r>
              <w:rPr>
                <w:rFonts w:ascii="Arial" w:cs="Arial" w:eastAsia="Arial" w:hAnsi="Arial"/>
                <w:sz w:val="18"/>
                <w:szCs w:val="18"/>
                <w:b w:val="1"/>
                <w:bCs w:val="1"/>
                <w:color w:val="auto"/>
                <w:w w:val="87"/>
              </w:rPr>
              <w:t>Title of each class</w:t>
            </w:r>
          </w:p>
        </w:tc>
        <w:tc>
          <w:tcPr>
            <w:tcW w:w="4680" w:type="dxa"/>
            <w:vAlign w:val="bottom"/>
            <w:gridSpan w:val="3"/>
          </w:tcPr>
          <w:p>
            <w:pPr>
              <w:jc w:val="center"/>
              <w:ind w:left="950"/>
              <w:spacing w:after="0"/>
              <w:rPr>
                <w:sz w:val="20"/>
                <w:szCs w:val="20"/>
                <w:color w:val="auto"/>
              </w:rPr>
            </w:pPr>
            <w:r>
              <w:rPr>
                <w:rFonts w:ascii="Arial" w:cs="Arial" w:eastAsia="Arial" w:hAnsi="Arial"/>
                <w:sz w:val="18"/>
                <w:szCs w:val="18"/>
                <w:b w:val="1"/>
                <w:bCs w:val="1"/>
                <w:color w:val="auto"/>
                <w:w w:val="89"/>
              </w:rPr>
              <w:t>Name of Exchange on which registered</w:t>
            </w:r>
          </w:p>
        </w:tc>
      </w:tr>
      <w:tr>
        <w:trPr>
          <w:trHeight w:val="216"/>
        </w:trPr>
        <w:tc>
          <w:tcPr>
            <w:tcW w:w="5200" w:type="dxa"/>
            <w:vAlign w:val="bottom"/>
          </w:tcPr>
          <w:p>
            <w:pPr>
              <w:jc w:val="center"/>
              <w:ind w:right="390"/>
              <w:spacing w:after="0"/>
              <w:rPr>
                <w:sz w:val="20"/>
                <w:szCs w:val="20"/>
                <w:color w:val="auto"/>
              </w:rPr>
            </w:pPr>
            <w:r>
              <w:rPr>
                <w:rFonts w:ascii="Arial" w:cs="Arial" w:eastAsia="Arial" w:hAnsi="Arial"/>
                <w:sz w:val="18"/>
                <w:szCs w:val="18"/>
                <w:b w:val="1"/>
                <w:bCs w:val="1"/>
                <w:color w:val="auto"/>
                <w:w w:val="90"/>
              </w:rPr>
              <w:t>Common Stock, $.01 par value</w:t>
            </w:r>
          </w:p>
        </w:tc>
        <w:tc>
          <w:tcPr>
            <w:tcW w:w="3920" w:type="dxa"/>
            <w:vAlign w:val="bottom"/>
            <w:gridSpan w:val="2"/>
          </w:tcPr>
          <w:p>
            <w:pPr>
              <w:jc w:val="center"/>
              <w:ind w:left="1710"/>
              <w:spacing w:after="0"/>
              <w:rPr>
                <w:sz w:val="20"/>
                <w:szCs w:val="20"/>
                <w:color w:val="auto"/>
              </w:rPr>
            </w:pPr>
            <w:r>
              <w:rPr>
                <w:rFonts w:ascii="Arial" w:cs="Arial" w:eastAsia="Arial" w:hAnsi="Arial"/>
                <w:sz w:val="18"/>
                <w:szCs w:val="18"/>
                <w:b w:val="1"/>
                <w:bCs w:val="1"/>
                <w:color w:val="auto"/>
                <w:w w:val="90"/>
              </w:rPr>
              <w:t>New York Stock Exchange</w:t>
            </w:r>
          </w:p>
        </w:tc>
        <w:tc>
          <w:tcPr>
            <w:tcW w:w="760" w:type="dxa"/>
            <w:vAlign w:val="bottom"/>
          </w:tcPr>
          <w:p>
            <w:pPr>
              <w:spacing w:after="0"/>
              <w:rPr>
                <w:sz w:val="18"/>
                <w:szCs w:val="18"/>
                <w:color w:val="auto"/>
              </w:rPr>
            </w:pPr>
          </w:p>
        </w:tc>
      </w:tr>
      <w:tr>
        <w:trPr>
          <w:trHeight w:val="234"/>
        </w:trPr>
        <w:tc>
          <w:tcPr>
            <w:tcW w:w="8640" w:type="dxa"/>
            <w:vAlign w:val="bottom"/>
            <w:gridSpan w:val="2"/>
          </w:tcPr>
          <w:p>
            <w:pPr>
              <w:jc w:val="center"/>
              <w:ind w:left="1710"/>
              <w:spacing w:after="0"/>
              <w:rPr>
                <w:sz w:val="20"/>
                <w:szCs w:val="20"/>
                <w:color w:val="auto"/>
              </w:rPr>
            </w:pPr>
            <w:r>
              <w:rPr>
                <w:rFonts w:ascii="Arial" w:cs="Arial" w:eastAsia="Arial" w:hAnsi="Arial"/>
                <w:sz w:val="18"/>
                <w:szCs w:val="18"/>
                <w:b w:val="1"/>
                <w:bCs w:val="1"/>
                <w:color w:val="auto"/>
                <w:w w:val="88"/>
              </w:rPr>
              <w:t>Securities registered pursuant to Section 12(g) of the Act: None</w:t>
            </w:r>
          </w:p>
        </w:tc>
        <w:tc>
          <w:tcPr>
            <w:tcW w:w="48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311"/>
        </w:trPr>
        <w:tc>
          <w:tcPr>
            <w:tcW w:w="8640" w:type="dxa"/>
            <w:vAlign w:val="bottom"/>
            <w:gridSpan w:val="2"/>
          </w:tcPr>
          <w:p>
            <w:pPr>
              <w:spacing w:after="0"/>
              <w:rPr>
                <w:sz w:val="20"/>
                <w:szCs w:val="20"/>
                <w:color w:val="auto"/>
              </w:rPr>
            </w:pPr>
            <w:r>
              <w:rPr>
                <w:rFonts w:ascii="Arial" w:cs="Arial" w:eastAsia="Arial" w:hAnsi="Arial"/>
                <w:sz w:val="18"/>
                <w:szCs w:val="18"/>
                <w:color w:val="auto"/>
                <w:w w:val="92"/>
              </w:rPr>
              <w:t>Indicate by check mark if the registrant is a well-known seasoned issuer, as defined in Rule 405 of the Securities Act.</w:t>
            </w:r>
          </w:p>
        </w:tc>
        <w:tc>
          <w:tcPr>
            <w:tcW w:w="480" w:type="dxa"/>
            <w:vAlign w:val="bottom"/>
          </w:tcPr>
          <w:p>
            <w:pPr>
              <w:ind w:left="20"/>
              <w:spacing w:after="0"/>
              <w:rPr>
                <w:sz w:val="20"/>
                <w:szCs w:val="20"/>
                <w:color w:val="auto"/>
              </w:rPr>
            </w:pPr>
            <w:r>
              <w:rPr>
                <w:rFonts w:ascii="Arial" w:cs="Arial" w:eastAsia="Arial" w:hAnsi="Arial"/>
                <w:sz w:val="18"/>
                <w:szCs w:val="18"/>
                <w:color w:val="auto"/>
                <w:w w:val="97"/>
              </w:rPr>
              <w:t>Yes x</w:t>
            </w:r>
          </w:p>
        </w:tc>
        <w:tc>
          <w:tcPr>
            <w:tcW w:w="760" w:type="dxa"/>
            <w:vAlign w:val="bottom"/>
          </w:tcPr>
          <w:p>
            <w:pPr>
              <w:ind w:left="16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r>
      <w:tr>
        <w:trPr>
          <w:trHeight w:val="191"/>
        </w:trPr>
        <w:tc>
          <w:tcPr>
            <w:tcW w:w="8640" w:type="dxa"/>
            <w:vAlign w:val="bottom"/>
            <w:gridSpan w:val="2"/>
          </w:tcPr>
          <w:p>
            <w:pPr>
              <w:spacing w:after="0" w:line="191" w:lineRule="exact"/>
              <w:rPr>
                <w:sz w:val="20"/>
                <w:szCs w:val="20"/>
                <w:color w:val="auto"/>
              </w:rPr>
            </w:pPr>
            <w:r>
              <w:rPr>
                <w:rFonts w:ascii="Arial" w:cs="Arial" w:eastAsia="Arial" w:hAnsi="Arial"/>
                <w:sz w:val="18"/>
                <w:szCs w:val="18"/>
                <w:color w:val="auto"/>
                <w:w w:val="91"/>
              </w:rPr>
              <w:t>Indicate by check mark if the registrant is not required to file reports pursuant to Section 13 or Section 15(d) of the Act.</w:t>
            </w:r>
          </w:p>
        </w:tc>
        <w:tc>
          <w:tcPr>
            <w:tcW w:w="480" w:type="dxa"/>
            <w:vAlign w:val="bottom"/>
          </w:tcPr>
          <w:p>
            <w:pPr>
              <w:ind w:left="140"/>
              <w:spacing w:after="0" w:line="191" w:lineRule="exact"/>
              <w:rPr>
                <w:sz w:val="20"/>
                <w:szCs w:val="20"/>
                <w:color w:val="auto"/>
              </w:rPr>
            </w:pPr>
            <w:r>
              <w:rPr>
                <w:rFonts w:ascii="Arial" w:cs="Arial" w:eastAsia="Arial" w:hAnsi="Arial"/>
                <w:sz w:val="18"/>
                <w:szCs w:val="18"/>
                <w:color w:val="auto"/>
              </w:rPr>
              <w:t>Yes</w:t>
            </w:r>
          </w:p>
        </w:tc>
        <w:tc>
          <w:tcPr>
            <w:tcW w:w="760" w:type="dxa"/>
            <w:vAlign w:val="bottom"/>
          </w:tcPr>
          <w:p>
            <w:pPr>
              <w:ind w:left="20"/>
              <w:spacing w:after="0" w:line="191"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No x</w:t>
            </w:r>
          </w:p>
        </w:tc>
      </w:tr>
    </w:tbl>
    <w:p>
      <w:pPr>
        <w:ind w:right="140" w:firstLine="486"/>
        <w:spacing w:after="0" w:line="176"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8"/>
          <w:szCs w:val="18"/>
          <w:color w:val="auto"/>
        </w:rPr>
        <w:t>☐</w:t>
      </w:r>
    </w:p>
    <w:p>
      <w:pPr>
        <w:spacing w:after="0" w:line="1" w:lineRule="exact"/>
        <w:rPr>
          <w:sz w:val="24"/>
          <w:szCs w:val="24"/>
          <w:color w:val="auto"/>
        </w:rPr>
      </w:pPr>
    </w:p>
    <w:p>
      <w:pPr>
        <w:ind w:right="220" w:firstLine="486"/>
        <w:spacing w:after="0" w:line="176"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website, if any, every Interactive Data File required to be submitted and posted pursuant to Rule 405 of Regulation S-T (Section 232.405 of this chapter) during the preceding 12 months (or for such shorter period that the registrant was required to submit and post such files). Yes x No </w:t>
      </w:r>
      <w:r>
        <w:rPr>
          <w:rFonts w:ascii="MS PGothic" w:cs="MS PGothic" w:eastAsia="MS PGothic" w:hAnsi="MS PGothic"/>
          <w:sz w:val="18"/>
          <w:szCs w:val="18"/>
          <w:color w:val="auto"/>
        </w:rPr>
        <w:t>☐</w:t>
      </w:r>
    </w:p>
    <w:p>
      <w:pPr>
        <w:spacing w:after="0" w:line="1" w:lineRule="exact"/>
        <w:rPr>
          <w:sz w:val="24"/>
          <w:szCs w:val="24"/>
          <w:color w:val="auto"/>
        </w:rPr>
      </w:pPr>
    </w:p>
    <w:p>
      <w:pPr>
        <w:jc w:val="both"/>
        <w:ind w:firstLine="486"/>
        <w:spacing w:after="0" w:line="203" w:lineRule="auto"/>
        <w:rPr>
          <w:sz w:val="20"/>
          <w:szCs w:val="20"/>
          <w:color w:val="auto"/>
        </w:rPr>
      </w:pPr>
      <w:r>
        <w:rPr>
          <w:rFonts w:ascii="Arial" w:cs="Arial" w:eastAsia="Arial" w:hAnsi="Arial"/>
          <w:sz w:val="18"/>
          <w:szCs w:val="18"/>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x</w:t>
      </w:r>
    </w:p>
    <w:p>
      <w:pPr>
        <w:spacing w:after="0" w:line="1" w:lineRule="exact"/>
        <w:rPr>
          <w:sz w:val="24"/>
          <w:szCs w:val="24"/>
          <w:color w:val="auto"/>
        </w:rPr>
      </w:pPr>
    </w:p>
    <w:p>
      <w:pPr>
        <w:ind w:right="120" w:firstLine="486"/>
        <w:spacing w:after="0" w:line="173" w:lineRule="exact"/>
        <w:rPr>
          <w:sz w:val="20"/>
          <w:szCs w:val="20"/>
          <w:color w:val="auto"/>
        </w:rPr>
      </w:pPr>
      <w:r>
        <w:rPr>
          <w:rFonts w:ascii="Arial" w:cs="Arial" w:eastAsia="Arial" w:hAnsi="Arial"/>
          <w:sz w:val="18"/>
          <w:szCs w:val="18"/>
          <w:color w:val="auto"/>
        </w:rPr>
        <w:t xml:space="preserve">Indicate by check mark whether the registrant is a large accelerated filer, an accelerated filer, a non-accelerated filer, or a smaller reporting company. See definition of “large accelerated filer,” “accelerated filer” and “smaller reporting company” in Rule 12b-2 of the Exchange Act. (Check one): Large accelerated filer x 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Non-accelerated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Smaller reporting company </w:t>
      </w:r>
      <w:r>
        <w:rPr>
          <w:rFonts w:ascii="MS PGothic" w:cs="MS PGothic" w:eastAsia="MS PGothic" w:hAnsi="MS PGothic"/>
          <w:sz w:val="18"/>
          <w:szCs w:val="18"/>
          <w:color w:val="auto"/>
        </w:rPr>
        <w:t>☐</w:t>
      </w:r>
    </w:p>
    <w:p>
      <w:pPr>
        <w:ind w:left="500"/>
        <w:spacing w:after="0" w:line="185" w:lineRule="exact"/>
        <w:tabs>
          <w:tab w:leader="none" w:pos="8820" w:val="left"/>
          <w:tab w:leader="none" w:pos="952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No x</w:t>
      </w:r>
    </w:p>
    <w:p>
      <w:pPr>
        <w:ind w:right="340" w:firstLine="486"/>
        <w:spacing w:after="0" w:line="226" w:lineRule="auto"/>
        <w:rPr>
          <w:sz w:val="20"/>
          <w:szCs w:val="20"/>
          <w:color w:val="auto"/>
        </w:rPr>
      </w:pPr>
      <w:r>
        <w:rPr>
          <w:rFonts w:ascii="Arial" w:cs="Arial" w:eastAsia="Arial" w:hAnsi="Arial"/>
          <w:sz w:val="18"/>
          <w:szCs w:val="18"/>
          <w:color w:val="auto"/>
        </w:rPr>
        <w:t>The aggregate market value of the voting stock held by nonaffiliates of the registrant was $3,550,498,256 as of June 30, 2010. As of February 22, 2011, there were 81,885,463 of the registrant’s shares of common stock outstanding.</w:t>
      </w:r>
    </w:p>
    <w:p>
      <w:pPr>
        <w:spacing w:after="0" w:line="242"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DOCUMENTS INCORPORATED BY REFERENCE</w:t>
      </w:r>
    </w:p>
    <w:p>
      <w:pPr>
        <w:spacing w:after="0" w:line="104" w:lineRule="exact"/>
        <w:rPr>
          <w:sz w:val="24"/>
          <w:szCs w:val="24"/>
          <w:color w:val="auto"/>
        </w:rPr>
      </w:pPr>
    </w:p>
    <w:p>
      <w:pPr>
        <w:ind w:right="240" w:firstLine="486"/>
        <w:spacing w:after="0" w:line="235" w:lineRule="auto"/>
        <w:rPr>
          <w:sz w:val="20"/>
          <w:szCs w:val="20"/>
          <w:color w:val="auto"/>
        </w:rPr>
      </w:pPr>
      <w:r>
        <w:rPr>
          <w:rFonts w:ascii="Arial" w:cs="Arial" w:eastAsia="Arial" w:hAnsi="Arial"/>
          <w:sz w:val="18"/>
          <w:szCs w:val="18"/>
          <w:color w:val="auto"/>
        </w:rPr>
        <w:t>Parts I and II incorporate information by reference from the Annual Report to Shareholders for the fiscal year ended December 31, 2010. Part III is incorporated by reference from the Proxy Statement for the Annual Meeting of Shareholders to be held on May 3, 2011.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247015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234" w:right="339"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u w:val="single" w:color="auto"/>
          <w:color w:val="auto"/>
        </w:rPr>
        <w:t>PART I</w:t>
      </w:r>
    </w:p>
    <w:p>
      <w:pPr>
        <w:spacing w:after="0" w:line="229" w:lineRule="exact"/>
        <w:rPr>
          <w:sz w:val="20"/>
          <w:szCs w:val="20"/>
          <w:color w:val="auto"/>
        </w:rPr>
      </w:pPr>
    </w:p>
    <w:p>
      <w:pPr>
        <w:ind w:right="800" w:firstLine="486"/>
        <w:spacing w:after="0" w:line="277" w:lineRule="auto"/>
        <w:rPr>
          <w:sz w:val="20"/>
          <w:szCs w:val="20"/>
          <w:color w:val="auto"/>
        </w:rPr>
      </w:pPr>
      <w:r>
        <w:rPr>
          <w:rFonts w:ascii="Arial" w:cs="Arial" w:eastAsia="Arial" w:hAnsi="Arial"/>
          <w:sz w:val="18"/>
          <w:szCs w:val="18"/>
          <w:color w:val="auto"/>
        </w:rPr>
        <w:t>The terms “Manpower,” “we,” “our,” “us,” or “the Company” refer to Manpower Inc. or Manpower Inc. and its consolidated subsidiaries, as appropriate in the context.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Introduction and History</w:t>
      </w:r>
    </w:p>
    <w:p>
      <w:pPr>
        <w:spacing w:after="0" w:line="225" w:lineRule="exact"/>
        <w:rPr>
          <w:sz w:val="20"/>
          <w:szCs w:val="20"/>
          <w:color w:val="auto"/>
        </w:rPr>
      </w:pPr>
    </w:p>
    <w:p>
      <w:pPr>
        <w:ind w:right="80" w:firstLine="666"/>
        <w:spacing w:after="0" w:line="286" w:lineRule="auto"/>
        <w:rPr>
          <w:sz w:val="20"/>
          <w:szCs w:val="20"/>
          <w:color w:val="auto"/>
        </w:rPr>
      </w:pPr>
      <w:r>
        <w:rPr>
          <w:rFonts w:ascii="Arial" w:cs="Arial" w:eastAsia="Arial" w:hAnsi="Arial"/>
          <w:sz w:val="17"/>
          <w:szCs w:val="17"/>
          <w:color w:val="auto"/>
        </w:rPr>
        <w:t>Manpower Inc. is the world leader in innovative workforce solutions and services. Our global network of nearly 3,900 offices in 82 countries and territories allows us to meet the needs of our clients in all industry segments, whether they are global, multinational or local companies. We create power that drives organizations forward, accelerates personal success and builds more sustainable communities. We power the world of work.</w:t>
      </w:r>
    </w:p>
    <w:p>
      <w:pPr>
        <w:spacing w:after="0" w:line="166" w:lineRule="exact"/>
        <w:rPr>
          <w:sz w:val="20"/>
          <w:szCs w:val="20"/>
          <w:color w:val="auto"/>
        </w:rPr>
      </w:pPr>
    </w:p>
    <w:p>
      <w:pPr>
        <w:jc w:val="both"/>
        <w:ind w:firstLine="666"/>
        <w:spacing w:after="0" w:line="286" w:lineRule="auto"/>
        <w:rPr>
          <w:sz w:val="20"/>
          <w:szCs w:val="20"/>
          <w:color w:val="auto"/>
        </w:rPr>
      </w:pPr>
      <w:r>
        <w:rPr>
          <w:rFonts w:ascii="Arial" w:cs="Arial" w:eastAsia="Arial" w:hAnsi="Arial"/>
          <w:sz w:val="17"/>
          <w:szCs w:val="17"/>
          <w:color w:val="auto"/>
        </w:rPr>
        <w:t>By offering a complete range of workforce solutions and services, we can help any company – no matter where they are in their business evolution – raise productivity, improve strategy, quality, efficiency and cost reduction across their total workforce to achieve their business goals. Manpower Inc. provides a comprehensive suite of high-impact innovative workforce solutions and services for the entire business cycle including:</w:t>
      </w:r>
    </w:p>
    <w:p>
      <w:pPr>
        <w:spacing w:after="0" w:line="189" w:lineRule="exact"/>
        <w:rPr>
          <w:sz w:val="20"/>
          <w:szCs w:val="20"/>
          <w:color w:val="auto"/>
        </w:rPr>
      </w:pPr>
    </w:p>
    <w:p>
      <w:pPr>
        <w:ind w:left="660" w:hanging="4"/>
        <w:spacing w:after="0" w:line="314" w:lineRule="auto"/>
        <w:tabs>
          <w:tab w:leader="none" w:pos="768" w:val="left"/>
        </w:tabs>
        <w:numPr>
          <w:ilvl w:val="0"/>
          <w:numId w:val="2"/>
        </w:numPr>
        <w:rPr>
          <w:rFonts w:ascii="Arial" w:cs="Arial" w:eastAsia="Arial" w:hAnsi="Arial"/>
          <w:sz w:val="16"/>
          <w:szCs w:val="16"/>
          <w:color w:val="auto"/>
        </w:rPr>
      </w:pPr>
      <w:r>
        <w:rPr>
          <w:rFonts w:ascii="Arial" w:cs="Arial" w:eastAsia="Arial" w:hAnsi="Arial"/>
          <w:sz w:val="16"/>
          <w:szCs w:val="16"/>
          <w:b w:val="1"/>
          <w:bCs w:val="1"/>
          <w:color w:val="auto"/>
        </w:rPr>
        <w:t xml:space="preserve">Recruitment and Assessment </w:t>
      </w:r>
      <w:r>
        <w:rPr>
          <w:rFonts w:ascii="Arial" w:cs="Arial" w:eastAsia="Arial" w:hAnsi="Arial"/>
          <w:sz w:val="16"/>
          <w:szCs w:val="16"/>
          <w:color w:val="auto"/>
        </w:rPr>
        <w:t>– By leveraging our trusted brand, vertical knowledge and expertise, we know what talent looks like and where to</w:t>
      </w:r>
      <w:r>
        <w:rPr>
          <w:rFonts w:ascii="Arial" w:cs="Arial" w:eastAsia="Arial" w:hAnsi="Arial"/>
          <w:sz w:val="16"/>
          <w:szCs w:val="16"/>
          <w:b w:val="1"/>
          <w:bCs w:val="1"/>
          <w:color w:val="auto"/>
        </w:rPr>
        <w:t xml:space="preserve"> </w:t>
      </w:r>
      <w:r>
        <w:rPr>
          <w:rFonts w:ascii="Arial" w:cs="Arial" w:eastAsia="Arial" w:hAnsi="Arial"/>
          <w:sz w:val="16"/>
          <w:szCs w:val="16"/>
          <w:color w:val="auto"/>
        </w:rPr>
        <w:t>find it; and we have built a deeper talent pool to provide our clients access to the people they need faster. Through our world-leading assessments, we gain a deeper understanding of the people we serve, allowing us to truly identify a candidate’s potential, resulting in a better cultural match.</w:t>
      </w:r>
    </w:p>
    <w:p>
      <w:pPr>
        <w:spacing w:after="0" w:line="169" w:lineRule="exact"/>
        <w:rPr>
          <w:rFonts w:ascii="Arial" w:cs="Arial" w:eastAsia="Arial" w:hAnsi="Arial"/>
          <w:sz w:val="16"/>
          <w:szCs w:val="16"/>
          <w:color w:val="auto"/>
        </w:rPr>
      </w:pPr>
    </w:p>
    <w:p>
      <w:pPr>
        <w:ind w:left="660" w:right="100" w:hanging="4"/>
        <w:spacing w:after="0" w:line="266" w:lineRule="auto"/>
        <w:tabs>
          <w:tab w:leader="none" w:pos="768"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 xml:space="preserve">Training and Development </w:t>
      </w:r>
      <w:r>
        <w:rPr>
          <w:rFonts w:ascii="Arial" w:cs="Arial" w:eastAsia="Arial" w:hAnsi="Arial"/>
          <w:sz w:val="18"/>
          <w:szCs w:val="18"/>
          <w:color w:val="auto"/>
        </w:rPr>
        <w:t>– We effectively and efficiently assess and develop skills, keeping our associates ahead of the curve so they can get</w:t>
      </w:r>
      <w:r>
        <w:rPr>
          <w:rFonts w:ascii="Arial" w:cs="Arial" w:eastAsia="Arial" w:hAnsi="Arial"/>
          <w:sz w:val="18"/>
          <w:szCs w:val="18"/>
          <w:b w:val="1"/>
          <w:bCs w:val="1"/>
          <w:color w:val="auto"/>
        </w:rPr>
        <w:t xml:space="preserve"> </w:t>
      </w:r>
      <w:r>
        <w:rPr>
          <w:rFonts w:ascii="Arial" w:cs="Arial" w:eastAsia="Arial" w:hAnsi="Arial"/>
          <w:sz w:val="18"/>
          <w:szCs w:val="18"/>
          <w:color w:val="auto"/>
        </w:rPr>
        <w:t>the job done each time every time. We offer extensive training courses and leader development solutions for clients to maximize talent and optimize performance.</w:t>
      </w:r>
    </w:p>
    <w:p>
      <w:pPr>
        <w:spacing w:after="0" w:line="203" w:lineRule="exact"/>
        <w:rPr>
          <w:rFonts w:ascii="Arial" w:cs="Arial" w:eastAsia="Arial" w:hAnsi="Arial"/>
          <w:sz w:val="18"/>
          <w:szCs w:val="18"/>
          <w:color w:val="auto"/>
        </w:rPr>
      </w:pPr>
    </w:p>
    <w:p>
      <w:pPr>
        <w:ind w:left="660" w:right="340" w:hanging="4"/>
        <w:spacing w:after="0" w:line="289" w:lineRule="auto"/>
        <w:tabs>
          <w:tab w:leader="none" w:pos="768" w:val="left"/>
        </w:tabs>
        <w:numPr>
          <w:ilvl w:val="0"/>
          <w:numId w:val="2"/>
        </w:numPr>
        <w:rPr>
          <w:rFonts w:ascii="Arial" w:cs="Arial" w:eastAsia="Arial" w:hAnsi="Arial"/>
          <w:sz w:val="17"/>
          <w:szCs w:val="17"/>
          <w:color w:val="auto"/>
        </w:rPr>
      </w:pPr>
      <w:r>
        <w:rPr>
          <w:rFonts w:ascii="Arial" w:cs="Arial" w:eastAsia="Arial" w:hAnsi="Arial"/>
          <w:sz w:val="17"/>
          <w:szCs w:val="17"/>
          <w:b w:val="1"/>
          <w:bCs w:val="1"/>
          <w:color w:val="auto"/>
        </w:rPr>
        <w:t xml:space="preserve">Career Management </w:t>
      </w:r>
      <w:r>
        <w:rPr>
          <w:rFonts w:ascii="Arial" w:cs="Arial" w:eastAsia="Arial" w:hAnsi="Arial"/>
          <w:sz w:val="17"/>
          <w:szCs w:val="17"/>
          <w:color w:val="auto"/>
        </w:rPr>
        <w:t>– Right Management, the global leader in Talent and Career Management workforce solutions, engages consultants that</w:t>
      </w:r>
      <w:r>
        <w:rPr>
          <w:rFonts w:ascii="Arial" w:cs="Arial" w:eastAsia="Arial" w:hAnsi="Arial"/>
          <w:sz w:val="17"/>
          <w:szCs w:val="17"/>
          <w:b w:val="1"/>
          <w:bCs w:val="1"/>
          <w:color w:val="auto"/>
        </w:rPr>
        <w:t xml:space="preserve"> </w:t>
      </w:r>
      <w:r>
        <w:rPr>
          <w:rFonts w:ascii="Arial" w:cs="Arial" w:eastAsia="Arial" w:hAnsi="Arial"/>
          <w:sz w:val="17"/>
          <w:szCs w:val="17"/>
          <w:color w:val="auto"/>
        </w:rPr>
        <w:t>value and understand the human side of business, making meaningful impact on both the people and organizations we serve. The countercyclical nature of the career transition industry helps strengthen our portfolio during down economic cycles.</w:t>
      </w:r>
    </w:p>
    <w:p>
      <w:pPr>
        <w:spacing w:after="0" w:line="185" w:lineRule="exact"/>
        <w:rPr>
          <w:rFonts w:ascii="Arial" w:cs="Arial" w:eastAsia="Arial" w:hAnsi="Arial"/>
          <w:sz w:val="17"/>
          <w:szCs w:val="17"/>
          <w:color w:val="auto"/>
        </w:rPr>
      </w:pPr>
    </w:p>
    <w:p>
      <w:pPr>
        <w:jc w:val="both"/>
        <w:ind w:left="660" w:right="80" w:hanging="4"/>
        <w:spacing w:after="0" w:line="303" w:lineRule="auto"/>
        <w:tabs>
          <w:tab w:leader="none" w:pos="768" w:val="left"/>
        </w:tabs>
        <w:numPr>
          <w:ilvl w:val="0"/>
          <w:numId w:val="2"/>
        </w:numPr>
        <w:rPr>
          <w:rFonts w:ascii="Arial" w:cs="Arial" w:eastAsia="Arial" w:hAnsi="Arial"/>
          <w:sz w:val="16"/>
          <w:szCs w:val="16"/>
          <w:color w:val="auto"/>
        </w:rPr>
      </w:pPr>
      <w:r>
        <w:rPr>
          <w:rFonts w:ascii="Arial" w:cs="Arial" w:eastAsia="Arial" w:hAnsi="Arial"/>
          <w:sz w:val="16"/>
          <w:szCs w:val="16"/>
          <w:b w:val="1"/>
          <w:bCs w:val="1"/>
          <w:color w:val="auto"/>
        </w:rPr>
        <w:t xml:space="preserve">Outsourcing </w:t>
      </w:r>
      <w:r>
        <w:rPr>
          <w:rFonts w:ascii="Arial" w:cs="Arial" w:eastAsia="Arial" w:hAnsi="Arial"/>
          <w:sz w:val="16"/>
          <w:szCs w:val="16"/>
          <w:color w:val="auto"/>
        </w:rPr>
        <w:t>– Manpower Business Solutions (MBS) provides clients with outsourcing services related to human resources functions primarily in</w:t>
      </w:r>
      <w:r>
        <w:rPr>
          <w:rFonts w:ascii="Arial" w:cs="Arial" w:eastAsia="Arial" w:hAnsi="Arial"/>
          <w:sz w:val="16"/>
          <w:szCs w:val="16"/>
          <w:b w:val="1"/>
          <w:bCs w:val="1"/>
          <w:color w:val="auto"/>
        </w:rPr>
        <w:t xml:space="preserve"> </w:t>
      </w:r>
      <w:r>
        <w:rPr>
          <w:rFonts w:ascii="Arial" w:cs="Arial" w:eastAsia="Arial" w:hAnsi="Arial"/>
          <w:sz w:val="16"/>
          <w:szCs w:val="16"/>
          <w:color w:val="auto"/>
        </w:rPr>
        <w:t>the areas of large-scale recruiting and workforce-intensive initiatives that are outcome-based, thereby sharing in the risk and reward with our clients. MBS includes Talent Based Outsourcing (TBO), Managed Service Programs (MSP), Borderless Talent Solutions (BTS) and Recruitment Process Outsourcing (RPO), where we are one of the largest providers of permanent and contingent recruitment in the world.</w:t>
      </w:r>
    </w:p>
    <w:p>
      <w:pPr>
        <w:spacing w:after="0" w:line="178" w:lineRule="exact"/>
        <w:rPr>
          <w:rFonts w:ascii="Arial" w:cs="Arial" w:eastAsia="Arial" w:hAnsi="Arial"/>
          <w:sz w:val="16"/>
          <w:szCs w:val="16"/>
          <w:color w:val="auto"/>
        </w:rPr>
      </w:pPr>
    </w:p>
    <w:p>
      <w:pPr>
        <w:ind w:left="660" w:right="220" w:hanging="4"/>
        <w:spacing w:after="0" w:line="347" w:lineRule="auto"/>
        <w:tabs>
          <w:tab w:leader="none" w:pos="768" w:val="left"/>
        </w:tabs>
        <w:numPr>
          <w:ilvl w:val="0"/>
          <w:numId w:val="2"/>
        </w:numPr>
        <w:rPr>
          <w:rFonts w:ascii="Arial" w:cs="Arial" w:eastAsia="Arial" w:hAnsi="Arial"/>
          <w:sz w:val="16"/>
          <w:szCs w:val="16"/>
          <w:color w:val="auto"/>
        </w:rPr>
      </w:pPr>
      <w:r>
        <w:rPr>
          <w:rFonts w:ascii="Arial" w:cs="Arial" w:eastAsia="Arial" w:hAnsi="Arial"/>
          <w:sz w:val="16"/>
          <w:szCs w:val="16"/>
          <w:b w:val="1"/>
          <w:bCs w:val="1"/>
          <w:color w:val="auto"/>
        </w:rPr>
        <w:t xml:space="preserve">Workforce Consulting </w:t>
      </w:r>
      <w:r>
        <w:rPr>
          <w:rFonts w:ascii="Arial" w:cs="Arial" w:eastAsia="Arial" w:hAnsi="Arial"/>
          <w:sz w:val="16"/>
          <w:szCs w:val="16"/>
          <w:color w:val="auto"/>
        </w:rPr>
        <w:t>– We are the global leader in innovative workforce solutions. We help clients create and align their workforce strategy to</w:t>
      </w:r>
      <w:r>
        <w:rPr>
          <w:rFonts w:ascii="Arial" w:cs="Arial" w:eastAsia="Arial" w:hAnsi="Arial"/>
          <w:sz w:val="16"/>
          <w:szCs w:val="16"/>
          <w:b w:val="1"/>
          <w:bCs w:val="1"/>
          <w:color w:val="auto"/>
        </w:rPr>
        <w:t xml:space="preserve"> </w:t>
      </w:r>
      <w:r>
        <w:rPr>
          <w:rFonts w:ascii="Arial" w:cs="Arial" w:eastAsia="Arial" w:hAnsi="Arial"/>
          <w:sz w:val="16"/>
          <w:szCs w:val="16"/>
          <w:color w:val="auto"/>
        </w:rPr>
        <w:t>achieve their business strategy, increasing business agility and personal flexibility and accelerating personal and business success.</w:t>
      </w:r>
    </w:p>
    <w:p>
      <w:pPr>
        <w:spacing w:after="0" w:line="12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This comprehensive and diverse business mix allows us to mitigate the cyclical effects of the national economies in which we operate.</w:t>
      </w:r>
    </w:p>
    <w:p>
      <w:pPr>
        <w:spacing w:after="0" w:line="252" w:lineRule="exact"/>
        <w:rPr>
          <w:sz w:val="20"/>
          <w:szCs w:val="20"/>
          <w:color w:val="auto"/>
        </w:rPr>
      </w:pPr>
    </w:p>
    <w:p>
      <w:pPr>
        <w:ind w:right="140" w:firstLine="666"/>
        <w:spacing w:after="0" w:line="288" w:lineRule="auto"/>
        <w:rPr>
          <w:sz w:val="20"/>
          <w:szCs w:val="20"/>
          <w:color w:val="auto"/>
        </w:rPr>
      </w:pPr>
      <w:r>
        <w:rPr>
          <w:rFonts w:ascii="Arial" w:cs="Arial" w:eastAsia="Arial" w:hAnsi="Arial"/>
          <w:sz w:val="16"/>
          <w:szCs w:val="16"/>
          <w:color w:val="auto"/>
        </w:rPr>
        <w:t>Our leadership position also allows us to be a center for quality employment opportunities for people at all points in their career paths. In 2010, we connected 3.5 million people to opportunities and purpose, who worked to help our more than 400,000 clients meet their business objectives. Seasoned professionals, temporary to permanent, skilled laborers, mothers returning to work, elderly persons wanting to supplement pensions and disabled individuals</w:t>
      </w:r>
    </w:p>
    <w:p>
      <w:pPr>
        <w:ind w:right="280"/>
        <w:spacing w:after="0" w:line="254" w:lineRule="auto"/>
        <w:rPr>
          <w:sz w:val="20"/>
          <w:szCs w:val="20"/>
          <w:color w:val="auto"/>
        </w:rPr>
      </w:pPr>
      <w:r>
        <w:rPr>
          <w:rFonts w:ascii="Arial" w:cs="Arial" w:eastAsia="Arial" w:hAnsi="Arial"/>
          <w:sz w:val="18"/>
          <w:szCs w:val="18"/>
          <w:color w:val="auto"/>
        </w:rPr>
        <w:t>– all turn to the Manpower group of companies for employment possibilities. Similarly, governments of the nations in which we operate look to us to help reduce unemployment and train the unemployed with the skills they need to enter the workforce. We provide a bridge to employment, building more sustainable comm unities. We have a unique ability to connect our deep understanding of human potential to the ambition of business so that organizations and individuals can capitalize on unseen opportunities and achieve more than they imagined.</w:t>
      </w:r>
    </w:p>
    <w:p>
      <w:pPr>
        <w:spacing w:after="0" w:line="19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and our predecessors, have been in business since 1948, with shares listed on the New York Stock Exchange since 1967.</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2" w:name="page3"/>
    <w:bookmarkEnd w:id="2"/>
    <w:p>
      <w:pPr>
        <w:ind w:right="180" w:firstLine="486"/>
        <w:spacing w:after="0" w:line="259" w:lineRule="auto"/>
        <w:rPr>
          <w:sz w:val="20"/>
          <w:szCs w:val="20"/>
          <w:color w:val="auto"/>
        </w:rPr>
      </w:pPr>
      <w:r>
        <w:rPr>
          <w:rFonts w:ascii="Arial" w:cs="Arial" w:eastAsia="Arial" w:hAnsi="Arial"/>
          <w:sz w:val="18"/>
          <w:szCs w:val="18"/>
          <w:color w:val="auto"/>
        </w:rPr>
        <w:t>Our Internet address is www.manpower.com. We make available through our Internet website our annual reports on Form 10-K, quarterly reports on Form 10-Q, current reports on Form 8-K, and amendments to those reports filed or furnished pursuant to Section 13(a) of the Securities Exchange Act of 1934 as soon as reasonably practicable after we electronically file such material with, or furnish it to, the Securities and Exchange Commission. In addition, we also make available through our Internet website:</w:t>
      </w:r>
    </w:p>
    <w:p>
      <w:pPr>
        <w:spacing w:after="0" w:line="214" w:lineRule="exact"/>
        <w:rPr>
          <w:sz w:val="20"/>
          <w:szCs w:val="20"/>
          <w:color w:val="auto"/>
        </w:rPr>
      </w:pPr>
    </w:p>
    <w:p>
      <w:pPr>
        <w:ind w:left="880" w:hanging="332"/>
        <w:spacing w:after="0"/>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articles of incorporation and bylaws;</w:t>
      </w:r>
    </w:p>
    <w:p>
      <w:pPr>
        <w:spacing w:after="0" w:line="252" w:lineRule="exact"/>
        <w:rPr>
          <w:rFonts w:ascii="Arial" w:cs="Arial" w:eastAsia="Arial" w:hAnsi="Arial"/>
          <w:sz w:val="18"/>
          <w:szCs w:val="18"/>
          <w:color w:val="auto"/>
        </w:rPr>
      </w:pPr>
    </w:p>
    <w:p>
      <w:pPr>
        <w:ind w:left="880" w:hanging="332"/>
        <w:spacing w:after="0"/>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Manpower Code of Business Conduct and Ethics;</w:t>
      </w:r>
    </w:p>
    <w:p>
      <w:pPr>
        <w:spacing w:after="0" w:line="252" w:lineRule="exact"/>
        <w:rPr>
          <w:rFonts w:ascii="Arial" w:cs="Arial" w:eastAsia="Arial" w:hAnsi="Arial"/>
          <w:sz w:val="18"/>
          <w:szCs w:val="18"/>
          <w:color w:val="auto"/>
        </w:rPr>
      </w:pPr>
    </w:p>
    <w:p>
      <w:pPr>
        <w:ind w:left="880" w:hanging="332"/>
        <w:spacing w:after="0"/>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Corporate Governance Guidelines;</w:t>
      </w:r>
    </w:p>
    <w:p>
      <w:pPr>
        <w:spacing w:after="0" w:line="252" w:lineRule="exact"/>
        <w:rPr>
          <w:rFonts w:ascii="Arial" w:cs="Arial" w:eastAsia="Arial" w:hAnsi="Arial"/>
          <w:sz w:val="18"/>
          <w:szCs w:val="18"/>
          <w:color w:val="auto"/>
        </w:rPr>
      </w:pPr>
    </w:p>
    <w:p>
      <w:pPr>
        <w:ind w:left="880" w:hanging="332"/>
        <w:spacing w:after="0"/>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charters of the Audit, Executive Compensation and Nominating and Governance Committees of the Board of Directors;</w:t>
      </w:r>
    </w:p>
    <w:p>
      <w:pPr>
        <w:spacing w:after="0" w:line="252" w:lineRule="exact"/>
        <w:rPr>
          <w:rFonts w:ascii="Arial" w:cs="Arial" w:eastAsia="Arial" w:hAnsi="Arial"/>
          <w:sz w:val="18"/>
          <w:szCs w:val="18"/>
          <w:color w:val="auto"/>
        </w:rPr>
      </w:pPr>
    </w:p>
    <w:p>
      <w:pPr>
        <w:ind w:left="880" w:hanging="332"/>
        <w:spacing w:after="0"/>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guidelines for selecting board candidates;</w:t>
      </w:r>
    </w:p>
    <w:p>
      <w:pPr>
        <w:spacing w:after="0" w:line="252" w:lineRule="exact"/>
        <w:rPr>
          <w:rFonts w:ascii="Arial" w:cs="Arial" w:eastAsia="Arial" w:hAnsi="Arial"/>
          <w:sz w:val="18"/>
          <w:szCs w:val="18"/>
          <w:color w:val="auto"/>
        </w:rPr>
      </w:pPr>
    </w:p>
    <w:p>
      <w:pPr>
        <w:ind w:left="880" w:hanging="332"/>
        <w:spacing w:after="0"/>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categorical standards for relationships deemed not to impair independence of non-employee directors;</w:t>
      </w:r>
    </w:p>
    <w:p>
      <w:pPr>
        <w:spacing w:after="0" w:line="252" w:lineRule="exact"/>
        <w:rPr>
          <w:rFonts w:ascii="Arial" w:cs="Arial" w:eastAsia="Arial" w:hAnsi="Arial"/>
          <w:sz w:val="18"/>
          <w:szCs w:val="18"/>
          <w:color w:val="auto"/>
        </w:rPr>
      </w:pPr>
    </w:p>
    <w:p>
      <w:pPr>
        <w:ind w:left="880" w:hanging="332"/>
        <w:spacing w:after="0"/>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policy on services provided by independent auditors; and</w:t>
      </w:r>
    </w:p>
    <w:p>
      <w:pPr>
        <w:spacing w:after="0" w:line="252" w:lineRule="exact"/>
        <w:rPr>
          <w:rFonts w:ascii="Arial" w:cs="Arial" w:eastAsia="Arial" w:hAnsi="Arial"/>
          <w:sz w:val="18"/>
          <w:szCs w:val="18"/>
          <w:color w:val="auto"/>
        </w:rPr>
      </w:pPr>
    </w:p>
    <w:p>
      <w:pPr>
        <w:ind w:left="880" w:hanging="332"/>
        <w:spacing w:after="0"/>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regular update on corporate social responsibility.</w:t>
      </w:r>
    </w:p>
    <w:p>
      <w:pPr>
        <w:spacing w:after="0" w:line="252"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Documents available on the website are also available in print for any shareholder who requests them. Requests may be made by writing to Mr. Kenneth C. Hunt, Secretary, Manpower Inc., 100 Manpower Place, Milwaukee, Wisconsin 53212. We are not including the information contained on or available through our website as a part of, or incorporating such information by reference into, this Annual Report on Form 10-K.</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Our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Americas</w:t>
      </w:r>
    </w:p>
    <w:p>
      <w:pPr>
        <w:spacing w:after="0" w:line="225" w:lineRule="exact"/>
        <w:rPr>
          <w:sz w:val="20"/>
          <w:szCs w:val="20"/>
          <w:color w:val="auto"/>
        </w:rPr>
      </w:pPr>
    </w:p>
    <w:p>
      <w:pPr>
        <w:jc w:val="both"/>
        <w:ind w:firstLine="724"/>
        <w:spacing w:after="0" w:line="272" w:lineRule="auto"/>
        <w:rPr>
          <w:sz w:val="20"/>
          <w:szCs w:val="20"/>
          <w:color w:val="auto"/>
        </w:rPr>
      </w:pPr>
      <w:r>
        <w:rPr>
          <w:rFonts w:ascii="Arial" w:cs="Arial" w:eastAsia="Arial" w:hAnsi="Arial"/>
          <w:sz w:val="17"/>
          <w:szCs w:val="17"/>
          <w:color w:val="auto"/>
        </w:rPr>
        <w:t>In the Americas, our operations are carried out through both branch and franchise offices. The total Americas segment had 872 branch and 204 franchise offices. In the U.S., where we earned 69% of the Americas’ revenue, we had 592 branch and 184 franchise offices as of December 31, 2010, as well as on-site locations at clients with significant permanent, temporary and contract recruitment requirements. In Mexico and Central America, we had 96 branch and 5 franchise offices and in the South American Region, we had 152 branch and 9 franchise offices. We provide a number of central support services to our branches and franchises, which enable us to maintain consistent service quality throughout the region regardless of whether an office is a br anch or franchise. In the U.S., we provide client invoicing and payroll processing of our contingent workers for all branch offices and some of our franchise offices through administrative centers managed by our Milwaukee headquarters.</w:t>
      </w:r>
    </w:p>
    <w:p>
      <w:pPr>
        <w:spacing w:after="0" w:line="205" w:lineRule="exact"/>
        <w:rPr>
          <w:sz w:val="20"/>
          <w:szCs w:val="20"/>
          <w:color w:val="auto"/>
        </w:rPr>
      </w:pPr>
    </w:p>
    <w:p>
      <w:pPr>
        <w:jc w:val="both"/>
        <w:ind w:right="140" w:firstLine="486"/>
        <w:spacing w:after="0" w:line="268" w:lineRule="auto"/>
        <w:rPr>
          <w:sz w:val="20"/>
          <w:szCs w:val="20"/>
          <w:color w:val="auto"/>
        </w:rPr>
      </w:pPr>
      <w:r>
        <w:rPr>
          <w:rFonts w:ascii="Arial" w:cs="Arial" w:eastAsia="Arial" w:hAnsi="Arial"/>
          <w:sz w:val="16"/>
          <w:szCs w:val="16"/>
          <w:color w:val="auto"/>
        </w:rPr>
        <w:t>Our franchise agreements provide the franchisee with the right to use the Manpower</w:t>
      </w:r>
      <w:r>
        <w:rPr>
          <w:rFonts w:ascii="Arial" w:cs="Arial" w:eastAsia="Arial" w:hAnsi="Arial"/>
          <w:sz w:val="22"/>
          <w:szCs w:val="22"/>
          <w:color w:val="auto"/>
          <w:vertAlign w:val="superscript"/>
        </w:rPr>
        <w:t>®</w:t>
      </w:r>
      <w:r>
        <w:rPr>
          <w:rFonts w:ascii="Arial" w:cs="Arial" w:eastAsia="Arial" w:hAnsi="Arial"/>
          <w:sz w:val="16"/>
          <w:szCs w:val="16"/>
          <w:color w:val="auto"/>
        </w:rPr>
        <w:t xml:space="preserve"> or Manpower Professional</w:t>
      </w:r>
      <w:r>
        <w:rPr>
          <w:rFonts w:ascii="Arial" w:cs="Arial" w:eastAsia="Arial" w:hAnsi="Arial"/>
          <w:sz w:val="22"/>
          <w:szCs w:val="22"/>
          <w:color w:val="auto"/>
          <w:vertAlign w:val="superscript"/>
        </w:rPr>
        <w:t>®</w:t>
      </w:r>
      <w:r>
        <w:rPr>
          <w:rFonts w:ascii="Arial" w:cs="Arial" w:eastAsia="Arial" w:hAnsi="Arial"/>
          <w:sz w:val="16"/>
          <w:szCs w:val="16"/>
          <w:color w:val="auto"/>
        </w:rPr>
        <w:t xml:space="preserve"> service mark and associated marks in a specifically defined exclusive territory. In the United States, franchise fees range from 2-3% of franchise sales. Our franchise agreements provide that in the event of a proposed sale of a franchise to a third party, we have the right to repurchase the franchise at the same price and on the same terms as proposed by the third party. We exercise this right and intend to continue to do so in the future if opportunities arise with appropriate prices and terms.</w:t>
      </w:r>
    </w:p>
    <w:p>
      <w:pPr>
        <w:spacing w:after="0" w:line="182" w:lineRule="exact"/>
        <w:rPr>
          <w:sz w:val="20"/>
          <w:szCs w:val="20"/>
          <w:color w:val="auto"/>
        </w:rPr>
      </w:pPr>
    </w:p>
    <w:p>
      <w:pPr>
        <w:jc w:val="both"/>
        <w:ind w:firstLine="740"/>
        <w:spacing w:after="0" w:line="276" w:lineRule="auto"/>
        <w:rPr>
          <w:sz w:val="20"/>
          <w:szCs w:val="20"/>
          <w:color w:val="auto"/>
        </w:rPr>
      </w:pPr>
      <w:r>
        <w:rPr>
          <w:rFonts w:ascii="Arial" w:cs="Arial" w:eastAsia="Arial" w:hAnsi="Arial"/>
          <w:sz w:val="17"/>
          <w:szCs w:val="17"/>
          <w:color w:val="auto"/>
        </w:rPr>
        <w:t>In the Americas, our Manpower operations provide a variety of workforce solutions and services, including permanent, temporary and contract recruitment, assessment and selection, training, recruitment process outsourcing, managed service solutions and outsourcing. During 2010 in this segment, approximately 32% of temporary and contract recruitment revenues were derived from placing office staff, 38% from placing industrial staff and 30% from placing professional and technical staff. For our U.S. operations in 2010, approximately 22% of the temporary and contract recruitment revenues were derived from placing office staff, 44% from placing industrial staff and 34% from placing professional and technical staff.</w:t>
      </w: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3" w:name="page4"/>
    <w:bookmarkEnd w:id="3"/>
    <w:p>
      <w:pPr>
        <w:ind w:right="20" w:firstLine="666"/>
        <w:spacing w:after="0" w:line="259" w:lineRule="auto"/>
        <w:rPr>
          <w:sz w:val="20"/>
          <w:szCs w:val="20"/>
          <w:color w:val="auto"/>
        </w:rPr>
      </w:pPr>
      <w:r>
        <w:rPr>
          <w:rFonts w:ascii="Arial" w:cs="Arial" w:eastAsia="Arial" w:hAnsi="Arial"/>
          <w:sz w:val="18"/>
          <w:szCs w:val="18"/>
          <w:color w:val="auto"/>
        </w:rPr>
        <w:t>On April 5, 2010, we acquired COMSYS IT Partners, Inc. (“COMSYS”), a leading information technology (“IT”) services company. COMSYS has been integrated with our Manpower Professional IT business unit. These operations provide a full range of specialized IT staffing and project implementation services, including website development and integration, application programming and development, client/server development, systems software architecture and design, systems engineering and systems integration.</w:t>
      </w:r>
    </w:p>
    <w:p>
      <w:pPr>
        <w:spacing w:after="0" w:line="214" w:lineRule="exact"/>
        <w:rPr>
          <w:sz w:val="20"/>
          <w:szCs w:val="20"/>
          <w:color w:val="auto"/>
        </w:rPr>
      </w:pPr>
    </w:p>
    <w:p>
      <w:pPr>
        <w:ind w:right="220" w:firstLine="486"/>
        <w:spacing w:after="0" w:line="277" w:lineRule="auto"/>
        <w:rPr>
          <w:sz w:val="20"/>
          <w:szCs w:val="20"/>
          <w:color w:val="auto"/>
        </w:rPr>
      </w:pPr>
      <w:r>
        <w:rPr>
          <w:rFonts w:ascii="Arial" w:cs="Arial" w:eastAsia="Arial" w:hAnsi="Arial"/>
          <w:sz w:val="18"/>
          <w:szCs w:val="18"/>
          <w:color w:val="auto"/>
        </w:rPr>
        <w:t>Jefferson Wells, which is now included within our Americas reportable segment, delivers professional services in the areas of risk advisory, tax, and finance and accounting through highly experienced professionals who have significant practical, hands-on experience.</w:t>
      </w:r>
    </w:p>
    <w:p>
      <w:pPr>
        <w:spacing w:after="0" w:line="197"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The professional services industry for both COMSYS and Jefferson Wells is highly competitive and comprised of mid-level consulting firms, specialty consulting boutique firms and public accounting firms. Competitors for these kinds of services include Ajilon Consulting, CDI, Computer Task Group, Grant Thorton, Huron Consulting, Kforce, Protiviti, RCM Technologies, Resources Global Professionals, Robert Half, Spherion, TEKsystems, and “Big Four” accounting firms.</w:t>
      </w:r>
    </w:p>
    <w:p>
      <w:pPr>
        <w:spacing w:after="0" w:line="21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To complement our core staffing and professional services, we also provide additional business solution services such as MSP.</w:t>
      </w:r>
    </w:p>
    <w:p>
      <w:pPr>
        <w:spacing w:after="0" w:line="25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also conduct business in the Americas under our Right Management brand, which will be discussed further in this section.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France</w:t>
      </w:r>
    </w:p>
    <w:p>
      <w:pPr>
        <w:spacing w:after="0" w:line="252" w:lineRule="exact"/>
        <w:rPr>
          <w:sz w:val="20"/>
          <w:szCs w:val="20"/>
          <w:color w:val="auto"/>
        </w:rPr>
      </w:pPr>
    </w:p>
    <w:p>
      <w:pPr>
        <w:ind w:right="320" w:firstLine="486"/>
        <w:spacing w:after="0" w:line="277" w:lineRule="auto"/>
        <w:rPr>
          <w:sz w:val="20"/>
          <w:szCs w:val="20"/>
          <w:color w:val="auto"/>
        </w:rPr>
      </w:pPr>
      <w:r>
        <w:rPr>
          <w:rFonts w:ascii="Arial" w:cs="Arial" w:eastAsia="Arial" w:hAnsi="Arial"/>
          <w:sz w:val="18"/>
          <w:szCs w:val="18"/>
          <w:color w:val="auto"/>
        </w:rPr>
        <w:t>We are a leading workforce solutions and service provider in France. We conduct our operations in France and the surrounding region through 865 branch offices under the name of Manpower and 99 branch offices under the name Supplay.</w:t>
      </w:r>
    </w:p>
    <w:p>
      <w:pPr>
        <w:spacing w:after="0" w:line="197" w:lineRule="exact"/>
        <w:rPr>
          <w:sz w:val="20"/>
          <w:szCs w:val="20"/>
          <w:color w:val="auto"/>
        </w:rPr>
      </w:pPr>
    </w:p>
    <w:p>
      <w:pPr>
        <w:ind w:right="20" w:firstLine="486"/>
        <w:spacing w:after="0" w:line="259" w:lineRule="auto"/>
        <w:rPr>
          <w:sz w:val="20"/>
          <w:szCs w:val="20"/>
          <w:color w:val="auto"/>
        </w:rPr>
      </w:pPr>
      <w:r>
        <w:rPr>
          <w:rFonts w:ascii="Arial" w:cs="Arial" w:eastAsia="Arial" w:hAnsi="Arial"/>
          <w:sz w:val="18"/>
          <w:szCs w:val="18"/>
          <w:color w:val="auto"/>
        </w:rPr>
        <w:t>The employment services market in France calls for a wide range of our services including permanent, temporary and contract recruitment, assessment and selection, and training. The temporary recruitment market is predominately focused on recruitment for industrial positions. In 2010, we derived approximately 67% of our temporary recruitment revenues in France from the supply of industrial staff, 17% from the supply of construction workers and 16% from the supply of office staff.</w:t>
      </w:r>
    </w:p>
    <w:p>
      <w:pPr>
        <w:spacing w:after="0" w:line="214" w:lineRule="exact"/>
        <w:rPr>
          <w:sz w:val="20"/>
          <w:szCs w:val="20"/>
          <w:color w:val="auto"/>
        </w:rPr>
      </w:pPr>
    </w:p>
    <w:p>
      <w:pPr>
        <w:ind w:left="500"/>
        <w:spacing w:after="0"/>
        <w:rPr>
          <w:sz w:val="20"/>
          <w:szCs w:val="20"/>
          <w:color w:val="auto"/>
        </w:rPr>
      </w:pPr>
      <w:r>
        <w:rPr>
          <w:rFonts w:ascii="Arial" w:cs="Arial" w:eastAsia="Arial" w:hAnsi="Arial"/>
          <w:sz w:val="17"/>
          <w:szCs w:val="17"/>
          <w:color w:val="auto"/>
        </w:rPr>
        <w:t>We also conduct business in France under our Elan and Right Management brands, which are discussed further in the following sections.</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EMEA (Europe, Middle East and Africa excluding France)</w:t>
      </w:r>
    </w:p>
    <w:p>
      <w:pPr>
        <w:spacing w:after="0" w:line="252" w:lineRule="exact"/>
        <w:rPr>
          <w:sz w:val="20"/>
          <w:szCs w:val="20"/>
          <w:color w:val="auto"/>
        </w:rPr>
      </w:pPr>
    </w:p>
    <w:p>
      <w:pPr>
        <w:ind w:right="200" w:firstLine="486"/>
        <w:spacing w:after="0" w:line="259" w:lineRule="auto"/>
        <w:rPr>
          <w:sz w:val="20"/>
          <w:szCs w:val="20"/>
          <w:color w:val="auto"/>
        </w:rPr>
      </w:pPr>
      <w:r>
        <w:rPr>
          <w:rFonts w:ascii="Arial" w:cs="Arial" w:eastAsia="Arial" w:hAnsi="Arial"/>
          <w:sz w:val="18"/>
          <w:szCs w:val="18"/>
          <w:color w:val="auto"/>
        </w:rPr>
        <w:t>We are a leading provider of permanent, temporary and contract recruitment, assessment and selection, training and outsourcing services throughout Europe, the Middle East and Africa. Our largest operations are in Italy, Germany, the Netherlands, Norway, Spain, Sweden, and the United Kingdom. Collectively, we operate through 1,363 branch offices and 51 franchise offices in this region. We have 47 franchise offices in Switzerland, where we own 49% of the franchise.</w:t>
      </w:r>
    </w:p>
    <w:p>
      <w:pPr>
        <w:spacing w:after="0" w:line="214" w:lineRule="exact"/>
        <w:rPr>
          <w:sz w:val="20"/>
          <w:szCs w:val="20"/>
          <w:color w:val="auto"/>
        </w:rPr>
      </w:pPr>
    </w:p>
    <w:p>
      <w:pPr>
        <w:jc w:val="both"/>
        <w:ind w:right="300" w:firstLine="486"/>
        <w:spacing w:after="0" w:line="276" w:lineRule="auto"/>
        <w:rPr>
          <w:sz w:val="20"/>
          <w:szCs w:val="20"/>
          <w:color w:val="auto"/>
        </w:rPr>
      </w:pPr>
      <w:r>
        <w:rPr>
          <w:rFonts w:ascii="Arial" w:cs="Arial" w:eastAsia="Arial" w:hAnsi="Arial"/>
          <w:sz w:val="17"/>
          <w:szCs w:val="17"/>
          <w:color w:val="auto"/>
        </w:rPr>
        <w:t>Manpower Italy, the largest operation in the EMEA segment, comprising 15% of EMEA revenues, is a leading workforce solutions and services provider. As of December 31, 2010, Manpower Italy conducted operations through a network of 266 branch offices. It provides a comprehensive line of workforce solutions and services, including permanent, temporary and contract recruitment, assessment and selection, training and outsourcing. In 2010, approximately 2% of our temporary and contract recruitment revenues in Italy were derived from placing office staff, including contract center staff, 63% from placing industrial staff and 35% from placing professional and technical staff.</w:t>
      </w:r>
    </w:p>
    <w:p>
      <w:pPr>
        <w:spacing w:after="0" w:line="200" w:lineRule="exact"/>
        <w:rPr>
          <w:sz w:val="20"/>
          <w:szCs w:val="20"/>
          <w:color w:val="auto"/>
        </w:rPr>
      </w:pPr>
    </w:p>
    <w:p>
      <w:pPr>
        <w:ind w:right="80" w:firstLine="486"/>
        <w:spacing w:after="0" w:line="276" w:lineRule="auto"/>
        <w:rPr>
          <w:sz w:val="20"/>
          <w:szCs w:val="20"/>
          <w:color w:val="auto"/>
        </w:rPr>
      </w:pPr>
      <w:r>
        <w:rPr>
          <w:rFonts w:ascii="Arial" w:cs="Arial" w:eastAsia="Arial" w:hAnsi="Arial"/>
          <w:sz w:val="17"/>
          <w:szCs w:val="17"/>
          <w:color w:val="auto"/>
        </w:rPr>
        <w:t>The second largest operation in this segment is Manpower U.K., comprising 11% of EMEA revenues. Manpower U.K. is a leading provider of workforce solutions and services in the United Kingdom. As of December 31, 2010, Manpower U.K. conducted operations in the United Kingdom under the Manpower and Professional brands through a network of 100 branch offices and also provided on-site services to clients who have significant permanent, temporary and contract recruitment requirements. During 2010, approximately 43% of Manpower U.K.’s temporary recruitment revenues were derived from the supply of office staff, 46% from the supply of industrial staff and 11% from the supply of technical staff.</w:t>
      </w:r>
    </w:p>
    <w:p>
      <w:pPr>
        <w:spacing w:after="0" w:line="3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274" w:right="279" w:bottom="1440" w:gutter="0" w:footer="0" w:header="0"/>
        </w:sectPr>
      </w:pPr>
    </w:p>
    <w:bookmarkStart w:id="4" w:name="page5"/>
    <w:bookmarkEnd w:id="4"/>
    <w:p>
      <w:pPr>
        <w:ind w:right="20" w:firstLine="486"/>
        <w:spacing w:after="0" w:line="259" w:lineRule="auto"/>
        <w:rPr>
          <w:sz w:val="20"/>
          <w:szCs w:val="20"/>
          <w:color w:val="auto"/>
        </w:rPr>
      </w:pPr>
      <w:r>
        <w:rPr>
          <w:rFonts w:ascii="Arial" w:cs="Arial" w:eastAsia="Arial" w:hAnsi="Arial"/>
          <w:sz w:val="18"/>
          <w:szCs w:val="18"/>
          <w:color w:val="auto"/>
        </w:rPr>
        <w:t>We also own Brook Street Bureau PLC, or Brook Street, which operates through a total of 112 branch offices, separate from our other brands in the United Kingdom. Its core business is secretarial, office and light industrial recruitment. Brook Street operates as a local network of branches supported by a national head office and competes primarily with local or regional independents. Brook Street’s revenues are comprised of temporary and contract placements as well as permanent recruitment.</w:t>
      </w:r>
    </w:p>
    <w:p>
      <w:pPr>
        <w:spacing w:after="0" w:line="214" w:lineRule="exact"/>
        <w:rPr>
          <w:sz w:val="20"/>
          <w:szCs w:val="20"/>
          <w:color w:val="auto"/>
        </w:rPr>
      </w:pPr>
    </w:p>
    <w:p>
      <w:pPr>
        <w:jc w:val="both"/>
        <w:ind w:right="120" w:firstLine="486"/>
        <w:spacing w:after="0" w:line="264" w:lineRule="auto"/>
        <w:rPr>
          <w:sz w:val="20"/>
          <w:szCs w:val="20"/>
          <w:color w:val="auto"/>
        </w:rPr>
      </w:pPr>
      <w:r>
        <w:rPr>
          <w:rFonts w:ascii="Arial" w:cs="Arial" w:eastAsia="Arial" w:hAnsi="Arial"/>
          <w:sz w:val="18"/>
          <w:szCs w:val="18"/>
          <w:color w:val="auto"/>
        </w:rPr>
        <w:t>Also included in our EMEA operations is Elan, which is a leading IT and technical recruitment firm. In addition to IT and technical recruitment, Elan provides managed service solutions to clients, which enable them to recruit personnel efficiently and achieve ongoing cost savings. Elan provides services in 17 countries, with the largest operations in the United Kingdom.</w:t>
      </w:r>
    </w:p>
    <w:p>
      <w:pPr>
        <w:spacing w:after="0" w:line="208" w:lineRule="exact"/>
        <w:rPr>
          <w:sz w:val="20"/>
          <w:szCs w:val="20"/>
          <w:color w:val="auto"/>
        </w:rPr>
      </w:pPr>
    </w:p>
    <w:p>
      <w:pPr>
        <w:ind w:right="180" w:firstLine="486"/>
        <w:spacing w:after="0" w:line="277" w:lineRule="auto"/>
        <w:rPr>
          <w:sz w:val="20"/>
          <w:szCs w:val="20"/>
          <w:color w:val="auto"/>
        </w:rPr>
      </w:pPr>
      <w:r>
        <w:rPr>
          <w:rFonts w:ascii="Arial" w:cs="Arial" w:eastAsia="Arial" w:hAnsi="Arial"/>
          <w:sz w:val="18"/>
          <w:szCs w:val="18"/>
          <w:color w:val="auto"/>
        </w:rPr>
        <w:t>For our EMEA operations in total during 2010, approximately 22% of temporary and contract recruitment revenues were derived from placing office staff, 39% from placing industrial staff and 39% from placing professional and technical staff.</w:t>
      </w:r>
    </w:p>
    <w:p>
      <w:pPr>
        <w:spacing w:after="0" w:line="197" w:lineRule="exact"/>
        <w:rPr>
          <w:sz w:val="20"/>
          <w:szCs w:val="20"/>
          <w:color w:val="auto"/>
        </w:rPr>
      </w:pPr>
    </w:p>
    <w:p>
      <w:pPr>
        <w:ind w:right="200" w:firstLine="486"/>
        <w:spacing w:after="0" w:line="277" w:lineRule="auto"/>
        <w:rPr>
          <w:sz w:val="20"/>
          <w:szCs w:val="20"/>
          <w:color w:val="auto"/>
        </w:rPr>
      </w:pPr>
      <w:r>
        <w:rPr>
          <w:rFonts w:ascii="Arial" w:cs="Arial" w:eastAsia="Arial" w:hAnsi="Arial"/>
          <w:sz w:val="18"/>
          <w:szCs w:val="18"/>
          <w:color w:val="auto"/>
        </w:rPr>
        <w:t>We also conduct business in EMEA under our Jefferson Wells and Right Management brands. Right Management operations are discussed further in the following section.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Asia Pacific</w:t>
      </w:r>
    </w:p>
    <w:p>
      <w:pPr>
        <w:spacing w:after="0" w:line="252" w:lineRule="exact"/>
        <w:rPr>
          <w:sz w:val="20"/>
          <w:szCs w:val="20"/>
          <w:color w:val="auto"/>
        </w:rPr>
      </w:pPr>
    </w:p>
    <w:p>
      <w:pPr>
        <w:ind w:right="100" w:firstLine="486"/>
        <w:spacing w:after="0" w:line="257" w:lineRule="auto"/>
        <w:rPr>
          <w:sz w:val="20"/>
          <w:szCs w:val="20"/>
          <w:color w:val="auto"/>
        </w:rPr>
      </w:pPr>
      <w:r>
        <w:rPr>
          <w:rFonts w:ascii="Arial" w:cs="Arial" w:eastAsia="Arial" w:hAnsi="Arial"/>
          <w:sz w:val="18"/>
          <w:szCs w:val="18"/>
          <w:color w:val="auto"/>
        </w:rPr>
        <w:t>We operate through 211 branch offices in the Asia Pacific Region. The largest of these operations are located in Australia, China, India, Japan, and the Southeast Asia Region, all of which operate through branch offices. Our Asia Pacific operations provide a variety of workforce solutions and services, including permanent, temporary and contract recruitment, assessment and selection, training and outsourcing. During 2010, approximately 59% of our Asia Pacific temporary and contract recruitment revenues were derived from placing office staff, 12% from placing industrial staff and 29% from placing professional and technical staff.</w:t>
      </w:r>
    </w:p>
    <w:p>
      <w:pPr>
        <w:spacing w:after="0" w:line="215" w:lineRule="exact"/>
        <w:rPr>
          <w:sz w:val="20"/>
          <w:szCs w:val="20"/>
          <w:color w:val="auto"/>
        </w:rPr>
      </w:pPr>
    </w:p>
    <w:p>
      <w:pPr>
        <w:ind w:right="360" w:firstLine="486"/>
        <w:spacing w:after="0" w:line="277" w:lineRule="auto"/>
        <w:rPr>
          <w:sz w:val="20"/>
          <w:szCs w:val="20"/>
          <w:color w:val="auto"/>
        </w:rPr>
      </w:pPr>
      <w:r>
        <w:rPr>
          <w:rFonts w:ascii="Arial" w:cs="Arial" w:eastAsia="Arial" w:hAnsi="Arial"/>
          <w:sz w:val="18"/>
          <w:szCs w:val="18"/>
          <w:color w:val="auto"/>
        </w:rPr>
        <w:t>We also conduct business in Asia Pacific under our Right Management brand. Right Management operations are discussed further in the following section.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Right Management</w:t>
      </w:r>
    </w:p>
    <w:p>
      <w:pPr>
        <w:spacing w:after="0" w:line="225" w:lineRule="exact"/>
        <w:rPr>
          <w:sz w:val="20"/>
          <w:szCs w:val="20"/>
          <w:color w:val="auto"/>
        </w:rPr>
      </w:pPr>
    </w:p>
    <w:p>
      <w:pPr>
        <w:jc w:val="both"/>
        <w:ind w:firstLine="739"/>
        <w:spacing w:after="0" w:line="257" w:lineRule="auto"/>
        <w:rPr>
          <w:sz w:val="20"/>
          <w:szCs w:val="20"/>
          <w:color w:val="auto"/>
        </w:rPr>
      </w:pPr>
      <w:r>
        <w:rPr>
          <w:rFonts w:ascii="Arial" w:cs="Arial" w:eastAsia="Arial" w:hAnsi="Arial"/>
          <w:sz w:val="18"/>
          <w:szCs w:val="18"/>
          <w:color w:val="auto"/>
        </w:rPr>
        <w:t>Right Management is the Talent and Career Management expert within Manpower and helps clients win by designing and executing workforce solutions that align talent strategy with business strategy. Our expertise spans Talent Assessment, Leader Development, Organizational Effectiveness, Employee Engagement, and Workforce Transition and Outplacement. Right Management has more than 200 service locations in 50 countries. Today, Right Management serves 80% of the Fortune 500 and over 70% of the Fortune Global 500 companies by helping them to grow talent, reduce costs, accelerate performance and realize their business goals.</w:t>
      </w:r>
    </w:p>
    <w:p>
      <w:pPr>
        <w:spacing w:after="0" w:line="188" w:lineRule="exact"/>
        <w:rPr>
          <w:sz w:val="20"/>
          <w:szCs w:val="20"/>
          <w:color w:val="auto"/>
        </w:rPr>
      </w:pPr>
    </w:p>
    <w:p>
      <w:pPr>
        <w:jc w:val="both"/>
        <w:ind w:firstLine="725"/>
        <w:spacing w:after="0" w:line="308" w:lineRule="auto"/>
        <w:rPr>
          <w:sz w:val="20"/>
          <w:szCs w:val="20"/>
          <w:color w:val="auto"/>
        </w:rPr>
      </w:pPr>
      <w:r>
        <w:rPr>
          <w:rFonts w:ascii="Arial" w:cs="Arial" w:eastAsia="Arial" w:hAnsi="Arial"/>
          <w:sz w:val="17"/>
          <w:szCs w:val="17"/>
          <w:color w:val="auto"/>
        </w:rPr>
        <w:t>Right Management’s Career Management capability includes Outplacement, Career Decision, Redeployment and Career Development solutions, designed to strategically mobilize and size workforces to meet client needs, while minimizing turnover and maintaining productivity.</w:t>
      </w:r>
    </w:p>
    <w:p>
      <w:pPr>
        <w:spacing w:after="0" w:line="147" w:lineRule="exact"/>
        <w:rPr>
          <w:sz w:val="20"/>
          <w:szCs w:val="20"/>
          <w:color w:val="auto"/>
        </w:rPr>
      </w:pPr>
    </w:p>
    <w:p>
      <w:pPr>
        <w:jc w:val="both"/>
        <w:ind w:firstLine="758"/>
        <w:spacing w:after="0" w:line="255" w:lineRule="auto"/>
        <w:rPr>
          <w:sz w:val="20"/>
          <w:szCs w:val="20"/>
          <w:color w:val="auto"/>
        </w:rPr>
      </w:pPr>
      <w:r>
        <w:rPr>
          <w:rFonts w:ascii="Arial" w:cs="Arial" w:eastAsia="Arial" w:hAnsi="Arial"/>
          <w:sz w:val="18"/>
          <w:szCs w:val="18"/>
          <w:color w:val="auto"/>
        </w:rPr>
        <w:t>Right Management’s Talent Management capability includes: Talent Assessment solutions that provide assessment and actionable feedback on current talent, to forecast for future business needs; Leader Development solutions focused on creating organizational capacity through careful grooming of a client’s most promising leader talent; Organizational Effectiveness solutions that facilitate the integration and alignment of the business strategy with a workable talent management strategy; and Employee Engagement solutions that help organizations identify the levels of engagement present within a given workforce population, set benchmarks by which to evaluate the level of engagement, and analysis to enable managers to understand and leverage the drivers of employee engagement unique to their organizations.</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auto"/>
        </w:rPr>
        <w:t>Competition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Introduction</w:t>
      </w:r>
    </w:p>
    <w:p>
      <w:pPr>
        <w:spacing w:after="0" w:line="252" w:lineRule="exact"/>
        <w:rPr>
          <w:sz w:val="20"/>
          <w:szCs w:val="20"/>
          <w:color w:val="auto"/>
        </w:rPr>
      </w:pPr>
    </w:p>
    <w:p>
      <w:pPr>
        <w:ind w:right="180" w:firstLine="486"/>
        <w:spacing w:after="0" w:line="277" w:lineRule="auto"/>
        <w:rPr>
          <w:sz w:val="20"/>
          <w:szCs w:val="20"/>
          <w:color w:val="auto"/>
        </w:rPr>
      </w:pPr>
      <w:r>
        <w:rPr>
          <w:rFonts w:ascii="Arial" w:cs="Arial" w:eastAsia="Arial" w:hAnsi="Arial"/>
          <w:sz w:val="18"/>
          <w:szCs w:val="18"/>
          <w:color w:val="auto"/>
        </w:rPr>
        <w:t>We compete in the employment services industry by offering a complete range of services, including permanent, temporary and contract recruitment, assessment and selection, training, managed service solutions, outsourcing, consulting and professional services.</w:t>
      </w:r>
    </w:p>
    <w:p>
      <w:pPr>
        <w:spacing w:after="0" w:line="197" w:lineRule="exact"/>
        <w:rPr>
          <w:sz w:val="20"/>
          <w:szCs w:val="20"/>
          <w:color w:val="auto"/>
        </w:rPr>
      </w:pPr>
    </w:p>
    <w:p>
      <w:pPr>
        <w:ind w:right="60" w:firstLine="486"/>
        <w:spacing w:after="0" w:line="293" w:lineRule="auto"/>
        <w:rPr>
          <w:sz w:val="20"/>
          <w:szCs w:val="20"/>
          <w:color w:val="auto"/>
        </w:rPr>
      </w:pPr>
      <w:r>
        <w:rPr>
          <w:rFonts w:ascii="Arial" w:cs="Arial" w:eastAsia="Arial" w:hAnsi="Arial"/>
          <w:sz w:val="16"/>
          <w:szCs w:val="16"/>
          <w:color w:val="auto"/>
        </w:rPr>
        <w:t>Our industry is large and fragmented, comprised of thousands of firms employing millions of people and generating billions of U.S. Dollars in annual revenues. It is also a highly competitive industry, reflecting several trends in the global marketplace such as the notably increasing demand for skilled people, employers’ desire for more flexible working models and consolidation among clients and in the employment services industry itself. We manage these trends by leveraging established strengths, including one of the employment services industry’s most recognized and respected brands; geographic diversification; size and service scope; an innovative product mix; and a strong client base. While staffing is an important aspect of our business, our strategy is focused on providing both the skilled employees our clients need and high-value workforce management, outsourcing and consulting solutions.</w:t>
      </w:r>
    </w:p>
    <w:p>
      <w:pPr>
        <w:spacing w:after="0" w:line="192" w:lineRule="exact"/>
        <w:rPr>
          <w:sz w:val="20"/>
          <w:szCs w:val="20"/>
          <w:color w:val="auto"/>
        </w:rPr>
      </w:pPr>
    </w:p>
    <w:p>
      <w:pPr>
        <w:ind w:right="140" w:firstLine="486"/>
        <w:spacing w:after="0" w:line="279" w:lineRule="auto"/>
        <w:rPr>
          <w:sz w:val="20"/>
          <w:szCs w:val="20"/>
          <w:color w:val="auto"/>
        </w:rPr>
      </w:pPr>
      <w:r>
        <w:rPr>
          <w:rFonts w:ascii="Arial" w:cs="Arial" w:eastAsia="Arial" w:hAnsi="Arial"/>
          <w:sz w:val="17"/>
          <w:szCs w:val="17"/>
          <w:color w:val="auto"/>
        </w:rPr>
        <w:t>Client demand for workforce solutions and services is dependent on the overall strength of the labor market and secular trends toward greater workforce flexibility within each of the countries and territories in which we operate. Improving economic growth typically results in increasing demand for labor, resulting in greater demand for our staffing services. Correspondingly, during periods of weak economic growth or economic contraction, the demand for our staffing services typically declines, while demand for our outplacement services typically accelerates.</w:t>
      </w:r>
    </w:p>
    <w:p>
      <w:pPr>
        <w:spacing w:after="0" w:line="198"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color w:val="auto"/>
        </w:rPr>
        <w:t>During the last several years, secular trends toward greater workforce flexibility have had a favorable impact on demand for our innovative workforce solutions and services around the world. As companies attempt to increase the variability of their cost base, the contemporary work solutions we provide help them to effectively address the fluctuating demand for their products or services. As the economy recovers we will play an increasing role, as the need for a robust workforce strategy and talent acquisition plan is critical due to the deep staff cuts many companies have made during the recession, particularly at large organizations.</w:t>
      </w:r>
    </w:p>
    <w:p>
      <w:pPr>
        <w:spacing w:after="0" w:line="215" w:lineRule="exact"/>
        <w:rPr>
          <w:sz w:val="20"/>
          <w:szCs w:val="20"/>
          <w:color w:val="auto"/>
        </w:rPr>
      </w:pPr>
    </w:p>
    <w:p>
      <w:pPr>
        <w:ind w:right="60" w:firstLine="486"/>
        <w:spacing w:after="0" w:line="255" w:lineRule="auto"/>
        <w:rPr>
          <w:sz w:val="20"/>
          <w:szCs w:val="20"/>
          <w:color w:val="auto"/>
        </w:rPr>
      </w:pPr>
      <w:r>
        <w:rPr>
          <w:rFonts w:ascii="Arial" w:cs="Arial" w:eastAsia="Arial" w:hAnsi="Arial"/>
          <w:sz w:val="18"/>
          <w:szCs w:val="18"/>
          <w:color w:val="auto"/>
        </w:rPr>
        <w:t>Our client mix consists of both small- and medium-size businesses, which are based upon a local or regional relationship with our office network in each market, and large national/multinational client relationships, which comprised approximately 54% of our revenues in 2010. These large national and multinational clients will frequently enter into non-exclusive arrangements with several firms, with the ultimate choice among them being left to the local managers. As a result, employment services firms with a large network of offices compete most effectively for this business which generally has agreed-upon pricing or mark-up on services performed. Client relationships with small- and medium-size businesses tend to rely less upon longer-term contracts, and the competitors for this business are primarily locally-owned businesses.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Recruitment Services and Solutions Market</w:t>
      </w:r>
    </w:p>
    <w:p>
      <w:pPr>
        <w:spacing w:after="0" w:line="252" w:lineRule="exact"/>
        <w:rPr>
          <w:sz w:val="20"/>
          <w:szCs w:val="20"/>
          <w:color w:val="auto"/>
        </w:rPr>
      </w:pPr>
    </w:p>
    <w:p>
      <w:pPr>
        <w:ind w:right="100" w:firstLine="486"/>
        <w:spacing w:after="0" w:line="277" w:lineRule="auto"/>
        <w:rPr>
          <w:sz w:val="20"/>
          <w:szCs w:val="20"/>
          <w:color w:val="auto"/>
        </w:rPr>
      </w:pPr>
      <w:r>
        <w:rPr>
          <w:rFonts w:ascii="Arial" w:cs="Arial" w:eastAsia="Arial" w:hAnsi="Arial"/>
          <w:sz w:val="18"/>
          <w:szCs w:val="18"/>
          <w:color w:val="auto"/>
        </w:rPr>
        <w:t>Our portfolio of recruitment services includes permanent, temporary and contract recruitment of professionals, as well as administrative and industrial positions. All of these services are provided under the Manpower group’s Manpower and Professional Resourcing brands.</w:t>
      </w:r>
    </w:p>
    <w:p>
      <w:pPr>
        <w:spacing w:after="0" w:line="197" w:lineRule="exact"/>
        <w:rPr>
          <w:sz w:val="20"/>
          <w:szCs w:val="20"/>
          <w:color w:val="auto"/>
        </w:rPr>
      </w:pPr>
    </w:p>
    <w:p>
      <w:pPr>
        <w:ind w:right="240" w:firstLine="486"/>
        <w:spacing w:after="0" w:line="259" w:lineRule="auto"/>
        <w:rPr>
          <w:sz w:val="20"/>
          <w:szCs w:val="20"/>
          <w:color w:val="auto"/>
        </w:rPr>
      </w:pPr>
      <w:r>
        <w:rPr>
          <w:rFonts w:ascii="Arial" w:cs="Arial" w:eastAsia="Arial" w:hAnsi="Arial"/>
          <w:sz w:val="18"/>
          <w:szCs w:val="18"/>
          <w:color w:val="auto"/>
        </w:rPr>
        <w:t>We are preparing for the global expansion and acceleration of our Professional Resourcing business, particularly in the areas of Information, Communications and Technology (ICT), Engineering, and Finance and Accounting. These high-growth, high-profitability solutions, provide the mission critical in-demand skills our clients require. Professional Resourcing will be a critical revenue stream for us in the future, as we continue to build our brand and attract the talent our clients need as skills shortages rise.</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6" w:name="page7"/>
    <w:bookmarkEnd w:id="6"/>
    <w:p>
      <w:pPr>
        <w:ind w:right="40" w:firstLine="486"/>
        <w:spacing w:after="0" w:line="269" w:lineRule="auto"/>
        <w:rPr>
          <w:sz w:val="20"/>
          <w:szCs w:val="20"/>
          <w:color w:val="auto"/>
        </w:rPr>
      </w:pPr>
      <w:r>
        <w:rPr>
          <w:rFonts w:ascii="Arial" w:cs="Arial" w:eastAsia="Arial" w:hAnsi="Arial"/>
          <w:sz w:val="17"/>
          <w:szCs w:val="17"/>
          <w:color w:val="auto"/>
        </w:rPr>
        <w:t>MBS, a dedicated business unit within the Manpower group of companies, specializes in the delivery of customized workforce strategies and outcome-based solutions. Within MBS, our recruitment solutions and services also include our RPO offering, where we take on the management of customized, large-scale recruiting and workforce productivity initiatives for clients in an exclusive outsourcing contract. Through our RPO offering, MBS manages any part or all of a client's permanent recruiting and hiring processes, from job profiling to on-boarding, globally or in a single location. The global RPO market was approximately $1.9 billion in 2010 and is projected to grow to $2.8 billion by 2013. RPO accounts for approximately 4% of the overall Human Resource Outsourcing market. The MSP and RPO offerings provide specialty expertise in con tingent workforce management and broader administrative functions. MSP services include overall program management, reporting and tracking, supplier selection and management and order distribution. TBO services include management of financial and administrative processes, including call center and customer service activities and accounting and payroll. BTS provides our clients with access to the world’s labor market and the expertise of Manpower’s global network. BTS services include the placement of candidates from one country to another country who best meet the qualifications sought by our clients. Our proven experience, process and digital and physical network allow us to drive the per hire cost savings down through an end-to-end recruitment process.</w:t>
      </w:r>
    </w:p>
    <w:p>
      <w:pPr>
        <w:spacing w:after="0" w:line="210" w:lineRule="exact"/>
        <w:rPr>
          <w:sz w:val="20"/>
          <w:szCs w:val="20"/>
          <w:color w:val="auto"/>
        </w:rPr>
      </w:pPr>
    </w:p>
    <w:p>
      <w:pPr>
        <w:ind w:right="120" w:firstLine="486"/>
        <w:spacing w:after="0" w:line="312" w:lineRule="auto"/>
        <w:rPr>
          <w:sz w:val="20"/>
          <w:szCs w:val="20"/>
          <w:color w:val="auto"/>
        </w:rPr>
      </w:pPr>
      <w:r>
        <w:rPr>
          <w:rFonts w:ascii="Arial" w:cs="Arial" w:eastAsia="Arial" w:hAnsi="Arial"/>
          <w:sz w:val="16"/>
          <w:szCs w:val="16"/>
          <w:color w:val="auto"/>
        </w:rPr>
        <w:t>The temporary recruitment market throughout the world is large and highly fragmented with more than 15,000 firms competing throughout the world. In most areas, no single company has a dominant share of the temporary and contract recruitment market. In addition to us, the largest publicly owned companies specializing in recruitment services are Adecco, S.A. (Switzerland), Randstad Holding N.V. (Netherlands) and Kelly Services, Inc. (U.S.).</w:t>
      </w:r>
    </w:p>
    <w:p>
      <w:pPr>
        <w:spacing w:after="0" w:line="174"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color w:val="auto"/>
        </w:rPr>
        <w:t>Historically, in periods of economic prosperity, the number of firms providing recruitment services has increased significantly due to the combination of a favorable economic climate and low barriers to entry. Recessionary periods generally result in a reduction in the number of competitors through consolidation and closures; however, historically this reduction has proven to be for a limited time as the following periods of economic recovery have led to a return in growth in the number of competitors. As we projected, due to the difficult economic environment, we saw many of our smaller, local competitors struggle, with many national markets consolidating further. In many markets, we were able to improve market share and we see further opportunity to do so in the future.</w:t>
      </w:r>
    </w:p>
    <w:p>
      <w:pPr>
        <w:spacing w:after="0" w:line="220" w:lineRule="exact"/>
        <w:rPr>
          <w:sz w:val="20"/>
          <w:szCs w:val="20"/>
          <w:color w:val="auto"/>
        </w:rPr>
      </w:pPr>
    </w:p>
    <w:p>
      <w:pPr>
        <w:ind w:right="40" w:firstLine="486"/>
        <w:spacing w:after="0" w:line="257" w:lineRule="auto"/>
        <w:rPr>
          <w:sz w:val="20"/>
          <w:szCs w:val="20"/>
          <w:color w:val="auto"/>
        </w:rPr>
      </w:pPr>
      <w:r>
        <w:rPr>
          <w:rFonts w:ascii="Arial" w:cs="Arial" w:eastAsia="Arial" w:hAnsi="Arial"/>
          <w:sz w:val="18"/>
          <w:szCs w:val="18"/>
          <w:color w:val="auto"/>
        </w:rPr>
        <w:t>Recruitment firms act as intermediaries in matching available permanent, temporary and contract workers to employers’ talent needs. As a result, these firms compete both to recruit and retain a supply of permanent, temporary and contract workers and to attract clients to employ these workers. We recruit permanent, temporary and contract workers through a wide variety of means, including personal referrals, online resources and advertisements, and by providing an attractive compensation package in jurisdictions where such benefits are not otherwise required by law, including health insurance, vacation and holiday pay, incentive and pension plans and a recognition program.</w:t>
      </w:r>
    </w:p>
    <w:p>
      <w:pPr>
        <w:spacing w:after="0" w:line="215" w:lineRule="exact"/>
        <w:rPr>
          <w:sz w:val="20"/>
          <w:szCs w:val="20"/>
          <w:color w:val="auto"/>
        </w:rPr>
      </w:pPr>
    </w:p>
    <w:p>
      <w:pPr>
        <w:ind w:right="20" w:firstLine="486"/>
        <w:spacing w:after="0" w:line="254" w:lineRule="auto"/>
        <w:rPr>
          <w:sz w:val="20"/>
          <w:szCs w:val="20"/>
          <w:color w:val="auto"/>
        </w:rPr>
      </w:pPr>
      <w:r>
        <w:rPr>
          <w:rFonts w:ascii="Arial" w:cs="Arial" w:eastAsia="Arial" w:hAnsi="Arial"/>
          <w:sz w:val="18"/>
          <w:szCs w:val="18"/>
          <w:color w:val="auto"/>
        </w:rPr>
        <w:t>Methods used to market recruitment services to clients vary depending on the client’s need for permanent, temporary and RPO services, the local labor supply, the length of assignment and the number of workers required. Our full range of innovative workforce solutions and services and multiple brands enable us to cross-market to clients in order to leverage our relationships and expand our solutions and services provided, from career management services at Right Management to permanent recruitment services at Professional, to RPO services, etc. We compete by means of quality of service provided, scope of service offered, ability to source the right talent and price. Success in providing high quality recruitment services is an ability to access a supply of available workers, finding the right match of individuals for a particular ass ignment and, in some cases, train available workers in skills required for an assignment. For MBS services, success is defined primarily by the ability to perform the recruitment function more effectively and efficiently than the client could perform those functions internally.</w:t>
      </w:r>
    </w:p>
    <w:p>
      <w:pPr>
        <w:spacing w:after="0" w:line="219" w:lineRule="exact"/>
        <w:rPr>
          <w:sz w:val="20"/>
          <w:szCs w:val="20"/>
          <w:color w:val="auto"/>
        </w:rPr>
      </w:pPr>
    </w:p>
    <w:p>
      <w:pPr>
        <w:ind w:right="240" w:firstLine="486"/>
        <w:spacing w:after="0" w:line="257" w:lineRule="auto"/>
        <w:rPr>
          <w:sz w:val="20"/>
          <w:szCs w:val="20"/>
          <w:color w:val="auto"/>
        </w:rPr>
      </w:pPr>
      <w:r>
        <w:rPr>
          <w:rFonts w:ascii="Arial" w:cs="Arial" w:eastAsia="Arial" w:hAnsi="Arial"/>
          <w:sz w:val="18"/>
          <w:szCs w:val="18"/>
          <w:color w:val="auto"/>
        </w:rPr>
        <w:t>An important aspect in the selection of temporary and contract workers for an assignment is the ability of the recruitment firm to identify the skills, knowledge, abilities, and personal characteristics of an individual and match their competencies or capabilities to an employer’s requirements. We have a variety of proprietary programs for identifying and assessing the skill level of our candidates and associates, which are used in selecting a particular individual for a specific assignment. Our assessment systems enable us to offer a higher quality service by increasing productivity, decreasing turnover and reducing absenteeism.</w:t>
      </w: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7" w:name="page8"/>
    <w:bookmarkEnd w:id="7"/>
    <w:p>
      <w:pPr>
        <w:jc w:val="both"/>
        <w:ind w:firstLine="689"/>
        <w:spacing w:after="0" w:line="293" w:lineRule="auto"/>
        <w:rPr>
          <w:sz w:val="20"/>
          <w:szCs w:val="20"/>
          <w:color w:val="auto"/>
        </w:rPr>
      </w:pPr>
      <w:r>
        <w:rPr>
          <w:rFonts w:ascii="Arial" w:cs="Arial" w:eastAsia="Arial" w:hAnsi="Arial"/>
          <w:sz w:val="16"/>
          <w:szCs w:val="16"/>
          <w:color w:val="auto"/>
        </w:rPr>
        <w:t>Building a more sustainable workforce at large allows us to “develop” hard-to-find skills and access a deeper talent pool to provide our clients the people they need, faster. Our competitive position is enhanced by our ability to offer a wide variety of skills, in some of the most important market segments, through the use of training systems. Our Manpower Training and Development Center (TDC) provides over 5,000 hours of online courses that are accessible 24/7 and are free to our employees, associates and candidates to help them improve their skills. The courses cover a wide range of subjects in many languages and feature the latest information for a variety of fields, from learning the latest technology in the IT field, to brushing up on business m anagement courses or software programs. This training can also enable students in any profession to further develop their skills, improve their employability and earn higher wages.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Career and Talent Management Consulting Services and Solutions Market</w:t>
      </w:r>
    </w:p>
    <w:p>
      <w:pPr>
        <w:spacing w:after="0" w:line="225" w:lineRule="exact"/>
        <w:rPr>
          <w:sz w:val="20"/>
          <w:szCs w:val="20"/>
          <w:color w:val="auto"/>
        </w:rPr>
      </w:pPr>
    </w:p>
    <w:p>
      <w:pPr>
        <w:jc w:val="both"/>
        <w:ind w:firstLine="724"/>
        <w:spacing w:after="0" w:line="271" w:lineRule="auto"/>
        <w:rPr>
          <w:sz w:val="20"/>
          <w:szCs w:val="20"/>
          <w:color w:val="auto"/>
        </w:rPr>
      </w:pPr>
      <w:r>
        <w:rPr>
          <w:rFonts w:ascii="Arial" w:cs="Arial" w:eastAsia="Arial" w:hAnsi="Arial"/>
          <w:sz w:val="17"/>
          <w:szCs w:val="17"/>
          <w:color w:val="auto"/>
        </w:rPr>
        <w:t>Our Career and Talent Management consulting services and solutions are primarily provided under our Right Management brand. As the global leader in talent and career management, Right Management helps clients win in the changing world of work by designing and executing workforce solutions that align talent strategy with business strategy. Its expertise spans talent assessment, leader development, organizational effectiveness, employee engagement, and workforce transition and career management (also known as outplacement services). With offices in over 50 countries, Right Management partners with companies of all sizes. More than 80% of Fortune 500 companies and over 70% of the Fortune Global 500 companies are currently working with Right Management to help them develop talent, reduce costs and accelerate performance. The market for these consulting and outplacement services is highly competitive. In the market for services required by global clients, there are several barriers to entry, such as the need for global coverage, specialized local knowledge and technology to provide outstanding services to corporations on a global scale.</w:t>
      </w:r>
    </w:p>
    <w:p>
      <w:pPr>
        <w:spacing w:after="0" w:line="206" w:lineRule="exact"/>
        <w:rPr>
          <w:sz w:val="20"/>
          <w:szCs w:val="20"/>
          <w:color w:val="auto"/>
        </w:rPr>
      </w:pPr>
    </w:p>
    <w:p>
      <w:pPr>
        <w:jc w:val="both"/>
        <w:ind w:firstLine="756"/>
        <w:spacing w:after="0" w:line="255" w:lineRule="auto"/>
        <w:rPr>
          <w:sz w:val="20"/>
          <w:szCs w:val="20"/>
          <w:color w:val="auto"/>
        </w:rPr>
      </w:pPr>
      <w:r>
        <w:rPr>
          <w:rFonts w:ascii="Arial" w:cs="Arial" w:eastAsia="Arial" w:hAnsi="Arial"/>
          <w:sz w:val="18"/>
          <w:szCs w:val="18"/>
          <w:color w:val="auto"/>
        </w:rPr>
        <w:t>Our competitors in the consulting space related to Right Management's core capabilities include major firms that compete in serving the large employer worldwide, such as Mercer, Towers Watson, DDI and Aon Hewitt. Additional significant competition comes from smaller regional and boutique firms in this same space, along with firms in related areas such as management and technology consulting and human resource IT that are starting to compete in portions of the Talent Management space (e.g. Accenture, Kenexa). Public accounting and consulting firms such as PricewaterhouseCoopers and Deloitte &amp; Touche are also competitors in this space, although these firms must provide their consulting services within the constraints of the auditor independence provi sions of the Sarbanes-Oxley Act legislation.</w:t>
      </w:r>
    </w:p>
    <w:p>
      <w:pPr>
        <w:spacing w:after="0" w:line="193" w:lineRule="exact"/>
        <w:rPr>
          <w:sz w:val="20"/>
          <w:szCs w:val="20"/>
          <w:color w:val="auto"/>
        </w:rPr>
      </w:pPr>
    </w:p>
    <w:p>
      <w:pPr>
        <w:jc w:val="both"/>
        <w:ind w:firstLine="702"/>
        <w:spacing w:after="0" w:line="270" w:lineRule="auto"/>
        <w:rPr>
          <w:sz w:val="20"/>
          <w:szCs w:val="20"/>
          <w:color w:val="auto"/>
        </w:rPr>
      </w:pPr>
      <w:r>
        <w:rPr>
          <w:rFonts w:ascii="Arial" w:cs="Arial" w:eastAsia="Arial" w:hAnsi="Arial"/>
          <w:sz w:val="17"/>
          <w:szCs w:val="17"/>
          <w:color w:val="auto"/>
        </w:rPr>
        <w:t>Our competitors in the outplacement market include firms such as Drake Beam Morin, Lee Hecht Harrison (owned by Adecco) and career service divisions of global employment services firms. Additionally, there are regional firms and numerous smaller boutiques operating in either limited geographic markets or providing limited services. Companies provide outplacement services for several reasons. First, as the competition for attracting and retaining qualified employees increases, companies are increasingly attempting to distinguish themselves in the marketplace as attractive employers. Consequently, more companies are providing outplacement services as part of a comprehensive benefits package that provides for the well- being of employees – not only during the ir period of employment, but also after their employment ceases. Additionally, when companies experience layoffs, providing career management services is a more responsible way of facilitating outplacement and projects a positive corporate image, improving morale among the remaining employees. Finally, companies may provide outplacement services to reduce costs by preparing and assisting separated employees to find new employment, thereby diminishing employment-related litigation.</w:t>
      </w:r>
    </w:p>
    <w:p>
      <w:pPr>
        <w:spacing w:after="0" w:line="209" w:lineRule="exact"/>
        <w:rPr>
          <w:sz w:val="20"/>
          <w:szCs w:val="20"/>
          <w:color w:val="auto"/>
        </w:rPr>
      </w:pPr>
    </w:p>
    <w:p>
      <w:pPr>
        <w:ind w:right="280" w:firstLine="486"/>
        <w:spacing w:after="0" w:line="255" w:lineRule="auto"/>
        <w:rPr>
          <w:sz w:val="20"/>
          <w:szCs w:val="20"/>
          <w:color w:val="auto"/>
        </w:rPr>
      </w:pPr>
      <w:r>
        <w:rPr>
          <w:rFonts w:ascii="Arial" w:cs="Arial" w:eastAsia="Arial" w:hAnsi="Arial"/>
          <w:sz w:val="18"/>
          <w:szCs w:val="18"/>
          <w:color w:val="auto"/>
        </w:rPr>
        <w:t>Companies augment their internal human resources professional staff with external consultants for many reasons. First, the growing importance and complexity of employee issues is creating an unprecedented theoretical and technical service expectation on human resources departments. Additionally, human resources departments have continued pressure to contain costs without minimizing the resources available to managers. Finally, companies increasingly choose to outsource non-core functions that can be addressed more effectively by outside professionals. These organizations look to Right Management for thought leadership and best practices on attracting and assessing organizational talent, leadership development and engaging and aligning their workforce.</w:t>
      </w:r>
    </w:p>
    <w:p>
      <w:pPr>
        <w:spacing w:after="0" w:line="220" w:lineRule="exact"/>
        <w:rPr>
          <w:sz w:val="20"/>
          <w:szCs w:val="20"/>
          <w:color w:val="auto"/>
        </w:rPr>
      </w:pPr>
    </w:p>
    <w:p>
      <w:pPr>
        <w:ind w:right="160" w:firstLine="486"/>
        <w:spacing w:after="0" w:line="280" w:lineRule="auto"/>
        <w:rPr>
          <w:sz w:val="20"/>
          <w:szCs w:val="20"/>
          <w:color w:val="auto"/>
        </w:rPr>
      </w:pPr>
      <w:r>
        <w:rPr>
          <w:rFonts w:ascii="Arial" w:cs="Arial" w:eastAsia="Arial" w:hAnsi="Arial"/>
          <w:sz w:val="16"/>
          <w:szCs w:val="16"/>
          <w:color w:val="auto"/>
        </w:rPr>
        <w:t xml:space="preserve">Companies also choose Right Management for the high-tech, high-touch approach of our outplacement services and the range of expertise and solutions within our core capabilities that can be tailored to meet specific organizational and candidate needs. Our technology capabilities are integral to our services, particularly for outplacement. We have made significant investments in technology to augment our core services with online, 24/7 access and support for both clients and candidates. Our solutions include: Right Navigator </w:t>
      </w:r>
      <w:r>
        <w:rPr>
          <w:rFonts w:ascii="Arial" w:cs="Arial" w:eastAsia="Arial" w:hAnsi="Arial"/>
          <w:sz w:val="22"/>
          <w:szCs w:val="22"/>
          <w:color w:val="auto"/>
          <w:vertAlign w:val="superscript"/>
        </w:rPr>
        <w:t>TM</w:t>
      </w:r>
      <w:r>
        <w:rPr>
          <w:rFonts w:ascii="Arial" w:cs="Arial" w:eastAsia="Arial" w:hAnsi="Arial"/>
          <w:sz w:val="16"/>
          <w:szCs w:val="16"/>
          <w:color w:val="auto"/>
        </w:rPr>
        <w:t xml:space="preserve">, RightChoice </w:t>
      </w:r>
      <w:r>
        <w:rPr>
          <w:rFonts w:ascii="Arial" w:cs="Arial" w:eastAsia="Arial" w:hAnsi="Arial"/>
          <w:sz w:val="22"/>
          <w:szCs w:val="22"/>
          <w:color w:val="auto"/>
          <w:vertAlign w:val="superscript"/>
        </w:rPr>
        <w:t>TM</w:t>
      </w:r>
      <w:r>
        <w:rPr>
          <w:rFonts w:ascii="Arial" w:cs="Arial" w:eastAsia="Arial" w:hAnsi="Arial"/>
          <w:sz w:val="16"/>
          <w:szCs w:val="16"/>
          <w:color w:val="auto"/>
        </w:rPr>
        <w:t xml:space="preserve">, RightTrack </w:t>
      </w:r>
      <w:r>
        <w:rPr>
          <w:rFonts w:ascii="Arial" w:cs="Arial" w:eastAsia="Arial" w:hAnsi="Arial"/>
          <w:sz w:val="22"/>
          <w:szCs w:val="22"/>
          <w:color w:val="auto"/>
          <w:vertAlign w:val="superscript"/>
        </w:rPr>
        <w:t>SM</w:t>
      </w:r>
      <w:r>
        <w:rPr>
          <w:rFonts w:ascii="Arial" w:cs="Arial" w:eastAsia="Arial" w:hAnsi="Arial"/>
          <w:sz w:val="16"/>
          <w:szCs w:val="16"/>
          <w:color w:val="auto"/>
        </w:rPr>
        <w:t xml:space="preserve">, RightEverywhereTM, Right Connection </w:t>
      </w:r>
      <w:r>
        <w:rPr>
          <w:rFonts w:ascii="Arial" w:cs="Arial" w:eastAsia="Arial" w:hAnsi="Arial"/>
          <w:sz w:val="22"/>
          <w:szCs w:val="22"/>
          <w:color w:val="auto"/>
          <w:vertAlign w:val="superscript"/>
        </w:rPr>
        <w:t>®</w:t>
      </w:r>
      <w:r>
        <w:rPr>
          <w:rFonts w:ascii="Arial" w:cs="Arial" w:eastAsia="Arial" w:hAnsi="Arial"/>
          <w:sz w:val="16"/>
          <w:szCs w:val="16"/>
          <w:color w:val="auto"/>
        </w:rPr>
        <w:t xml:space="preserve">, Right FasTrack </w:t>
      </w:r>
      <w:r>
        <w:rPr>
          <w:rFonts w:ascii="Arial" w:cs="Arial" w:eastAsia="Arial" w:hAnsi="Arial"/>
          <w:sz w:val="22"/>
          <w:szCs w:val="22"/>
          <w:color w:val="auto"/>
          <w:vertAlign w:val="superscript"/>
        </w:rPr>
        <w:t>SM</w:t>
      </w:r>
      <w:r>
        <w:rPr>
          <w:rFonts w:ascii="Arial" w:cs="Arial" w:eastAsia="Arial" w:hAnsi="Arial"/>
          <w:sz w:val="16"/>
          <w:szCs w:val="16"/>
          <w:color w:val="auto"/>
        </w:rPr>
        <w:t xml:space="preserve">, Right Access </w:t>
      </w:r>
      <w:r>
        <w:rPr>
          <w:rFonts w:ascii="Arial" w:cs="Arial" w:eastAsia="Arial" w:hAnsi="Arial"/>
          <w:sz w:val="22"/>
          <w:szCs w:val="22"/>
          <w:color w:val="auto"/>
          <w:vertAlign w:val="superscript"/>
        </w:rPr>
        <w:t>SM</w:t>
      </w:r>
      <w:r>
        <w:rPr>
          <w:rFonts w:ascii="Arial" w:cs="Arial" w:eastAsia="Arial" w:hAnsi="Arial"/>
          <w:sz w:val="16"/>
          <w:szCs w:val="16"/>
          <w:color w:val="auto"/>
        </w:rPr>
        <w:t xml:space="preserve"> , iView </w:t>
      </w:r>
      <w:r>
        <w:rPr>
          <w:rFonts w:ascii="Arial" w:cs="Arial" w:eastAsia="Arial" w:hAnsi="Arial"/>
          <w:sz w:val="22"/>
          <w:szCs w:val="22"/>
          <w:color w:val="auto"/>
          <w:vertAlign w:val="superscript"/>
        </w:rPr>
        <w:t>TM</w:t>
      </w:r>
      <w:r>
        <w:rPr>
          <w:rFonts w:ascii="Arial" w:cs="Arial" w:eastAsia="Arial" w:hAnsi="Arial"/>
          <w:sz w:val="16"/>
          <w:szCs w:val="16"/>
          <w:color w:val="auto"/>
        </w:rPr>
        <w:t xml:space="preserve"> and Wellness and Productivity Management, along with Job Banks and Resume Banks.</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i w:val="1"/>
          <w:iCs w:val="1"/>
          <w:color w:val="auto"/>
        </w:rPr>
        <w:t>Professional Resourcing and Project-Based Solutions</w:t>
      </w:r>
    </w:p>
    <w:p>
      <w:pPr>
        <w:spacing w:after="0" w:line="252" w:lineRule="exact"/>
        <w:rPr>
          <w:sz w:val="20"/>
          <w:szCs w:val="20"/>
          <w:color w:val="auto"/>
        </w:rPr>
      </w:pPr>
    </w:p>
    <w:p>
      <w:pPr>
        <w:ind w:right="60" w:firstLine="486"/>
        <w:spacing w:after="0" w:line="274" w:lineRule="auto"/>
        <w:rPr>
          <w:sz w:val="20"/>
          <w:szCs w:val="20"/>
          <w:color w:val="auto"/>
        </w:rPr>
      </w:pPr>
      <w:r>
        <w:rPr>
          <w:rFonts w:ascii="Arial" w:cs="Arial" w:eastAsia="Arial" w:hAnsi="Arial"/>
          <w:sz w:val="17"/>
          <w:szCs w:val="17"/>
          <w:color w:val="auto"/>
        </w:rPr>
        <w:t>We compete in the Professional Resourcing and Project-Based Workforce Solutions industry as a high-value alternative to public accounting firms and other consulting groups as noted earlier. We provide high-impact solutions in the areas of ICT, engineering, finance and accounting, and</w:t>
      </w:r>
    </w:p>
    <w:p>
      <w:pPr>
        <w:ind w:right="340"/>
        <w:spacing w:after="0" w:line="255" w:lineRule="auto"/>
        <w:rPr>
          <w:sz w:val="20"/>
          <w:szCs w:val="20"/>
          <w:color w:val="auto"/>
        </w:rPr>
      </w:pPr>
      <w:r>
        <w:rPr>
          <w:rFonts w:ascii="Arial" w:cs="Arial" w:eastAsia="Arial" w:hAnsi="Arial"/>
          <w:sz w:val="18"/>
          <w:szCs w:val="18"/>
          <w:color w:val="auto"/>
        </w:rPr>
        <w:t>healthcare, accelerating organizations’ growth by intensely attracting, assessing and placing specialized expertise to deliver in-demand talent for mission-critical positions. We have a deep understanding of vertical knowledge that allows us to truly assess a candidate’s human potential and technical skills, matching them to the visions of our clients.</w:t>
      </w:r>
    </w:p>
    <w:p>
      <w:pPr>
        <w:spacing w:after="0" w:line="217" w:lineRule="exact"/>
        <w:rPr>
          <w:sz w:val="20"/>
          <w:szCs w:val="20"/>
          <w:color w:val="auto"/>
        </w:rPr>
      </w:pPr>
    </w:p>
    <w:p>
      <w:pPr>
        <w:ind w:firstLine="486"/>
        <w:spacing w:after="0" w:line="264" w:lineRule="auto"/>
        <w:rPr>
          <w:sz w:val="20"/>
          <w:szCs w:val="20"/>
          <w:color w:val="auto"/>
        </w:rPr>
      </w:pPr>
      <w:r>
        <w:rPr>
          <w:rFonts w:ascii="Arial" w:cs="Arial" w:eastAsia="Arial" w:hAnsi="Arial"/>
          <w:sz w:val="18"/>
          <w:szCs w:val="18"/>
          <w:color w:val="auto"/>
        </w:rPr>
        <w:t>While public accounting and consulting firms can be primary competitors, these firms also frequently refer our financial and accounting services to assist clients with engagements where there are conflict-of-interest concerns. Because we do not perform attestation work, we can provide an objective review of a client’s business processes, thus avoiding potential conflicts of interest.</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Regulation</w:t>
      </w:r>
    </w:p>
    <w:p>
      <w:pPr>
        <w:spacing w:after="0" w:line="252"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workforce solutions and services industry is closely regulated in all of the major markets in which we operate, except the United States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Canada. Employment services firms are generally subject to one or more of the following types of government regulation:</w:t>
      </w:r>
    </w:p>
    <w:p>
      <w:pPr>
        <w:spacing w:after="0" w:line="238" w:lineRule="exact"/>
        <w:rPr>
          <w:sz w:val="20"/>
          <w:szCs w:val="20"/>
          <w:color w:val="auto"/>
        </w:rPr>
      </w:pPr>
    </w:p>
    <w:p>
      <w:pPr>
        <w:ind w:left="880" w:hanging="332"/>
        <w:spacing w:after="0"/>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regulation of the employer/employee relationship between the firm and its temporary and contract employees;</w:t>
      </w:r>
    </w:p>
    <w:p>
      <w:pPr>
        <w:spacing w:after="0" w:line="252" w:lineRule="exact"/>
        <w:rPr>
          <w:rFonts w:ascii="Arial" w:cs="Arial" w:eastAsia="Arial" w:hAnsi="Arial"/>
          <w:sz w:val="18"/>
          <w:szCs w:val="18"/>
          <w:color w:val="auto"/>
        </w:rPr>
      </w:pPr>
    </w:p>
    <w:p>
      <w:pPr>
        <w:ind w:left="880" w:hanging="332"/>
        <w:spacing w:after="0"/>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registration, licensing, record keeping and reporting requirements; and</w:t>
      </w:r>
    </w:p>
    <w:p>
      <w:pPr>
        <w:spacing w:after="0" w:line="252" w:lineRule="exact"/>
        <w:rPr>
          <w:rFonts w:ascii="Arial" w:cs="Arial" w:eastAsia="Arial" w:hAnsi="Arial"/>
          <w:sz w:val="18"/>
          <w:szCs w:val="18"/>
          <w:color w:val="auto"/>
        </w:rPr>
      </w:pPr>
    </w:p>
    <w:p>
      <w:pPr>
        <w:ind w:left="880" w:hanging="332"/>
        <w:spacing w:after="0"/>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substantive limitations on the operations or the use of temporary and contract employees by clients.</w:t>
      </w:r>
    </w:p>
    <w:p>
      <w:pPr>
        <w:spacing w:after="0" w:line="252" w:lineRule="exact"/>
        <w:rPr>
          <w:sz w:val="20"/>
          <w:szCs w:val="20"/>
          <w:color w:val="auto"/>
        </w:rPr>
      </w:pPr>
    </w:p>
    <w:p>
      <w:pPr>
        <w:ind w:right="100" w:firstLine="486"/>
        <w:spacing w:after="0" w:line="259" w:lineRule="auto"/>
        <w:rPr>
          <w:sz w:val="20"/>
          <w:szCs w:val="20"/>
          <w:color w:val="auto"/>
        </w:rPr>
      </w:pPr>
      <w:r>
        <w:rPr>
          <w:rFonts w:ascii="Arial" w:cs="Arial" w:eastAsia="Arial" w:hAnsi="Arial"/>
          <w:sz w:val="18"/>
          <w:szCs w:val="18"/>
          <w:color w:val="auto"/>
        </w:rPr>
        <w:t>In many markets, the existence or absence of collective bargaining agreements with labor organizations has a significant impact on our operations and the ability of clients to use our services. In some markets, labor agreements are structured on an industry-wide, rather than company-by-company, basis. Changes in these collective bargaining agreements have occurred in the past and are expected to occur in the future and may have a material impact on the operations of employment services firms, including us.</w:t>
      </w:r>
    </w:p>
    <w:p>
      <w:pPr>
        <w:spacing w:after="0" w:line="214" w:lineRule="exact"/>
        <w:rPr>
          <w:sz w:val="20"/>
          <w:szCs w:val="20"/>
          <w:color w:val="auto"/>
        </w:rPr>
      </w:pPr>
    </w:p>
    <w:p>
      <w:pPr>
        <w:ind w:right="120" w:firstLine="486"/>
        <w:spacing w:after="0" w:line="257" w:lineRule="auto"/>
        <w:rPr>
          <w:sz w:val="20"/>
          <w:szCs w:val="20"/>
          <w:color w:val="auto"/>
        </w:rPr>
      </w:pPr>
      <w:r>
        <w:rPr>
          <w:rFonts w:ascii="Arial" w:cs="Arial" w:eastAsia="Arial" w:hAnsi="Arial"/>
          <w:sz w:val="18"/>
          <w:szCs w:val="18"/>
          <w:color w:val="auto"/>
        </w:rPr>
        <w:t>In many countries, including the United States and the United Kingdom, workforce solutions and services firms are considered the legal employers of temporary and contract workers. Therefore, laws regulating the employer/employee relationship, such as tax withholding or reporting, social security or retirement, anti-discrimination and workers’ compensation, govern the firm. In other countries, employment services firms, while not the direct legal employer of temporary and contract workers, are still responsible for collecting taxes and social security deductions and transmitting such amounts to the taxing authorities.</w:t>
      </w:r>
    </w:p>
    <w:p>
      <w:pPr>
        <w:spacing w:after="0" w:line="215" w:lineRule="exact"/>
        <w:rPr>
          <w:sz w:val="20"/>
          <w:szCs w:val="20"/>
          <w:color w:val="auto"/>
        </w:rPr>
      </w:pPr>
    </w:p>
    <w:p>
      <w:pPr>
        <w:jc w:val="both"/>
        <w:ind w:right="180" w:firstLine="486"/>
        <w:spacing w:after="0" w:line="312" w:lineRule="auto"/>
        <w:rPr>
          <w:sz w:val="20"/>
          <w:szCs w:val="20"/>
          <w:color w:val="auto"/>
        </w:rPr>
      </w:pPr>
      <w:r>
        <w:rPr>
          <w:rFonts w:ascii="Arial" w:cs="Arial" w:eastAsia="Arial" w:hAnsi="Arial"/>
          <w:sz w:val="16"/>
          <w:szCs w:val="16"/>
          <w:color w:val="auto"/>
        </w:rPr>
        <w:t>In many countries, particularly in continental Europe and Asia, entry into the employment services market is restricted by the requirement to register with, or obtain licenses from, a government agency. In addition, a wide variety of ministerial requirements may be imposed, such as record keeping, written contracts and reporting. The United States and Canada do not presently have any form of national registration or licensing requirement.</w:t>
      </w:r>
    </w:p>
    <w:p>
      <w:pPr>
        <w:spacing w:after="0" w:line="174" w:lineRule="exact"/>
        <w:rPr>
          <w:sz w:val="20"/>
          <w:szCs w:val="20"/>
          <w:color w:val="auto"/>
        </w:rPr>
      </w:pPr>
    </w:p>
    <w:p>
      <w:pPr>
        <w:ind w:right="180" w:firstLine="486"/>
        <w:spacing w:after="0" w:line="273" w:lineRule="auto"/>
        <w:rPr>
          <w:sz w:val="20"/>
          <w:szCs w:val="20"/>
          <w:color w:val="auto"/>
        </w:rPr>
      </w:pPr>
      <w:r>
        <w:rPr>
          <w:rFonts w:ascii="Arial" w:cs="Arial" w:eastAsia="Arial" w:hAnsi="Arial"/>
          <w:sz w:val="17"/>
          <w:szCs w:val="17"/>
          <w:color w:val="auto"/>
        </w:rPr>
        <w:t>In addition to licensing or registration requirements, many countries impose substantive restrictions on the use of temporary and contract workers. Such restrictions include regulations affecting the types of work permitted, the maximum length of assignment, wage levels or reasons for which temporary and contract workers may be employed. In some countries, special taxes, fees or costs are imposed in connection with the use of temporary and contract workers. For example, temporary and contract workers in France are entitled to a 10% allowance for the uncertain duration of employment, which is eliminated if a full-time position is offered to them within three days after assignment termination. In some countries, the contract of employment with temporary and contract employees must differ from the length of assignment.</w:t>
      </w:r>
    </w:p>
    <w:p>
      <w:pPr>
        <w:spacing w:after="0" w:line="20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outplacement and consulting services generally are not subjected to governmental regulation in the markets in which we operate.</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274" w:right="259" w:bottom="1440" w:gutter="0" w:footer="0" w:header="0"/>
        </w:sectPr>
      </w:pPr>
    </w:p>
    <w:bookmarkStart w:id="9" w:name="page10"/>
    <w:bookmarkEnd w:id="9"/>
    <w:p>
      <w:pPr>
        <w:jc w:val="both"/>
        <w:ind w:right="320" w:firstLine="486"/>
        <w:spacing w:after="0" w:line="264" w:lineRule="auto"/>
        <w:rPr>
          <w:sz w:val="20"/>
          <w:szCs w:val="20"/>
          <w:color w:val="auto"/>
        </w:rPr>
      </w:pPr>
      <w:r>
        <w:rPr>
          <w:rFonts w:ascii="Arial" w:cs="Arial" w:eastAsia="Arial" w:hAnsi="Arial"/>
          <w:sz w:val="18"/>
          <w:szCs w:val="18"/>
          <w:color w:val="auto"/>
        </w:rPr>
        <w:t>In the United States, we are subject to various federal and state laws relating to franchising, principally the Federal Trade Commission’s Franchise Rules and analogous state laws which impact our agreements with our franchised operations. These laws and related rules and regulations impose specific disclosure requirements. Virtually all states also regulate the termination of franchises.</w:t>
      </w:r>
    </w:p>
    <w:p>
      <w:pPr>
        <w:spacing w:after="0" w:line="20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Also see Item 7. “Management’s Discussion and Analysis of Financial Condition and Results of Operations—Legal Regulations.”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Trademarks</w:t>
      </w:r>
    </w:p>
    <w:p>
      <w:pPr>
        <w:spacing w:after="0" w:line="252" w:lineRule="exact"/>
        <w:rPr>
          <w:sz w:val="20"/>
          <w:szCs w:val="20"/>
          <w:color w:val="auto"/>
        </w:rPr>
      </w:pPr>
    </w:p>
    <w:p>
      <w:pPr>
        <w:ind w:firstLine="486"/>
        <w:spacing w:after="0" w:line="219" w:lineRule="auto"/>
        <w:rPr>
          <w:sz w:val="20"/>
          <w:szCs w:val="20"/>
          <w:color w:val="auto"/>
        </w:rPr>
      </w:pPr>
      <w:r>
        <w:rPr>
          <w:rFonts w:ascii="Arial" w:cs="Arial" w:eastAsia="Arial" w:hAnsi="Arial"/>
          <w:sz w:val="18"/>
          <w:szCs w:val="18"/>
          <w:color w:val="auto"/>
        </w:rPr>
        <w:t>We maintain a number of registered trademarks, trade names and service marks in the United States and various other countries. We believe that many of these marks and trade names, including Manpower</w:t>
      </w:r>
      <w:r>
        <w:rPr>
          <w:rFonts w:ascii="Arial" w:cs="Arial" w:eastAsia="Arial" w:hAnsi="Arial"/>
          <w:sz w:val="25"/>
          <w:szCs w:val="25"/>
          <w:color w:val="auto"/>
          <w:vertAlign w:val="superscript"/>
        </w:rPr>
        <w:t>®</w:t>
      </w:r>
      <w:r>
        <w:rPr>
          <w:rFonts w:ascii="Arial" w:cs="Arial" w:eastAsia="Arial" w:hAnsi="Arial"/>
          <w:sz w:val="18"/>
          <w:szCs w:val="18"/>
          <w:color w:val="auto"/>
        </w:rPr>
        <w:t>, Manpower Professional</w:t>
      </w:r>
      <w:r>
        <w:rPr>
          <w:rFonts w:ascii="Arial" w:cs="Arial" w:eastAsia="Arial" w:hAnsi="Arial"/>
          <w:sz w:val="25"/>
          <w:szCs w:val="25"/>
          <w:color w:val="auto"/>
          <w:vertAlign w:val="superscript"/>
        </w:rPr>
        <w:t>®</w:t>
      </w:r>
      <w:r>
        <w:rPr>
          <w:rFonts w:ascii="Arial" w:cs="Arial" w:eastAsia="Arial" w:hAnsi="Arial"/>
          <w:sz w:val="18"/>
          <w:szCs w:val="18"/>
          <w:color w:val="auto"/>
        </w:rPr>
        <w:t>, Right Management Consultants</w:t>
      </w:r>
      <w:r>
        <w:rPr>
          <w:rFonts w:ascii="Arial" w:cs="Arial" w:eastAsia="Arial" w:hAnsi="Arial"/>
          <w:sz w:val="25"/>
          <w:szCs w:val="25"/>
          <w:color w:val="auto"/>
          <w:vertAlign w:val="superscript"/>
        </w:rPr>
        <w:t>®</w:t>
      </w:r>
      <w:r>
        <w:rPr>
          <w:rFonts w:ascii="Arial" w:cs="Arial" w:eastAsia="Arial" w:hAnsi="Arial"/>
          <w:sz w:val="18"/>
          <w:szCs w:val="18"/>
          <w:color w:val="auto"/>
        </w:rPr>
        <w:t>, Brook Street</w:t>
      </w:r>
      <w:r>
        <w:rPr>
          <w:rFonts w:ascii="Arial" w:cs="Arial" w:eastAsia="Arial" w:hAnsi="Arial"/>
          <w:sz w:val="25"/>
          <w:szCs w:val="25"/>
          <w:color w:val="auto"/>
          <w:vertAlign w:val="superscript"/>
        </w:rPr>
        <w:t>®</w:t>
      </w:r>
      <w:r>
        <w:rPr>
          <w:rFonts w:ascii="Arial" w:cs="Arial" w:eastAsia="Arial" w:hAnsi="Arial"/>
          <w:sz w:val="18"/>
          <w:szCs w:val="18"/>
          <w:color w:val="auto"/>
        </w:rPr>
        <w:t>, Elan</w:t>
      </w:r>
      <w:r>
        <w:rPr>
          <w:rFonts w:ascii="Arial" w:cs="Arial" w:eastAsia="Arial" w:hAnsi="Arial"/>
          <w:sz w:val="25"/>
          <w:szCs w:val="25"/>
          <w:color w:val="auto"/>
          <w:vertAlign w:val="superscript"/>
        </w:rPr>
        <w:t>®</w:t>
      </w:r>
      <w:r>
        <w:rPr>
          <w:rFonts w:ascii="Arial" w:cs="Arial" w:eastAsia="Arial" w:hAnsi="Arial"/>
          <w:sz w:val="18"/>
          <w:szCs w:val="18"/>
          <w:color w:val="auto"/>
        </w:rPr>
        <w:t>, Ultraskill</w:t>
      </w:r>
      <w:r>
        <w:rPr>
          <w:rFonts w:ascii="Arial" w:cs="Arial" w:eastAsia="Arial" w:hAnsi="Arial"/>
          <w:sz w:val="25"/>
          <w:szCs w:val="25"/>
          <w:color w:val="auto"/>
          <w:vertAlign w:val="superscript"/>
        </w:rPr>
        <w:t>®</w:t>
      </w:r>
      <w:r>
        <w:rPr>
          <w:rFonts w:ascii="Arial" w:cs="Arial" w:eastAsia="Arial" w:hAnsi="Arial"/>
          <w:sz w:val="18"/>
          <w:szCs w:val="18"/>
          <w:color w:val="auto"/>
        </w:rPr>
        <w:t>, and Skillware</w:t>
      </w:r>
      <w:r>
        <w:rPr>
          <w:rFonts w:ascii="Arial" w:cs="Arial" w:eastAsia="Arial" w:hAnsi="Arial"/>
          <w:sz w:val="25"/>
          <w:szCs w:val="25"/>
          <w:color w:val="auto"/>
          <w:vertAlign w:val="superscript"/>
        </w:rPr>
        <w:t>®</w:t>
      </w:r>
      <w:r>
        <w:rPr>
          <w:rFonts w:ascii="Arial" w:cs="Arial" w:eastAsia="Arial" w:hAnsi="Arial"/>
          <w:sz w:val="18"/>
          <w:szCs w:val="18"/>
          <w:color w:val="auto"/>
        </w:rPr>
        <w:t>, have significant value and are materially important to our business. In addition, we maintain other intangible property rights. The trademarks have been assigned an indefinite life based on our expectation of renewing the trademarks, as required, without material modifications and at a minimal cost, and our expectation of positive cash flows beyond the foreseeable future.</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Employees</w:t>
      </w:r>
    </w:p>
    <w:p>
      <w:pPr>
        <w:spacing w:after="0" w:line="252"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We had approximately 30,000 full-time equivalent employees as of December 31, 2010. In addition, we estimate that we recruit on behalf of our clients approximately 3.5 million permanent, temporary and contract workers on a worldwide basis each year.</w:t>
      </w:r>
    </w:p>
    <w:p>
      <w:pPr>
        <w:spacing w:after="0" w:line="197" w:lineRule="exact"/>
        <w:rPr>
          <w:sz w:val="20"/>
          <w:szCs w:val="20"/>
          <w:color w:val="auto"/>
        </w:rPr>
      </w:pPr>
    </w:p>
    <w:p>
      <w:pPr>
        <w:ind w:right="220" w:firstLine="486"/>
        <w:spacing w:after="0" w:line="276" w:lineRule="auto"/>
        <w:rPr>
          <w:sz w:val="20"/>
          <w:szCs w:val="20"/>
          <w:color w:val="auto"/>
        </w:rPr>
      </w:pPr>
      <w:r>
        <w:rPr>
          <w:rFonts w:ascii="Arial" w:cs="Arial" w:eastAsia="Arial" w:hAnsi="Arial"/>
          <w:sz w:val="17"/>
          <w:szCs w:val="17"/>
          <w:color w:val="auto"/>
        </w:rPr>
        <w:t>As described above, in most jurisdictions, we, as the employer of our temporary and contract workers or as otherwise required by applicable law, are responsible for employment administration. This administration includes collection of withholding taxes, employer contributions for social security or its equivalent outside the United States, unemployment tax, workers’ compensation and fidelity and liability insurance, and other governmental requirements imposed on employers. In most jurisdictions where such benefits are not legally required, including the United States, we provide health and life insurance, paid holidays and paid vacations to qualifying temporary and contract employees.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Financial Information about Foreign and Domestic Operations</w:t>
      </w:r>
    </w:p>
    <w:p>
      <w:pPr>
        <w:spacing w:after="0" w:line="252" w:lineRule="exact"/>
        <w:rPr>
          <w:sz w:val="20"/>
          <w:szCs w:val="20"/>
          <w:color w:val="auto"/>
        </w:rPr>
      </w:pPr>
    </w:p>
    <w:p>
      <w:pPr>
        <w:ind w:right="620" w:firstLine="486"/>
        <w:spacing w:after="0" w:line="342" w:lineRule="auto"/>
        <w:rPr>
          <w:sz w:val="20"/>
          <w:szCs w:val="20"/>
          <w:color w:val="auto"/>
        </w:rPr>
      </w:pPr>
      <w:r>
        <w:rPr>
          <w:rFonts w:ascii="Arial" w:cs="Arial" w:eastAsia="Arial" w:hAnsi="Arial"/>
          <w:sz w:val="16"/>
          <w:szCs w:val="16"/>
          <w:color w:val="auto"/>
        </w:rPr>
        <w:t>Note 14 to our consolidated financial statements sets forth the information required for each segment and geographical area for the years ended December 31, 2010, 2009 and 2008. Such note is found in our 2010 Annual Report to Shareholders and is incorporated herein by reference.</w:t>
      </w: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Item 1A. Risk Factors</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FORWARD-LOOKING STATEMENTS</w:t>
      </w:r>
    </w:p>
    <w:p>
      <w:pPr>
        <w:spacing w:after="0" w:line="256" w:lineRule="exact"/>
        <w:rPr>
          <w:sz w:val="20"/>
          <w:szCs w:val="20"/>
          <w:color w:val="auto"/>
        </w:rPr>
      </w:pPr>
    </w:p>
    <w:p>
      <w:pPr>
        <w:ind w:firstLine="486"/>
        <w:spacing w:after="0" w:line="273" w:lineRule="auto"/>
        <w:rPr>
          <w:sz w:val="20"/>
          <w:szCs w:val="20"/>
          <w:color w:val="auto"/>
        </w:rPr>
      </w:pPr>
      <w:r>
        <w:rPr>
          <w:rFonts w:ascii="Arial" w:cs="Arial" w:eastAsia="Arial" w:hAnsi="Arial"/>
          <w:sz w:val="17"/>
          <w:szCs w:val="17"/>
          <w:color w:val="auto"/>
        </w:rPr>
        <w:t>Statements made in this report that are not statements of historical fact are forward-looking statements. In addition, from time to time, we and our representatives may make statements that are forward-looking. All forward-looking statements involve risks and uncertainties. This section provides you with cautionary statements identifying, for purposes of the safe harbor provisions of the Private Securities Litigation Reform Act of 1995, important factors that could cause our actual results to differ materially from those contained in forward-looking statements made in this report or otherwise made by us or on our behalf. You can identify these forward-looking statements by forward-looking words such as “expect”, “anticipate”, “intend”, “plan”, “may”, “will”, “b elieve”, “seek”, “estimate”, and similar expressions. You are cautioned not to place undue reliance on these forward-looking statements.</w:t>
      </w:r>
    </w:p>
    <w:p>
      <w:pPr>
        <w:spacing w:after="0" w:line="205"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following are some of the factors that could cause actual results to differ materially from estimates contained in our forward-looking statements:</w:t>
      </w:r>
    </w:p>
    <w:p>
      <w:pPr>
        <w:spacing w:after="0" w:line="275" w:lineRule="exact"/>
        <w:rPr>
          <w:sz w:val="20"/>
          <w:szCs w:val="20"/>
          <w:color w:val="auto"/>
        </w:rPr>
      </w:pPr>
    </w:p>
    <w:p>
      <w:pPr>
        <w:ind w:left="880" w:hanging="332"/>
        <w:spacing w:after="0"/>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cost structure of subsidiaries;</w:t>
      </w:r>
    </w:p>
    <w:p>
      <w:pPr>
        <w:spacing w:after="0" w:line="252" w:lineRule="exact"/>
        <w:rPr>
          <w:rFonts w:ascii="Arial" w:cs="Arial" w:eastAsia="Arial" w:hAnsi="Arial"/>
          <w:sz w:val="18"/>
          <w:szCs w:val="18"/>
          <w:color w:val="auto"/>
        </w:rPr>
      </w:pPr>
    </w:p>
    <w:p>
      <w:pPr>
        <w:ind w:left="880" w:hanging="332"/>
        <w:spacing w:after="0"/>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management turnover;</w:t>
      </w:r>
    </w:p>
    <w:p>
      <w:pPr>
        <w:spacing w:after="0" w:line="252" w:lineRule="exact"/>
        <w:rPr>
          <w:rFonts w:ascii="Arial" w:cs="Arial" w:eastAsia="Arial" w:hAnsi="Arial"/>
          <w:sz w:val="18"/>
          <w:szCs w:val="18"/>
          <w:color w:val="auto"/>
        </w:rPr>
      </w:pPr>
    </w:p>
    <w:p>
      <w:pPr>
        <w:ind w:left="880" w:hanging="332"/>
        <w:spacing w:after="0"/>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reorganizations;</w:t>
      </w:r>
    </w:p>
    <w:p>
      <w:pPr>
        <w:spacing w:after="0" w:line="252" w:lineRule="exact"/>
        <w:rPr>
          <w:rFonts w:ascii="Arial" w:cs="Arial" w:eastAsia="Arial" w:hAnsi="Arial"/>
          <w:sz w:val="18"/>
          <w:szCs w:val="18"/>
          <w:color w:val="auto"/>
        </w:rPr>
      </w:pPr>
    </w:p>
    <w:p>
      <w:pPr>
        <w:ind w:left="880" w:hanging="332"/>
        <w:spacing w:after="0"/>
        <w:tabs>
          <w:tab w:leader="none" w:pos="880" w:val="left"/>
        </w:tabs>
        <w:numPr>
          <w:ilvl w:val="0"/>
          <w:numId w:val="6"/>
        </w:numPr>
        <w:rPr>
          <w:rFonts w:ascii="Arial" w:cs="Arial" w:eastAsia="Arial" w:hAnsi="Arial"/>
          <w:sz w:val="16"/>
          <w:szCs w:val="16"/>
          <w:color w:val="auto"/>
        </w:rPr>
      </w:pPr>
      <w:r>
        <w:rPr>
          <w:rFonts w:ascii="Arial" w:cs="Arial" w:eastAsia="Arial" w:hAnsi="Arial"/>
          <w:sz w:val="16"/>
          <w:szCs w:val="16"/>
          <w:color w:val="auto"/>
        </w:rPr>
        <w:t>material changes in the demand from larger clients, including clients with which we have national, multi-national, or sole-supplier arrangements;</w:t>
      </w:r>
    </w:p>
    <w:p>
      <w:pPr>
        <w:spacing w:after="0" w:line="275" w:lineRule="exact"/>
        <w:rPr>
          <w:rFonts w:ascii="Arial" w:cs="Arial" w:eastAsia="Arial" w:hAnsi="Arial"/>
          <w:sz w:val="16"/>
          <w:szCs w:val="16"/>
          <w:color w:val="auto"/>
        </w:rPr>
      </w:pPr>
    </w:p>
    <w:p>
      <w:pPr>
        <w:ind w:left="880" w:hanging="332"/>
        <w:spacing w:after="0"/>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availability of workers with the skills required by clients;</w:t>
      </w:r>
    </w:p>
    <w:p>
      <w:pPr>
        <w:spacing w:after="0" w:line="252" w:lineRule="exact"/>
        <w:rPr>
          <w:rFonts w:ascii="Arial" w:cs="Arial" w:eastAsia="Arial" w:hAnsi="Arial"/>
          <w:sz w:val="18"/>
          <w:szCs w:val="18"/>
          <w:color w:val="auto"/>
        </w:rPr>
      </w:pPr>
    </w:p>
    <w:p>
      <w:pPr>
        <w:ind w:left="880" w:hanging="332"/>
        <w:spacing w:after="0"/>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increases in the wages paid to our associates;</w:t>
      </w:r>
    </w:p>
    <w:p>
      <w:pPr>
        <w:spacing w:after="0" w:line="252" w:lineRule="exact"/>
        <w:rPr>
          <w:rFonts w:ascii="Arial" w:cs="Arial" w:eastAsia="Arial" w:hAnsi="Arial"/>
          <w:sz w:val="18"/>
          <w:szCs w:val="18"/>
          <w:color w:val="auto"/>
        </w:rPr>
      </w:pPr>
    </w:p>
    <w:p>
      <w:pPr>
        <w:ind w:left="880" w:hanging="332"/>
        <w:spacing w:after="0"/>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competitive market pressures, including pricing pressures;</w:t>
      </w:r>
    </w:p>
    <w:p>
      <w:pPr>
        <w:spacing w:after="0" w:line="252" w:lineRule="exact"/>
        <w:rPr>
          <w:rFonts w:ascii="Arial" w:cs="Arial" w:eastAsia="Arial" w:hAnsi="Arial"/>
          <w:sz w:val="18"/>
          <w:szCs w:val="18"/>
          <w:color w:val="auto"/>
        </w:rPr>
      </w:pPr>
    </w:p>
    <w:p>
      <w:pPr>
        <w:ind w:left="880" w:hanging="332"/>
        <w:spacing w:after="0"/>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inability to pass along direct cost increases to clients;</w:t>
      </w:r>
    </w:p>
    <w:p>
      <w:pPr>
        <w:spacing w:after="0" w:line="252" w:lineRule="exact"/>
        <w:rPr>
          <w:rFonts w:ascii="Arial" w:cs="Arial" w:eastAsia="Arial" w:hAnsi="Arial"/>
          <w:sz w:val="18"/>
          <w:szCs w:val="18"/>
          <w:color w:val="auto"/>
        </w:rPr>
      </w:pPr>
    </w:p>
    <w:p>
      <w:pPr>
        <w:ind w:left="880" w:right="600" w:hanging="332"/>
        <w:spacing w:after="0" w:line="277" w:lineRule="auto"/>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demand for our specialized services, including assisting companies in complying with the Sarbanes-Oxley Act legislation, and outplacement services;</w:t>
      </w:r>
    </w:p>
    <w:p>
      <w:pPr>
        <w:spacing w:after="0" w:line="197" w:lineRule="exact"/>
        <w:rPr>
          <w:rFonts w:ascii="Arial" w:cs="Arial" w:eastAsia="Arial" w:hAnsi="Arial"/>
          <w:sz w:val="18"/>
          <w:szCs w:val="18"/>
          <w:color w:val="auto"/>
        </w:rPr>
      </w:pPr>
    </w:p>
    <w:p>
      <w:pPr>
        <w:ind w:left="880" w:hanging="332"/>
        <w:spacing w:after="0"/>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successfully expand into new markets or offer new service lines;</w:t>
      </w:r>
    </w:p>
    <w:p>
      <w:pPr>
        <w:spacing w:after="0" w:line="252" w:lineRule="exact"/>
        <w:rPr>
          <w:rFonts w:ascii="Arial" w:cs="Arial" w:eastAsia="Arial" w:hAnsi="Arial"/>
          <w:sz w:val="18"/>
          <w:szCs w:val="18"/>
          <w:color w:val="auto"/>
        </w:rPr>
      </w:pPr>
    </w:p>
    <w:p>
      <w:pPr>
        <w:ind w:left="880" w:hanging="332"/>
        <w:spacing w:after="0"/>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successfully invest in and implement information systems;</w:t>
      </w:r>
    </w:p>
    <w:p>
      <w:pPr>
        <w:spacing w:after="0" w:line="252" w:lineRule="exact"/>
        <w:rPr>
          <w:rFonts w:ascii="Arial" w:cs="Arial" w:eastAsia="Arial" w:hAnsi="Arial"/>
          <w:sz w:val="18"/>
          <w:szCs w:val="18"/>
          <w:color w:val="auto"/>
        </w:rPr>
      </w:pPr>
    </w:p>
    <w:p>
      <w:pPr>
        <w:ind w:left="880" w:hanging="332"/>
        <w:spacing w:after="0"/>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unanticipated technological changes, including obsolescence or impairment of information systems;</w:t>
      </w:r>
    </w:p>
    <w:p>
      <w:pPr>
        <w:spacing w:after="0" w:line="252" w:lineRule="exact"/>
        <w:rPr>
          <w:rFonts w:ascii="Arial" w:cs="Arial" w:eastAsia="Arial" w:hAnsi="Arial"/>
          <w:sz w:val="18"/>
          <w:szCs w:val="18"/>
          <w:color w:val="auto"/>
        </w:rPr>
      </w:pPr>
    </w:p>
    <w:p>
      <w:pPr>
        <w:ind w:left="880" w:hanging="332"/>
        <w:spacing w:after="0"/>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client attitudes toward the use of staffing services;</w:t>
      </w:r>
    </w:p>
    <w:p>
      <w:pPr>
        <w:spacing w:after="0" w:line="252" w:lineRule="exact"/>
        <w:rPr>
          <w:rFonts w:ascii="Arial" w:cs="Arial" w:eastAsia="Arial" w:hAnsi="Arial"/>
          <w:sz w:val="18"/>
          <w:szCs w:val="18"/>
          <w:color w:val="auto"/>
        </w:rPr>
      </w:pPr>
    </w:p>
    <w:p>
      <w:pPr>
        <w:ind w:left="880" w:hanging="332"/>
        <w:spacing w:after="0"/>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government, tax or regulatory policies adverse to the employment services industry;</w:t>
      </w:r>
    </w:p>
    <w:p>
      <w:pPr>
        <w:spacing w:after="0" w:line="252" w:lineRule="exact"/>
        <w:rPr>
          <w:rFonts w:ascii="Arial" w:cs="Arial" w:eastAsia="Arial" w:hAnsi="Arial"/>
          <w:sz w:val="18"/>
          <w:szCs w:val="18"/>
          <w:color w:val="auto"/>
        </w:rPr>
      </w:pPr>
    </w:p>
    <w:p>
      <w:pPr>
        <w:ind w:left="880" w:hanging="332"/>
        <w:spacing w:after="0"/>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general economic conditions in domestic and international markets;</w:t>
      </w:r>
    </w:p>
    <w:p>
      <w:pPr>
        <w:spacing w:after="0" w:line="252" w:lineRule="exact"/>
        <w:rPr>
          <w:rFonts w:ascii="Arial" w:cs="Arial" w:eastAsia="Arial" w:hAnsi="Arial"/>
          <w:sz w:val="18"/>
          <w:szCs w:val="18"/>
          <w:color w:val="auto"/>
        </w:rPr>
      </w:pPr>
    </w:p>
    <w:p>
      <w:pPr>
        <w:ind w:left="880" w:hanging="332"/>
        <w:spacing w:after="0"/>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interest rate and exchange rate fluctuations;</w:t>
      </w:r>
    </w:p>
    <w:p>
      <w:pPr>
        <w:spacing w:after="0" w:line="252" w:lineRule="exact"/>
        <w:rPr>
          <w:rFonts w:ascii="Arial" w:cs="Arial" w:eastAsia="Arial" w:hAnsi="Arial"/>
          <w:sz w:val="18"/>
          <w:szCs w:val="18"/>
          <w:color w:val="auto"/>
        </w:rPr>
      </w:pPr>
    </w:p>
    <w:p>
      <w:pPr>
        <w:ind w:left="880" w:hanging="332"/>
        <w:spacing w:after="0"/>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difficulties related to acquisitions, including integrating the acquired companies and achieving the expected benefits;</w:t>
      </w:r>
    </w:p>
    <w:p>
      <w:pPr>
        <w:spacing w:after="0" w:line="252" w:lineRule="exact"/>
        <w:rPr>
          <w:rFonts w:ascii="Arial" w:cs="Arial" w:eastAsia="Arial" w:hAnsi="Arial"/>
          <w:sz w:val="18"/>
          <w:szCs w:val="18"/>
          <w:color w:val="auto"/>
        </w:rPr>
      </w:pPr>
    </w:p>
    <w:p>
      <w:pPr>
        <w:ind w:left="880" w:hanging="332"/>
        <w:spacing w:after="0"/>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impairments to the carrying value of acquisitions and other investments resulting from poor financial performance or other factors;</w:t>
      </w: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13" w:right="279" w:bottom="1440" w:gutter="0" w:footer="0" w:header="0"/>
        </w:sectPr>
      </w:pPr>
    </w:p>
    <w:bookmarkStart w:id="11" w:name="page12"/>
    <w:bookmarkEnd w:id="11"/>
    <w:p>
      <w:pPr>
        <w:ind w:left="880" w:hanging="332"/>
        <w:spacing w:after="0"/>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risk factors disclosed below; and</w:t>
      </w:r>
    </w:p>
    <w:p>
      <w:pPr>
        <w:spacing w:after="0" w:line="252" w:lineRule="exact"/>
        <w:rPr>
          <w:rFonts w:ascii="Arial" w:cs="Arial" w:eastAsia="Arial" w:hAnsi="Arial"/>
          <w:sz w:val="18"/>
          <w:szCs w:val="18"/>
          <w:color w:val="auto"/>
        </w:rPr>
      </w:pPr>
    </w:p>
    <w:p>
      <w:pPr>
        <w:ind w:left="880" w:hanging="332"/>
        <w:spacing w:after="0"/>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other factors that may be disclosed from time to time in our SEC filings or otherwise.</w:t>
      </w:r>
    </w:p>
    <w:p>
      <w:pPr>
        <w:spacing w:after="0" w:line="252" w:lineRule="exact"/>
        <w:rPr>
          <w:sz w:val="20"/>
          <w:szCs w:val="20"/>
          <w:color w:val="auto"/>
        </w:rPr>
      </w:pPr>
    </w:p>
    <w:p>
      <w:pPr>
        <w:ind w:right="400" w:firstLine="486"/>
        <w:spacing w:after="0" w:line="264" w:lineRule="auto"/>
        <w:rPr>
          <w:sz w:val="20"/>
          <w:szCs w:val="20"/>
          <w:color w:val="auto"/>
        </w:rPr>
      </w:pPr>
      <w:r>
        <w:rPr>
          <w:rFonts w:ascii="Arial" w:cs="Arial" w:eastAsia="Arial" w:hAnsi="Arial"/>
          <w:sz w:val="18"/>
          <w:szCs w:val="18"/>
          <w:color w:val="auto"/>
        </w:rPr>
        <w:t>Some or all of these factors may be beyond our control. We caution you that any forward-looking statement reflects only our belief at the time the statement is made. We undertake no obligation to update any forward-looking statement to reflect events or circumstances after the date on which the statement is made.</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252" w:lineRule="exact"/>
        <w:rPr>
          <w:sz w:val="20"/>
          <w:szCs w:val="20"/>
          <w:color w:val="auto"/>
        </w:rPr>
      </w:pPr>
    </w:p>
    <w:p>
      <w:pPr>
        <w:ind w:right="120" w:firstLine="486"/>
        <w:spacing w:after="0" w:line="282" w:lineRule="auto"/>
        <w:rPr>
          <w:sz w:val="20"/>
          <w:szCs w:val="20"/>
          <w:color w:val="auto"/>
        </w:rPr>
      </w:pPr>
      <w:r>
        <w:rPr>
          <w:rFonts w:ascii="Arial" w:cs="Arial" w:eastAsia="Arial" w:hAnsi="Arial"/>
          <w:sz w:val="18"/>
          <w:szCs w:val="18"/>
          <w:b w:val="1"/>
          <w:bCs w:val="1"/>
          <w:color w:val="auto"/>
        </w:rPr>
        <w:t>Any significant economic downturn could result in our clients using fewer temporary and contract workers or becoming unable to pay us for our services on a timely basis or at all, which would materially adversely affect our business.</w:t>
      </w:r>
    </w:p>
    <w:p>
      <w:pPr>
        <w:spacing w:after="0" w:line="193"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Because demand for recruitment services is sensitive to changes in the level of economic activity, our business may suffer during economic downturns. As economic activity begins to slow down, companies tend to reduce their use of temporary and contract workers before undertaking layoffs of their regular employees, resulting in decreased demand for temporary and contract workers. Significant declines in demand, and thus in revenues, can result in expense de-leveraging, which would result in lower profit levels.</w:t>
      </w:r>
    </w:p>
    <w:p>
      <w:pPr>
        <w:spacing w:after="0" w:line="214" w:lineRule="exact"/>
        <w:rPr>
          <w:sz w:val="20"/>
          <w:szCs w:val="20"/>
          <w:color w:val="auto"/>
        </w:rPr>
      </w:pPr>
    </w:p>
    <w:p>
      <w:pPr>
        <w:jc w:val="both"/>
        <w:ind w:right="360" w:firstLine="486"/>
        <w:spacing w:after="0" w:line="264" w:lineRule="auto"/>
        <w:rPr>
          <w:sz w:val="20"/>
          <w:szCs w:val="20"/>
          <w:color w:val="auto"/>
        </w:rPr>
      </w:pPr>
      <w:r>
        <w:rPr>
          <w:rFonts w:ascii="Arial" w:cs="Arial" w:eastAsia="Arial" w:hAnsi="Arial"/>
          <w:sz w:val="18"/>
          <w:szCs w:val="18"/>
          <w:color w:val="auto"/>
        </w:rPr>
        <w:t>In addition, during economic downturns companies may slow the rate at which they pay their vendors or become unable to pay their debts as they become due. If any of our significant clients does not pay amounts owed to us in a timely manner or becomes unable to pay such amounts to us at a time when we have substantial amounts receivable from such client, our cash flow and profitability may suffer.</w:t>
      </w:r>
    </w:p>
    <w:p>
      <w:pPr>
        <w:spacing w:after="0" w:line="204" w:lineRule="exact"/>
        <w:rPr>
          <w:sz w:val="20"/>
          <w:szCs w:val="20"/>
          <w:color w:val="auto"/>
        </w:rPr>
      </w:pPr>
    </w:p>
    <w:p>
      <w:pPr>
        <w:ind w:right="100" w:firstLine="486"/>
        <w:spacing w:after="0" w:line="282" w:lineRule="auto"/>
        <w:rPr>
          <w:sz w:val="20"/>
          <w:szCs w:val="20"/>
          <w:color w:val="auto"/>
        </w:rPr>
      </w:pPr>
      <w:r>
        <w:rPr>
          <w:rFonts w:ascii="Arial" w:cs="Arial" w:eastAsia="Arial" w:hAnsi="Arial"/>
          <w:sz w:val="18"/>
          <w:szCs w:val="18"/>
          <w:b w:val="1"/>
          <w:bCs w:val="1"/>
          <w:color w:val="auto"/>
        </w:rPr>
        <w:t>The worldwide employment services industry is highly competitive with limited barriers to entry, which could limit our ability to maintain or increase our market share or profitability.</w:t>
      </w:r>
    </w:p>
    <w:p>
      <w:pPr>
        <w:spacing w:after="0" w:line="193" w:lineRule="exact"/>
        <w:rPr>
          <w:sz w:val="20"/>
          <w:szCs w:val="20"/>
          <w:color w:val="auto"/>
        </w:rPr>
      </w:pPr>
    </w:p>
    <w:p>
      <w:pPr>
        <w:ind w:right="160" w:firstLine="486"/>
        <w:spacing w:after="0" w:line="276" w:lineRule="auto"/>
        <w:rPr>
          <w:sz w:val="20"/>
          <w:szCs w:val="20"/>
          <w:color w:val="auto"/>
        </w:rPr>
      </w:pPr>
      <w:r>
        <w:rPr>
          <w:rFonts w:ascii="Arial" w:cs="Arial" w:eastAsia="Arial" w:hAnsi="Arial"/>
          <w:sz w:val="17"/>
          <w:szCs w:val="17"/>
          <w:color w:val="auto"/>
        </w:rPr>
        <w:t>The worldwide employment services market is highly competitive with limited barriers to entry, and in recent years has been undergoing significant consolidation. We compete in markets throughout the world with full-service and specialized employment services agencies. Several of our competitors, including Adecco S.A., Randstad Holding N.V. and Kelly Services, Inc., have very substantial marketing and financial resources. Price competition in the staffing industry is intense and pricing pressures from competitors and clients are increasing. We expect that the level of competition will remain high in the future, which could limit our ability to maintain or increase our market share or our profitability.</w:t>
      </w:r>
    </w:p>
    <w:p>
      <w:pPr>
        <w:spacing w:after="0" w:line="196" w:lineRule="exact"/>
        <w:rPr>
          <w:sz w:val="20"/>
          <w:szCs w:val="20"/>
          <w:color w:val="auto"/>
        </w:rPr>
      </w:pPr>
    </w:p>
    <w:p>
      <w:pPr>
        <w:ind w:right="580" w:firstLine="486"/>
        <w:spacing w:after="0" w:line="282" w:lineRule="auto"/>
        <w:rPr>
          <w:sz w:val="20"/>
          <w:szCs w:val="20"/>
          <w:color w:val="auto"/>
        </w:rPr>
      </w:pPr>
      <w:r>
        <w:rPr>
          <w:rFonts w:ascii="Arial" w:cs="Arial" w:eastAsia="Arial" w:hAnsi="Arial"/>
          <w:sz w:val="18"/>
          <w:szCs w:val="18"/>
          <w:b w:val="1"/>
          <w:bCs w:val="1"/>
          <w:color w:val="auto"/>
        </w:rPr>
        <w:t>Government regulations may result in prohibition or restriction of certain types of employment services or the imposition of additional licensing or tax requirements that may reduce our future earnings.</w:t>
      </w:r>
    </w:p>
    <w:p>
      <w:pPr>
        <w:spacing w:after="0" w:line="193" w:lineRule="exact"/>
        <w:rPr>
          <w:sz w:val="20"/>
          <w:szCs w:val="20"/>
          <w:color w:val="auto"/>
        </w:rPr>
      </w:pPr>
    </w:p>
    <w:p>
      <w:pPr>
        <w:ind w:right="60" w:firstLine="486"/>
        <w:spacing w:after="0" w:line="257" w:lineRule="auto"/>
        <w:rPr>
          <w:sz w:val="20"/>
          <w:szCs w:val="20"/>
          <w:color w:val="auto"/>
        </w:rPr>
      </w:pPr>
      <w:r>
        <w:rPr>
          <w:rFonts w:ascii="Arial" w:cs="Arial" w:eastAsia="Arial" w:hAnsi="Arial"/>
          <w:sz w:val="18"/>
          <w:szCs w:val="18"/>
          <w:color w:val="auto"/>
        </w:rPr>
        <w:t>In many jurisdictions in which we operate, such as France and Germany, the employment services industry is heavily regulated. For example, governmental regulations in Germany restrict the length of contracts and the industries in which our associates may be used. In some countries, special taxes, fees or costs are imposed in connection with the use of our associates. For example, our associates in France are entitled to a 10% allowance for the uncertain duration of employment, which is eliminated if a full-time position is offered to them within three days after assignment termination. The countries in which we operate may, among other things:</w:t>
      </w:r>
    </w:p>
    <w:p>
      <w:pPr>
        <w:spacing w:after="0" w:line="188" w:lineRule="exact"/>
        <w:rPr>
          <w:sz w:val="20"/>
          <w:szCs w:val="20"/>
          <w:color w:val="auto"/>
        </w:rPr>
      </w:pPr>
    </w:p>
    <w:p>
      <w:pPr>
        <w:ind w:left="780" w:hanging="380"/>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create additional regulations that prohibit or restrict the types of employment services that we currently provide;</w:t>
      </w:r>
    </w:p>
    <w:p>
      <w:pPr>
        <w:spacing w:after="0" w:line="252" w:lineRule="exact"/>
        <w:rPr>
          <w:rFonts w:ascii="Arial" w:cs="Arial" w:eastAsia="Arial" w:hAnsi="Arial"/>
          <w:sz w:val="18"/>
          <w:szCs w:val="18"/>
          <w:color w:val="auto"/>
        </w:rPr>
      </w:pPr>
    </w:p>
    <w:p>
      <w:pPr>
        <w:ind w:left="780" w:hanging="380"/>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require new or additional benefits be paid to our associates;</w:t>
      </w:r>
    </w:p>
    <w:p>
      <w:pPr>
        <w:spacing w:after="0" w:line="252" w:lineRule="exact"/>
        <w:rPr>
          <w:rFonts w:ascii="Arial" w:cs="Arial" w:eastAsia="Arial" w:hAnsi="Arial"/>
          <w:sz w:val="18"/>
          <w:szCs w:val="18"/>
          <w:color w:val="auto"/>
        </w:rPr>
      </w:pPr>
    </w:p>
    <w:p>
      <w:pPr>
        <w:ind w:left="780" w:hanging="380"/>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require us to obtain additional licensing to provide employment services; or</w:t>
      </w:r>
    </w:p>
    <w:p>
      <w:pPr>
        <w:spacing w:after="0" w:line="252" w:lineRule="exact"/>
        <w:rPr>
          <w:rFonts w:ascii="Arial" w:cs="Arial" w:eastAsia="Arial" w:hAnsi="Arial"/>
          <w:sz w:val="18"/>
          <w:szCs w:val="18"/>
          <w:color w:val="auto"/>
        </w:rPr>
      </w:pPr>
    </w:p>
    <w:p>
      <w:pPr>
        <w:ind w:left="780" w:hanging="380"/>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increase taxes, such as sales or value-added taxes, payable by the providers of temporary and contract recruitment centers.</w:t>
      </w:r>
    </w:p>
    <w:p>
      <w:pPr>
        <w:spacing w:after="0" w:line="252"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Any future regulations may have a material adverse effect on our financial condition, results of operations and liquidity because they may make it more difficult or expensive for us to continue to provide employment services.</w:t>
      </w: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274" w:right="259" w:bottom="1440" w:gutter="0" w:footer="0" w:header="0"/>
        </w:sectPr>
      </w:pPr>
    </w:p>
    <w:bookmarkStart w:id="12" w:name="page13"/>
    <w:bookmarkEnd w:id="12"/>
    <w:p>
      <w:pPr>
        <w:ind w:left="500"/>
        <w:spacing w:after="0"/>
        <w:rPr>
          <w:sz w:val="20"/>
          <w:szCs w:val="20"/>
          <w:color w:val="auto"/>
        </w:rPr>
      </w:pPr>
      <w:r>
        <w:rPr>
          <w:rFonts w:ascii="Arial" w:cs="Arial" w:eastAsia="Arial" w:hAnsi="Arial"/>
          <w:sz w:val="18"/>
          <w:szCs w:val="18"/>
          <w:b w:val="1"/>
          <w:bCs w:val="1"/>
          <w:color w:val="auto"/>
        </w:rPr>
        <w:t>Our acquisition strategy may have a material adverse effect on our business due to unexpected or underestimated costs.</w:t>
      </w:r>
    </w:p>
    <w:p>
      <w:pPr>
        <w:spacing w:after="0" w:line="256" w:lineRule="exact"/>
        <w:rPr>
          <w:sz w:val="20"/>
          <w:szCs w:val="20"/>
          <w:color w:val="auto"/>
        </w:rPr>
      </w:pPr>
    </w:p>
    <w:p>
      <w:pPr>
        <w:ind w:right="100" w:firstLine="486"/>
        <w:spacing w:after="0" w:line="277" w:lineRule="auto"/>
        <w:rPr>
          <w:sz w:val="20"/>
          <w:szCs w:val="20"/>
          <w:color w:val="auto"/>
        </w:rPr>
      </w:pPr>
      <w:r>
        <w:rPr>
          <w:rFonts w:ascii="Arial" w:cs="Arial" w:eastAsia="Arial" w:hAnsi="Arial"/>
          <w:sz w:val="18"/>
          <w:szCs w:val="18"/>
          <w:color w:val="auto"/>
        </w:rPr>
        <w:t>From time to time, we acquire and invest in companies throughout the world, including franchises. The total cash consideration paid for acquisitions, net of cash acquired, was $270.0 million and $21.6 million in 2010 and 2009, respectively.</w:t>
      </w:r>
    </w:p>
    <w:p>
      <w:pPr>
        <w:spacing w:after="0" w:line="19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may make additional acquisitions in the future. Our acquisition strategy involves significant risks, including:</w:t>
      </w:r>
    </w:p>
    <w:p>
      <w:pPr>
        <w:spacing w:after="0" w:line="225" w:lineRule="exact"/>
        <w:rPr>
          <w:sz w:val="20"/>
          <w:szCs w:val="20"/>
          <w:color w:val="auto"/>
        </w:rPr>
      </w:pPr>
    </w:p>
    <w:p>
      <w:pPr>
        <w:ind w:left="780" w:hanging="380"/>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difficulties in the assimilation of the operations, services and corporate culture of acquired companies;</w:t>
      </w:r>
    </w:p>
    <w:p>
      <w:pPr>
        <w:spacing w:after="0" w:line="252" w:lineRule="exact"/>
        <w:rPr>
          <w:rFonts w:ascii="Arial" w:cs="Arial" w:eastAsia="Arial" w:hAnsi="Arial"/>
          <w:sz w:val="18"/>
          <w:szCs w:val="18"/>
          <w:color w:val="auto"/>
        </w:rPr>
      </w:pPr>
    </w:p>
    <w:p>
      <w:pPr>
        <w:ind w:left="780" w:hanging="380"/>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over-valuation by us of acquired companies;</w:t>
      </w:r>
    </w:p>
    <w:p>
      <w:pPr>
        <w:spacing w:after="0" w:line="252" w:lineRule="exact"/>
        <w:rPr>
          <w:rFonts w:ascii="Arial" w:cs="Arial" w:eastAsia="Arial" w:hAnsi="Arial"/>
          <w:sz w:val="18"/>
          <w:szCs w:val="18"/>
          <w:color w:val="auto"/>
        </w:rPr>
      </w:pPr>
    </w:p>
    <w:p>
      <w:pPr>
        <w:ind w:left="780" w:hanging="380"/>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insufficient indemnification from the selling parties for legal liabilities incurred by the acquired companies prior to the acquisitions; and</w:t>
      </w:r>
    </w:p>
    <w:p>
      <w:pPr>
        <w:spacing w:after="0" w:line="252" w:lineRule="exact"/>
        <w:rPr>
          <w:rFonts w:ascii="Arial" w:cs="Arial" w:eastAsia="Arial" w:hAnsi="Arial"/>
          <w:sz w:val="18"/>
          <w:szCs w:val="18"/>
          <w:color w:val="auto"/>
        </w:rPr>
      </w:pPr>
    </w:p>
    <w:p>
      <w:pPr>
        <w:ind w:left="780" w:hanging="380"/>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diversion of management’s attention from other business concerns.</w:t>
      </w:r>
    </w:p>
    <w:p>
      <w:pPr>
        <w:spacing w:after="0" w:line="252"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color w:val="auto"/>
        </w:rPr>
        <w:t>These risks could have a material adverse effect on our business because they may result in substantial costs to us and disrupt our business. In addition, future acquisitions could materially adversely effect our business, financial condition, results of operations and liquidity because they would likely result in the incurrence of additional debt or dilution, contingent liabilities, an increase in interest expense and amortization expenses related to separately identified intangible assets. Possible impairment losses on goodwill and intangible assets with an indefinite life, or restructuring charges could also occur. For example, we recorded a goodwill and intangible asset impairment charge of $428.8 million in 2010 and $61.0 million in 2009 related to our acquisitions of Jefferson Wells and Right Management, respectively.</w:t>
      </w:r>
    </w:p>
    <w:p>
      <w:pPr>
        <w:spacing w:after="0" w:line="189"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Intense competition may limit our ability to attract, train and retain the qualified personnel necessary for us to meet our clients’ staffing</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needs.</w:t>
      </w:r>
    </w:p>
    <w:p>
      <w:pPr>
        <w:spacing w:after="0" w:line="211" w:lineRule="exact"/>
        <w:rPr>
          <w:sz w:val="20"/>
          <w:szCs w:val="20"/>
          <w:color w:val="auto"/>
        </w:rPr>
      </w:pPr>
    </w:p>
    <w:p>
      <w:pPr>
        <w:ind w:right="100" w:firstLine="486"/>
        <w:spacing w:after="0" w:line="271" w:lineRule="auto"/>
        <w:rPr>
          <w:sz w:val="20"/>
          <w:szCs w:val="20"/>
          <w:color w:val="auto"/>
        </w:rPr>
      </w:pPr>
      <w:r>
        <w:rPr>
          <w:rFonts w:ascii="Arial" w:cs="Arial" w:eastAsia="Arial" w:hAnsi="Arial"/>
          <w:sz w:val="17"/>
          <w:szCs w:val="17"/>
          <w:color w:val="auto"/>
        </w:rPr>
        <w:t>We depend on our ability to attract and retain qualified associates who possess the skills and experience necessary to meet the requirements of our clients. We must continually evaluate and upgrade our base of available qualified personnel through recruiting and training programs to keep pace with changing client needs and emerging technologies. Competition for individuals with proven professional skills, particularly employees with accounting and technological skills, is intense, and we expect demand for such individuals to remain very strong for the foreseeable future. Qualified personnel may not be available to us in sufficient numbers and on terms of employment acceptable to us. Developing and implementing training programs requires significant expenditures and may not result in the trainees developing effective or adequate skills. W e may not be able to develop training programs to respond to our clients’ changing needs or retain associates who we have trained. The failure to recruit, train and retain qualified associates could materially adversely affect our business because it may result in an inability to meet our clients’ needs.</w:t>
      </w:r>
    </w:p>
    <w:p>
      <w:pPr>
        <w:spacing w:after="0" w:line="32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270" w:right="279" w:bottom="1440" w:gutter="0" w:footer="0" w:header="0"/>
        </w:sectPr>
      </w:pPr>
    </w:p>
    <w:bookmarkStart w:id="13" w:name="page14"/>
    <w:bookmarkEnd w:id="13"/>
    <w:p>
      <w:pPr>
        <w:ind w:right="40" w:firstLine="663"/>
        <w:spacing w:after="0" w:line="282" w:lineRule="auto"/>
        <w:rPr>
          <w:sz w:val="20"/>
          <w:szCs w:val="20"/>
          <w:color w:val="auto"/>
        </w:rPr>
      </w:pPr>
      <w:r>
        <w:rPr>
          <w:rFonts w:ascii="Arial" w:cs="Arial" w:eastAsia="Arial" w:hAnsi="Arial"/>
          <w:sz w:val="18"/>
          <w:szCs w:val="18"/>
          <w:b w:val="1"/>
          <w:bCs w:val="1"/>
          <w:color w:val="auto"/>
        </w:rPr>
        <w:t>We may be exposed to employment-related claims and costs from clients or third parties that could materially adversely affect our business, financial condition and results of operations.</w:t>
      </w:r>
    </w:p>
    <w:p>
      <w:pPr>
        <w:spacing w:after="0" w:line="166" w:lineRule="exact"/>
        <w:rPr>
          <w:sz w:val="20"/>
          <w:szCs w:val="20"/>
          <w:color w:val="auto"/>
        </w:rPr>
      </w:pPr>
    </w:p>
    <w:p>
      <w:pPr>
        <w:ind w:left="500"/>
        <w:spacing w:after="0"/>
        <w:rPr>
          <w:sz w:val="20"/>
          <w:szCs w:val="20"/>
          <w:color w:val="auto"/>
        </w:rPr>
      </w:pPr>
      <w:r>
        <w:rPr>
          <w:rFonts w:ascii="Arial" w:cs="Arial" w:eastAsia="Arial" w:hAnsi="Arial"/>
          <w:sz w:val="17"/>
          <w:szCs w:val="17"/>
          <w:color w:val="auto"/>
        </w:rPr>
        <w:t>We are in the business of employing people and placing them in the workplaces of other businesses. Risks relating to these activities include:</w:t>
      </w:r>
    </w:p>
    <w:p>
      <w:pPr>
        <w:spacing w:after="0" w:line="237" w:lineRule="exact"/>
        <w:rPr>
          <w:sz w:val="20"/>
          <w:szCs w:val="20"/>
          <w:color w:val="auto"/>
        </w:rPr>
      </w:pPr>
    </w:p>
    <w:p>
      <w:pPr>
        <w:ind w:left="780" w:hanging="380"/>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claims arising out of the actions or inactions of our associates, including matters for which we may have indemnified a client;</w:t>
      </w:r>
    </w:p>
    <w:p>
      <w:pPr>
        <w:spacing w:after="0" w:line="225" w:lineRule="exact"/>
        <w:rPr>
          <w:rFonts w:ascii="Arial" w:cs="Arial" w:eastAsia="Arial" w:hAnsi="Arial"/>
          <w:sz w:val="18"/>
          <w:szCs w:val="18"/>
          <w:color w:val="auto"/>
        </w:rPr>
      </w:pPr>
    </w:p>
    <w:p>
      <w:pPr>
        <w:ind w:left="780" w:hanging="380"/>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claims by our associates of discrimination or harassment directed at them, including claims relating to actions of our clients;</w:t>
      </w:r>
    </w:p>
    <w:p>
      <w:pPr>
        <w:spacing w:after="0" w:line="225" w:lineRule="exact"/>
        <w:rPr>
          <w:rFonts w:ascii="Arial" w:cs="Arial" w:eastAsia="Arial" w:hAnsi="Arial"/>
          <w:sz w:val="18"/>
          <w:szCs w:val="18"/>
          <w:color w:val="auto"/>
        </w:rPr>
      </w:pPr>
    </w:p>
    <w:p>
      <w:pPr>
        <w:ind w:left="780" w:hanging="380"/>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claims related to the employment of illegal aliens or unlicensed personnel;</w:t>
      </w:r>
    </w:p>
    <w:p>
      <w:pPr>
        <w:spacing w:after="0" w:line="225" w:lineRule="exact"/>
        <w:rPr>
          <w:rFonts w:ascii="Arial" w:cs="Arial" w:eastAsia="Arial" w:hAnsi="Arial"/>
          <w:sz w:val="18"/>
          <w:szCs w:val="18"/>
          <w:color w:val="auto"/>
        </w:rPr>
      </w:pPr>
    </w:p>
    <w:p>
      <w:pPr>
        <w:ind w:left="780" w:hanging="380"/>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payment of workers’ compensation claims and other similar claims;</w:t>
      </w:r>
    </w:p>
    <w:p>
      <w:pPr>
        <w:spacing w:after="0" w:line="225" w:lineRule="exact"/>
        <w:rPr>
          <w:rFonts w:ascii="Arial" w:cs="Arial" w:eastAsia="Arial" w:hAnsi="Arial"/>
          <w:sz w:val="18"/>
          <w:szCs w:val="18"/>
          <w:color w:val="auto"/>
        </w:rPr>
      </w:pPr>
    </w:p>
    <w:p>
      <w:pPr>
        <w:ind w:left="780" w:hanging="380"/>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violations of wage and hour requirements;</w:t>
      </w:r>
    </w:p>
    <w:p>
      <w:pPr>
        <w:spacing w:after="0" w:line="225" w:lineRule="exact"/>
        <w:rPr>
          <w:rFonts w:ascii="Arial" w:cs="Arial" w:eastAsia="Arial" w:hAnsi="Arial"/>
          <w:sz w:val="18"/>
          <w:szCs w:val="18"/>
          <w:color w:val="auto"/>
        </w:rPr>
      </w:pPr>
    </w:p>
    <w:p>
      <w:pPr>
        <w:ind w:left="780" w:hanging="380"/>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retroactive entitlement to employee benefits;</w:t>
      </w:r>
    </w:p>
    <w:p>
      <w:pPr>
        <w:spacing w:after="0" w:line="225" w:lineRule="exact"/>
        <w:rPr>
          <w:rFonts w:ascii="Arial" w:cs="Arial" w:eastAsia="Arial" w:hAnsi="Arial"/>
          <w:sz w:val="18"/>
          <w:szCs w:val="18"/>
          <w:color w:val="auto"/>
        </w:rPr>
      </w:pPr>
    </w:p>
    <w:p>
      <w:pPr>
        <w:ind w:left="780" w:hanging="380"/>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errors and omissions of our associates, particularly in the case of professionals, such as accountants; and</w:t>
      </w:r>
    </w:p>
    <w:p>
      <w:pPr>
        <w:spacing w:after="0" w:line="225" w:lineRule="exact"/>
        <w:rPr>
          <w:rFonts w:ascii="Arial" w:cs="Arial" w:eastAsia="Arial" w:hAnsi="Arial"/>
          <w:sz w:val="18"/>
          <w:szCs w:val="18"/>
          <w:color w:val="auto"/>
        </w:rPr>
      </w:pPr>
    </w:p>
    <w:p>
      <w:pPr>
        <w:ind w:left="780" w:right="360" w:hanging="380"/>
        <w:spacing w:after="0" w:line="277" w:lineRule="auto"/>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claims by our clients relating to our associates’ misuse of clients’ proprietary information, misappropriation of funds, other criminal activity or torts or other similar claims.</w:t>
      </w:r>
    </w:p>
    <w:p>
      <w:pPr>
        <w:spacing w:after="0" w:line="170" w:lineRule="exact"/>
        <w:rPr>
          <w:sz w:val="20"/>
          <w:szCs w:val="20"/>
          <w:color w:val="auto"/>
        </w:rPr>
      </w:pPr>
    </w:p>
    <w:p>
      <w:pPr>
        <w:ind w:right="280" w:firstLine="486"/>
        <w:spacing w:after="0" w:line="264" w:lineRule="auto"/>
        <w:rPr>
          <w:sz w:val="20"/>
          <w:szCs w:val="20"/>
          <w:color w:val="auto"/>
        </w:rPr>
      </w:pPr>
      <w:r>
        <w:rPr>
          <w:rFonts w:ascii="Arial" w:cs="Arial" w:eastAsia="Arial" w:hAnsi="Arial"/>
          <w:sz w:val="18"/>
          <w:szCs w:val="18"/>
          <w:color w:val="auto"/>
        </w:rPr>
        <w:t>We may incur fines and other losses or negative publicity with respect to these problems. In addition, some or all of these claims may give rise to litigation, which could be time-consuming to our management team and costly and could have a negative impact on our business. We cannot be certain we will not experience these problems in the future.</w:t>
      </w:r>
    </w:p>
    <w:p>
      <w:pPr>
        <w:spacing w:after="0" w:line="181" w:lineRule="exact"/>
        <w:rPr>
          <w:sz w:val="20"/>
          <w:szCs w:val="20"/>
          <w:color w:val="auto"/>
        </w:rPr>
      </w:pPr>
    </w:p>
    <w:p>
      <w:pPr>
        <w:ind w:right="120" w:firstLine="486"/>
        <w:spacing w:after="0" w:line="302" w:lineRule="auto"/>
        <w:rPr>
          <w:sz w:val="20"/>
          <w:szCs w:val="20"/>
          <w:color w:val="auto"/>
        </w:rPr>
      </w:pPr>
      <w:r>
        <w:rPr>
          <w:rFonts w:ascii="Arial" w:cs="Arial" w:eastAsia="Arial" w:hAnsi="Arial"/>
          <w:sz w:val="16"/>
          <w:szCs w:val="16"/>
          <w:color w:val="auto"/>
        </w:rPr>
        <w:t>We cannot be certain our insurance will be sufficient in amount or scope to cover all claims that may be asserted against us. Should the ultimate judgments or settlements exceed our insurance coverage, they could have a material effect on our results of operations, financial position and cash flows. We cannot be certain we will be able to obtain appropriate types or levels of insurance in the future, that adequate replacement policies will be available on acceptable terms, if at all, or that the companies from which we have obtained insurance will be able to pay claims we make under such policies.</w:t>
      </w:r>
    </w:p>
    <w:p>
      <w:pPr>
        <w:spacing w:after="0" w:line="150"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If we lose our key personnel, then our business may suffer.</w:t>
      </w:r>
    </w:p>
    <w:p>
      <w:pPr>
        <w:spacing w:after="0" w:line="229" w:lineRule="exact"/>
        <w:rPr>
          <w:sz w:val="20"/>
          <w:szCs w:val="20"/>
          <w:color w:val="auto"/>
        </w:rPr>
      </w:pPr>
    </w:p>
    <w:p>
      <w:pPr>
        <w:ind w:right="100" w:firstLine="486"/>
        <w:spacing w:after="0" w:line="255" w:lineRule="auto"/>
        <w:rPr>
          <w:sz w:val="20"/>
          <w:szCs w:val="20"/>
          <w:color w:val="auto"/>
        </w:rPr>
      </w:pPr>
      <w:r>
        <w:rPr>
          <w:rFonts w:ascii="Arial" w:cs="Arial" w:eastAsia="Arial" w:hAnsi="Arial"/>
          <w:sz w:val="18"/>
          <w:szCs w:val="18"/>
          <w:color w:val="auto"/>
        </w:rPr>
        <w:t>Our operations are dependent on the continued efforts of our officers and executive management and the performance and productivity of our local managers and field personnel. Our ability to attract and retain business is significantly affected by local relationships and the quality of service rendered. The loss of those key officers and members of management who have acquired significant experience in operating an employment services company on an international level may cause a significant disruption to our business. Moreover, the loss of our key managers and field personnel may jeopardize existing client relationships with businesses that continue to use our services based upon past relationships with these local managers and field personnel. The loss of such key personnel could materially adversely affect our operations, because it ma y result in an inability to establish and maintain client relationships and otherwise operate our business.</w:t>
      </w:r>
    </w:p>
    <w:p>
      <w:pPr>
        <w:spacing w:after="0" w:line="185"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Foreign currency fluctuations may have a material adverse effect on our operating results.</w:t>
      </w:r>
    </w:p>
    <w:p>
      <w:pPr>
        <w:spacing w:after="0" w:line="229" w:lineRule="exact"/>
        <w:rPr>
          <w:sz w:val="20"/>
          <w:szCs w:val="20"/>
          <w:color w:val="auto"/>
        </w:rPr>
      </w:pPr>
    </w:p>
    <w:p>
      <w:pPr>
        <w:ind w:firstLine="486"/>
        <w:spacing w:after="0" w:line="271" w:lineRule="auto"/>
        <w:rPr>
          <w:sz w:val="20"/>
          <w:szCs w:val="20"/>
          <w:color w:val="auto"/>
        </w:rPr>
      </w:pPr>
      <w:r>
        <w:rPr>
          <w:rFonts w:ascii="Arial" w:cs="Arial" w:eastAsia="Arial" w:hAnsi="Arial"/>
          <w:sz w:val="17"/>
          <w:szCs w:val="17"/>
          <w:color w:val="auto"/>
        </w:rPr>
        <w:t>We conduct our operations in 82 countries and territories and the results of our local operations are reported in the applicable foreign currencies and then translated into U.S. Dollars at the applicable foreign currency exchange rates for inclusion in our consolidated financial statements. During 2010, approximately 84% of our revenues were generated outside of the United States, the majority of which were generated in Europe. Furthermore, approximately $696.4 million of our outstanding indebtedness as of December 31, 2010 was denominated in foreign currencies. Because of devaluations and fluctuations in currency exchange rates or the imposition of limitations on conversion of foreign currencies into U.S. Dollars, we are subject to currency translation exposure on the profits of our operations, in addition to economic exposure. This exp osure could have a material adverse effect on our business, financial condition, cash flow and results of operations in the future because, among other things, it could cause our reported revenues and profitability to decline or debt levels and interest expense to increase.</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4" w:name="page15"/>
    <w:bookmarkEnd w:id="14"/>
    <w:p>
      <w:pPr>
        <w:ind w:right="440" w:firstLine="486"/>
        <w:spacing w:after="0" w:line="282" w:lineRule="auto"/>
        <w:rPr>
          <w:sz w:val="20"/>
          <w:szCs w:val="20"/>
          <w:color w:val="auto"/>
        </w:rPr>
      </w:pPr>
      <w:r>
        <w:rPr>
          <w:rFonts w:ascii="Arial" w:cs="Arial" w:eastAsia="Arial" w:hAnsi="Arial"/>
          <w:sz w:val="18"/>
          <w:szCs w:val="18"/>
          <w:b w:val="1"/>
          <w:bCs w:val="1"/>
          <w:color w:val="auto"/>
        </w:rPr>
        <w:t>As of December 31, 2010 and 2009, we had $698.0 million and $757.3 million of total debt, respectively. This level of debt could adversely affect our operating flexibility and put us at a competitive disadvantage.</w:t>
      </w:r>
    </w:p>
    <w:p>
      <w:pPr>
        <w:spacing w:after="0" w:line="16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Our level of debt and the limitations imposed on us by our credit agreements could have important consequences for investors, including the following:</w:t>
      </w:r>
    </w:p>
    <w:p>
      <w:pPr>
        <w:spacing w:after="0" w:line="248" w:lineRule="exact"/>
        <w:rPr>
          <w:sz w:val="20"/>
          <w:szCs w:val="20"/>
          <w:color w:val="auto"/>
        </w:rPr>
      </w:pPr>
    </w:p>
    <w:p>
      <w:pPr>
        <w:ind w:left="780" w:hanging="380"/>
        <w:spacing w:after="0"/>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will have to use a portion of our cash flow from operations for debt service rather than for our operations;</w:t>
      </w:r>
    </w:p>
    <w:p>
      <w:pPr>
        <w:spacing w:after="0" w:line="225" w:lineRule="exact"/>
        <w:rPr>
          <w:rFonts w:ascii="Arial" w:cs="Arial" w:eastAsia="Arial" w:hAnsi="Arial"/>
          <w:sz w:val="18"/>
          <w:szCs w:val="18"/>
          <w:color w:val="auto"/>
        </w:rPr>
      </w:pPr>
    </w:p>
    <w:p>
      <w:pPr>
        <w:ind w:left="780" w:right="120" w:hanging="380"/>
        <w:spacing w:after="0" w:line="277" w:lineRule="auto"/>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may not be able to obtain additional debt financing for future working capital, capital expenditures or other corporate purposes or may have to pay more for such financing;</w:t>
      </w:r>
    </w:p>
    <w:p>
      <w:pPr>
        <w:spacing w:after="0" w:line="170" w:lineRule="exact"/>
        <w:rPr>
          <w:rFonts w:ascii="Arial" w:cs="Arial" w:eastAsia="Arial" w:hAnsi="Arial"/>
          <w:sz w:val="18"/>
          <w:szCs w:val="18"/>
          <w:color w:val="auto"/>
        </w:rPr>
      </w:pPr>
    </w:p>
    <w:p>
      <w:pPr>
        <w:ind w:left="780" w:right="560" w:hanging="380"/>
        <w:spacing w:after="0" w:line="277" w:lineRule="auto"/>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some or all of the debt under our current or future revolving credit facilities may be at a variable interest rate, making us more vulnerable to increases in interest rates;</w:t>
      </w:r>
    </w:p>
    <w:p>
      <w:pPr>
        <w:spacing w:after="0" w:line="170" w:lineRule="exact"/>
        <w:rPr>
          <w:rFonts w:ascii="Arial" w:cs="Arial" w:eastAsia="Arial" w:hAnsi="Arial"/>
          <w:sz w:val="18"/>
          <w:szCs w:val="18"/>
          <w:color w:val="auto"/>
        </w:rPr>
      </w:pPr>
    </w:p>
    <w:p>
      <w:pPr>
        <w:ind w:left="780" w:right="20" w:hanging="380"/>
        <w:spacing w:after="0" w:line="277" w:lineRule="auto"/>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could be less able to take advantage of significant business opportunities, such as acquisition opportunities, and to react to changes in market or industry conditions;</w:t>
      </w:r>
    </w:p>
    <w:p>
      <w:pPr>
        <w:spacing w:after="0" w:line="170" w:lineRule="exact"/>
        <w:rPr>
          <w:rFonts w:ascii="Arial" w:cs="Arial" w:eastAsia="Arial" w:hAnsi="Arial"/>
          <w:sz w:val="18"/>
          <w:szCs w:val="18"/>
          <w:color w:val="auto"/>
        </w:rPr>
      </w:pPr>
    </w:p>
    <w:p>
      <w:pPr>
        <w:ind w:left="780" w:hanging="380"/>
        <w:spacing w:after="0"/>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will be more vulnerable to general adverse economic and industry conditions; and</w:t>
      </w:r>
    </w:p>
    <w:p>
      <w:pPr>
        <w:spacing w:after="0" w:line="225" w:lineRule="exact"/>
        <w:rPr>
          <w:rFonts w:ascii="Arial" w:cs="Arial" w:eastAsia="Arial" w:hAnsi="Arial"/>
          <w:sz w:val="18"/>
          <w:szCs w:val="18"/>
          <w:color w:val="auto"/>
        </w:rPr>
      </w:pPr>
    </w:p>
    <w:p>
      <w:pPr>
        <w:ind w:left="780" w:hanging="380"/>
        <w:spacing w:after="0"/>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may be disadvantaged compared to competitors with less leverage.</w:t>
      </w:r>
    </w:p>
    <w:p>
      <w:pPr>
        <w:spacing w:after="0" w:line="225"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The terms of our revolving credit facility permit additional borrowings, subject to certain conditions. If new debt is added to our current debt levels, the related risks we now face could intensify.</w:t>
      </w:r>
    </w:p>
    <w:p>
      <w:pPr>
        <w:spacing w:after="0" w:line="170" w:lineRule="exact"/>
        <w:rPr>
          <w:sz w:val="20"/>
          <w:szCs w:val="20"/>
          <w:color w:val="auto"/>
        </w:rPr>
      </w:pPr>
    </w:p>
    <w:p>
      <w:pPr>
        <w:ind w:right="220" w:firstLine="486"/>
        <w:spacing w:after="0" w:line="272" w:lineRule="auto"/>
        <w:rPr>
          <w:sz w:val="20"/>
          <w:szCs w:val="20"/>
          <w:color w:val="auto"/>
        </w:rPr>
      </w:pPr>
      <w:r>
        <w:rPr>
          <w:rFonts w:ascii="Arial" w:cs="Arial" w:eastAsia="Arial" w:hAnsi="Arial"/>
          <w:sz w:val="17"/>
          <w:szCs w:val="17"/>
          <w:color w:val="auto"/>
        </w:rPr>
        <w:t>We expect to obtain the money to pay our expenses, to repay borrowings under our credit facility and to repay our other debt primarily from our operations. Our ability to meet our expenses thus depends on our future performance, which will be affected by financial, business, economic and other factors. We are not able to control many of these factors, such as economic conditions in the markets where we operate and pressure from competitors. The money we earn may not be sufficient to allow us to pay principal and interest on our debt and to meet our other debt obligations. If we do not have enough money, we may be required to refinance all or part of our existing debt, sell assets or borrow additional funds. We may not be able to take such actions on terms that are acceptable to us, if at all. In addition, the terms of our existing or fut ure debt agreements, including the revolving credit facilities and our indentures, may restrict us from adopting any of these alternatives.</w:t>
      </w:r>
    </w:p>
    <w:p>
      <w:pPr>
        <w:spacing w:after="0" w:line="174" w:lineRule="exact"/>
        <w:rPr>
          <w:sz w:val="20"/>
          <w:szCs w:val="20"/>
          <w:color w:val="auto"/>
        </w:rPr>
      </w:pPr>
    </w:p>
    <w:p>
      <w:pPr>
        <w:ind w:right="320" w:firstLine="486"/>
        <w:spacing w:after="0" w:line="282" w:lineRule="auto"/>
        <w:rPr>
          <w:sz w:val="20"/>
          <w:szCs w:val="20"/>
          <w:color w:val="auto"/>
        </w:rPr>
      </w:pPr>
      <w:r>
        <w:rPr>
          <w:rFonts w:ascii="Arial" w:cs="Arial" w:eastAsia="Arial" w:hAnsi="Arial"/>
          <w:sz w:val="18"/>
          <w:szCs w:val="18"/>
          <w:b w:val="1"/>
          <w:bCs w:val="1"/>
          <w:color w:val="auto"/>
        </w:rPr>
        <w:t>Our failure to comply with restrictive covenants under our revolving credit facilities and other debt instruments could trigger prepayment obligations.</w:t>
      </w:r>
    </w:p>
    <w:p>
      <w:pPr>
        <w:spacing w:after="0" w:line="166" w:lineRule="exact"/>
        <w:rPr>
          <w:sz w:val="20"/>
          <w:szCs w:val="20"/>
          <w:color w:val="auto"/>
        </w:rPr>
      </w:pPr>
    </w:p>
    <w:p>
      <w:pPr>
        <w:ind w:firstLine="486"/>
        <w:spacing w:after="0" w:line="286" w:lineRule="auto"/>
        <w:rPr>
          <w:sz w:val="20"/>
          <w:szCs w:val="20"/>
          <w:color w:val="auto"/>
        </w:rPr>
      </w:pPr>
      <w:r>
        <w:rPr>
          <w:rFonts w:ascii="Arial" w:cs="Arial" w:eastAsia="Arial" w:hAnsi="Arial"/>
          <w:sz w:val="17"/>
          <w:szCs w:val="17"/>
          <w:color w:val="auto"/>
        </w:rPr>
        <w:t>Our failure to comply with the restrictive covenants under our revolving credit facilities and other debt instruments could result in an event of default, which, if not cured or waived, could result in us being required to repay these borrowings before their due date. If we are forced to refinance these borrowings on less favorable terms, our results of operations and financial condition could be adversely affected by increased costs and rates.</w:t>
      </w:r>
    </w:p>
    <w:p>
      <w:pPr>
        <w:spacing w:after="0" w:line="162" w:lineRule="exact"/>
        <w:rPr>
          <w:sz w:val="20"/>
          <w:szCs w:val="20"/>
          <w:color w:val="auto"/>
        </w:rPr>
      </w:pPr>
    </w:p>
    <w:p>
      <w:pPr>
        <w:ind w:left="500"/>
        <w:spacing w:after="0"/>
        <w:rPr>
          <w:sz w:val="20"/>
          <w:szCs w:val="20"/>
          <w:color w:val="auto"/>
        </w:rPr>
      </w:pPr>
      <w:r>
        <w:rPr>
          <w:rFonts w:ascii="Arial" w:cs="Arial" w:eastAsia="Arial" w:hAnsi="Arial"/>
          <w:sz w:val="16"/>
          <w:szCs w:val="16"/>
          <w:b w:val="1"/>
          <w:bCs w:val="1"/>
          <w:color w:val="auto"/>
        </w:rPr>
        <w:t>The lenders under our and our subsidiaries’ credit facilities may be unwilling or unable to extend credit to us on acceptable terms or at all.</w:t>
      </w:r>
    </w:p>
    <w:p>
      <w:pPr>
        <w:spacing w:after="0" w:line="252" w:lineRule="exact"/>
        <w:rPr>
          <w:sz w:val="20"/>
          <w:szCs w:val="20"/>
          <w:color w:val="auto"/>
        </w:rPr>
      </w:pPr>
    </w:p>
    <w:p>
      <w:pPr>
        <w:ind w:right="60" w:firstLine="486"/>
        <w:spacing w:after="0" w:line="279" w:lineRule="auto"/>
        <w:rPr>
          <w:sz w:val="20"/>
          <w:szCs w:val="20"/>
          <w:color w:val="auto"/>
        </w:rPr>
      </w:pPr>
      <w:r>
        <w:rPr>
          <w:rFonts w:ascii="Arial" w:cs="Arial" w:eastAsia="Arial" w:hAnsi="Arial"/>
          <w:sz w:val="17"/>
          <w:szCs w:val="17"/>
          <w:color w:val="auto"/>
        </w:rPr>
        <w:t>Our liquidity is dependent in part on our revolving credit facility, which is provided by a syndicate of banks. Each bank in the syndicate is responsible on a several, but not joint, basis for providing a portion of the loans under the facility. If any of the participants in the syndicate fails to satisfy its obligations to extend credit under the facility, the other participants refuse or are unable to assume its obligations and we are unable to find an alternative source of funding at comparable rates, our liquidity may be adversely affected or our interest expense may increase substantially.</w:t>
      </w:r>
    </w:p>
    <w:p>
      <w:pPr>
        <w:spacing w:after="0" w:line="171" w:lineRule="exact"/>
        <w:rPr>
          <w:sz w:val="20"/>
          <w:szCs w:val="20"/>
          <w:color w:val="auto"/>
        </w:rPr>
      </w:pPr>
    </w:p>
    <w:p>
      <w:pPr>
        <w:ind w:right="20" w:firstLine="486"/>
        <w:spacing w:after="0" w:line="259" w:lineRule="auto"/>
        <w:rPr>
          <w:sz w:val="20"/>
          <w:szCs w:val="20"/>
          <w:color w:val="auto"/>
        </w:rPr>
      </w:pPr>
      <w:r>
        <w:rPr>
          <w:rFonts w:ascii="Arial" w:cs="Arial" w:eastAsia="Arial" w:hAnsi="Arial"/>
          <w:sz w:val="18"/>
          <w:szCs w:val="18"/>
          <w:color w:val="auto"/>
        </w:rPr>
        <w:t>Furthermore, a number of our subsidiaries maintain uncommitted lines of credit with various banks. Under the terms of these lines of credit, the bank is not obligated to make loans to the subsidiary or to make loans to the subsidiary at a particular interest rate. If any of these banks cancel these lines of credit or otherwise refuse to extend credit on acceptable terms, we may need to extend credit to those subsidiaries or the liquidity of our subsidiaries may be adversely affected.</w:t>
      </w: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270" w:right="259" w:bottom="1440" w:gutter="0" w:footer="0" w:header="0"/>
        </w:sectPr>
      </w:pPr>
    </w:p>
    <w:bookmarkStart w:id="15" w:name="page16"/>
    <w:bookmarkEnd w:id="15"/>
    <w:p>
      <w:pPr>
        <w:ind w:right="240" w:firstLine="486"/>
        <w:spacing w:after="0" w:line="282" w:lineRule="auto"/>
        <w:rPr>
          <w:sz w:val="20"/>
          <w:szCs w:val="20"/>
          <w:color w:val="auto"/>
        </w:rPr>
      </w:pPr>
      <w:r>
        <w:rPr>
          <w:rFonts w:ascii="Arial" w:cs="Arial" w:eastAsia="Arial" w:hAnsi="Arial"/>
          <w:sz w:val="18"/>
          <w:szCs w:val="18"/>
          <w:b w:val="1"/>
          <w:bCs w:val="1"/>
          <w:color w:val="auto"/>
        </w:rPr>
        <w:t>The performance of our subsidiaries and their ability to distribute cash to our parent company may vary, negatively affecting our ability to service our debt at the parent company level or in other subsidiaries.</w:t>
      </w:r>
    </w:p>
    <w:p>
      <w:pPr>
        <w:spacing w:after="0" w:line="166" w:lineRule="exact"/>
        <w:rPr>
          <w:sz w:val="20"/>
          <w:szCs w:val="20"/>
          <w:color w:val="auto"/>
        </w:rPr>
      </w:pPr>
    </w:p>
    <w:p>
      <w:pPr>
        <w:ind w:right="40" w:firstLine="486"/>
        <w:spacing w:after="0" w:line="297" w:lineRule="auto"/>
        <w:rPr>
          <w:sz w:val="20"/>
          <w:szCs w:val="20"/>
          <w:color w:val="auto"/>
        </w:rPr>
      </w:pPr>
      <w:r>
        <w:rPr>
          <w:rFonts w:ascii="Arial" w:cs="Arial" w:eastAsia="Arial" w:hAnsi="Arial"/>
          <w:sz w:val="16"/>
          <w:szCs w:val="16"/>
          <w:color w:val="auto"/>
        </w:rPr>
        <w:t>Since we conduct a significant portion of our operations through our subsidiaries, our cash flow and our consequent ability to service our debt depends in part upon the earnings of our subsidiaries and the distribution of those earnings to our parent company, or upon loans or other payments of funds by those subsidiaries to our parent company or to other subsidiaries. The payment of such dividends and the making of such loans and advances by our subsidiaries may be subject to legal or contractual restrictions, depend upon the earnings of those subsidiaries and be subject to various business considerations, including the ability of such subsidiaries to pay such dividends or make such loans and advances in a manner that does not result in substantial tax liability.</w:t>
      </w:r>
    </w:p>
    <w:p>
      <w:pPr>
        <w:spacing w:after="0" w:line="154"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We are exposed to counterparty risk in our hedging arrangements.</w:t>
      </w:r>
    </w:p>
    <w:p>
      <w:pPr>
        <w:spacing w:after="0" w:line="229" w:lineRule="exact"/>
        <w:rPr>
          <w:sz w:val="20"/>
          <w:szCs w:val="20"/>
          <w:color w:val="auto"/>
        </w:rPr>
      </w:pPr>
    </w:p>
    <w:p>
      <w:pPr>
        <w:ind w:right="20" w:firstLine="486"/>
        <w:spacing w:after="0" w:line="273" w:lineRule="auto"/>
        <w:rPr>
          <w:sz w:val="20"/>
          <w:szCs w:val="20"/>
          <w:color w:val="auto"/>
        </w:rPr>
      </w:pPr>
      <w:r>
        <w:rPr>
          <w:rFonts w:ascii="Arial" w:cs="Arial" w:eastAsia="Arial" w:hAnsi="Arial"/>
          <w:sz w:val="17"/>
          <w:szCs w:val="17"/>
          <w:color w:val="auto"/>
        </w:rPr>
        <w:t>From time to time we enter into arrangements with other parties to hedge our exposure to fluctuations in currency and interest rates, including forward contracts and swap agreements. A number of financial institutions similar to those that serve as counterparties to our hedging arrangements have been adversely affected by the global credit crisis and in some cases have been unable to fulfill their debts and other obligations. If any of the counterparties to our hedging arrangements become unable to fulfill their obligations to us, we may lose the financial benefits of these arrangements. The fair value of our derivative financial instruments related to foreign currency forward exchange contracts reflected in our consolidated balance sheets as of December 31, 2010 were assets of $0.1 million. We had no swap agreements outstandi ng as of December 31, 2010.</w:t>
      </w:r>
    </w:p>
    <w:p>
      <w:pPr>
        <w:spacing w:after="0" w:line="174" w:lineRule="exact"/>
        <w:rPr>
          <w:sz w:val="20"/>
          <w:szCs w:val="20"/>
          <w:color w:val="auto"/>
        </w:rPr>
      </w:pPr>
    </w:p>
    <w:p>
      <w:pPr>
        <w:ind w:left="500"/>
        <w:spacing w:after="0"/>
        <w:rPr>
          <w:sz w:val="20"/>
          <w:szCs w:val="20"/>
          <w:color w:val="auto"/>
        </w:rPr>
      </w:pPr>
      <w:r>
        <w:rPr>
          <w:rFonts w:ascii="Arial" w:cs="Arial" w:eastAsia="Arial" w:hAnsi="Arial"/>
          <w:sz w:val="16"/>
          <w:szCs w:val="16"/>
          <w:b w:val="1"/>
          <w:bCs w:val="1"/>
          <w:color w:val="auto"/>
        </w:rPr>
        <w:t>Our inability to secure letters of credit on acceptable terms may substantially increase our cost of doing business in various countries.</w:t>
      </w:r>
    </w:p>
    <w:p>
      <w:pPr>
        <w:spacing w:after="0" w:line="252" w:lineRule="exact"/>
        <w:rPr>
          <w:sz w:val="20"/>
          <w:szCs w:val="20"/>
          <w:color w:val="auto"/>
        </w:rPr>
      </w:pPr>
    </w:p>
    <w:p>
      <w:pPr>
        <w:ind w:firstLine="486"/>
        <w:spacing w:after="0" w:line="279" w:lineRule="auto"/>
        <w:rPr>
          <w:sz w:val="20"/>
          <w:szCs w:val="20"/>
          <w:color w:val="auto"/>
        </w:rPr>
      </w:pPr>
      <w:r>
        <w:rPr>
          <w:rFonts w:ascii="Arial" w:cs="Arial" w:eastAsia="Arial" w:hAnsi="Arial"/>
          <w:sz w:val="17"/>
          <w:szCs w:val="17"/>
          <w:color w:val="auto"/>
        </w:rPr>
        <w:t>In a number of countries in which we conduct business we are obligated to provide guarantees or letters of credit to secure licenses, lease space or for insurance coverage. We typically receive these guarantees and letters of credits from a number of financial institutions around the world. In the event that we are unable to secure these arrangements from a bank, lender or other third party on acceptable terms, our liquidity may be adversely affected, there could be a disruption to our business or there could be a substantial increase in cost for our business.</w:t>
      </w:r>
    </w:p>
    <w:p>
      <w:pPr>
        <w:spacing w:after="0" w:line="167"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The price of our common stock may fluctuate significantly, which may result in losses for investors.</w:t>
      </w:r>
    </w:p>
    <w:p>
      <w:pPr>
        <w:spacing w:after="0" w:line="229" w:lineRule="exact"/>
        <w:rPr>
          <w:sz w:val="20"/>
          <w:szCs w:val="20"/>
          <w:color w:val="auto"/>
        </w:rPr>
      </w:pPr>
    </w:p>
    <w:p>
      <w:pPr>
        <w:ind w:right="220" w:firstLine="486"/>
        <w:spacing w:after="0" w:line="286" w:lineRule="auto"/>
        <w:rPr>
          <w:sz w:val="20"/>
          <w:szCs w:val="20"/>
          <w:color w:val="auto"/>
        </w:rPr>
      </w:pPr>
      <w:r>
        <w:rPr>
          <w:rFonts w:ascii="Arial" w:cs="Arial" w:eastAsia="Arial" w:hAnsi="Arial"/>
          <w:sz w:val="17"/>
          <w:szCs w:val="17"/>
          <w:color w:val="auto"/>
        </w:rPr>
        <w:t>The market price for our common stock has been and may continue to be volatile. For example, during 2010, the prices of our common stock as reported on the New York Stock Exchange ranged from a high of $65.14 to a low of $40.58. Our stock price can fluctuate as a result of a variety of factors, including factors listed in these “Risk Factors” and others, many of which are beyond our control. These factors include:</w:t>
      </w:r>
    </w:p>
    <w:p>
      <w:pPr>
        <w:spacing w:after="0" w:line="166" w:lineRule="exact"/>
        <w:rPr>
          <w:sz w:val="20"/>
          <w:szCs w:val="20"/>
          <w:color w:val="auto"/>
        </w:rPr>
      </w:pPr>
    </w:p>
    <w:p>
      <w:pPr>
        <w:ind w:left="780" w:hanging="380"/>
        <w:spacing w:after="0"/>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actual or anticipated variations in our quarterly operating results;</w:t>
      </w:r>
    </w:p>
    <w:p>
      <w:pPr>
        <w:spacing w:after="0" w:line="225" w:lineRule="exact"/>
        <w:rPr>
          <w:rFonts w:ascii="Arial" w:cs="Arial" w:eastAsia="Arial" w:hAnsi="Arial"/>
          <w:sz w:val="18"/>
          <w:szCs w:val="18"/>
          <w:color w:val="auto"/>
        </w:rPr>
      </w:pPr>
    </w:p>
    <w:p>
      <w:pPr>
        <w:ind w:left="780" w:hanging="380"/>
        <w:spacing w:after="0"/>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announcement of new services by us or our competitors;</w:t>
      </w:r>
    </w:p>
    <w:p>
      <w:pPr>
        <w:spacing w:after="0" w:line="225" w:lineRule="exact"/>
        <w:rPr>
          <w:rFonts w:ascii="Arial" w:cs="Arial" w:eastAsia="Arial" w:hAnsi="Arial"/>
          <w:sz w:val="18"/>
          <w:szCs w:val="18"/>
          <w:color w:val="auto"/>
        </w:rPr>
      </w:pPr>
    </w:p>
    <w:p>
      <w:pPr>
        <w:ind w:left="780" w:hanging="380"/>
        <w:spacing w:after="0"/>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announcements relating to strategic relationships or acquisitions;</w:t>
      </w:r>
    </w:p>
    <w:p>
      <w:pPr>
        <w:spacing w:after="0" w:line="225" w:lineRule="exact"/>
        <w:rPr>
          <w:rFonts w:ascii="Arial" w:cs="Arial" w:eastAsia="Arial" w:hAnsi="Arial"/>
          <w:sz w:val="18"/>
          <w:szCs w:val="18"/>
          <w:color w:val="auto"/>
        </w:rPr>
      </w:pPr>
    </w:p>
    <w:p>
      <w:pPr>
        <w:ind w:left="780" w:hanging="380"/>
        <w:spacing w:after="0"/>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financial estimates or other statements by securities analysts; and</w:t>
      </w:r>
    </w:p>
    <w:p>
      <w:pPr>
        <w:spacing w:after="0" w:line="225" w:lineRule="exact"/>
        <w:rPr>
          <w:rFonts w:ascii="Arial" w:cs="Arial" w:eastAsia="Arial" w:hAnsi="Arial"/>
          <w:sz w:val="18"/>
          <w:szCs w:val="18"/>
          <w:color w:val="auto"/>
        </w:rPr>
      </w:pPr>
    </w:p>
    <w:p>
      <w:pPr>
        <w:ind w:left="780" w:hanging="380"/>
        <w:spacing w:after="0"/>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general economic conditions such as the current credit environment.</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6"/>
          <w:szCs w:val="16"/>
          <w:color w:val="auto"/>
        </w:rPr>
        <w:t>Because of this volatility, we may fail to meet the expectations of our shareholders or of securities analysts, and our stock price could decline as a</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result.</w:t>
      </w:r>
    </w:p>
    <w:p>
      <w:pPr>
        <w:spacing w:after="0" w:line="35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270" w:right="259" w:bottom="1440" w:gutter="0" w:footer="0" w:header="0"/>
        </w:sectPr>
      </w:pPr>
    </w:p>
    <w:bookmarkStart w:id="16" w:name="page17"/>
    <w:bookmarkEnd w:id="16"/>
    <w:p>
      <w:pPr>
        <w:ind w:left="500"/>
        <w:spacing w:after="0"/>
        <w:rPr>
          <w:sz w:val="20"/>
          <w:szCs w:val="20"/>
          <w:color w:val="auto"/>
        </w:rPr>
      </w:pPr>
      <w:r>
        <w:rPr>
          <w:rFonts w:ascii="Arial" w:cs="Arial" w:eastAsia="Arial" w:hAnsi="Arial"/>
          <w:sz w:val="16"/>
          <w:szCs w:val="16"/>
          <w:b w:val="1"/>
          <w:bCs w:val="1"/>
          <w:color w:val="auto"/>
        </w:rPr>
        <w:t>Wisconsin law and our articles of incorporation and bylaws contain provisions that could make the takeover of our company more difficult.</w:t>
      </w:r>
    </w:p>
    <w:p>
      <w:pPr>
        <w:spacing w:after="0" w:line="252" w:lineRule="exact"/>
        <w:rPr>
          <w:sz w:val="20"/>
          <w:szCs w:val="20"/>
          <w:color w:val="auto"/>
        </w:rPr>
      </w:pPr>
    </w:p>
    <w:p>
      <w:pPr>
        <w:ind w:right="320" w:firstLine="486"/>
        <w:spacing w:after="0" w:line="342" w:lineRule="auto"/>
        <w:rPr>
          <w:sz w:val="20"/>
          <w:szCs w:val="20"/>
          <w:color w:val="auto"/>
        </w:rPr>
      </w:pPr>
      <w:r>
        <w:rPr>
          <w:rFonts w:ascii="Arial" w:cs="Arial" w:eastAsia="Arial" w:hAnsi="Arial"/>
          <w:sz w:val="16"/>
          <w:szCs w:val="16"/>
          <w:color w:val="auto"/>
        </w:rPr>
        <w:t>Certain provisions of Wisconsin law and our articles of incorporation and bylaws could have the effect of delaying or preventing a third party from acquiring us, even if a change in control would be beneficial to our shareholders. These provisions of our articles of incorporation and bylaws include:</w:t>
      </w:r>
    </w:p>
    <w:p>
      <w:pPr>
        <w:spacing w:after="0" w:line="124" w:lineRule="exact"/>
        <w:rPr>
          <w:sz w:val="20"/>
          <w:szCs w:val="20"/>
          <w:color w:val="auto"/>
        </w:rPr>
      </w:pPr>
    </w:p>
    <w:p>
      <w:pPr>
        <w:ind w:left="780" w:hanging="380"/>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providing for a classified board of directors with staggered, three-year terms;</w:t>
      </w:r>
    </w:p>
    <w:p>
      <w:pPr>
        <w:spacing w:after="0" w:line="225" w:lineRule="exact"/>
        <w:rPr>
          <w:rFonts w:ascii="Arial" w:cs="Arial" w:eastAsia="Arial" w:hAnsi="Arial"/>
          <w:sz w:val="18"/>
          <w:szCs w:val="18"/>
          <w:color w:val="auto"/>
        </w:rPr>
      </w:pPr>
    </w:p>
    <w:p>
      <w:pPr>
        <w:ind w:left="780" w:hanging="380"/>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permitting removal of directors only for cause;</w:t>
      </w:r>
    </w:p>
    <w:p>
      <w:pPr>
        <w:spacing w:after="0" w:line="225" w:lineRule="exact"/>
        <w:rPr>
          <w:rFonts w:ascii="Arial" w:cs="Arial" w:eastAsia="Arial" w:hAnsi="Arial"/>
          <w:sz w:val="18"/>
          <w:szCs w:val="18"/>
          <w:color w:val="auto"/>
        </w:rPr>
      </w:pPr>
    </w:p>
    <w:p>
      <w:pPr>
        <w:ind w:left="780" w:hanging="380"/>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providing that vacancies on the board of directors will be filled by the remaining directors then in office; and</w:t>
      </w:r>
    </w:p>
    <w:p>
      <w:pPr>
        <w:spacing w:after="0" w:line="225" w:lineRule="exact"/>
        <w:rPr>
          <w:rFonts w:ascii="Arial" w:cs="Arial" w:eastAsia="Arial" w:hAnsi="Arial"/>
          <w:sz w:val="18"/>
          <w:szCs w:val="18"/>
          <w:color w:val="auto"/>
        </w:rPr>
      </w:pPr>
    </w:p>
    <w:p>
      <w:pPr>
        <w:ind w:left="780" w:hanging="380"/>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requiring advance notice for shareholder proposals and director nominees.</w:t>
      </w:r>
    </w:p>
    <w:p>
      <w:pPr>
        <w:spacing w:after="0" w:line="225" w:lineRule="exact"/>
        <w:rPr>
          <w:sz w:val="20"/>
          <w:szCs w:val="20"/>
          <w:color w:val="auto"/>
        </w:rPr>
      </w:pPr>
    </w:p>
    <w:p>
      <w:pPr>
        <w:ind w:right="40" w:firstLine="486"/>
        <w:spacing w:after="0" w:line="257" w:lineRule="auto"/>
        <w:rPr>
          <w:sz w:val="20"/>
          <w:szCs w:val="20"/>
          <w:color w:val="auto"/>
        </w:rPr>
      </w:pPr>
      <w:r>
        <w:rPr>
          <w:rFonts w:ascii="Arial" w:cs="Arial" w:eastAsia="Arial" w:hAnsi="Arial"/>
          <w:sz w:val="18"/>
          <w:szCs w:val="18"/>
          <w:color w:val="auto"/>
        </w:rPr>
        <w:t>In addition, the Wisconsin control share acquisition statute and Wisconsin’s “fair price” and “business combination” provisions limit the ability of an acquiring person to engage in certain transactions or to exercise the full voting power of acquired shares under certain circumstances. These provisions and other provisions of Wisconsin law could make it more difficult for a third party to acquire us, even if doing so would benefit our shareholders. As a result, offers to acquire us, which may represent a premium over the available market price of our common stock, may be withdrawn or otherwise fail to be realized. The provisions described above could cause our stock price to decline.</w:t>
      </w:r>
    </w:p>
    <w:p>
      <w:pPr>
        <w:spacing w:after="0" w:line="184"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Improper disclosure of employee and client data could result in liability and harm our reputation.</w:t>
      </w:r>
    </w:p>
    <w:p>
      <w:pPr>
        <w:spacing w:after="0" w:line="229" w:lineRule="exact"/>
        <w:rPr>
          <w:sz w:val="20"/>
          <w:szCs w:val="20"/>
          <w:color w:val="auto"/>
        </w:rPr>
      </w:pPr>
    </w:p>
    <w:p>
      <w:pPr>
        <w:ind w:right="20" w:firstLine="486"/>
        <w:spacing w:after="0" w:line="254" w:lineRule="auto"/>
        <w:rPr>
          <w:sz w:val="20"/>
          <w:szCs w:val="20"/>
          <w:color w:val="auto"/>
        </w:rPr>
      </w:pPr>
      <w:r>
        <w:rPr>
          <w:rFonts w:ascii="Arial" w:cs="Arial" w:eastAsia="Arial" w:hAnsi="Arial"/>
          <w:sz w:val="18"/>
          <w:szCs w:val="18"/>
          <w:color w:val="auto"/>
        </w:rPr>
        <w:t>Our business involves the use, storage and transmission of information about our employees, our clients and employees of our clients. We and our third party service providers have established policies and procedures to help protect the security and privacy of this information. It is possible that our security controls over personal and other data and other practices we and our third party service providers follow may not prevent the improper access to or disclosure of personally identifiable or otherwise confidential information. Such disclosure could harm our reputation and subject us to liability under our contracts and laws that protect personal data and confidential information, resulting in increased costs or loss of revenue. Further, data privacy is subject to frequently changing rules an d regulations, which sometimes conflict among the various jurisdictions and countries in which we provide services. Our failure to adhere to or successfully implement processes in response to changing regulatory requirements in this area could result in legal liability or impairment to our reputation in the marketplace.</w:t>
      </w:r>
    </w:p>
    <w:p>
      <w:pPr>
        <w:spacing w:after="0" w:line="188"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Outsourcing certain aspects of our business could result in disruption and increased costs.</w:t>
      </w:r>
    </w:p>
    <w:p>
      <w:pPr>
        <w:spacing w:after="0" w:line="229" w:lineRule="exact"/>
        <w:rPr>
          <w:sz w:val="20"/>
          <w:szCs w:val="20"/>
          <w:color w:val="auto"/>
        </w:rPr>
      </w:pPr>
    </w:p>
    <w:p>
      <w:pPr>
        <w:ind w:firstLine="486"/>
        <w:spacing w:after="0" w:line="291" w:lineRule="auto"/>
        <w:rPr>
          <w:sz w:val="20"/>
          <w:szCs w:val="20"/>
          <w:color w:val="auto"/>
        </w:rPr>
      </w:pPr>
      <w:r>
        <w:rPr>
          <w:rFonts w:ascii="Arial" w:cs="Arial" w:eastAsia="Arial" w:hAnsi="Arial"/>
          <w:sz w:val="16"/>
          <w:szCs w:val="16"/>
          <w:color w:val="auto"/>
        </w:rPr>
        <w:t>We have outsourced certain aspects of our business to third party vendors that subject us to risks, including disruptions in our business and increased costs. For example, we have engaged third parties to host and manage certain aspects of our data center information and technology infrastructure and to provide certain back office support in several countries. Accordingly, we are subject to the risks associated with the vendor’s ability to provide these services to meet our needs. Our operations will depend significantly upon their and our ability to make our servers, software applications and websites available and to protect our data from damage or interruption from human error, computer viruses, intentional acts of vandalism, labor disputes, natural disasters and similar events. If the cost of these services is more than expecte d, or if the vendor or we are unable to adequately protect our data and information is lost, or our ability to deliver our services is interrupted, then our business and results of operations may be negatively impacted.</w:t>
      </w:r>
    </w:p>
    <w:p>
      <w:pPr>
        <w:spacing w:after="0" w:line="3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270" w:right="25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29" w:lineRule="exact"/>
        <w:rPr>
          <w:sz w:val="20"/>
          <w:szCs w:val="20"/>
          <w:color w:val="auto"/>
        </w:rPr>
      </w:pPr>
    </w:p>
    <w:p>
      <w:pPr>
        <w:ind w:right="120" w:firstLine="486"/>
        <w:spacing w:after="0" w:line="277" w:lineRule="auto"/>
        <w:rPr>
          <w:sz w:val="20"/>
          <w:szCs w:val="20"/>
          <w:color w:val="auto"/>
        </w:rPr>
      </w:pPr>
      <w:r>
        <w:rPr>
          <w:rFonts w:ascii="Arial" w:cs="Arial" w:eastAsia="Arial" w:hAnsi="Arial"/>
          <w:sz w:val="18"/>
          <w:szCs w:val="18"/>
          <w:color w:val="auto"/>
        </w:rPr>
        <w:t>We own properties at various locations worldwide, none of which are material. Most of our operations are conducted from leased premises and we do not anticipate any difficulty in renewing these leases or in finding alternative sites in the ordinary course of business.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6"/>
          <w:szCs w:val="16"/>
          <w:color w:val="auto"/>
        </w:rPr>
        <w:t>We are involved in litigation of a routine nature and various legal matters, which are being defended and handled in the ordinary course of business.</w:t>
      </w:r>
    </w:p>
    <w:p>
      <w:pPr>
        <w:spacing w:after="0" w:line="248" w:lineRule="exact"/>
        <w:rPr>
          <w:sz w:val="20"/>
          <w:szCs w:val="20"/>
          <w:color w:val="auto"/>
        </w:rPr>
      </w:pPr>
    </w:p>
    <w:p>
      <w:pPr>
        <w:ind w:firstLine="486"/>
        <w:spacing w:after="0" w:line="308" w:lineRule="auto"/>
        <w:rPr>
          <w:sz w:val="20"/>
          <w:szCs w:val="20"/>
          <w:color w:val="auto"/>
        </w:rPr>
      </w:pPr>
      <w:r>
        <w:rPr>
          <w:rFonts w:ascii="Arial" w:cs="Arial" w:eastAsia="Arial" w:hAnsi="Arial"/>
          <w:sz w:val="17"/>
          <w:szCs w:val="17"/>
          <w:color w:val="auto"/>
        </w:rPr>
        <w:t>The information required by this Item is set forth in our Annual Report to Shareholders for the fiscal year ended December 31, 2010, under the heading “Significant Matters Affecting Results of Operations” (pages 38 to 41), which information is hereby incorporated herein by reference.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[Removed and reserved.]</w:t>
      </w:r>
    </w:p>
    <w:p>
      <w:pPr>
        <w:spacing w:after="0" w:line="200" w:lineRule="exact"/>
        <w:rPr>
          <w:sz w:val="20"/>
          <w:szCs w:val="20"/>
          <w:color w:val="auto"/>
        </w:rPr>
      </w:pPr>
    </w:p>
    <w:p>
      <w:pPr>
        <w:spacing w:after="0" w:line="3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270" w:right="25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16"/>
        </w:trPr>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300" w:type="dxa"/>
            <w:vAlign w:val="bottom"/>
          </w:tcPr>
          <w:p>
            <w:pPr>
              <w:jc w:val="center"/>
              <w:ind w:right="2010"/>
              <w:spacing w:after="0"/>
              <w:rPr>
                <w:sz w:val="20"/>
                <w:szCs w:val="20"/>
                <w:color w:val="auto"/>
              </w:rPr>
            </w:pPr>
            <w:r>
              <w:rPr>
                <w:rFonts w:ascii="Arial" w:cs="Arial" w:eastAsia="Arial" w:hAnsi="Arial"/>
                <w:sz w:val="18"/>
                <w:szCs w:val="18"/>
                <w:b w:val="1"/>
                <w:bCs w:val="1"/>
                <w:color w:val="auto"/>
              </w:rPr>
              <w:t>EXECUTIVE OFFICERS OF MANPOWER</w:t>
            </w:r>
          </w:p>
        </w:tc>
      </w:tr>
      <w:tr>
        <w:trPr>
          <w:trHeight w:val="234"/>
        </w:trPr>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300" w:type="dxa"/>
            <w:vAlign w:val="bottom"/>
          </w:tcPr>
          <w:p>
            <w:pPr>
              <w:jc w:val="center"/>
              <w:ind w:right="2030"/>
              <w:spacing w:after="0"/>
              <w:rPr>
                <w:sz w:val="20"/>
                <w:szCs w:val="20"/>
                <w:color w:val="auto"/>
              </w:rPr>
            </w:pPr>
            <w:r>
              <w:rPr>
                <w:rFonts w:ascii="Arial" w:cs="Arial" w:eastAsia="Arial" w:hAnsi="Arial"/>
                <w:sz w:val="18"/>
                <w:szCs w:val="18"/>
                <w:b w:val="1"/>
                <w:bCs w:val="1"/>
                <w:color w:val="auto"/>
                <w:w w:val="91"/>
              </w:rPr>
              <w:t>(as of March 1, 2011)</w:t>
            </w:r>
          </w:p>
        </w:tc>
      </w:tr>
      <w:tr>
        <w:trPr>
          <w:trHeight w:val="392"/>
        </w:trPr>
        <w:tc>
          <w:tcPr>
            <w:tcW w:w="1460" w:type="dxa"/>
            <w:vAlign w:val="bottom"/>
            <w:gridSpan w:val="2"/>
          </w:tcPr>
          <w:p>
            <w:pPr>
              <w:spacing w:after="0"/>
              <w:rPr>
                <w:sz w:val="20"/>
                <w:szCs w:val="20"/>
                <w:color w:val="auto"/>
              </w:rPr>
            </w:pPr>
            <w:r>
              <w:rPr>
                <w:rFonts w:ascii="Arial" w:cs="Arial" w:eastAsia="Arial" w:hAnsi="Arial"/>
                <w:sz w:val="18"/>
                <w:szCs w:val="18"/>
                <w:b w:val="1"/>
                <w:bCs w:val="1"/>
                <w:color w:val="auto"/>
              </w:rPr>
              <w:t>Name of Officer</w:t>
            </w:r>
          </w:p>
        </w:tc>
        <w:tc>
          <w:tcPr>
            <w:tcW w:w="9960" w:type="dxa"/>
            <w:vAlign w:val="bottom"/>
            <w:gridSpan w:val="3"/>
          </w:tcPr>
          <w:p>
            <w:pPr>
              <w:ind w:left="200"/>
              <w:spacing w:after="0"/>
              <w:rPr>
                <w:sz w:val="20"/>
                <w:szCs w:val="20"/>
                <w:color w:val="auto"/>
              </w:rPr>
            </w:pPr>
            <w:r>
              <w:rPr>
                <w:rFonts w:ascii="Arial" w:cs="Arial" w:eastAsia="Arial" w:hAnsi="Arial"/>
                <w:sz w:val="18"/>
                <w:szCs w:val="18"/>
                <w:b w:val="1"/>
                <w:bCs w:val="1"/>
                <w:color w:val="auto"/>
              </w:rPr>
              <w:t>Office</w:t>
            </w:r>
          </w:p>
        </w:tc>
      </w:tr>
      <w:tr>
        <w:trPr>
          <w:trHeight w:val="20"/>
        </w:trPr>
        <w:tc>
          <w:tcPr>
            <w:tcW w:w="12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9300" w:type="dxa"/>
            <w:vAlign w:val="bottom"/>
          </w:tcPr>
          <w:p>
            <w:pPr>
              <w:spacing w:after="0" w:line="20" w:lineRule="exact"/>
              <w:rPr>
                <w:sz w:val="1"/>
                <w:szCs w:val="1"/>
                <w:color w:val="auto"/>
              </w:rPr>
            </w:pPr>
          </w:p>
        </w:tc>
      </w:tr>
      <w:tr>
        <w:trPr>
          <w:trHeight w:val="438"/>
        </w:trPr>
        <w:tc>
          <w:tcPr>
            <w:tcW w:w="1460" w:type="dxa"/>
            <w:vAlign w:val="bottom"/>
            <w:gridSpan w:val="2"/>
          </w:tcPr>
          <w:p>
            <w:pPr>
              <w:spacing w:after="0"/>
              <w:rPr>
                <w:sz w:val="20"/>
                <w:szCs w:val="20"/>
                <w:color w:val="auto"/>
              </w:rPr>
            </w:pPr>
            <w:r>
              <w:rPr>
                <w:rFonts w:ascii="Arial" w:cs="Arial" w:eastAsia="Arial" w:hAnsi="Arial"/>
                <w:sz w:val="18"/>
                <w:szCs w:val="18"/>
                <w:color w:val="auto"/>
              </w:rPr>
              <w:t>Jeffrey A. Joerres</w:t>
            </w:r>
          </w:p>
        </w:tc>
        <w:tc>
          <w:tcPr>
            <w:tcW w:w="9960" w:type="dxa"/>
            <w:vAlign w:val="bottom"/>
            <w:gridSpan w:val="3"/>
          </w:tcPr>
          <w:p>
            <w:pPr>
              <w:ind w:left="200"/>
              <w:spacing w:after="0"/>
              <w:rPr>
                <w:sz w:val="20"/>
                <w:szCs w:val="20"/>
                <w:color w:val="auto"/>
              </w:rPr>
            </w:pPr>
            <w:r>
              <w:rPr>
                <w:rFonts w:ascii="Arial" w:cs="Arial" w:eastAsia="Arial" w:hAnsi="Arial"/>
                <w:sz w:val="18"/>
                <w:szCs w:val="18"/>
                <w:color w:val="auto"/>
                <w:w w:val="96"/>
              </w:rPr>
              <w:t>Chairman of Manpower since May 2001, and President and Chief Executive Officer of Manpower since April 1999. A director of</w:t>
            </w:r>
          </w:p>
        </w:tc>
      </w:tr>
      <w:tr>
        <w:trPr>
          <w:trHeight w:val="216"/>
        </w:trPr>
        <w:tc>
          <w:tcPr>
            <w:tcW w:w="1460" w:type="dxa"/>
            <w:vAlign w:val="bottom"/>
            <w:gridSpan w:val="2"/>
          </w:tcPr>
          <w:p>
            <w:pPr>
              <w:spacing w:after="0"/>
              <w:rPr>
                <w:sz w:val="20"/>
                <w:szCs w:val="20"/>
                <w:color w:val="auto"/>
              </w:rPr>
            </w:pPr>
            <w:r>
              <w:rPr>
                <w:rFonts w:ascii="Arial" w:cs="Arial" w:eastAsia="Arial" w:hAnsi="Arial"/>
                <w:sz w:val="18"/>
                <w:szCs w:val="18"/>
                <w:color w:val="auto"/>
              </w:rPr>
              <w:t>Age 51</w:t>
            </w:r>
          </w:p>
        </w:tc>
        <w:tc>
          <w:tcPr>
            <w:tcW w:w="9960" w:type="dxa"/>
            <w:vAlign w:val="bottom"/>
            <w:gridSpan w:val="3"/>
          </w:tcPr>
          <w:p>
            <w:pPr>
              <w:ind w:left="200"/>
              <w:spacing w:after="0"/>
              <w:rPr>
                <w:sz w:val="20"/>
                <w:szCs w:val="20"/>
                <w:color w:val="auto"/>
              </w:rPr>
            </w:pPr>
            <w:r>
              <w:rPr>
                <w:rFonts w:ascii="Arial" w:cs="Arial" w:eastAsia="Arial" w:hAnsi="Arial"/>
                <w:sz w:val="18"/>
                <w:szCs w:val="18"/>
                <w:color w:val="auto"/>
                <w:w w:val="94"/>
              </w:rPr>
              <w:t>Artisan Funds, Inc., Johnson Controls, Inc. and the Federal Board Reserve of Chicago. A director of Manpower for more than five</w:t>
            </w:r>
          </w:p>
        </w:tc>
      </w:tr>
      <w:tr>
        <w:trPr>
          <w:trHeight w:val="230"/>
        </w:trPr>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960" w:type="dxa"/>
            <w:vAlign w:val="bottom"/>
            <w:gridSpan w:val="3"/>
          </w:tcPr>
          <w:p>
            <w:pPr>
              <w:ind w:left="200"/>
              <w:spacing w:after="0"/>
              <w:rPr>
                <w:sz w:val="20"/>
                <w:szCs w:val="20"/>
                <w:color w:val="auto"/>
              </w:rPr>
            </w:pPr>
            <w:r>
              <w:rPr>
                <w:rFonts w:ascii="Arial" w:cs="Arial" w:eastAsia="Arial" w:hAnsi="Arial"/>
                <w:sz w:val="18"/>
                <w:szCs w:val="18"/>
                <w:color w:val="auto"/>
              </w:rPr>
              <w:t>years. An employee of Manpower since July 1993.</w:t>
            </w:r>
          </w:p>
        </w:tc>
      </w:tr>
      <w:tr>
        <w:trPr>
          <w:trHeight w:val="418"/>
        </w:trPr>
        <w:tc>
          <w:tcPr>
            <w:tcW w:w="1460" w:type="dxa"/>
            <w:vAlign w:val="bottom"/>
            <w:gridSpan w:val="2"/>
          </w:tcPr>
          <w:p>
            <w:pPr>
              <w:spacing w:after="0"/>
              <w:rPr>
                <w:sz w:val="20"/>
                <w:szCs w:val="20"/>
                <w:color w:val="auto"/>
              </w:rPr>
            </w:pPr>
            <w:r>
              <w:rPr>
                <w:rFonts w:ascii="Arial" w:cs="Arial" w:eastAsia="Arial" w:hAnsi="Arial"/>
                <w:sz w:val="18"/>
                <w:szCs w:val="18"/>
                <w:color w:val="auto"/>
              </w:rPr>
              <w:t>Michael J. Van</w:t>
            </w:r>
          </w:p>
        </w:tc>
        <w:tc>
          <w:tcPr>
            <w:tcW w:w="9960" w:type="dxa"/>
            <w:vAlign w:val="bottom"/>
            <w:gridSpan w:val="3"/>
          </w:tcPr>
          <w:p>
            <w:pPr>
              <w:ind w:left="200"/>
              <w:spacing w:after="0"/>
              <w:rPr>
                <w:sz w:val="20"/>
                <w:szCs w:val="20"/>
                <w:color w:val="auto"/>
              </w:rPr>
            </w:pPr>
            <w:r>
              <w:rPr>
                <w:rFonts w:ascii="Arial" w:cs="Arial" w:eastAsia="Arial" w:hAnsi="Arial"/>
                <w:sz w:val="18"/>
                <w:szCs w:val="18"/>
                <w:color w:val="auto"/>
                <w:w w:val="92"/>
              </w:rPr>
              <w:t>Executive Vice President, Chief Financial Officer of Manpower since January 2008. Executive Vice President, Chief Financial Officer</w:t>
            </w:r>
          </w:p>
        </w:tc>
      </w:tr>
      <w:tr>
        <w:trPr>
          <w:trHeight w:val="216"/>
        </w:trPr>
        <w:tc>
          <w:tcPr>
            <w:tcW w:w="1460" w:type="dxa"/>
            <w:vAlign w:val="bottom"/>
            <w:gridSpan w:val="2"/>
          </w:tcPr>
          <w:p>
            <w:pPr>
              <w:spacing w:after="0"/>
              <w:rPr>
                <w:sz w:val="20"/>
                <w:szCs w:val="20"/>
                <w:color w:val="auto"/>
              </w:rPr>
            </w:pPr>
            <w:r>
              <w:rPr>
                <w:rFonts w:ascii="Arial" w:cs="Arial" w:eastAsia="Arial" w:hAnsi="Arial"/>
                <w:sz w:val="18"/>
                <w:szCs w:val="18"/>
                <w:color w:val="auto"/>
              </w:rPr>
              <w:t>Handel</w:t>
            </w:r>
          </w:p>
        </w:tc>
        <w:tc>
          <w:tcPr>
            <w:tcW w:w="9960" w:type="dxa"/>
            <w:vAlign w:val="bottom"/>
            <w:gridSpan w:val="3"/>
          </w:tcPr>
          <w:p>
            <w:pPr>
              <w:ind w:left="200"/>
              <w:spacing w:after="0"/>
              <w:rPr>
                <w:sz w:val="20"/>
                <w:szCs w:val="20"/>
                <w:color w:val="auto"/>
              </w:rPr>
            </w:pPr>
            <w:r>
              <w:rPr>
                <w:rFonts w:ascii="Arial" w:cs="Arial" w:eastAsia="Arial" w:hAnsi="Arial"/>
                <w:sz w:val="18"/>
                <w:szCs w:val="18"/>
                <w:color w:val="auto"/>
                <w:w w:val="98"/>
              </w:rPr>
              <w:t>and Secretary of Manpower from April 2002 to January 2008. Senior Vice President, Chief Financial Officer and Secretary of</w:t>
            </w:r>
          </w:p>
        </w:tc>
      </w:tr>
      <w:tr>
        <w:trPr>
          <w:trHeight w:val="230"/>
        </w:trPr>
        <w:tc>
          <w:tcPr>
            <w:tcW w:w="1460" w:type="dxa"/>
            <w:vAlign w:val="bottom"/>
            <w:gridSpan w:val="2"/>
          </w:tcPr>
          <w:p>
            <w:pPr>
              <w:spacing w:after="0"/>
              <w:rPr>
                <w:sz w:val="20"/>
                <w:szCs w:val="20"/>
                <w:color w:val="auto"/>
              </w:rPr>
            </w:pPr>
            <w:r>
              <w:rPr>
                <w:rFonts w:ascii="Arial" w:cs="Arial" w:eastAsia="Arial" w:hAnsi="Arial"/>
                <w:sz w:val="18"/>
                <w:szCs w:val="18"/>
                <w:color w:val="auto"/>
              </w:rPr>
              <w:t>Age 51</w:t>
            </w:r>
          </w:p>
        </w:tc>
        <w:tc>
          <w:tcPr>
            <w:tcW w:w="9960" w:type="dxa"/>
            <w:vAlign w:val="bottom"/>
            <w:gridSpan w:val="3"/>
          </w:tcPr>
          <w:p>
            <w:pPr>
              <w:ind w:left="200"/>
              <w:spacing w:after="0"/>
              <w:rPr>
                <w:sz w:val="20"/>
                <w:szCs w:val="20"/>
                <w:color w:val="auto"/>
              </w:rPr>
            </w:pPr>
            <w:r>
              <w:rPr>
                <w:rFonts w:ascii="Arial" w:cs="Arial" w:eastAsia="Arial" w:hAnsi="Arial"/>
                <w:sz w:val="18"/>
                <w:szCs w:val="18"/>
                <w:color w:val="auto"/>
                <w:w w:val="99"/>
              </w:rPr>
              <w:t>Manpower from August 1999 to April 2002. An employee of Manpower since May 1989. A director of Harris Financial Corp.</w:t>
            </w:r>
          </w:p>
        </w:tc>
      </w:tr>
      <w:tr>
        <w:trPr>
          <w:trHeight w:val="418"/>
        </w:trPr>
        <w:tc>
          <w:tcPr>
            <w:tcW w:w="1460" w:type="dxa"/>
            <w:vAlign w:val="bottom"/>
            <w:gridSpan w:val="2"/>
          </w:tcPr>
          <w:p>
            <w:pPr>
              <w:spacing w:after="0"/>
              <w:rPr>
                <w:sz w:val="20"/>
                <w:szCs w:val="20"/>
                <w:color w:val="auto"/>
              </w:rPr>
            </w:pPr>
            <w:r>
              <w:rPr>
                <w:rFonts w:ascii="Arial" w:cs="Arial" w:eastAsia="Arial" w:hAnsi="Arial"/>
                <w:sz w:val="18"/>
                <w:szCs w:val="18"/>
                <w:color w:val="auto"/>
              </w:rPr>
              <w:t>Hans Leentjes</w:t>
            </w:r>
          </w:p>
        </w:tc>
        <w:tc>
          <w:tcPr>
            <w:tcW w:w="9960" w:type="dxa"/>
            <w:vAlign w:val="bottom"/>
            <w:gridSpan w:val="3"/>
          </w:tcPr>
          <w:p>
            <w:pPr>
              <w:ind w:left="200"/>
              <w:spacing w:after="0"/>
              <w:rPr>
                <w:sz w:val="20"/>
                <w:szCs w:val="20"/>
                <w:color w:val="auto"/>
              </w:rPr>
            </w:pPr>
            <w:r>
              <w:rPr>
                <w:rFonts w:ascii="Arial" w:cs="Arial" w:eastAsia="Arial" w:hAnsi="Arial"/>
                <w:sz w:val="18"/>
                <w:szCs w:val="18"/>
                <w:color w:val="auto"/>
                <w:w w:val="94"/>
              </w:rPr>
              <w:t>Executive Vice President of Manpower, President – Northern Europe since January 2011. Regional Managing Director of EMEA’s</w:t>
            </w:r>
          </w:p>
        </w:tc>
      </w:tr>
      <w:tr>
        <w:trPr>
          <w:trHeight w:val="216"/>
        </w:trPr>
        <w:tc>
          <w:tcPr>
            <w:tcW w:w="1460" w:type="dxa"/>
            <w:vAlign w:val="bottom"/>
            <w:gridSpan w:val="2"/>
          </w:tcPr>
          <w:p>
            <w:pPr>
              <w:spacing w:after="0"/>
              <w:rPr>
                <w:sz w:val="20"/>
                <w:szCs w:val="20"/>
                <w:color w:val="auto"/>
              </w:rPr>
            </w:pPr>
            <w:r>
              <w:rPr>
                <w:rFonts w:ascii="Arial" w:cs="Arial" w:eastAsia="Arial" w:hAnsi="Arial"/>
                <w:sz w:val="18"/>
                <w:szCs w:val="18"/>
                <w:color w:val="auto"/>
              </w:rPr>
              <w:t>Age 45</w:t>
            </w:r>
          </w:p>
        </w:tc>
        <w:tc>
          <w:tcPr>
            <w:tcW w:w="9960" w:type="dxa"/>
            <w:vAlign w:val="bottom"/>
            <w:gridSpan w:val="3"/>
          </w:tcPr>
          <w:p>
            <w:pPr>
              <w:ind w:left="200"/>
              <w:spacing w:after="0"/>
              <w:rPr>
                <w:sz w:val="20"/>
                <w:szCs w:val="20"/>
                <w:color w:val="auto"/>
              </w:rPr>
            </w:pPr>
            <w:r>
              <w:rPr>
                <w:rFonts w:ascii="Arial" w:cs="Arial" w:eastAsia="Arial" w:hAnsi="Arial"/>
                <w:sz w:val="18"/>
                <w:szCs w:val="18"/>
                <w:color w:val="auto"/>
                <w:w w:val="92"/>
              </w:rPr>
              <w:t>Central Region from January 2009 to December 2010. Country Manager of the Netherlands from March 2005 to December 2008. An</w:t>
            </w:r>
          </w:p>
        </w:tc>
      </w:tr>
      <w:tr>
        <w:trPr>
          <w:trHeight w:val="230"/>
        </w:trPr>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960" w:type="dxa"/>
            <w:vAlign w:val="bottom"/>
            <w:gridSpan w:val="3"/>
          </w:tcPr>
          <w:p>
            <w:pPr>
              <w:ind w:left="200"/>
              <w:spacing w:after="0"/>
              <w:rPr>
                <w:sz w:val="20"/>
                <w:szCs w:val="20"/>
                <w:color w:val="auto"/>
              </w:rPr>
            </w:pPr>
            <w:r>
              <w:rPr>
                <w:rFonts w:ascii="Arial" w:cs="Arial" w:eastAsia="Arial" w:hAnsi="Arial"/>
                <w:sz w:val="18"/>
                <w:szCs w:val="18"/>
                <w:color w:val="auto"/>
              </w:rPr>
              <w:t>employee of Manpower since March 2005. A director of ABU, the Dutch Association of temporary work agencies.</w:t>
            </w:r>
          </w:p>
        </w:tc>
      </w:tr>
      <w:tr>
        <w:trPr>
          <w:trHeight w:val="418"/>
        </w:trPr>
        <w:tc>
          <w:tcPr>
            <w:tcW w:w="1460" w:type="dxa"/>
            <w:vAlign w:val="bottom"/>
            <w:gridSpan w:val="2"/>
          </w:tcPr>
          <w:p>
            <w:pPr>
              <w:spacing w:after="0"/>
              <w:rPr>
                <w:sz w:val="20"/>
                <w:szCs w:val="20"/>
                <w:color w:val="auto"/>
              </w:rPr>
            </w:pPr>
            <w:r>
              <w:rPr>
                <w:rFonts w:ascii="Arial" w:cs="Arial" w:eastAsia="Arial" w:hAnsi="Arial"/>
                <w:sz w:val="18"/>
                <w:szCs w:val="18"/>
                <w:color w:val="auto"/>
              </w:rPr>
              <w:t>Jonas Prising</w:t>
            </w:r>
          </w:p>
        </w:tc>
        <w:tc>
          <w:tcPr>
            <w:tcW w:w="9960" w:type="dxa"/>
            <w:vAlign w:val="bottom"/>
            <w:gridSpan w:val="3"/>
          </w:tcPr>
          <w:p>
            <w:pPr>
              <w:ind w:left="200"/>
              <w:spacing w:after="0"/>
              <w:rPr>
                <w:sz w:val="20"/>
                <w:szCs w:val="20"/>
                <w:color w:val="auto"/>
              </w:rPr>
            </w:pPr>
            <w:r>
              <w:rPr>
                <w:rFonts w:ascii="Arial" w:cs="Arial" w:eastAsia="Arial" w:hAnsi="Arial"/>
                <w:sz w:val="18"/>
                <w:szCs w:val="18"/>
                <w:color w:val="auto"/>
                <w:w w:val="95"/>
              </w:rPr>
              <w:t>Executive Vice President of Manpower, President – The Americas of Manpower since January 2009. Executive Vice President of</w:t>
            </w:r>
          </w:p>
        </w:tc>
      </w:tr>
      <w:tr>
        <w:trPr>
          <w:trHeight w:val="216"/>
        </w:trPr>
        <w:tc>
          <w:tcPr>
            <w:tcW w:w="1460" w:type="dxa"/>
            <w:vAlign w:val="bottom"/>
            <w:gridSpan w:val="2"/>
          </w:tcPr>
          <w:p>
            <w:pPr>
              <w:spacing w:after="0"/>
              <w:rPr>
                <w:sz w:val="20"/>
                <w:szCs w:val="20"/>
                <w:color w:val="auto"/>
              </w:rPr>
            </w:pPr>
            <w:r>
              <w:rPr>
                <w:rFonts w:ascii="Arial" w:cs="Arial" w:eastAsia="Arial" w:hAnsi="Arial"/>
                <w:sz w:val="18"/>
                <w:szCs w:val="18"/>
                <w:color w:val="auto"/>
              </w:rPr>
              <w:t>Age 45</w:t>
            </w:r>
          </w:p>
        </w:tc>
        <w:tc>
          <w:tcPr>
            <w:tcW w:w="9960" w:type="dxa"/>
            <w:vAlign w:val="bottom"/>
            <w:gridSpan w:val="3"/>
          </w:tcPr>
          <w:p>
            <w:pPr>
              <w:ind w:left="200"/>
              <w:spacing w:after="0"/>
              <w:rPr>
                <w:sz w:val="20"/>
                <w:szCs w:val="20"/>
                <w:color w:val="auto"/>
              </w:rPr>
            </w:pPr>
            <w:r>
              <w:rPr>
                <w:rFonts w:ascii="Arial" w:cs="Arial" w:eastAsia="Arial" w:hAnsi="Arial"/>
                <w:sz w:val="18"/>
                <w:szCs w:val="18"/>
                <w:color w:val="auto"/>
                <w:w w:val="98"/>
              </w:rPr>
              <w:t>Manpower, President – United States and Canadian Operations from January 2006 to December 2008. Managing Director of</w:t>
            </w:r>
          </w:p>
        </w:tc>
      </w:tr>
      <w:tr>
        <w:trPr>
          <w:trHeight w:val="230"/>
        </w:trPr>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960" w:type="dxa"/>
            <w:vAlign w:val="bottom"/>
            <w:gridSpan w:val="3"/>
          </w:tcPr>
          <w:p>
            <w:pPr>
              <w:ind w:left="200"/>
              <w:spacing w:after="0"/>
              <w:rPr>
                <w:sz w:val="20"/>
                <w:szCs w:val="20"/>
                <w:color w:val="auto"/>
              </w:rPr>
            </w:pPr>
            <w:r>
              <w:rPr>
                <w:rFonts w:ascii="Arial" w:cs="Arial" w:eastAsia="Arial" w:hAnsi="Arial"/>
                <w:sz w:val="18"/>
                <w:szCs w:val="18"/>
                <w:color w:val="auto"/>
              </w:rPr>
              <w:t>Manpower Italy from July 2002 to December 2005. An employee of Manpower since June 1999.</w:t>
            </w:r>
          </w:p>
        </w:tc>
      </w:tr>
      <w:tr>
        <w:trPr>
          <w:trHeight w:val="418"/>
        </w:trPr>
        <w:tc>
          <w:tcPr>
            <w:tcW w:w="1460" w:type="dxa"/>
            <w:vAlign w:val="bottom"/>
            <w:gridSpan w:val="2"/>
          </w:tcPr>
          <w:p>
            <w:pPr>
              <w:spacing w:after="0"/>
              <w:rPr>
                <w:sz w:val="20"/>
                <w:szCs w:val="20"/>
                <w:color w:val="auto"/>
              </w:rPr>
            </w:pPr>
            <w:r>
              <w:rPr>
                <w:rFonts w:ascii="Arial" w:cs="Arial" w:eastAsia="Arial" w:hAnsi="Arial"/>
                <w:sz w:val="18"/>
                <w:szCs w:val="18"/>
                <w:color w:val="auto"/>
              </w:rPr>
              <w:t>Owen J. Sullivan</w:t>
            </w:r>
          </w:p>
        </w:tc>
        <w:tc>
          <w:tcPr>
            <w:tcW w:w="9960" w:type="dxa"/>
            <w:vAlign w:val="bottom"/>
            <w:gridSpan w:val="3"/>
          </w:tcPr>
          <w:p>
            <w:pPr>
              <w:ind w:left="200"/>
              <w:spacing w:after="0"/>
              <w:rPr>
                <w:sz w:val="20"/>
                <w:szCs w:val="20"/>
                <w:color w:val="auto"/>
              </w:rPr>
            </w:pPr>
            <w:r>
              <w:rPr>
                <w:rFonts w:ascii="Arial" w:cs="Arial" w:eastAsia="Arial" w:hAnsi="Arial"/>
                <w:sz w:val="18"/>
                <w:szCs w:val="18"/>
                <w:color w:val="auto"/>
                <w:w w:val="96"/>
              </w:rPr>
              <w:t>Executive Vice President of Manpower, and Chief Executive Officer of Right Management since January 2005. An employee of</w:t>
            </w:r>
          </w:p>
        </w:tc>
      </w:tr>
      <w:tr>
        <w:trPr>
          <w:trHeight w:val="230"/>
        </w:trPr>
        <w:tc>
          <w:tcPr>
            <w:tcW w:w="1460" w:type="dxa"/>
            <w:vAlign w:val="bottom"/>
            <w:gridSpan w:val="2"/>
          </w:tcPr>
          <w:p>
            <w:pPr>
              <w:spacing w:after="0"/>
              <w:rPr>
                <w:sz w:val="20"/>
                <w:szCs w:val="20"/>
                <w:color w:val="auto"/>
              </w:rPr>
            </w:pPr>
            <w:r>
              <w:rPr>
                <w:rFonts w:ascii="Arial" w:cs="Arial" w:eastAsia="Arial" w:hAnsi="Arial"/>
                <w:sz w:val="18"/>
                <w:szCs w:val="18"/>
                <w:color w:val="auto"/>
              </w:rPr>
              <w:t>Age 53</w:t>
            </w:r>
          </w:p>
        </w:tc>
        <w:tc>
          <w:tcPr>
            <w:tcW w:w="9960" w:type="dxa"/>
            <w:vAlign w:val="bottom"/>
            <w:gridSpan w:val="3"/>
          </w:tcPr>
          <w:p>
            <w:pPr>
              <w:ind w:left="200"/>
              <w:spacing w:after="0"/>
              <w:rPr>
                <w:sz w:val="20"/>
                <w:szCs w:val="20"/>
                <w:color w:val="auto"/>
              </w:rPr>
            </w:pPr>
            <w:r>
              <w:rPr>
                <w:rFonts w:ascii="Arial" w:cs="Arial" w:eastAsia="Arial" w:hAnsi="Arial"/>
                <w:sz w:val="18"/>
                <w:szCs w:val="18"/>
                <w:color w:val="auto"/>
              </w:rPr>
              <w:t>Manpower since April 2003. A director of Journal Communications since 2007.</w:t>
            </w:r>
          </w:p>
        </w:tc>
      </w:tr>
      <w:tr>
        <w:trPr>
          <w:trHeight w:val="418"/>
        </w:trPr>
        <w:tc>
          <w:tcPr>
            <w:tcW w:w="1460" w:type="dxa"/>
            <w:vAlign w:val="bottom"/>
            <w:gridSpan w:val="2"/>
          </w:tcPr>
          <w:p>
            <w:pPr>
              <w:spacing w:after="0"/>
              <w:rPr>
                <w:sz w:val="20"/>
                <w:szCs w:val="20"/>
                <w:color w:val="auto"/>
              </w:rPr>
            </w:pPr>
            <w:r>
              <w:rPr>
                <w:rFonts w:ascii="Arial" w:cs="Arial" w:eastAsia="Arial" w:hAnsi="Arial"/>
                <w:sz w:val="18"/>
                <w:szCs w:val="18"/>
                <w:color w:val="auto"/>
              </w:rPr>
              <w:t>Francoise Gri</w:t>
            </w:r>
          </w:p>
        </w:tc>
        <w:tc>
          <w:tcPr>
            <w:tcW w:w="9960" w:type="dxa"/>
            <w:vAlign w:val="bottom"/>
            <w:gridSpan w:val="3"/>
          </w:tcPr>
          <w:p>
            <w:pPr>
              <w:ind w:left="200"/>
              <w:spacing w:after="0"/>
              <w:rPr>
                <w:sz w:val="20"/>
                <w:szCs w:val="20"/>
                <w:color w:val="auto"/>
              </w:rPr>
            </w:pPr>
            <w:r>
              <w:rPr>
                <w:rFonts w:ascii="Arial" w:cs="Arial" w:eastAsia="Arial" w:hAnsi="Arial"/>
                <w:sz w:val="18"/>
                <w:szCs w:val="18"/>
                <w:color w:val="auto"/>
                <w:w w:val="94"/>
              </w:rPr>
              <w:t>Executive Vice President of Manpower, President – Southern Europe since January 2011. Executive Vice President of Manpower,</w:t>
            </w:r>
          </w:p>
        </w:tc>
      </w:tr>
      <w:tr>
        <w:trPr>
          <w:trHeight w:val="216"/>
        </w:trPr>
        <w:tc>
          <w:tcPr>
            <w:tcW w:w="1460" w:type="dxa"/>
            <w:vAlign w:val="bottom"/>
            <w:gridSpan w:val="2"/>
          </w:tcPr>
          <w:p>
            <w:pPr>
              <w:spacing w:after="0"/>
              <w:rPr>
                <w:sz w:val="20"/>
                <w:szCs w:val="20"/>
                <w:color w:val="auto"/>
              </w:rPr>
            </w:pPr>
            <w:r>
              <w:rPr>
                <w:rFonts w:ascii="Arial" w:cs="Arial" w:eastAsia="Arial" w:hAnsi="Arial"/>
                <w:sz w:val="18"/>
                <w:szCs w:val="18"/>
                <w:color w:val="auto"/>
              </w:rPr>
              <w:t>Age 53</w:t>
            </w:r>
          </w:p>
        </w:tc>
        <w:tc>
          <w:tcPr>
            <w:tcW w:w="9960" w:type="dxa"/>
            <w:vAlign w:val="bottom"/>
            <w:gridSpan w:val="3"/>
          </w:tcPr>
          <w:p>
            <w:pPr>
              <w:ind w:left="200"/>
              <w:spacing w:after="0"/>
              <w:rPr>
                <w:sz w:val="20"/>
                <w:szCs w:val="20"/>
                <w:color w:val="auto"/>
              </w:rPr>
            </w:pPr>
            <w:r>
              <w:rPr>
                <w:rFonts w:ascii="Arial" w:cs="Arial" w:eastAsia="Arial" w:hAnsi="Arial"/>
                <w:sz w:val="18"/>
                <w:szCs w:val="18"/>
                <w:color w:val="auto"/>
                <w:w w:val="94"/>
              </w:rPr>
              <w:t>President - France from February 2007 to December 2010. Prior to joining Manpower, held various leadership roles with IBM from</w:t>
            </w:r>
          </w:p>
        </w:tc>
      </w:tr>
      <w:tr>
        <w:trPr>
          <w:trHeight w:val="216"/>
        </w:trPr>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960" w:type="dxa"/>
            <w:vAlign w:val="bottom"/>
            <w:gridSpan w:val="3"/>
          </w:tcPr>
          <w:p>
            <w:pPr>
              <w:ind w:left="200"/>
              <w:spacing w:after="0"/>
              <w:rPr>
                <w:sz w:val="20"/>
                <w:szCs w:val="20"/>
                <w:color w:val="auto"/>
              </w:rPr>
            </w:pPr>
            <w:r>
              <w:rPr>
                <w:rFonts w:ascii="Arial" w:cs="Arial" w:eastAsia="Arial" w:hAnsi="Arial"/>
                <w:sz w:val="18"/>
                <w:szCs w:val="18"/>
                <w:color w:val="auto"/>
                <w:w w:val="94"/>
              </w:rPr>
              <w:t>1981 to February 2007 including: regional general manager of France, Belgium and Luxembourg; vice president of marketing and</w:t>
            </w:r>
          </w:p>
        </w:tc>
      </w:tr>
      <w:tr>
        <w:trPr>
          <w:trHeight w:val="216"/>
        </w:trPr>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960" w:type="dxa"/>
            <w:vAlign w:val="bottom"/>
            <w:gridSpan w:val="3"/>
          </w:tcPr>
          <w:p>
            <w:pPr>
              <w:ind w:left="200"/>
              <w:spacing w:after="0"/>
              <w:rPr>
                <w:sz w:val="20"/>
                <w:szCs w:val="20"/>
                <w:color w:val="auto"/>
              </w:rPr>
            </w:pPr>
            <w:r>
              <w:rPr>
                <w:rFonts w:ascii="Arial" w:cs="Arial" w:eastAsia="Arial" w:hAnsi="Arial"/>
                <w:sz w:val="18"/>
                <w:szCs w:val="18"/>
                <w:color w:val="auto"/>
                <w:w w:val="93"/>
              </w:rPr>
              <w:t>channels software for IBM EMEA; and executive of e-business solutions for IBM EMEA. An employee of Manpower since February</w:t>
            </w:r>
          </w:p>
        </w:tc>
      </w:tr>
      <w:tr>
        <w:trPr>
          <w:trHeight w:val="230"/>
        </w:trPr>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gridSpan w:val="2"/>
          </w:tcPr>
          <w:p>
            <w:pPr>
              <w:ind w:left="200"/>
              <w:spacing w:after="0"/>
              <w:rPr>
                <w:sz w:val="20"/>
                <w:szCs w:val="20"/>
                <w:color w:val="auto"/>
              </w:rPr>
            </w:pPr>
            <w:r>
              <w:rPr>
                <w:rFonts w:ascii="Arial" w:cs="Arial" w:eastAsia="Arial" w:hAnsi="Arial"/>
                <w:sz w:val="18"/>
                <w:szCs w:val="18"/>
                <w:color w:val="auto"/>
                <w:w w:val="97"/>
              </w:rPr>
              <w:t>2007.</w:t>
            </w:r>
          </w:p>
        </w:tc>
        <w:tc>
          <w:tcPr>
            <w:tcW w:w="9300" w:type="dxa"/>
            <w:vAlign w:val="bottom"/>
          </w:tcPr>
          <w:p>
            <w:pPr>
              <w:spacing w:after="0"/>
              <w:rPr>
                <w:sz w:val="20"/>
                <w:szCs w:val="20"/>
                <w:color w:val="auto"/>
              </w:rPr>
            </w:pPr>
          </w:p>
        </w:tc>
      </w:tr>
      <w:tr>
        <w:trPr>
          <w:trHeight w:val="418"/>
        </w:trPr>
        <w:tc>
          <w:tcPr>
            <w:tcW w:w="1460" w:type="dxa"/>
            <w:vAlign w:val="bottom"/>
            <w:gridSpan w:val="2"/>
          </w:tcPr>
          <w:p>
            <w:pPr>
              <w:spacing w:after="0"/>
              <w:rPr>
                <w:sz w:val="20"/>
                <w:szCs w:val="20"/>
                <w:color w:val="auto"/>
              </w:rPr>
            </w:pPr>
            <w:r>
              <w:rPr>
                <w:rFonts w:ascii="Arial" w:cs="Arial" w:eastAsia="Arial" w:hAnsi="Arial"/>
                <w:sz w:val="18"/>
                <w:szCs w:val="18"/>
                <w:color w:val="auto"/>
              </w:rPr>
              <w:t>Darryl Green</w:t>
            </w:r>
          </w:p>
        </w:tc>
        <w:tc>
          <w:tcPr>
            <w:tcW w:w="9960" w:type="dxa"/>
            <w:vAlign w:val="bottom"/>
            <w:gridSpan w:val="3"/>
          </w:tcPr>
          <w:p>
            <w:pPr>
              <w:ind w:left="200"/>
              <w:spacing w:after="0"/>
              <w:rPr>
                <w:sz w:val="20"/>
                <w:szCs w:val="20"/>
                <w:color w:val="auto"/>
              </w:rPr>
            </w:pPr>
            <w:r>
              <w:rPr>
                <w:rFonts w:ascii="Arial" w:cs="Arial" w:eastAsia="Arial" w:hAnsi="Arial"/>
                <w:sz w:val="18"/>
                <w:szCs w:val="18"/>
                <w:color w:val="auto"/>
                <w:w w:val="95"/>
              </w:rPr>
              <w:t>Executive Vice President of Manpower, President –Asia-Pacific and Middle East Operations since January 2009. Executive Vice</w:t>
            </w:r>
          </w:p>
        </w:tc>
      </w:tr>
      <w:tr>
        <w:trPr>
          <w:trHeight w:val="216"/>
        </w:trPr>
        <w:tc>
          <w:tcPr>
            <w:tcW w:w="1460" w:type="dxa"/>
            <w:vAlign w:val="bottom"/>
            <w:gridSpan w:val="2"/>
          </w:tcPr>
          <w:p>
            <w:pPr>
              <w:spacing w:after="0"/>
              <w:rPr>
                <w:sz w:val="20"/>
                <w:szCs w:val="20"/>
                <w:color w:val="auto"/>
              </w:rPr>
            </w:pPr>
            <w:r>
              <w:rPr>
                <w:rFonts w:ascii="Arial" w:cs="Arial" w:eastAsia="Arial" w:hAnsi="Arial"/>
                <w:sz w:val="18"/>
                <w:szCs w:val="18"/>
                <w:color w:val="auto"/>
              </w:rPr>
              <w:t>Age 50</w:t>
            </w:r>
          </w:p>
        </w:tc>
        <w:tc>
          <w:tcPr>
            <w:tcW w:w="9960" w:type="dxa"/>
            <w:vAlign w:val="bottom"/>
            <w:gridSpan w:val="3"/>
          </w:tcPr>
          <w:p>
            <w:pPr>
              <w:ind w:left="200"/>
              <w:spacing w:after="0"/>
              <w:rPr>
                <w:sz w:val="20"/>
                <w:szCs w:val="20"/>
                <w:color w:val="auto"/>
              </w:rPr>
            </w:pPr>
            <w:r>
              <w:rPr>
                <w:rFonts w:ascii="Arial" w:cs="Arial" w:eastAsia="Arial" w:hAnsi="Arial"/>
                <w:sz w:val="18"/>
                <w:szCs w:val="18"/>
                <w:color w:val="auto"/>
                <w:w w:val="92"/>
              </w:rPr>
              <w:t>President of Manpower, President – Asia-Pacific Operations from May 2007 to December 2008. Prior to joining Manpower, served as</w:t>
            </w:r>
          </w:p>
        </w:tc>
      </w:tr>
      <w:tr>
        <w:trPr>
          <w:trHeight w:val="216"/>
        </w:trPr>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960" w:type="dxa"/>
            <w:vAlign w:val="bottom"/>
            <w:gridSpan w:val="3"/>
          </w:tcPr>
          <w:p>
            <w:pPr>
              <w:ind w:left="200"/>
              <w:spacing w:after="0"/>
              <w:rPr>
                <w:sz w:val="20"/>
                <w:szCs w:val="20"/>
                <w:color w:val="auto"/>
              </w:rPr>
            </w:pPr>
            <w:r>
              <w:rPr>
                <w:rFonts w:ascii="Arial" w:cs="Arial" w:eastAsia="Arial" w:hAnsi="Arial"/>
                <w:sz w:val="18"/>
                <w:szCs w:val="18"/>
                <w:color w:val="auto"/>
                <w:w w:val="91"/>
              </w:rPr>
              <w:t>CEO of Tata Teleservices. Previously, CEO of Vodafone Japan, a publicly listed mobile services provider. An employee of Manpower</w:t>
            </w:r>
          </w:p>
        </w:tc>
      </w:tr>
      <w:tr>
        <w:trPr>
          <w:trHeight w:val="230"/>
        </w:trPr>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960" w:type="dxa"/>
            <w:vAlign w:val="bottom"/>
            <w:gridSpan w:val="3"/>
          </w:tcPr>
          <w:p>
            <w:pPr>
              <w:ind w:left="200"/>
              <w:spacing w:after="0"/>
              <w:rPr>
                <w:sz w:val="20"/>
                <w:szCs w:val="20"/>
                <w:color w:val="auto"/>
              </w:rPr>
            </w:pPr>
            <w:r>
              <w:rPr>
                <w:rFonts w:ascii="Arial" w:cs="Arial" w:eastAsia="Arial" w:hAnsi="Arial"/>
                <w:sz w:val="18"/>
                <w:szCs w:val="18"/>
                <w:color w:val="auto"/>
              </w:rPr>
              <w:t>since May 2007.</w:t>
            </w:r>
          </w:p>
        </w:tc>
      </w:tr>
      <w:tr>
        <w:trPr>
          <w:trHeight w:val="418"/>
        </w:trPr>
        <w:tc>
          <w:tcPr>
            <w:tcW w:w="1460" w:type="dxa"/>
            <w:vAlign w:val="bottom"/>
            <w:gridSpan w:val="2"/>
          </w:tcPr>
          <w:p>
            <w:pPr>
              <w:spacing w:after="0"/>
              <w:rPr>
                <w:sz w:val="20"/>
                <w:szCs w:val="20"/>
                <w:color w:val="auto"/>
              </w:rPr>
            </w:pPr>
            <w:r>
              <w:rPr>
                <w:rFonts w:ascii="Arial" w:cs="Arial" w:eastAsia="Arial" w:hAnsi="Arial"/>
                <w:sz w:val="18"/>
                <w:szCs w:val="18"/>
                <w:color w:val="auto"/>
              </w:rPr>
              <w:t>Mara E. Swan</w:t>
            </w:r>
          </w:p>
        </w:tc>
        <w:tc>
          <w:tcPr>
            <w:tcW w:w="9960" w:type="dxa"/>
            <w:vAlign w:val="bottom"/>
            <w:gridSpan w:val="3"/>
          </w:tcPr>
          <w:p>
            <w:pPr>
              <w:ind w:left="200"/>
              <w:spacing w:after="0"/>
              <w:rPr>
                <w:sz w:val="20"/>
                <w:szCs w:val="20"/>
                <w:color w:val="auto"/>
              </w:rPr>
            </w:pPr>
            <w:r>
              <w:rPr>
                <w:rFonts w:ascii="Arial" w:cs="Arial" w:eastAsia="Arial" w:hAnsi="Arial"/>
                <w:sz w:val="18"/>
                <w:szCs w:val="18"/>
                <w:color w:val="auto"/>
                <w:w w:val="93"/>
              </w:rPr>
              <w:t>Executive Vice President - Global Strategy and Talent since January 2009. Senior Vice President of Global Human Resources from</w:t>
            </w:r>
          </w:p>
        </w:tc>
      </w:tr>
      <w:tr>
        <w:trPr>
          <w:trHeight w:val="216"/>
        </w:trPr>
        <w:tc>
          <w:tcPr>
            <w:tcW w:w="1460" w:type="dxa"/>
            <w:vAlign w:val="bottom"/>
            <w:gridSpan w:val="2"/>
          </w:tcPr>
          <w:p>
            <w:pPr>
              <w:spacing w:after="0"/>
              <w:rPr>
                <w:sz w:val="20"/>
                <w:szCs w:val="20"/>
                <w:color w:val="auto"/>
              </w:rPr>
            </w:pPr>
            <w:r>
              <w:rPr>
                <w:rFonts w:ascii="Arial" w:cs="Arial" w:eastAsia="Arial" w:hAnsi="Arial"/>
                <w:sz w:val="18"/>
                <w:szCs w:val="18"/>
                <w:color w:val="auto"/>
              </w:rPr>
              <w:t>Age 51</w:t>
            </w:r>
          </w:p>
        </w:tc>
        <w:tc>
          <w:tcPr>
            <w:tcW w:w="9960" w:type="dxa"/>
            <w:vAlign w:val="bottom"/>
            <w:gridSpan w:val="3"/>
          </w:tcPr>
          <w:p>
            <w:pPr>
              <w:ind w:left="200"/>
              <w:spacing w:after="0"/>
              <w:rPr>
                <w:sz w:val="20"/>
                <w:szCs w:val="20"/>
                <w:color w:val="auto"/>
              </w:rPr>
            </w:pPr>
            <w:r>
              <w:rPr>
                <w:rFonts w:ascii="Arial" w:cs="Arial" w:eastAsia="Arial" w:hAnsi="Arial"/>
                <w:sz w:val="18"/>
                <w:szCs w:val="18"/>
                <w:color w:val="auto"/>
                <w:w w:val="93"/>
              </w:rPr>
              <w:t>August 2005 to December 2008. Prior to Manpower, served as Chief People Officer for the Molson Coors Brewing Company for its</w:t>
            </w:r>
          </w:p>
        </w:tc>
      </w:tr>
      <w:tr>
        <w:trPr>
          <w:trHeight w:val="230"/>
        </w:trPr>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960" w:type="dxa"/>
            <w:vAlign w:val="bottom"/>
            <w:gridSpan w:val="3"/>
          </w:tcPr>
          <w:p>
            <w:pPr>
              <w:ind w:left="200"/>
              <w:spacing w:after="0"/>
              <w:rPr>
                <w:sz w:val="20"/>
                <w:szCs w:val="20"/>
                <w:color w:val="auto"/>
              </w:rPr>
            </w:pPr>
            <w:r>
              <w:rPr>
                <w:rFonts w:ascii="Arial" w:cs="Arial" w:eastAsia="Arial" w:hAnsi="Arial"/>
                <w:sz w:val="18"/>
                <w:szCs w:val="18"/>
                <w:color w:val="auto"/>
              </w:rPr>
              <w:t>global operations. An employee of Manpower since August 2005.</w:t>
            </w:r>
          </w:p>
        </w:tc>
      </w:tr>
      <w:tr>
        <w:trPr>
          <w:trHeight w:val="418"/>
        </w:trPr>
        <w:tc>
          <w:tcPr>
            <w:tcW w:w="1460" w:type="dxa"/>
            <w:vAlign w:val="bottom"/>
            <w:gridSpan w:val="2"/>
          </w:tcPr>
          <w:p>
            <w:pPr>
              <w:spacing w:after="0"/>
              <w:rPr>
                <w:sz w:val="20"/>
                <w:szCs w:val="20"/>
                <w:color w:val="auto"/>
              </w:rPr>
            </w:pPr>
            <w:r>
              <w:rPr>
                <w:rFonts w:ascii="Arial" w:cs="Arial" w:eastAsia="Arial" w:hAnsi="Arial"/>
                <w:sz w:val="18"/>
                <w:szCs w:val="18"/>
                <w:color w:val="auto"/>
              </w:rPr>
              <w:t>Kenneth C. Hunt</w:t>
            </w:r>
          </w:p>
        </w:tc>
        <w:tc>
          <w:tcPr>
            <w:tcW w:w="9960" w:type="dxa"/>
            <w:vAlign w:val="bottom"/>
            <w:gridSpan w:val="3"/>
          </w:tcPr>
          <w:p>
            <w:pPr>
              <w:ind w:left="200"/>
              <w:spacing w:after="0"/>
              <w:rPr>
                <w:sz w:val="20"/>
                <w:szCs w:val="20"/>
                <w:color w:val="auto"/>
              </w:rPr>
            </w:pPr>
            <w:r>
              <w:rPr>
                <w:rFonts w:ascii="Arial" w:cs="Arial" w:eastAsia="Arial" w:hAnsi="Arial"/>
                <w:sz w:val="18"/>
                <w:szCs w:val="18"/>
                <w:color w:val="auto"/>
                <w:w w:val="90"/>
              </w:rPr>
              <w:t>Senior Vice President, General Counsel and Secretary of Manpower since January 2008. Prior to joining Manpower, a shareholder with</w:t>
            </w:r>
          </w:p>
        </w:tc>
      </w:tr>
      <w:tr>
        <w:trPr>
          <w:trHeight w:val="230"/>
        </w:trPr>
        <w:tc>
          <w:tcPr>
            <w:tcW w:w="1460" w:type="dxa"/>
            <w:vAlign w:val="bottom"/>
            <w:gridSpan w:val="2"/>
          </w:tcPr>
          <w:p>
            <w:pPr>
              <w:spacing w:after="0"/>
              <w:rPr>
                <w:sz w:val="20"/>
                <w:szCs w:val="20"/>
                <w:color w:val="auto"/>
              </w:rPr>
            </w:pPr>
            <w:r>
              <w:rPr>
                <w:rFonts w:ascii="Arial" w:cs="Arial" w:eastAsia="Arial" w:hAnsi="Arial"/>
                <w:sz w:val="18"/>
                <w:szCs w:val="18"/>
                <w:color w:val="auto"/>
              </w:rPr>
              <w:t>Age 61</w:t>
            </w:r>
          </w:p>
        </w:tc>
        <w:tc>
          <w:tcPr>
            <w:tcW w:w="9960" w:type="dxa"/>
            <w:vAlign w:val="bottom"/>
            <w:gridSpan w:val="3"/>
          </w:tcPr>
          <w:p>
            <w:pPr>
              <w:ind w:left="200"/>
              <w:spacing w:after="0"/>
              <w:rPr>
                <w:sz w:val="20"/>
                <w:szCs w:val="20"/>
                <w:color w:val="auto"/>
              </w:rPr>
            </w:pPr>
            <w:r>
              <w:rPr>
                <w:rFonts w:ascii="Arial" w:cs="Arial" w:eastAsia="Arial" w:hAnsi="Arial"/>
                <w:sz w:val="18"/>
                <w:szCs w:val="18"/>
                <w:color w:val="auto"/>
              </w:rPr>
              <w:t>the law firm of Godfrey &amp; Kahn, S.C. from 1981 to 2007. An employee of Manpower since January 2008.</w:t>
            </w:r>
          </w:p>
        </w:tc>
      </w:tr>
      <w:tr>
        <w:trPr>
          <w:trHeight w:val="581"/>
        </w:trPr>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960" w:type="dxa"/>
            <w:vAlign w:val="bottom"/>
            <w:gridSpan w:val="3"/>
          </w:tcPr>
          <w:p>
            <w:pPr>
              <w:jc w:val="center"/>
              <w:ind w:right="1370"/>
              <w:spacing w:after="0"/>
              <w:rPr>
                <w:sz w:val="20"/>
                <w:szCs w:val="20"/>
                <w:color w:val="auto"/>
              </w:rPr>
            </w:pPr>
            <w:r>
              <w:rPr>
                <w:rFonts w:ascii="Arial" w:cs="Arial" w:eastAsia="Arial" w:hAnsi="Arial"/>
                <w:sz w:val="18"/>
                <w:szCs w:val="18"/>
                <w:color w:val="auto"/>
                <w:w w:val="89"/>
              </w:rPr>
              <w:t>19</w:t>
            </w:r>
          </w:p>
        </w:tc>
      </w:tr>
      <w:tr>
        <w:trPr>
          <w:trHeight w:val="105"/>
        </w:trPr>
        <w:tc>
          <w:tcPr>
            <w:tcW w:w="124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930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19" w:name="page20"/>
    <w:bookmarkEnd w:id="19"/>
    <w:p>
      <w:pPr>
        <w:ind w:left="4700"/>
        <w:spacing w:after="0"/>
        <w:rPr>
          <w:sz w:val="20"/>
          <w:szCs w:val="20"/>
          <w:color w:val="auto"/>
        </w:rPr>
      </w:pPr>
      <w:r>
        <w:rPr>
          <w:rFonts w:ascii="Arial" w:cs="Arial" w:eastAsia="Arial" w:hAnsi="Arial"/>
          <w:sz w:val="18"/>
          <w:szCs w:val="18"/>
          <w:b w:val="1"/>
          <w:bCs w:val="1"/>
          <w:color w:val="auto"/>
        </w:rPr>
        <w:t>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Audit Committee Approval of Audit-Related and Non-Audit Services</w:t>
      </w:r>
    </w:p>
    <w:p>
      <w:pPr>
        <w:spacing w:after="0" w:line="225" w:lineRule="exact"/>
        <w:rPr>
          <w:sz w:val="20"/>
          <w:szCs w:val="20"/>
          <w:color w:val="auto"/>
        </w:rPr>
      </w:pPr>
    </w:p>
    <w:p>
      <w:pPr>
        <w:ind w:left="500" w:right="200"/>
        <w:spacing w:after="0" w:line="277" w:lineRule="auto"/>
        <w:rPr>
          <w:sz w:val="20"/>
          <w:szCs w:val="20"/>
          <w:color w:val="auto"/>
        </w:rPr>
      </w:pPr>
      <w:r>
        <w:rPr>
          <w:rFonts w:ascii="Arial" w:cs="Arial" w:eastAsia="Arial" w:hAnsi="Arial"/>
          <w:sz w:val="18"/>
          <w:szCs w:val="18"/>
          <w:color w:val="auto"/>
        </w:rPr>
        <w:t>The Audit Committee of our Board of Directors has approved the following audit-related and non-audit services performed or to be performed for us by our independent registered public accounting firm, Deloitte &amp; Touche LLP, in 2010:</w:t>
      </w:r>
    </w:p>
    <w:p>
      <w:pPr>
        <w:spacing w:after="0" w:line="387" w:lineRule="exact"/>
        <w:rPr>
          <w:sz w:val="20"/>
          <w:szCs w:val="20"/>
          <w:color w:val="auto"/>
        </w:rPr>
      </w:pPr>
    </w:p>
    <w:p>
      <w:pPr>
        <w:ind w:left="500" w:hanging="295"/>
        <w:spacing w:after="0"/>
        <w:tabs>
          <w:tab w:leader="none" w:pos="5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preparation and/or review of tax returns, including sales and use tax, excise tax, income tax, local tax, property tax, and value-added tax;</w:t>
      </w:r>
    </w:p>
    <w:p>
      <w:pPr>
        <w:spacing w:after="0" w:line="225" w:lineRule="exact"/>
        <w:rPr>
          <w:rFonts w:ascii="Arial" w:cs="Arial" w:eastAsia="Arial" w:hAnsi="Arial"/>
          <w:sz w:val="18"/>
          <w:szCs w:val="18"/>
          <w:color w:val="auto"/>
        </w:rPr>
      </w:pPr>
    </w:p>
    <w:p>
      <w:pPr>
        <w:ind w:left="500" w:hanging="306"/>
        <w:spacing w:after="0"/>
        <w:tabs>
          <w:tab w:leader="none" w:pos="5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consultation regarding appropriate handling of items on tax returns, required disclosures, elections and filing positions available to us;</w:t>
      </w:r>
    </w:p>
    <w:p>
      <w:pPr>
        <w:spacing w:after="0" w:line="225" w:lineRule="exact"/>
        <w:rPr>
          <w:rFonts w:ascii="Arial" w:cs="Arial" w:eastAsia="Arial" w:hAnsi="Arial"/>
          <w:sz w:val="18"/>
          <w:szCs w:val="18"/>
          <w:color w:val="auto"/>
        </w:rPr>
      </w:pPr>
    </w:p>
    <w:p>
      <w:pPr>
        <w:jc w:val="both"/>
        <w:ind w:left="500" w:hanging="295"/>
        <w:spacing w:after="0" w:line="264" w:lineRule="auto"/>
        <w:tabs>
          <w:tab w:leader="none" w:pos="5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assistance with tax audits and examinations, including providing technical advice on technical interpretations, applicable laws and regulations, tax accounting, foreign tax credits, foreign income tax, foreign earnings and profits, U.S. treatment of foreign subsidiary income, and value-added tax, excise tax or equivalent taxes in foreign jurisdictions;</w:t>
      </w:r>
    </w:p>
    <w:p>
      <w:pPr>
        <w:spacing w:after="0" w:line="181" w:lineRule="exact"/>
        <w:rPr>
          <w:rFonts w:ascii="Arial" w:cs="Arial" w:eastAsia="Arial" w:hAnsi="Arial"/>
          <w:sz w:val="18"/>
          <w:szCs w:val="18"/>
          <w:color w:val="auto"/>
        </w:rPr>
      </w:pPr>
    </w:p>
    <w:p>
      <w:pPr>
        <w:ind w:left="500" w:hanging="306"/>
        <w:spacing w:after="0" w:line="277" w:lineRule="auto"/>
        <w:tabs>
          <w:tab w:leader="none" w:pos="5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advice and assistance with respect to transfer pricing matters, including the preparation of reports used by us to comply with taxing authority documentation requirements regarding royalties and inter-company pricing, and assistance with tax exemptions;</w:t>
      </w:r>
    </w:p>
    <w:p>
      <w:pPr>
        <w:spacing w:after="0" w:line="170" w:lineRule="exact"/>
        <w:rPr>
          <w:rFonts w:ascii="Arial" w:cs="Arial" w:eastAsia="Arial" w:hAnsi="Arial"/>
          <w:sz w:val="18"/>
          <w:szCs w:val="18"/>
          <w:color w:val="auto"/>
        </w:rPr>
      </w:pPr>
    </w:p>
    <w:p>
      <w:pPr>
        <w:ind w:left="500" w:hanging="295"/>
        <w:spacing w:after="0"/>
        <w:tabs>
          <w:tab w:leader="none" w:pos="5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assistance relating to our filings with Securities and Exchange Commission, including the issuance of consents;</w:t>
      </w:r>
    </w:p>
    <w:p>
      <w:pPr>
        <w:spacing w:after="0" w:line="225" w:lineRule="exact"/>
        <w:rPr>
          <w:rFonts w:ascii="Arial" w:cs="Arial" w:eastAsia="Arial" w:hAnsi="Arial"/>
          <w:sz w:val="18"/>
          <w:szCs w:val="18"/>
          <w:color w:val="auto"/>
        </w:rPr>
      </w:pPr>
    </w:p>
    <w:p>
      <w:pPr>
        <w:ind w:left="500" w:hanging="275"/>
        <w:spacing w:after="0"/>
        <w:tabs>
          <w:tab w:leader="none" w:pos="5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assistance with due diligence work;</w:t>
      </w:r>
    </w:p>
    <w:p>
      <w:pPr>
        <w:spacing w:after="0" w:line="225" w:lineRule="exact"/>
        <w:rPr>
          <w:rFonts w:ascii="Arial" w:cs="Arial" w:eastAsia="Arial" w:hAnsi="Arial"/>
          <w:sz w:val="18"/>
          <w:szCs w:val="18"/>
          <w:color w:val="auto"/>
        </w:rPr>
      </w:pPr>
    </w:p>
    <w:p>
      <w:pPr>
        <w:ind w:left="500" w:hanging="306"/>
        <w:spacing w:after="0"/>
        <w:tabs>
          <w:tab w:leader="none" w:pos="5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advice regarding tax issues relating to our internal reorganizations;</w:t>
      </w:r>
    </w:p>
    <w:p>
      <w:pPr>
        <w:spacing w:after="0" w:line="225" w:lineRule="exact"/>
        <w:rPr>
          <w:rFonts w:ascii="Arial" w:cs="Arial" w:eastAsia="Arial" w:hAnsi="Arial"/>
          <w:sz w:val="18"/>
          <w:szCs w:val="18"/>
          <w:color w:val="auto"/>
        </w:rPr>
      </w:pPr>
    </w:p>
    <w:p>
      <w:pPr>
        <w:ind w:left="500" w:hanging="306"/>
        <w:spacing w:after="0"/>
        <w:tabs>
          <w:tab w:leader="none" w:pos="5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consultation on various projects, including training for new reporting requirements in our foreign operations; and</w:t>
      </w:r>
    </w:p>
    <w:p>
      <w:pPr>
        <w:spacing w:after="0" w:line="225" w:lineRule="exact"/>
        <w:rPr>
          <w:rFonts w:ascii="Arial" w:cs="Arial" w:eastAsia="Arial" w:hAnsi="Arial"/>
          <w:sz w:val="18"/>
          <w:szCs w:val="18"/>
          <w:color w:val="auto"/>
        </w:rPr>
      </w:pPr>
    </w:p>
    <w:p>
      <w:pPr>
        <w:ind w:left="500" w:hanging="266"/>
        <w:spacing w:after="0"/>
        <w:tabs>
          <w:tab w:leader="none" w:pos="5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reviews of our quarterly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Market for Registrant’s Common Equity, Related Shareholder Matters and Issuer Purchases of Equity Securities</w:t>
      </w:r>
    </w:p>
    <w:p>
      <w:pPr>
        <w:spacing w:after="0" w:line="229" w:lineRule="exact"/>
        <w:rPr>
          <w:sz w:val="20"/>
          <w:szCs w:val="20"/>
          <w:color w:val="auto"/>
        </w:rPr>
      </w:pPr>
    </w:p>
    <w:p>
      <w:pPr>
        <w:ind w:right="40" w:firstLine="486"/>
        <w:spacing w:after="0" w:line="257" w:lineRule="auto"/>
        <w:rPr>
          <w:sz w:val="20"/>
          <w:szCs w:val="20"/>
          <w:color w:val="auto"/>
        </w:rPr>
      </w:pPr>
      <w:r>
        <w:rPr>
          <w:rFonts w:ascii="Arial" w:cs="Arial" w:eastAsia="Arial" w:hAnsi="Arial"/>
          <w:sz w:val="18"/>
          <w:szCs w:val="18"/>
          <w:color w:val="auto"/>
        </w:rPr>
        <w:t>In December 2010, the Board of Directors authorized the repurchase of 3.0 million shares of our common stock. This authorization is in addition to the 2007 authorization to repurchase 5.0 million shares of our common stock, not to exceed a total purchase price of $400.0 million. The authorizations permit share repurchases from time to time through a variety of methods, including open market purchases, block transactions, privately negotiated transactions, accelerated share repurchase programs, forward repurchase agreements or similar facilities. The following table shows the total amount of shares repurchased under these authorizations during the fourth quarter of 2010.</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0" w:type="dxa"/>
            <w:vAlign w:val="bottom"/>
          </w:tcPr>
          <w:p>
            <w:pPr>
              <w:spacing w:after="0"/>
              <w:rPr>
                <w:sz w:val="19"/>
                <w:szCs w:val="19"/>
                <w:color w:val="auto"/>
              </w:rPr>
            </w:pPr>
          </w:p>
        </w:tc>
        <w:tc>
          <w:tcPr>
            <w:tcW w:w="4900" w:type="dxa"/>
            <w:vAlign w:val="bottom"/>
            <w:tcBorders>
              <w:top w:val="single" w:sz="8" w:color="auto"/>
            </w:tcBorders>
          </w:tcPr>
          <w:p>
            <w:pPr>
              <w:spacing w:after="0"/>
              <w:rPr>
                <w:sz w:val="19"/>
                <w:szCs w:val="19"/>
                <w:color w:val="auto"/>
              </w:rPr>
            </w:pPr>
          </w:p>
        </w:tc>
        <w:tc>
          <w:tcPr>
            <w:tcW w:w="154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60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Total number of</w:t>
            </w:r>
          </w:p>
        </w:tc>
        <w:tc>
          <w:tcPr>
            <w:tcW w:w="240" w:type="dxa"/>
            <w:vAlign w:val="bottom"/>
            <w:tcBorders>
              <w:top w:val="single" w:sz="8" w:color="auto"/>
            </w:tcBorders>
          </w:tcPr>
          <w:p>
            <w:pPr>
              <w:spacing w:after="0"/>
              <w:rPr>
                <w:sz w:val="19"/>
                <w:szCs w:val="19"/>
                <w:color w:val="auto"/>
              </w:rPr>
            </w:pPr>
          </w:p>
        </w:tc>
        <w:tc>
          <w:tcPr>
            <w:tcW w:w="1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Approximate</w:t>
            </w: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7"/>
              </w:rPr>
              <w:t>Average</w:t>
            </w:r>
          </w:p>
        </w:tc>
        <w:tc>
          <w:tcPr>
            <w:tcW w:w="24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Arial" w:cs="Arial" w:eastAsia="Arial" w:hAnsi="Arial"/>
                <w:sz w:val="18"/>
                <w:szCs w:val="18"/>
                <w:b w:val="1"/>
                <w:bCs w:val="1"/>
                <w:color w:val="auto"/>
                <w:w w:val="85"/>
              </w:rPr>
              <w:t>shares purchased</w:t>
            </w:r>
          </w:p>
        </w:tc>
        <w:tc>
          <w:tcPr>
            <w:tcW w:w="24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Arial" w:cs="Arial" w:eastAsia="Arial" w:hAnsi="Arial"/>
                <w:sz w:val="18"/>
                <w:szCs w:val="18"/>
                <w:b w:val="1"/>
                <w:bCs w:val="1"/>
                <w:color w:val="auto"/>
                <w:w w:val="88"/>
              </w:rPr>
              <w:t>number of shares</w:t>
            </w: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Arial" w:cs="Arial" w:eastAsia="Arial" w:hAnsi="Arial"/>
                <w:sz w:val="18"/>
                <w:szCs w:val="18"/>
                <w:b w:val="1"/>
                <w:bCs w:val="1"/>
                <w:color w:val="auto"/>
                <w:w w:val="91"/>
              </w:rPr>
              <w:t>Total number of</w:t>
            </w:r>
          </w:p>
        </w:tc>
        <w:tc>
          <w:tcPr>
            <w:tcW w:w="120" w:type="dxa"/>
            <w:vAlign w:val="bottom"/>
          </w:tcPr>
          <w:p>
            <w:pPr>
              <w:spacing w:after="0"/>
              <w:rPr>
                <w:sz w:val="18"/>
                <w:szCs w:val="18"/>
                <w:color w:val="auto"/>
              </w:rPr>
            </w:pPr>
          </w:p>
        </w:tc>
        <w:tc>
          <w:tcPr>
            <w:tcW w:w="12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price paid</w:t>
            </w:r>
          </w:p>
        </w:tc>
        <w:tc>
          <w:tcPr>
            <w:tcW w:w="24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Arial" w:cs="Arial" w:eastAsia="Arial" w:hAnsi="Arial"/>
                <w:sz w:val="18"/>
                <w:szCs w:val="18"/>
                <w:b w:val="1"/>
                <w:bCs w:val="1"/>
                <w:color w:val="auto"/>
                <w:w w:val="90"/>
              </w:rPr>
              <w:t>as part of publicly</w:t>
            </w:r>
          </w:p>
        </w:tc>
        <w:tc>
          <w:tcPr>
            <w:tcW w:w="24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Arial" w:cs="Arial" w:eastAsia="Arial" w:hAnsi="Arial"/>
                <w:sz w:val="18"/>
                <w:szCs w:val="18"/>
                <w:b w:val="1"/>
                <w:bCs w:val="1"/>
                <w:color w:val="auto"/>
                <w:w w:val="90"/>
              </w:rPr>
              <w:t>that may yet be</w:t>
            </w:r>
          </w:p>
        </w:tc>
      </w:tr>
      <w:tr>
        <w:trPr>
          <w:trHeight w:val="241"/>
        </w:trPr>
        <w:tc>
          <w:tcPr>
            <w:tcW w:w="20" w:type="dxa"/>
            <w:vAlign w:val="bottom"/>
          </w:tcPr>
          <w:p>
            <w:pPr>
              <w:spacing w:after="0"/>
              <w:rPr>
                <w:sz w:val="20"/>
                <w:szCs w:val="20"/>
                <w:color w:val="auto"/>
              </w:rPr>
            </w:pPr>
          </w:p>
        </w:tc>
        <w:tc>
          <w:tcPr>
            <w:tcW w:w="4900" w:type="dxa"/>
            <w:vAlign w:val="bottom"/>
          </w:tcPr>
          <w:p>
            <w:pPr>
              <w:spacing w:after="0"/>
              <w:rPr>
                <w:sz w:val="20"/>
                <w:szCs w:val="20"/>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shares purchased</w:t>
            </w:r>
          </w:p>
        </w:tc>
        <w:tc>
          <w:tcPr>
            <w:tcW w:w="120" w:type="dxa"/>
            <w:vAlign w:val="bottom"/>
          </w:tcPr>
          <w:p>
            <w:pPr>
              <w:spacing w:after="0"/>
              <w:rPr>
                <w:sz w:val="20"/>
                <w:szCs w:val="20"/>
                <w:color w:val="auto"/>
              </w:rPr>
            </w:pPr>
          </w:p>
        </w:tc>
        <w:tc>
          <w:tcPr>
            <w:tcW w:w="12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8"/>
              </w:rPr>
              <w:t>per share</w:t>
            </w:r>
          </w:p>
        </w:tc>
        <w:tc>
          <w:tcPr>
            <w:tcW w:w="240" w:type="dxa"/>
            <w:vAlign w:val="bottom"/>
          </w:tcPr>
          <w:p>
            <w:pPr>
              <w:spacing w:after="0"/>
              <w:rPr>
                <w:sz w:val="20"/>
                <w:szCs w:val="20"/>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announced plan</w:t>
            </w:r>
          </w:p>
        </w:tc>
        <w:tc>
          <w:tcPr>
            <w:tcW w:w="240" w:type="dxa"/>
            <w:vAlign w:val="bottom"/>
          </w:tcPr>
          <w:p>
            <w:pPr>
              <w:spacing w:after="0"/>
              <w:rPr>
                <w:sz w:val="20"/>
                <w:szCs w:val="20"/>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5"/>
              </w:rPr>
              <w:t>purchased</w:t>
            </w: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October 1 - 31, 2010</w:t>
            </w: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6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1840" w:type="dxa"/>
            <w:vAlign w:val="bottom"/>
            <w:gridSpan w:val="2"/>
            <w:shd w:val="clear" w:color="auto" w:fill="CCEEFF"/>
          </w:tcPr>
          <w:p>
            <w:pPr>
              <w:jc w:val="right"/>
              <w:ind w:right="730"/>
              <w:spacing w:after="0"/>
              <w:rPr>
                <w:sz w:val="20"/>
                <w:szCs w:val="20"/>
                <w:color w:val="auto"/>
              </w:rPr>
            </w:pPr>
            <w:r>
              <w:rPr>
                <w:rFonts w:ascii="Arial" w:cs="Arial" w:eastAsia="Arial" w:hAnsi="Arial"/>
                <w:sz w:val="18"/>
                <w:szCs w:val="18"/>
                <w:color w:val="auto"/>
              </w:rPr>
              <w:t>-</w:t>
            </w:r>
          </w:p>
        </w:tc>
        <w:tc>
          <w:tcPr>
            <w:tcW w:w="1780" w:type="dxa"/>
            <w:vAlign w:val="bottom"/>
            <w:gridSpan w:val="2"/>
            <w:shd w:val="clear" w:color="auto" w:fill="CCEEFF"/>
          </w:tcPr>
          <w:p>
            <w:pPr>
              <w:jc w:val="center"/>
              <w:ind w:left="290"/>
              <w:spacing w:after="0"/>
              <w:rPr>
                <w:sz w:val="20"/>
                <w:szCs w:val="20"/>
                <w:color w:val="auto"/>
              </w:rPr>
            </w:pPr>
            <w:r>
              <w:rPr>
                <w:rFonts w:ascii="Arial" w:cs="Arial" w:eastAsia="Arial" w:hAnsi="Arial"/>
                <w:sz w:val="18"/>
                <w:szCs w:val="18"/>
                <w:color w:val="auto"/>
                <w:w w:val="92"/>
              </w:rPr>
              <w:t>236,790</w:t>
            </w: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November 1 - 30, 2010</w:t>
            </w:r>
          </w:p>
        </w:tc>
        <w:tc>
          <w:tcPr>
            <w:tcW w:w="1540" w:type="dxa"/>
            <w:vAlign w:val="bottom"/>
          </w:tcPr>
          <w:p>
            <w:pPr>
              <w:jc w:val="center"/>
              <w:spacing w:after="0" w:line="216" w:lineRule="exact"/>
              <w:rPr>
                <w:sz w:val="20"/>
                <w:szCs w:val="20"/>
                <w:color w:val="auto"/>
              </w:rPr>
            </w:pPr>
            <w:r>
              <w:rPr>
                <w:rFonts w:ascii="Arial" w:cs="Arial" w:eastAsia="Arial" w:hAnsi="Arial"/>
                <w:sz w:val="18"/>
                <w:szCs w:val="18"/>
                <w:color w:val="auto"/>
                <w:w w:val="83"/>
              </w:rPr>
              <w:t>421</w:t>
            </w:r>
            <w:r>
              <w:rPr>
                <w:rFonts w:ascii="Arial" w:cs="Arial" w:eastAsia="Arial" w:hAnsi="Arial"/>
                <w:sz w:val="25"/>
                <w:szCs w:val="25"/>
                <w:color w:val="auto"/>
                <w:w w:val="83"/>
                <w:vertAlign w:val="superscript"/>
              </w:rPr>
              <w:t>(1)</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2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1840" w:type="dxa"/>
            <w:vAlign w:val="bottom"/>
            <w:gridSpan w:val="2"/>
          </w:tcPr>
          <w:p>
            <w:pPr>
              <w:jc w:val="right"/>
              <w:ind w:right="730"/>
              <w:spacing w:after="0"/>
              <w:rPr>
                <w:sz w:val="20"/>
                <w:szCs w:val="20"/>
                <w:color w:val="auto"/>
              </w:rPr>
            </w:pPr>
            <w:r>
              <w:rPr>
                <w:rFonts w:ascii="Arial" w:cs="Arial" w:eastAsia="Arial" w:hAnsi="Arial"/>
                <w:sz w:val="18"/>
                <w:szCs w:val="18"/>
                <w:color w:val="auto"/>
              </w:rPr>
              <w:t>-</w:t>
            </w:r>
          </w:p>
        </w:tc>
        <w:tc>
          <w:tcPr>
            <w:tcW w:w="1780" w:type="dxa"/>
            <w:vAlign w:val="bottom"/>
            <w:gridSpan w:val="2"/>
          </w:tcPr>
          <w:p>
            <w:pPr>
              <w:jc w:val="center"/>
              <w:ind w:left="290"/>
              <w:spacing w:after="0"/>
              <w:rPr>
                <w:sz w:val="20"/>
                <w:szCs w:val="20"/>
                <w:color w:val="auto"/>
              </w:rPr>
            </w:pPr>
            <w:r>
              <w:rPr>
                <w:rFonts w:ascii="Arial" w:cs="Arial" w:eastAsia="Arial" w:hAnsi="Arial"/>
                <w:sz w:val="18"/>
                <w:szCs w:val="18"/>
                <w:color w:val="auto"/>
                <w:w w:val="92"/>
              </w:rPr>
              <w:t>236,790</w:t>
            </w: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December 1 - 31, 2010</w:t>
            </w:r>
          </w:p>
        </w:tc>
        <w:tc>
          <w:tcPr>
            <w:tcW w:w="1540" w:type="dxa"/>
            <w:vAlign w:val="bottom"/>
            <w:shd w:val="clear" w:color="auto" w:fill="CCEEFF"/>
          </w:tcPr>
          <w:p>
            <w:pPr>
              <w:jc w:val="center"/>
              <w:spacing w:after="0" w:line="216" w:lineRule="exact"/>
              <w:rPr>
                <w:sz w:val="20"/>
                <w:szCs w:val="20"/>
                <w:color w:val="auto"/>
              </w:rPr>
            </w:pPr>
            <w:r>
              <w:rPr>
                <w:rFonts w:ascii="Arial" w:cs="Arial" w:eastAsia="Arial" w:hAnsi="Arial"/>
                <w:sz w:val="18"/>
                <w:szCs w:val="18"/>
                <w:color w:val="auto"/>
                <w:w w:val="83"/>
              </w:rPr>
              <w:t>138</w:t>
            </w:r>
            <w:r>
              <w:rPr>
                <w:rFonts w:ascii="Arial" w:cs="Arial" w:eastAsia="Arial" w:hAnsi="Arial"/>
                <w:sz w:val="25"/>
                <w:szCs w:val="25"/>
                <w:color w:val="auto"/>
                <w:w w:val="83"/>
                <w:vertAlign w:val="superscript"/>
              </w:rPr>
              <w:t>(1)</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1840" w:type="dxa"/>
            <w:vAlign w:val="bottom"/>
            <w:gridSpan w:val="2"/>
            <w:shd w:val="clear" w:color="auto" w:fill="CCEEFF"/>
          </w:tcPr>
          <w:p>
            <w:pPr>
              <w:jc w:val="right"/>
              <w:ind w:right="730"/>
              <w:spacing w:after="0"/>
              <w:rPr>
                <w:sz w:val="20"/>
                <w:szCs w:val="20"/>
                <w:color w:val="auto"/>
              </w:rPr>
            </w:pPr>
            <w:r>
              <w:rPr>
                <w:rFonts w:ascii="Arial" w:cs="Arial" w:eastAsia="Arial" w:hAnsi="Arial"/>
                <w:sz w:val="18"/>
                <w:szCs w:val="18"/>
                <w:color w:val="auto"/>
              </w:rPr>
              <w:t>-</w:t>
            </w:r>
          </w:p>
        </w:tc>
        <w:tc>
          <w:tcPr>
            <w:tcW w:w="1780" w:type="dxa"/>
            <w:vAlign w:val="bottom"/>
            <w:gridSpan w:val="2"/>
            <w:shd w:val="clear" w:color="auto" w:fill="CCEEFF"/>
          </w:tcPr>
          <w:p>
            <w:pPr>
              <w:jc w:val="center"/>
              <w:ind w:left="330"/>
              <w:spacing w:after="0" w:line="216" w:lineRule="exact"/>
              <w:rPr>
                <w:sz w:val="20"/>
                <w:szCs w:val="20"/>
                <w:color w:val="auto"/>
              </w:rPr>
            </w:pPr>
            <w:r>
              <w:rPr>
                <w:rFonts w:ascii="Arial" w:cs="Arial" w:eastAsia="Arial" w:hAnsi="Arial"/>
                <w:sz w:val="18"/>
                <w:szCs w:val="18"/>
                <w:color w:val="auto"/>
                <w:w w:val="87"/>
              </w:rPr>
              <w:t>3,236,790</w:t>
            </w:r>
            <w:r>
              <w:rPr>
                <w:rFonts w:ascii="Arial" w:cs="Arial" w:eastAsia="Arial" w:hAnsi="Arial"/>
                <w:sz w:val="25"/>
                <w:szCs w:val="25"/>
                <w:color w:val="auto"/>
                <w:w w:val="87"/>
                <w:vertAlign w:val="superscript"/>
              </w:rPr>
              <w:t>(2)</w:t>
            </w:r>
          </w:p>
        </w:tc>
      </w:tr>
    </w:tbl>
    <w:p>
      <w:pPr>
        <w:spacing w:after="0" w:line="202" w:lineRule="exact"/>
        <w:rPr>
          <w:sz w:val="20"/>
          <w:szCs w:val="20"/>
          <w:color w:val="auto"/>
        </w:rPr>
      </w:pPr>
    </w:p>
    <w:p>
      <w:pPr>
        <w:ind w:left="260" w:hanging="252"/>
        <w:spacing w:after="0"/>
        <w:tabs>
          <w:tab w:leader="none" w:pos="2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Shares of restricted stock delivered by a director to Manpower, upon vesting, to satisfy tax withholding requirements.</w:t>
      </w:r>
    </w:p>
    <w:p>
      <w:pPr>
        <w:spacing w:after="0" w:line="23" w:lineRule="exact"/>
        <w:rPr>
          <w:rFonts w:ascii="Arial" w:cs="Arial" w:eastAsia="Arial" w:hAnsi="Arial"/>
          <w:sz w:val="18"/>
          <w:szCs w:val="18"/>
          <w:color w:val="auto"/>
        </w:rPr>
      </w:pPr>
    </w:p>
    <w:p>
      <w:pPr>
        <w:ind w:left="260" w:hanging="252"/>
        <w:spacing w:after="0"/>
        <w:tabs>
          <w:tab w:leader="none" w:pos="2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Of which 236,790 under the 2007 authorization must not exceed a cost of $147.3 million.</w:t>
      </w:r>
    </w:p>
    <w:p>
      <w:pPr>
        <w:spacing w:after="0" w:line="211" w:lineRule="exact"/>
        <w:rPr>
          <w:sz w:val="20"/>
          <w:szCs w:val="20"/>
          <w:color w:val="auto"/>
        </w:rPr>
      </w:pPr>
    </w:p>
    <w:p>
      <w:pPr>
        <w:ind w:right="20" w:firstLine="486"/>
        <w:spacing w:after="0" w:line="312" w:lineRule="auto"/>
        <w:rPr>
          <w:sz w:val="20"/>
          <w:szCs w:val="20"/>
          <w:color w:val="auto"/>
        </w:rPr>
      </w:pPr>
      <w:r>
        <w:rPr>
          <w:rFonts w:ascii="Arial" w:cs="Arial" w:eastAsia="Arial" w:hAnsi="Arial"/>
          <w:sz w:val="16"/>
          <w:szCs w:val="16"/>
          <w:color w:val="auto"/>
        </w:rPr>
        <w:t>The remaining information required by this Item is set forth in our Annual Report to Shareholders for the fiscal year ended December 31, 2010, under the heading “Note 15—Quarterly Data” (page 77) and “Corporate Information” (page 80) and in our Proxy Statement for the Annual Meeting of Shareholders to be held on May 3, 2011, under the caption “Equity Compensation Plan Information”, which information is hereby incorporated herein by reference.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229" w:lineRule="exact"/>
        <w:rPr>
          <w:sz w:val="20"/>
          <w:szCs w:val="20"/>
          <w:color w:val="auto"/>
        </w:rPr>
      </w:pPr>
    </w:p>
    <w:p>
      <w:pPr>
        <w:ind w:right="20" w:firstLine="486"/>
        <w:spacing w:after="0" w:line="277" w:lineRule="auto"/>
        <w:rPr>
          <w:sz w:val="20"/>
          <w:szCs w:val="20"/>
          <w:color w:val="auto"/>
        </w:rPr>
      </w:pPr>
      <w:r>
        <w:rPr>
          <w:rFonts w:ascii="Arial" w:cs="Arial" w:eastAsia="Arial" w:hAnsi="Arial"/>
          <w:sz w:val="18"/>
          <w:szCs w:val="18"/>
          <w:color w:val="auto"/>
        </w:rPr>
        <w:t>The information required by this Item is set forth in our Annual Report to Shareholders for the fiscal year ended December 31, 2010, under the heading “Selected Financial Data” (page 78), which information is hereby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29" w:lineRule="exact"/>
        <w:rPr>
          <w:sz w:val="20"/>
          <w:szCs w:val="20"/>
          <w:color w:val="auto"/>
        </w:rPr>
      </w:pPr>
    </w:p>
    <w:p>
      <w:pPr>
        <w:ind w:right="640" w:firstLine="486"/>
        <w:spacing w:after="0" w:line="264" w:lineRule="auto"/>
        <w:rPr>
          <w:sz w:val="20"/>
          <w:szCs w:val="20"/>
          <w:color w:val="auto"/>
        </w:rPr>
      </w:pPr>
      <w:r>
        <w:rPr>
          <w:rFonts w:ascii="Arial" w:cs="Arial" w:eastAsia="Arial" w:hAnsi="Arial"/>
          <w:sz w:val="18"/>
          <w:szCs w:val="18"/>
          <w:color w:val="auto"/>
        </w:rPr>
        <w:t>The information required by this Item is set forth in our Annual Report to Shareholders for the fiscal year ended December 31, 2010, under the headings “Management’s Discussion and Analysis of Financial Condition and Results of Operations” (pages 19 to 41), which information is hereby incorporated herein by reference.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29" w:lineRule="exact"/>
        <w:rPr>
          <w:sz w:val="20"/>
          <w:szCs w:val="20"/>
          <w:color w:val="auto"/>
        </w:rPr>
      </w:pPr>
    </w:p>
    <w:p>
      <w:pPr>
        <w:ind w:right="20" w:firstLine="486"/>
        <w:spacing w:after="0" w:line="308" w:lineRule="auto"/>
        <w:rPr>
          <w:sz w:val="20"/>
          <w:szCs w:val="20"/>
          <w:color w:val="auto"/>
        </w:rPr>
      </w:pPr>
      <w:r>
        <w:rPr>
          <w:rFonts w:ascii="Arial" w:cs="Arial" w:eastAsia="Arial" w:hAnsi="Arial"/>
          <w:sz w:val="17"/>
          <w:szCs w:val="17"/>
          <w:color w:val="auto"/>
        </w:rPr>
        <w:t>The information required by this Item is set forth in our Annual Report to Shareholders for the fiscal year ended December 31, 2010, under the heading “Significant Matters Affecting Results of Operations” (pages 38 to 41), which information is hereby incorporated herein by reference.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29" w:lineRule="exact"/>
        <w:rPr>
          <w:sz w:val="20"/>
          <w:szCs w:val="20"/>
          <w:color w:val="auto"/>
        </w:rPr>
      </w:pPr>
    </w:p>
    <w:p>
      <w:pPr>
        <w:ind w:right="200" w:firstLine="486"/>
        <w:spacing w:after="0" w:line="277" w:lineRule="auto"/>
        <w:rPr>
          <w:sz w:val="20"/>
          <w:szCs w:val="20"/>
          <w:color w:val="auto"/>
        </w:rPr>
      </w:pPr>
      <w:r>
        <w:rPr>
          <w:rFonts w:ascii="Arial" w:cs="Arial" w:eastAsia="Arial" w:hAnsi="Arial"/>
          <w:sz w:val="18"/>
          <w:szCs w:val="18"/>
          <w:color w:val="auto"/>
        </w:rPr>
        <w:t>The information required by this Item is set forth in the financial statements and the notes thereto (pages 44 to 77) contained in our Annual Report to Shareholders for the fiscal year ended December 31, 2010, which information is hereby incorporated herein by reference.</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229" w:lineRule="exact"/>
        <w:rPr>
          <w:sz w:val="20"/>
          <w:szCs w:val="20"/>
          <w:color w:val="auto"/>
        </w:rPr>
      </w:pPr>
    </w:p>
    <w:p>
      <w:pPr>
        <w:ind w:firstLine="486"/>
        <w:spacing w:after="0" w:line="289" w:lineRule="auto"/>
        <w:rPr>
          <w:sz w:val="20"/>
          <w:szCs w:val="20"/>
          <w:color w:val="auto"/>
        </w:rPr>
      </w:pPr>
      <w:r>
        <w:rPr>
          <w:rFonts w:ascii="Arial" w:cs="Arial" w:eastAsia="Arial" w:hAnsi="Arial"/>
          <w:sz w:val="16"/>
          <w:szCs w:val="16"/>
          <w:color w:val="auto"/>
        </w:rPr>
        <w:t>We maintain a set of disclosure controls and procedures that are designed to ensure that information required to be disclosed by us in the reports filed by us under the Securities Exchange Act of 1934, as amended (the “Exchange Act”), is recorded, processed, summarized and reported within the time periods specified in the SEC’s rules and forms. Disclosure controls and procedures include, without limitation, controls and procedures designed to ensure that information required to be disclosed by us in the reports we file under the Act is accumulated and communicated to our management, including our principal executive and principal financial officers, or persons performing similar functions, as appropriate to allow timely decisions regarding required disclosure. We carried out an evaluation, under the supervision and with the participation of our management, including our Chairman and Chief Executive Officer and our Executive Vice President and Chief Financial Officer, of the effectiveness of the design and operation of our disclosure controls and procedures pursuant to Rule 13a-15 of the Exchange Act. Based on that evaluation, our Chairman and Chief Executive Officer and our Executive Vice President and Chief Financial Officer concluded that our disclosure controls and procedures are effective as of the end of the period covered by this report.</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Internal Control over Financial Reporting</w:t>
      </w:r>
    </w:p>
    <w:p>
      <w:pPr>
        <w:spacing w:after="0" w:line="229" w:lineRule="exact"/>
        <w:rPr>
          <w:sz w:val="20"/>
          <w:szCs w:val="20"/>
          <w:color w:val="auto"/>
        </w:rPr>
      </w:pPr>
    </w:p>
    <w:p>
      <w:pPr>
        <w:ind w:right="80" w:firstLine="486"/>
        <w:spacing w:after="0" w:line="259" w:lineRule="auto"/>
        <w:rPr>
          <w:sz w:val="20"/>
          <w:szCs w:val="20"/>
          <w:color w:val="auto"/>
        </w:rPr>
      </w:pPr>
      <w:r>
        <w:rPr>
          <w:rFonts w:ascii="Arial" w:cs="Arial" w:eastAsia="Arial" w:hAnsi="Arial"/>
          <w:sz w:val="18"/>
          <w:szCs w:val="18"/>
          <w:color w:val="auto"/>
        </w:rPr>
        <w:t>The Management Report on Internal Control Over Financial Reporting is set forth on page 41 in our Annual Report to Shareholders for the fiscal year ended December 31, 2010 which information is hereby incorporated herein by reference. The Independent Registered Public Accounting Firm’s report with respect to the effectiveness of internal control over financial reporting is included on page 43 of our Annual Report to Shareholders for the year ended December 31, 2010 which information is hereby incorporated herein by reference.</w:t>
      </w:r>
    </w:p>
    <w:p>
      <w:pPr>
        <w:spacing w:after="0" w:line="187" w:lineRule="exact"/>
        <w:rPr>
          <w:sz w:val="20"/>
          <w:szCs w:val="20"/>
          <w:color w:val="auto"/>
        </w:rPr>
      </w:pPr>
    </w:p>
    <w:p>
      <w:pPr>
        <w:ind w:right="80" w:firstLine="486"/>
        <w:spacing w:after="0" w:line="277" w:lineRule="auto"/>
        <w:rPr>
          <w:sz w:val="20"/>
          <w:szCs w:val="20"/>
          <w:color w:val="auto"/>
        </w:rPr>
      </w:pPr>
      <w:r>
        <w:rPr>
          <w:rFonts w:ascii="Arial" w:cs="Arial" w:eastAsia="Arial" w:hAnsi="Arial"/>
          <w:sz w:val="18"/>
          <w:szCs w:val="18"/>
          <w:color w:val="auto"/>
        </w:rPr>
        <w:t>There have been no changes in our internal control over financial reporting that occurred during our last fiscal quarter that have materially affected, or are reasonably likely to materially affect, our internal control over financial reporting.</w:t>
      </w:r>
    </w:p>
    <w:p>
      <w:pPr>
        <w:spacing w:after="0" w:line="200" w:lineRule="exact"/>
        <w:rPr>
          <w:sz w:val="20"/>
          <w:szCs w:val="20"/>
          <w:color w:val="auto"/>
        </w:rPr>
      </w:pPr>
    </w:p>
    <w:p>
      <w:pPr>
        <w:spacing w:after="0" w:line="3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86" w:right="279" w:bottom="1440" w:gutter="0" w:footer="0" w:header="0"/>
        </w:sectPr>
      </w:pPr>
    </w:p>
    <w:bookmarkStart w:id="22" w:name="page23"/>
    <w:bookmarkEnd w:id="22"/>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and Executive Officers of the Registrant</w:t>
      </w:r>
    </w:p>
    <w:p>
      <w:pPr>
        <w:spacing w:after="0" w:line="229" w:lineRule="exact"/>
        <w:rPr>
          <w:sz w:val="20"/>
          <w:szCs w:val="20"/>
          <w:color w:val="auto"/>
        </w:rPr>
      </w:pPr>
    </w:p>
    <w:p>
      <w:pPr>
        <w:ind w:left="920" w:hanging="480"/>
        <w:spacing w:after="0"/>
        <w:tabs>
          <w:tab w:leader="none" w:pos="9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Executive Officers. Reference is made to “Executive Officers of Manpower” in Part I after Item 4.</w:t>
      </w:r>
    </w:p>
    <w:p>
      <w:pPr>
        <w:spacing w:after="0" w:line="225" w:lineRule="exact"/>
        <w:rPr>
          <w:rFonts w:ascii="Arial" w:cs="Arial" w:eastAsia="Arial" w:hAnsi="Arial"/>
          <w:sz w:val="18"/>
          <w:szCs w:val="18"/>
          <w:color w:val="auto"/>
        </w:rPr>
      </w:pPr>
    </w:p>
    <w:p>
      <w:pPr>
        <w:ind w:left="920" w:right="20" w:hanging="480"/>
        <w:spacing w:after="0" w:line="277" w:lineRule="auto"/>
        <w:tabs>
          <w:tab w:leader="none" w:pos="9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Directors. The information required by this Item is set forth in our Proxy Statement for the Annual Meeting of Shareholders to be held on May 3, 2011 under the caption “Election of Directors,” which information is hereby incorporated herein by reference.</w:t>
      </w:r>
    </w:p>
    <w:p>
      <w:pPr>
        <w:spacing w:after="0" w:line="170" w:lineRule="exact"/>
        <w:rPr>
          <w:rFonts w:ascii="Arial" w:cs="Arial" w:eastAsia="Arial" w:hAnsi="Arial"/>
          <w:sz w:val="18"/>
          <w:szCs w:val="18"/>
          <w:color w:val="auto"/>
        </w:rPr>
      </w:pPr>
    </w:p>
    <w:p>
      <w:pPr>
        <w:ind w:left="920" w:right="140" w:hanging="480"/>
        <w:spacing w:after="0" w:line="308" w:lineRule="auto"/>
        <w:tabs>
          <w:tab w:leader="none" w:pos="9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board of directors has determined that Edward J. Zore, chairman of the audit committee, is an “audit committee financial expert.” Mr. Zore is “independent” as that term is used in Item 7(d)(3)(iv) of Schedule 14A under the Securities Exchange Act of 1934.</w:t>
      </w:r>
    </w:p>
    <w:p>
      <w:pPr>
        <w:spacing w:after="0" w:line="146" w:lineRule="exact"/>
        <w:rPr>
          <w:rFonts w:ascii="Arial" w:cs="Arial" w:eastAsia="Arial" w:hAnsi="Arial"/>
          <w:sz w:val="17"/>
          <w:szCs w:val="17"/>
          <w:color w:val="auto"/>
        </w:rPr>
      </w:pPr>
    </w:p>
    <w:p>
      <w:pPr>
        <w:ind w:left="920" w:hanging="480"/>
        <w:spacing w:after="0" w:line="342" w:lineRule="auto"/>
        <w:tabs>
          <w:tab w:leader="none" w:pos="9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Audit Committee. The information required by this Item is set forth in our Proxy Statement for the Annual Meeting of Shareholders to be held on May 3, 2011 under the caption “Meetings and Committees of the Board,” which information is hereby incorporated herein by reference.</w:t>
      </w:r>
    </w:p>
    <w:p>
      <w:pPr>
        <w:spacing w:after="0" w:line="123" w:lineRule="exact"/>
        <w:rPr>
          <w:rFonts w:ascii="Arial" w:cs="Arial" w:eastAsia="Arial" w:hAnsi="Arial"/>
          <w:sz w:val="16"/>
          <w:szCs w:val="16"/>
          <w:color w:val="auto"/>
        </w:rPr>
      </w:pPr>
    </w:p>
    <w:p>
      <w:pPr>
        <w:jc w:val="both"/>
        <w:ind w:left="920" w:right="140" w:hanging="480"/>
        <w:spacing w:after="0" w:line="264" w:lineRule="auto"/>
        <w:tabs>
          <w:tab w:leader="none" w:pos="9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Section 16 Compliance. The information required by this Item is set forth in our Proxy Statement for the Annual Meeting of Shareholders to be held on May 3, 2011 under the caption “Section 16(a) Beneficial Ownership Reporting Compliance,” which information is hereby incorporated herein by reference.</w:t>
      </w:r>
    </w:p>
    <w:p>
      <w:pPr>
        <w:spacing w:after="0" w:line="181" w:lineRule="exact"/>
        <w:rPr>
          <w:rFonts w:ascii="Arial" w:cs="Arial" w:eastAsia="Arial" w:hAnsi="Arial"/>
          <w:sz w:val="18"/>
          <w:szCs w:val="18"/>
          <w:color w:val="auto"/>
        </w:rPr>
      </w:pPr>
    </w:p>
    <w:p>
      <w:pPr>
        <w:ind w:left="920" w:right="100" w:hanging="480"/>
        <w:spacing w:after="0" w:line="264" w:lineRule="auto"/>
        <w:tabs>
          <w:tab w:leader="none" w:pos="9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have adopted a Code of Business Conduct and Ethics that applies to our directors, officers and employees, including our principal executive officer, principal financial officer, principal accounting officer and controller. We have posted the Code on our Internet website at www.manpower.com.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29" w:lineRule="exact"/>
        <w:rPr>
          <w:sz w:val="20"/>
          <w:szCs w:val="20"/>
          <w:color w:val="auto"/>
        </w:rPr>
      </w:pPr>
    </w:p>
    <w:p>
      <w:pPr>
        <w:jc w:val="both"/>
        <w:ind w:right="40" w:firstLine="486"/>
        <w:spacing w:after="0" w:line="312" w:lineRule="auto"/>
        <w:rPr>
          <w:sz w:val="20"/>
          <w:szCs w:val="20"/>
          <w:color w:val="auto"/>
        </w:rPr>
      </w:pPr>
      <w:r>
        <w:rPr>
          <w:rFonts w:ascii="Arial" w:cs="Arial" w:eastAsia="Arial" w:hAnsi="Arial"/>
          <w:sz w:val="16"/>
          <w:szCs w:val="16"/>
          <w:color w:val="auto"/>
        </w:rPr>
        <w:t>The information required by this Item is set forth in our Proxy Statement for the Annual Meeting of Shareholders to be held on May 3, 2011, under the caption “Executive and Director Compensation”; under the caption “Executive Compensation Committee Interlocks and Insider Participation”; and under the caption “Report of the Executive Compensation Committee of the Board of Directors,” which information is hereby incorporated herein by reference.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Shareholder Matters</w:t>
      </w:r>
    </w:p>
    <w:p>
      <w:pPr>
        <w:spacing w:after="0" w:line="229" w:lineRule="exact"/>
        <w:rPr>
          <w:sz w:val="20"/>
          <w:szCs w:val="20"/>
          <w:color w:val="auto"/>
        </w:rPr>
      </w:pPr>
    </w:p>
    <w:p>
      <w:pPr>
        <w:ind w:right="40" w:firstLine="486"/>
        <w:spacing w:after="0" w:line="264" w:lineRule="auto"/>
        <w:rPr>
          <w:sz w:val="20"/>
          <w:szCs w:val="20"/>
          <w:color w:val="auto"/>
        </w:rPr>
      </w:pPr>
      <w:r>
        <w:rPr>
          <w:rFonts w:ascii="Arial" w:cs="Arial" w:eastAsia="Arial" w:hAnsi="Arial"/>
          <w:sz w:val="18"/>
          <w:szCs w:val="18"/>
          <w:color w:val="auto"/>
        </w:rPr>
        <w:t>The information required by this Item is set forth in our Proxy Statement for the Annual Meeting of Shareholders to be held on May 3, 2011, under the caption “Security Ownership of Certain Beneficial Owners” and under the caption “Security Ownership of Management”; and under the caption “Equity Compensation Plan Information,” which information is hereby incorporated herein by reference.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29" w:lineRule="exact"/>
        <w:rPr>
          <w:sz w:val="20"/>
          <w:szCs w:val="20"/>
          <w:color w:val="auto"/>
        </w:rPr>
      </w:pPr>
    </w:p>
    <w:p>
      <w:pPr>
        <w:ind w:right="40" w:firstLine="486"/>
        <w:spacing w:after="0" w:line="277" w:lineRule="auto"/>
        <w:rPr>
          <w:sz w:val="20"/>
          <w:szCs w:val="20"/>
          <w:color w:val="auto"/>
        </w:rPr>
      </w:pPr>
      <w:r>
        <w:rPr>
          <w:rFonts w:ascii="Arial" w:cs="Arial" w:eastAsia="Arial" w:hAnsi="Arial"/>
          <w:sz w:val="18"/>
          <w:szCs w:val="18"/>
          <w:color w:val="auto"/>
        </w:rPr>
        <w:t>The information required by this Item is set forth in our Proxy Statement for the Annual Meeting of Shareholders to be held on May 3, 2011, under the caption “Meetings and Committees of the Board,” which information is hereby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229" w:lineRule="exact"/>
        <w:rPr>
          <w:sz w:val="20"/>
          <w:szCs w:val="20"/>
          <w:color w:val="auto"/>
        </w:rPr>
      </w:pPr>
    </w:p>
    <w:p>
      <w:pPr>
        <w:ind w:right="40" w:firstLine="486"/>
        <w:spacing w:after="0" w:line="277" w:lineRule="auto"/>
        <w:rPr>
          <w:sz w:val="20"/>
          <w:szCs w:val="20"/>
          <w:color w:val="auto"/>
        </w:rPr>
      </w:pPr>
      <w:r>
        <w:rPr>
          <w:rFonts w:ascii="Arial" w:cs="Arial" w:eastAsia="Arial" w:hAnsi="Arial"/>
          <w:sz w:val="18"/>
          <w:szCs w:val="18"/>
          <w:color w:val="auto"/>
        </w:rPr>
        <w:t>The information required by this Item is set forth in our Proxy Statement for the Annual Meeting of Shareholders to be held on May 3, 2011, under the caption “Audit Committee Report,” which information is hereby incorporated herein by reference.</w:t>
      </w: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86" w:right="25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(a)(1) Financial Statements.</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80" w:type="dxa"/>
            <w:vAlign w:val="bottom"/>
          </w:tcPr>
          <w:p>
            <w:pPr>
              <w:spacing w:after="0"/>
              <w:rPr>
                <w:sz w:val="18"/>
                <w:szCs w:val="18"/>
                <w:color w:val="auto"/>
              </w:rPr>
            </w:pPr>
          </w:p>
        </w:tc>
        <w:tc>
          <w:tcPr>
            <w:tcW w:w="2140" w:type="dxa"/>
            <w:vAlign w:val="bottom"/>
          </w:tcPr>
          <w:p>
            <w:pPr>
              <w:ind w:left="860"/>
              <w:spacing w:after="0"/>
              <w:rPr>
                <w:sz w:val="20"/>
                <w:szCs w:val="20"/>
                <w:color w:val="auto"/>
              </w:rPr>
            </w:pPr>
            <w:r>
              <w:rPr>
                <w:rFonts w:ascii="Arial" w:cs="Arial" w:eastAsia="Arial" w:hAnsi="Arial"/>
                <w:sz w:val="18"/>
                <w:szCs w:val="18"/>
                <w:b w:val="1"/>
                <w:bCs w:val="1"/>
                <w:color w:val="auto"/>
                <w:w w:val="91"/>
              </w:rPr>
              <w:t>Page Number(s)</w:t>
            </w:r>
          </w:p>
        </w:tc>
        <w:tc>
          <w:tcPr>
            <w:tcW w:w="0" w:type="dxa"/>
            <w:vAlign w:val="bottom"/>
          </w:tcPr>
          <w:p>
            <w:pPr>
              <w:spacing w:after="0"/>
              <w:rPr>
                <w:sz w:val="1"/>
                <w:szCs w:val="1"/>
                <w:color w:val="auto"/>
              </w:rPr>
            </w:pPr>
          </w:p>
        </w:tc>
      </w:tr>
      <w:tr>
        <w:trPr>
          <w:trHeight w:val="216"/>
        </w:trPr>
        <w:tc>
          <w:tcPr>
            <w:tcW w:w="9280" w:type="dxa"/>
            <w:vAlign w:val="bottom"/>
          </w:tcPr>
          <w:p>
            <w:pPr>
              <w:spacing w:after="0"/>
              <w:rPr>
                <w:sz w:val="18"/>
                <w:szCs w:val="18"/>
                <w:color w:val="auto"/>
              </w:rPr>
            </w:pPr>
          </w:p>
        </w:tc>
        <w:tc>
          <w:tcPr>
            <w:tcW w:w="2140" w:type="dxa"/>
            <w:vAlign w:val="bottom"/>
          </w:tcPr>
          <w:p>
            <w:pPr>
              <w:ind w:left="800"/>
              <w:spacing w:after="0"/>
              <w:rPr>
                <w:sz w:val="20"/>
                <w:szCs w:val="20"/>
                <w:color w:val="auto"/>
              </w:rPr>
            </w:pPr>
            <w:r>
              <w:rPr>
                <w:rFonts w:ascii="Arial" w:cs="Arial" w:eastAsia="Arial" w:hAnsi="Arial"/>
                <w:sz w:val="18"/>
                <w:szCs w:val="18"/>
                <w:b w:val="1"/>
                <w:bCs w:val="1"/>
                <w:color w:val="auto"/>
                <w:w w:val="90"/>
              </w:rPr>
              <w:t>in Annual Report</w:t>
            </w:r>
          </w:p>
        </w:tc>
        <w:tc>
          <w:tcPr>
            <w:tcW w:w="0" w:type="dxa"/>
            <w:vAlign w:val="bottom"/>
          </w:tcPr>
          <w:p>
            <w:pPr>
              <w:spacing w:after="0"/>
              <w:rPr>
                <w:sz w:val="1"/>
                <w:szCs w:val="1"/>
                <w:color w:val="auto"/>
              </w:rPr>
            </w:pPr>
          </w:p>
        </w:tc>
      </w:tr>
      <w:tr>
        <w:trPr>
          <w:trHeight w:val="234"/>
        </w:trPr>
        <w:tc>
          <w:tcPr>
            <w:tcW w:w="9280" w:type="dxa"/>
            <w:vAlign w:val="bottom"/>
            <w:vMerge w:val="restart"/>
          </w:tcPr>
          <w:p>
            <w:pPr>
              <w:spacing w:after="0"/>
              <w:rPr>
                <w:sz w:val="20"/>
                <w:szCs w:val="20"/>
                <w:color w:val="auto"/>
              </w:rPr>
            </w:pPr>
            <w:r>
              <w:rPr>
                <w:rFonts w:ascii="Arial" w:cs="Arial" w:eastAsia="Arial" w:hAnsi="Arial"/>
                <w:sz w:val="18"/>
                <w:szCs w:val="18"/>
                <w:color w:val="auto"/>
                <w:w w:val="98"/>
              </w:rPr>
              <w:t>Consolidated Financial Statements (data incorporated by reference from the attached Annual Report to Shareholders):</w:t>
            </w:r>
          </w:p>
        </w:tc>
        <w:tc>
          <w:tcPr>
            <w:tcW w:w="2140" w:type="dxa"/>
            <w:vAlign w:val="bottom"/>
          </w:tcPr>
          <w:p>
            <w:pPr>
              <w:ind w:left="860"/>
              <w:spacing w:after="0"/>
              <w:rPr>
                <w:sz w:val="20"/>
                <w:szCs w:val="20"/>
                <w:color w:val="auto"/>
              </w:rPr>
            </w:pPr>
            <w:r>
              <w:rPr>
                <w:rFonts w:ascii="Arial" w:cs="Arial" w:eastAsia="Arial" w:hAnsi="Arial"/>
                <w:sz w:val="18"/>
                <w:szCs w:val="18"/>
                <w:b w:val="1"/>
                <w:bCs w:val="1"/>
                <w:color w:val="auto"/>
                <w:w w:val="91"/>
              </w:rPr>
              <w:t>to Shareholders</w:t>
            </w:r>
          </w:p>
        </w:tc>
        <w:tc>
          <w:tcPr>
            <w:tcW w:w="0" w:type="dxa"/>
            <w:vAlign w:val="bottom"/>
          </w:tcPr>
          <w:p>
            <w:pPr>
              <w:spacing w:after="0"/>
              <w:rPr>
                <w:sz w:val="1"/>
                <w:szCs w:val="1"/>
                <w:color w:val="auto"/>
              </w:rPr>
            </w:pPr>
          </w:p>
        </w:tc>
      </w:tr>
      <w:tr>
        <w:trPr>
          <w:trHeight w:val="216"/>
        </w:trPr>
        <w:tc>
          <w:tcPr>
            <w:tcW w:w="9280" w:type="dxa"/>
            <w:vAlign w:val="bottom"/>
            <w:vMerge w:val="continue"/>
          </w:tcPr>
          <w:p>
            <w:pPr>
              <w:spacing w:after="0"/>
              <w:rPr>
                <w:sz w:val="18"/>
                <w:szCs w:val="18"/>
                <w:color w:val="auto"/>
              </w:rPr>
            </w:pPr>
          </w:p>
        </w:tc>
        <w:tc>
          <w:tcPr>
            <w:tcW w:w="2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9280" w:type="dxa"/>
            <w:vAlign w:val="bottom"/>
          </w:tcPr>
          <w:p>
            <w:pPr>
              <w:ind w:left="680"/>
              <w:spacing w:after="0"/>
              <w:rPr>
                <w:sz w:val="20"/>
                <w:szCs w:val="20"/>
                <w:color w:val="auto"/>
              </w:rPr>
            </w:pPr>
            <w:r>
              <w:rPr>
                <w:rFonts w:ascii="Arial" w:cs="Arial" w:eastAsia="Arial" w:hAnsi="Arial"/>
                <w:sz w:val="18"/>
                <w:szCs w:val="18"/>
                <w:color w:val="auto"/>
              </w:rPr>
              <w:t>Reports of Independent Registered Public Accounting Firm</w:t>
            </w:r>
          </w:p>
        </w:tc>
        <w:tc>
          <w:tcPr>
            <w:tcW w:w="2140" w:type="dxa"/>
            <w:vAlign w:val="bottom"/>
          </w:tcPr>
          <w:p>
            <w:pPr>
              <w:jc w:val="center"/>
              <w:ind w:left="750"/>
              <w:spacing w:after="0"/>
              <w:rPr>
                <w:sz w:val="20"/>
                <w:szCs w:val="20"/>
                <w:color w:val="auto"/>
              </w:rPr>
            </w:pPr>
            <w:r>
              <w:rPr>
                <w:rFonts w:ascii="Arial" w:cs="Arial" w:eastAsia="Arial" w:hAnsi="Arial"/>
                <w:sz w:val="18"/>
                <w:szCs w:val="18"/>
                <w:color w:val="auto"/>
                <w:w w:val="91"/>
              </w:rPr>
              <w:t>42-43</w:t>
            </w:r>
          </w:p>
        </w:tc>
        <w:tc>
          <w:tcPr>
            <w:tcW w:w="0" w:type="dxa"/>
            <w:vAlign w:val="bottom"/>
          </w:tcPr>
          <w:p>
            <w:pPr>
              <w:spacing w:after="0"/>
              <w:rPr>
                <w:sz w:val="1"/>
                <w:szCs w:val="1"/>
                <w:color w:val="auto"/>
              </w:rPr>
            </w:pPr>
          </w:p>
        </w:tc>
      </w:tr>
      <w:tr>
        <w:trPr>
          <w:trHeight w:val="432"/>
        </w:trPr>
        <w:tc>
          <w:tcPr>
            <w:tcW w:w="9280" w:type="dxa"/>
            <w:vAlign w:val="bottom"/>
          </w:tcPr>
          <w:p>
            <w:pPr>
              <w:ind w:left="680"/>
              <w:spacing w:after="0"/>
              <w:rPr>
                <w:sz w:val="20"/>
                <w:szCs w:val="20"/>
                <w:color w:val="auto"/>
              </w:rPr>
            </w:pPr>
            <w:r>
              <w:rPr>
                <w:rFonts w:ascii="Arial" w:cs="Arial" w:eastAsia="Arial" w:hAnsi="Arial"/>
                <w:sz w:val="18"/>
                <w:szCs w:val="18"/>
                <w:color w:val="auto"/>
              </w:rPr>
              <w:t>Consolidated Statements of Operations for the years ended December 31, 2010, 2009 and 2008</w:t>
            </w:r>
          </w:p>
        </w:tc>
        <w:tc>
          <w:tcPr>
            <w:tcW w:w="2140" w:type="dxa"/>
            <w:vAlign w:val="bottom"/>
          </w:tcPr>
          <w:p>
            <w:pPr>
              <w:jc w:val="center"/>
              <w:ind w:left="750"/>
              <w:spacing w:after="0"/>
              <w:rPr>
                <w:sz w:val="20"/>
                <w:szCs w:val="20"/>
                <w:color w:val="auto"/>
              </w:rPr>
            </w:pPr>
            <w:r>
              <w:rPr>
                <w:rFonts w:ascii="Arial" w:cs="Arial" w:eastAsia="Arial" w:hAnsi="Arial"/>
                <w:sz w:val="18"/>
                <w:szCs w:val="18"/>
                <w:color w:val="auto"/>
                <w:w w:val="89"/>
              </w:rPr>
              <w:t>44</w:t>
            </w:r>
          </w:p>
        </w:tc>
        <w:tc>
          <w:tcPr>
            <w:tcW w:w="0" w:type="dxa"/>
            <w:vAlign w:val="bottom"/>
          </w:tcPr>
          <w:p>
            <w:pPr>
              <w:spacing w:after="0"/>
              <w:rPr>
                <w:sz w:val="1"/>
                <w:szCs w:val="1"/>
                <w:color w:val="auto"/>
              </w:rPr>
            </w:pPr>
          </w:p>
        </w:tc>
      </w:tr>
      <w:tr>
        <w:trPr>
          <w:trHeight w:val="432"/>
        </w:trPr>
        <w:tc>
          <w:tcPr>
            <w:tcW w:w="9280" w:type="dxa"/>
            <w:vAlign w:val="bottom"/>
          </w:tcPr>
          <w:p>
            <w:pPr>
              <w:ind w:left="680"/>
              <w:spacing w:after="0"/>
              <w:rPr>
                <w:sz w:val="20"/>
                <w:szCs w:val="20"/>
                <w:color w:val="auto"/>
              </w:rPr>
            </w:pPr>
            <w:r>
              <w:rPr>
                <w:rFonts w:ascii="Arial" w:cs="Arial" w:eastAsia="Arial" w:hAnsi="Arial"/>
                <w:sz w:val="18"/>
                <w:szCs w:val="18"/>
                <w:color w:val="auto"/>
              </w:rPr>
              <w:t>Consolidated Balance Sheets as of December 31, 2010 and 2009</w:t>
            </w:r>
          </w:p>
        </w:tc>
        <w:tc>
          <w:tcPr>
            <w:tcW w:w="2140" w:type="dxa"/>
            <w:vAlign w:val="bottom"/>
          </w:tcPr>
          <w:p>
            <w:pPr>
              <w:jc w:val="center"/>
              <w:ind w:left="750"/>
              <w:spacing w:after="0"/>
              <w:rPr>
                <w:sz w:val="20"/>
                <w:szCs w:val="20"/>
                <w:color w:val="auto"/>
              </w:rPr>
            </w:pPr>
            <w:r>
              <w:rPr>
                <w:rFonts w:ascii="Arial" w:cs="Arial" w:eastAsia="Arial" w:hAnsi="Arial"/>
                <w:sz w:val="18"/>
                <w:szCs w:val="18"/>
                <w:color w:val="auto"/>
                <w:w w:val="89"/>
              </w:rPr>
              <w:t>45</w:t>
            </w:r>
          </w:p>
        </w:tc>
        <w:tc>
          <w:tcPr>
            <w:tcW w:w="0" w:type="dxa"/>
            <w:vAlign w:val="bottom"/>
          </w:tcPr>
          <w:p>
            <w:pPr>
              <w:spacing w:after="0"/>
              <w:rPr>
                <w:sz w:val="1"/>
                <w:szCs w:val="1"/>
                <w:color w:val="auto"/>
              </w:rPr>
            </w:pPr>
          </w:p>
        </w:tc>
      </w:tr>
      <w:tr>
        <w:trPr>
          <w:trHeight w:val="432"/>
        </w:trPr>
        <w:tc>
          <w:tcPr>
            <w:tcW w:w="9280" w:type="dxa"/>
            <w:vAlign w:val="bottom"/>
          </w:tcPr>
          <w:p>
            <w:pPr>
              <w:ind w:left="680"/>
              <w:spacing w:after="0"/>
              <w:rPr>
                <w:sz w:val="20"/>
                <w:szCs w:val="20"/>
                <w:color w:val="auto"/>
              </w:rPr>
            </w:pPr>
            <w:r>
              <w:rPr>
                <w:rFonts w:ascii="Arial" w:cs="Arial" w:eastAsia="Arial" w:hAnsi="Arial"/>
                <w:sz w:val="18"/>
                <w:szCs w:val="18"/>
                <w:color w:val="auto"/>
              </w:rPr>
              <w:t>Consolidated Statements of Cash Flows for the years ended December 31, 2010, 2009 and 2008</w:t>
            </w:r>
          </w:p>
        </w:tc>
        <w:tc>
          <w:tcPr>
            <w:tcW w:w="2140" w:type="dxa"/>
            <w:vAlign w:val="bottom"/>
          </w:tcPr>
          <w:p>
            <w:pPr>
              <w:jc w:val="center"/>
              <w:ind w:left="750"/>
              <w:spacing w:after="0"/>
              <w:rPr>
                <w:sz w:val="20"/>
                <w:szCs w:val="20"/>
                <w:color w:val="auto"/>
              </w:rPr>
            </w:pPr>
            <w:r>
              <w:rPr>
                <w:rFonts w:ascii="Arial" w:cs="Arial" w:eastAsia="Arial" w:hAnsi="Arial"/>
                <w:sz w:val="18"/>
                <w:szCs w:val="18"/>
                <w:color w:val="auto"/>
                <w:w w:val="89"/>
              </w:rPr>
              <w:t>46</w:t>
            </w:r>
          </w:p>
        </w:tc>
        <w:tc>
          <w:tcPr>
            <w:tcW w:w="0" w:type="dxa"/>
            <w:vAlign w:val="bottom"/>
          </w:tcPr>
          <w:p>
            <w:pPr>
              <w:spacing w:after="0"/>
              <w:rPr>
                <w:sz w:val="1"/>
                <w:szCs w:val="1"/>
                <w:color w:val="auto"/>
              </w:rPr>
            </w:pPr>
          </w:p>
        </w:tc>
      </w:tr>
      <w:tr>
        <w:trPr>
          <w:trHeight w:val="432"/>
        </w:trPr>
        <w:tc>
          <w:tcPr>
            <w:tcW w:w="9280" w:type="dxa"/>
            <w:vAlign w:val="bottom"/>
          </w:tcPr>
          <w:p>
            <w:pPr>
              <w:ind w:left="680"/>
              <w:spacing w:after="0"/>
              <w:rPr>
                <w:sz w:val="20"/>
                <w:szCs w:val="20"/>
                <w:color w:val="auto"/>
              </w:rPr>
            </w:pPr>
            <w:r>
              <w:rPr>
                <w:rFonts w:ascii="Arial" w:cs="Arial" w:eastAsia="Arial" w:hAnsi="Arial"/>
                <w:sz w:val="18"/>
                <w:szCs w:val="18"/>
                <w:color w:val="auto"/>
              </w:rPr>
              <w:t>Consolidated Statements of Shareholders’ Equity for the years ended December 31, 2010, 2009 and 2008</w:t>
            </w:r>
          </w:p>
        </w:tc>
        <w:tc>
          <w:tcPr>
            <w:tcW w:w="2140" w:type="dxa"/>
            <w:vAlign w:val="bottom"/>
          </w:tcPr>
          <w:p>
            <w:pPr>
              <w:jc w:val="center"/>
              <w:ind w:left="750"/>
              <w:spacing w:after="0"/>
              <w:rPr>
                <w:sz w:val="20"/>
                <w:szCs w:val="20"/>
                <w:color w:val="auto"/>
              </w:rPr>
            </w:pPr>
            <w:r>
              <w:rPr>
                <w:rFonts w:ascii="Arial" w:cs="Arial" w:eastAsia="Arial" w:hAnsi="Arial"/>
                <w:sz w:val="18"/>
                <w:szCs w:val="18"/>
                <w:color w:val="auto"/>
                <w:w w:val="89"/>
              </w:rPr>
              <w:t>47</w:t>
            </w:r>
          </w:p>
        </w:tc>
        <w:tc>
          <w:tcPr>
            <w:tcW w:w="0" w:type="dxa"/>
            <w:vAlign w:val="bottom"/>
          </w:tcPr>
          <w:p>
            <w:pPr>
              <w:spacing w:after="0"/>
              <w:rPr>
                <w:sz w:val="1"/>
                <w:szCs w:val="1"/>
                <w:color w:val="auto"/>
              </w:rPr>
            </w:pPr>
          </w:p>
        </w:tc>
      </w:tr>
      <w:tr>
        <w:trPr>
          <w:trHeight w:val="432"/>
        </w:trPr>
        <w:tc>
          <w:tcPr>
            <w:tcW w:w="9280" w:type="dxa"/>
            <w:vAlign w:val="bottom"/>
          </w:tcPr>
          <w:p>
            <w:pPr>
              <w:ind w:left="500"/>
              <w:spacing w:after="0"/>
              <w:rPr>
                <w:sz w:val="20"/>
                <w:szCs w:val="20"/>
                <w:color w:val="auto"/>
              </w:rPr>
            </w:pPr>
            <w:r>
              <w:rPr>
                <w:rFonts w:ascii="Arial" w:cs="Arial" w:eastAsia="Arial" w:hAnsi="Arial"/>
                <w:sz w:val="18"/>
                <w:szCs w:val="18"/>
                <w:color w:val="auto"/>
              </w:rPr>
              <w:t>Notes to Consolidated Financial Statements</w:t>
            </w:r>
          </w:p>
        </w:tc>
        <w:tc>
          <w:tcPr>
            <w:tcW w:w="2140" w:type="dxa"/>
            <w:vAlign w:val="bottom"/>
          </w:tcPr>
          <w:p>
            <w:pPr>
              <w:jc w:val="center"/>
              <w:ind w:left="750"/>
              <w:spacing w:after="0"/>
              <w:rPr>
                <w:sz w:val="20"/>
                <w:szCs w:val="20"/>
                <w:color w:val="auto"/>
              </w:rPr>
            </w:pPr>
            <w:r>
              <w:rPr>
                <w:rFonts w:ascii="Arial" w:cs="Arial" w:eastAsia="Arial" w:hAnsi="Arial"/>
                <w:sz w:val="18"/>
                <w:szCs w:val="18"/>
                <w:color w:val="auto"/>
                <w:w w:val="91"/>
              </w:rPr>
              <w:t>48-77</w:t>
            </w:r>
          </w:p>
        </w:tc>
        <w:tc>
          <w:tcPr>
            <w:tcW w:w="0" w:type="dxa"/>
            <w:vAlign w:val="bottom"/>
          </w:tcPr>
          <w:p>
            <w:pPr>
              <w:spacing w:after="0"/>
              <w:rPr>
                <w:sz w:val="1"/>
                <w:szCs w:val="1"/>
                <w:color w:val="auto"/>
              </w:rPr>
            </w:pPr>
          </w:p>
        </w:tc>
      </w:tr>
      <w:tr>
        <w:trPr>
          <w:trHeight w:val="432"/>
        </w:trPr>
        <w:tc>
          <w:tcPr>
            <w:tcW w:w="9280" w:type="dxa"/>
            <w:vAlign w:val="bottom"/>
          </w:tcPr>
          <w:p>
            <w:pPr>
              <w:spacing w:after="0"/>
              <w:rPr>
                <w:sz w:val="20"/>
                <w:szCs w:val="20"/>
                <w:color w:val="auto"/>
              </w:rPr>
            </w:pPr>
            <w:r>
              <w:rPr>
                <w:rFonts w:ascii="Arial" w:cs="Arial" w:eastAsia="Arial" w:hAnsi="Arial"/>
                <w:sz w:val="18"/>
                <w:szCs w:val="18"/>
                <w:color w:val="auto"/>
              </w:rPr>
              <w:t>(a)(2) Financial Statement Schedule.</w:t>
            </w:r>
          </w:p>
        </w:tc>
        <w:tc>
          <w:tcPr>
            <w:tcW w:w="2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280" w:type="dxa"/>
            <w:vAlign w:val="bottom"/>
          </w:tcPr>
          <w:p>
            <w:pPr>
              <w:ind w:left="660"/>
              <w:spacing w:after="0"/>
              <w:rPr>
                <w:sz w:val="20"/>
                <w:szCs w:val="20"/>
                <w:color w:val="auto"/>
              </w:rPr>
            </w:pPr>
            <w:r>
              <w:rPr>
                <w:rFonts w:ascii="Arial" w:cs="Arial" w:eastAsia="Arial" w:hAnsi="Arial"/>
                <w:sz w:val="18"/>
                <w:szCs w:val="18"/>
                <w:color w:val="auto"/>
              </w:rPr>
              <w:t>Report of Independent Registered Public Accounting Firm on Financial Statement Schedule</w:t>
            </w:r>
          </w:p>
        </w:tc>
        <w:tc>
          <w:tcPr>
            <w:tcW w:w="2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280" w:type="dxa"/>
            <w:vAlign w:val="bottom"/>
          </w:tcPr>
          <w:p>
            <w:pPr>
              <w:ind w:left="660"/>
              <w:spacing w:after="0"/>
              <w:rPr>
                <w:sz w:val="20"/>
                <w:szCs w:val="20"/>
                <w:color w:val="auto"/>
              </w:rPr>
            </w:pPr>
            <w:r>
              <w:rPr>
                <w:rFonts w:ascii="Arial" w:cs="Arial" w:eastAsia="Arial" w:hAnsi="Arial"/>
                <w:sz w:val="18"/>
                <w:szCs w:val="18"/>
                <w:color w:val="auto"/>
              </w:rPr>
              <w:t>SCHEDULE II—Valuation and Qualifying Accounts</w:t>
            </w:r>
          </w:p>
        </w:tc>
        <w:tc>
          <w:tcPr>
            <w:tcW w:w="2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280" w:type="dxa"/>
            <w:vAlign w:val="bottom"/>
          </w:tcPr>
          <w:p>
            <w:pPr>
              <w:spacing w:after="0"/>
              <w:rPr>
                <w:sz w:val="20"/>
                <w:szCs w:val="20"/>
                <w:color w:val="auto"/>
              </w:rPr>
            </w:pPr>
            <w:r>
              <w:rPr>
                <w:rFonts w:ascii="Arial" w:cs="Arial" w:eastAsia="Arial" w:hAnsi="Arial"/>
                <w:sz w:val="18"/>
                <w:szCs w:val="18"/>
                <w:color w:val="auto"/>
              </w:rPr>
              <w:t>(a)(3) Exhibits.</w:t>
            </w:r>
          </w:p>
        </w:tc>
        <w:tc>
          <w:tcPr>
            <w:tcW w:w="2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280" w:type="dxa"/>
            <w:vAlign w:val="bottom"/>
          </w:tcPr>
          <w:p>
            <w:pPr>
              <w:ind w:left="540"/>
              <w:spacing w:after="0"/>
              <w:rPr>
                <w:sz w:val="20"/>
                <w:szCs w:val="20"/>
                <w:color w:val="auto"/>
              </w:rPr>
            </w:pPr>
            <w:r>
              <w:rPr>
                <w:rFonts w:ascii="Arial" w:cs="Arial" w:eastAsia="Arial" w:hAnsi="Arial"/>
                <w:sz w:val="18"/>
                <w:szCs w:val="18"/>
                <w:color w:val="auto"/>
              </w:rPr>
              <w:t>See (c) below.</w:t>
            </w:r>
          </w:p>
        </w:tc>
        <w:tc>
          <w:tcPr>
            <w:tcW w:w="2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40" w:firstLine="531"/>
        <w:spacing w:after="0" w:line="264" w:lineRule="auto"/>
        <w:rPr>
          <w:sz w:val="20"/>
          <w:szCs w:val="20"/>
          <w:color w:val="auto"/>
        </w:rPr>
      </w:pPr>
      <w:r>
        <w:rPr>
          <w:rFonts w:ascii="Arial" w:cs="Arial" w:eastAsia="Arial" w:hAnsi="Arial"/>
          <w:sz w:val="18"/>
          <w:szCs w:val="18"/>
          <w:color w:val="auto"/>
        </w:rPr>
        <w:t>Pursuant to Regulation S-K, Item 601(b)(4)(iii), Manpower hereby agrees to furnish to the Commission, upon request, a copy of each instrument and agreement with respect to long-term debt of Manpower and its consolidated subsidiaries which does not exceed 10 percent of the total assets of Manpower and its subsidiaries on a consolidated basis.</w:t>
      </w: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62230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color w:val="auto"/>
        </w:rPr>
        <w:t>(c) Exhibits.</w:t>
      </w:r>
    </w:p>
    <w:p>
      <w:pPr>
        <w:spacing w:after="0" w:line="225" w:lineRule="exact"/>
        <w:rPr>
          <w:sz w:val="20"/>
          <w:szCs w:val="20"/>
          <w:color w:val="auto"/>
        </w:rPr>
      </w:pPr>
    </w:p>
    <w:p>
      <w:pPr>
        <w:ind w:left="100"/>
        <w:spacing w:after="0"/>
        <w:tabs>
          <w:tab w:leader="none" w:pos="80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color w:val="auto"/>
        </w:rPr>
        <w:t>Amended and Restated Articles of Incorporation of Manpower Inc. effective as of February 28, 1991, as amended on May 8, 2001 and April 28,</w:t>
      </w:r>
    </w:p>
    <w:p>
      <w:pPr>
        <w:spacing w:after="0" w:line="23" w:lineRule="exact"/>
        <w:rPr>
          <w:sz w:val="20"/>
          <w:szCs w:val="20"/>
          <w:color w:val="auto"/>
        </w:rPr>
      </w:pPr>
    </w:p>
    <w:p>
      <w:pPr>
        <w:ind w:left="820"/>
        <w:spacing w:after="0"/>
        <w:rPr>
          <w:sz w:val="20"/>
          <w:szCs w:val="20"/>
          <w:color w:val="auto"/>
        </w:rPr>
      </w:pPr>
      <w:r>
        <w:rPr>
          <w:rFonts w:ascii="Arial" w:cs="Arial" w:eastAsia="Arial" w:hAnsi="Arial"/>
          <w:sz w:val="18"/>
          <w:szCs w:val="18"/>
          <w:color w:val="auto"/>
        </w:rPr>
        <w:t>2010, incorporated by reference to the Company’s Quarterly Report on Form 10-Q for the quarter ended June 30, 2010.</w:t>
      </w:r>
    </w:p>
    <w:p>
      <w:pPr>
        <w:spacing w:after="0" w:line="211" w:lineRule="exact"/>
        <w:rPr>
          <w:sz w:val="20"/>
          <w:szCs w:val="20"/>
          <w:color w:val="auto"/>
        </w:rPr>
      </w:pPr>
    </w:p>
    <w:p>
      <w:pPr>
        <w:ind w:left="820" w:hanging="719"/>
        <w:spacing w:after="0" w:line="277" w:lineRule="auto"/>
        <w:tabs>
          <w:tab w:leader="none" w:pos="80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8"/>
          <w:szCs w:val="18"/>
          <w:color w:val="auto"/>
        </w:rPr>
        <w:t>Amended and Restated By-laws of Manpower Inc. effective as of April 28, 2010, incorporated by reference to the Company’s Quarterly Report on Form 10-Q for the quarter ended June 30, 2010.</w:t>
      </w:r>
    </w:p>
    <w:p>
      <w:pPr>
        <w:spacing w:after="0" w:line="170" w:lineRule="exact"/>
        <w:rPr>
          <w:sz w:val="20"/>
          <w:szCs w:val="20"/>
          <w:color w:val="auto"/>
        </w:rPr>
      </w:pPr>
    </w:p>
    <w:p>
      <w:pPr>
        <w:ind w:left="820" w:hanging="719"/>
        <w:spacing w:after="0" w:line="259" w:lineRule="auto"/>
        <w:tabs>
          <w:tab w:leader="none" w:pos="80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8"/>
          <w:szCs w:val="18"/>
          <w:color w:val="auto"/>
        </w:rPr>
        <w:t>Fiscal and Paying Agency Agreement between Manpower Inc. and Citibank, N.A. as Fiscal Agent, Principal Paying Agent, Registrar and Transfer Agent and Citibank International PLC as Irish Paying Agent, dated as of June 1, 2005 (including the forms of Rule 144A Global Note and Regulation S Global Note, attached thereto as Exhibits A and B, respectively), incorporated by reference to the Company’s Quarterly Report on Form 10-Q for the quarter ended June 30, 2005.</w:t>
      </w:r>
    </w:p>
    <w:p>
      <w:pPr>
        <w:spacing w:after="0" w:line="187" w:lineRule="exact"/>
        <w:rPr>
          <w:sz w:val="20"/>
          <w:szCs w:val="20"/>
          <w:color w:val="auto"/>
        </w:rPr>
      </w:pPr>
    </w:p>
    <w:p>
      <w:pPr>
        <w:ind w:left="820" w:hanging="719"/>
        <w:spacing w:after="0" w:line="286" w:lineRule="auto"/>
        <w:tabs>
          <w:tab w:leader="none" w:pos="80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7"/>
          <w:szCs w:val="17"/>
          <w:color w:val="auto"/>
        </w:rPr>
        <w:t>Fiscal and Paying Agency Agreement between Manpower Inc. and Citibank, N.A. as Fiscal Agent, Principal Paying Agent, Registrar and Transfer Agent and Citibank International PLC as Irish Paying Agent, dated as of June 14, 2006 (including the form of Note attached thereto as Schedule 1), incorporated by reference to the Company’s Quarterly Report on Form 10-Q for the quarter ended June 30, 2006.</w:t>
      </w:r>
    </w:p>
    <w:p>
      <w:pPr>
        <w:spacing w:after="0" w:line="166" w:lineRule="exact"/>
        <w:rPr>
          <w:sz w:val="20"/>
          <w:szCs w:val="20"/>
          <w:color w:val="auto"/>
        </w:rPr>
      </w:pPr>
    </w:p>
    <w:p>
      <w:pPr>
        <w:ind w:left="820" w:right="260" w:hanging="809"/>
        <w:spacing w:after="0" w:line="277" w:lineRule="auto"/>
        <w:tabs>
          <w:tab w:leader="none" w:pos="80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Amended and Restated Manpower Inc. Senior Management Performance-Based Deferred Compensation Plan, incorporated by reference to the Company’s Annual Report on Form 10-K for the year ended December 31, 2005. **</w:t>
      </w:r>
    </w:p>
    <w:p>
      <w:pPr>
        <w:spacing w:after="0" w:line="170" w:lineRule="exact"/>
        <w:rPr>
          <w:sz w:val="20"/>
          <w:szCs w:val="20"/>
          <w:color w:val="auto"/>
        </w:rPr>
      </w:pPr>
    </w:p>
    <w:p>
      <w:pPr>
        <w:ind w:left="820" w:hanging="809"/>
        <w:spacing w:after="0" w:line="264" w:lineRule="auto"/>
        <w:tabs>
          <w:tab w:leader="none" w:pos="800" w:val="left"/>
        </w:tabs>
        <w:rPr>
          <w:sz w:val="20"/>
          <w:szCs w:val="20"/>
          <w:color w:val="auto"/>
        </w:rPr>
      </w:pPr>
      <w:r>
        <w:rPr>
          <w:rFonts w:ascii="Arial" w:cs="Arial" w:eastAsia="Arial" w:hAnsi="Arial"/>
          <w:sz w:val="18"/>
          <w:szCs w:val="18"/>
          <w:color w:val="auto"/>
        </w:rPr>
        <w:t>10.2(a)</w:t>
      </w:r>
      <w:r>
        <w:rPr>
          <w:sz w:val="20"/>
          <w:szCs w:val="20"/>
          <w:color w:val="auto"/>
        </w:rPr>
        <w:tab/>
      </w:r>
      <w:r>
        <w:rPr>
          <w:rFonts w:ascii="Arial" w:cs="Arial" w:eastAsia="Arial" w:hAnsi="Arial"/>
          <w:sz w:val="18"/>
          <w:szCs w:val="18"/>
          <w:color w:val="auto"/>
        </w:rPr>
        <w:t>Five-Year Credit Agreement dated as of October 8, 2004 among Manpower Inc., the initial lenders named therein, Citibank N.A., Wachovia Bank, BNP Paribas, Bank One N.A., and The Royal Bank of Scotland, incorporated by reference to the Company’s Current Report on Form 8-K dated October 14, 2004.</w:t>
      </w:r>
    </w:p>
    <w:p>
      <w:pPr>
        <w:spacing w:after="0" w:line="18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10.2(b)</w:t>
      </w:r>
      <w:r>
        <w:rPr>
          <w:sz w:val="20"/>
          <w:szCs w:val="20"/>
          <w:color w:val="auto"/>
        </w:rPr>
        <w:tab/>
      </w:r>
      <w:r>
        <w:rPr>
          <w:rFonts w:ascii="Arial" w:cs="Arial" w:eastAsia="Arial" w:hAnsi="Arial"/>
          <w:sz w:val="16"/>
          <w:szCs w:val="16"/>
          <w:color w:val="auto"/>
        </w:rPr>
        <w:t>Amendment to Five-Year Credit Agreement dated as of March 14, 2005, incorporated by reference to the Company’s Quarterly Report on Form</w:t>
      </w:r>
    </w:p>
    <w:p>
      <w:pPr>
        <w:spacing w:after="0" w:line="23" w:lineRule="exact"/>
        <w:rPr>
          <w:sz w:val="20"/>
          <w:szCs w:val="20"/>
          <w:color w:val="auto"/>
        </w:rPr>
      </w:pPr>
    </w:p>
    <w:p>
      <w:pPr>
        <w:ind w:left="820"/>
        <w:spacing w:after="0"/>
        <w:rPr>
          <w:sz w:val="20"/>
          <w:szCs w:val="20"/>
          <w:color w:val="auto"/>
        </w:rPr>
      </w:pPr>
      <w:r>
        <w:rPr>
          <w:rFonts w:ascii="Arial" w:cs="Arial" w:eastAsia="Arial" w:hAnsi="Arial"/>
          <w:sz w:val="18"/>
          <w:szCs w:val="18"/>
          <w:color w:val="auto"/>
        </w:rPr>
        <w:t>10-Q for the quarter ended March 31, 2005.</w:t>
      </w:r>
    </w:p>
    <w:p>
      <w:pPr>
        <w:spacing w:after="0" w:line="211" w:lineRule="exact"/>
        <w:rPr>
          <w:sz w:val="20"/>
          <w:szCs w:val="20"/>
          <w:color w:val="auto"/>
        </w:rPr>
      </w:pPr>
    </w:p>
    <w:p>
      <w:pPr>
        <w:ind w:left="820" w:right="20" w:hanging="809"/>
        <w:spacing w:after="0" w:line="277" w:lineRule="auto"/>
        <w:tabs>
          <w:tab w:leader="none" w:pos="800" w:val="left"/>
        </w:tabs>
        <w:rPr>
          <w:sz w:val="20"/>
          <w:szCs w:val="20"/>
          <w:color w:val="auto"/>
        </w:rPr>
      </w:pPr>
      <w:r>
        <w:rPr>
          <w:rFonts w:ascii="Arial" w:cs="Arial" w:eastAsia="Arial" w:hAnsi="Arial"/>
          <w:sz w:val="18"/>
          <w:szCs w:val="18"/>
          <w:color w:val="auto"/>
        </w:rPr>
        <w:t>10.2(c)</w:t>
      </w:r>
      <w:r>
        <w:rPr>
          <w:sz w:val="20"/>
          <w:szCs w:val="20"/>
          <w:color w:val="auto"/>
        </w:rPr>
        <w:tab/>
      </w:r>
      <w:r>
        <w:rPr>
          <w:rFonts w:ascii="Arial" w:cs="Arial" w:eastAsia="Arial" w:hAnsi="Arial"/>
          <w:sz w:val="18"/>
          <w:szCs w:val="18"/>
          <w:color w:val="auto"/>
        </w:rPr>
        <w:t>Amendment No. 2 to the Credit Agreement dated as of January 10, 2006, incorporated by reference to the Company’s Annual Report on Form 10-K for the fiscal year ended December 31, 2005.</w:t>
      </w:r>
    </w:p>
    <w:p>
      <w:pPr>
        <w:spacing w:after="0" w:line="170"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10.2(d)</w:t>
      </w:r>
      <w:r>
        <w:rPr>
          <w:sz w:val="20"/>
          <w:szCs w:val="20"/>
          <w:color w:val="auto"/>
        </w:rPr>
        <w:tab/>
      </w:r>
      <w:r>
        <w:rPr>
          <w:rFonts w:ascii="Arial" w:cs="Arial" w:eastAsia="Arial" w:hAnsi="Arial"/>
          <w:sz w:val="16"/>
          <w:szCs w:val="16"/>
          <w:color w:val="auto"/>
        </w:rPr>
        <w:t>Amendment No. 3 to the Credit Agreement dated as of November 16, 2007, incorporated by reference to the Company’s Annual Report on Form</w:t>
      </w:r>
    </w:p>
    <w:p>
      <w:pPr>
        <w:spacing w:after="0" w:line="23" w:lineRule="exact"/>
        <w:rPr>
          <w:sz w:val="20"/>
          <w:szCs w:val="20"/>
          <w:color w:val="auto"/>
        </w:rPr>
      </w:pPr>
    </w:p>
    <w:p>
      <w:pPr>
        <w:ind w:left="820"/>
        <w:spacing w:after="0"/>
        <w:rPr>
          <w:sz w:val="20"/>
          <w:szCs w:val="20"/>
          <w:color w:val="auto"/>
        </w:rPr>
      </w:pPr>
      <w:r>
        <w:rPr>
          <w:rFonts w:ascii="Arial" w:cs="Arial" w:eastAsia="Arial" w:hAnsi="Arial"/>
          <w:sz w:val="18"/>
          <w:szCs w:val="18"/>
          <w:color w:val="auto"/>
        </w:rPr>
        <w:t>10-K for the fiscal year ended December 31, 2007.</w:t>
      </w:r>
    </w:p>
    <w:p>
      <w:pPr>
        <w:spacing w:after="0" w:line="211" w:lineRule="exact"/>
        <w:rPr>
          <w:sz w:val="20"/>
          <w:szCs w:val="20"/>
          <w:color w:val="auto"/>
        </w:rPr>
      </w:pPr>
    </w:p>
    <w:p>
      <w:pPr>
        <w:ind w:left="820" w:right="80" w:hanging="809"/>
        <w:spacing w:after="0" w:line="277" w:lineRule="auto"/>
        <w:tabs>
          <w:tab w:leader="none" w:pos="800" w:val="left"/>
        </w:tabs>
        <w:rPr>
          <w:sz w:val="20"/>
          <w:szCs w:val="20"/>
          <w:color w:val="auto"/>
        </w:rPr>
      </w:pPr>
      <w:r>
        <w:rPr>
          <w:rFonts w:ascii="Arial" w:cs="Arial" w:eastAsia="Arial" w:hAnsi="Arial"/>
          <w:sz w:val="18"/>
          <w:szCs w:val="18"/>
          <w:color w:val="auto"/>
        </w:rPr>
        <w:t>10.2(e)</w:t>
      </w:r>
      <w:r>
        <w:rPr>
          <w:sz w:val="20"/>
          <w:szCs w:val="20"/>
          <w:color w:val="auto"/>
        </w:rPr>
        <w:tab/>
      </w:r>
      <w:r>
        <w:rPr>
          <w:rFonts w:ascii="Arial" w:cs="Arial" w:eastAsia="Arial" w:hAnsi="Arial"/>
          <w:sz w:val="18"/>
          <w:szCs w:val="18"/>
          <w:color w:val="auto"/>
        </w:rPr>
        <w:t>Amendment No. 4 to the Credit Agreement dated as of October 16, 2009, incorporated by reference to the Company’s Current Report on Form 8-K dated October 16, 2009.</w:t>
      </w:r>
    </w:p>
    <w:p>
      <w:pPr>
        <w:spacing w:after="0" w:line="170" w:lineRule="exact"/>
        <w:rPr>
          <w:sz w:val="20"/>
          <w:szCs w:val="20"/>
          <w:color w:val="auto"/>
        </w:rPr>
      </w:pPr>
    </w:p>
    <w:p>
      <w:pPr>
        <w:ind w:left="820" w:hanging="809"/>
        <w:spacing w:after="0" w:line="277" w:lineRule="auto"/>
        <w:tabs>
          <w:tab w:leader="none" w:pos="80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8"/>
          <w:szCs w:val="18"/>
          <w:color w:val="auto"/>
        </w:rPr>
        <w:t>Amended and Restated Manpower 1991 Executive Stock Option and Restricted Stock Plan, incorporated by reference to Form 10-Q of Manpower Inc. dated September 30, 1996. **</w:t>
      </w:r>
    </w:p>
    <w:p>
      <w:pPr>
        <w:spacing w:after="0" w:line="170"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6"/>
          <w:szCs w:val="16"/>
          <w:color w:val="auto"/>
        </w:rPr>
        <w:t>Manpower Savings Related Share Option Scheme. **</w:t>
      </w:r>
    </w:p>
    <w:p>
      <w:pPr>
        <w:spacing w:after="0" w:line="225" w:lineRule="exact"/>
        <w:rPr>
          <w:sz w:val="20"/>
          <w:szCs w:val="20"/>
          <w:color w:val="auto"/>
        </w:rPr>
      </w:pPr>
    </w:p>
    <w:p>
      <w:pPr>
        <w:ind w:left="820" w:right="220" w:hanging="809"/>
        <w:spacing w:after="0" w:line="277" w:lineRule="auto"/>
        <w:tabs>
          <w:tab w:leader="none" w:pos="80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8"/>
          <w:szCs w:val="18"/>
          <w:color w:val="auto"/>
        </w:rPr>
        <w:t>Manpower 1990 Employee Stock Purchase Plan (Amended and Restated effective April 26, 2005), incorporated by reference to the Company’s Quarterly Report on Form 10-Q for the quarter ended March 31, 2005.</w:t>
      </w:r>
    </w:p>
    <w:p>
      <w:pPr>
        <w:spacing w:after="0" w:line="170" w:lineRule="exact"/>
        <w:rPr>
          <w:sz w:val="20"/>
          <w:szCs w:val="20"/>
          <w:color w:val="auto"/>
        </w:rPr>
      </w:pPr>
    </w:p>
    <w:p>
      <w:pPr>
        <w:ind w:left="820" w:right="160" w:hanging="809"/>
        <w:spacing w:after="0" w:line="277" w:lineRule="auto"/>
        <w:tabs>
          <w:tab w:leader="none" w:pos="80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8"/>
          <w:szCs w:val="18"/>
          <w:color w:val="auto"/>
        </w:rPr>
        <w:t>Manpower Retirement Plan, as amended and restated effective as of March 1, 1989, incorporated by reference to Form 10-K of Manpower PLC, SEC File No. 0-9890, filed for the fiscal year ended October 31, 1989. **</w:t>
      </w:r>
    </w:p>
    <w:p>
      <w:pPr>
        <w:spacing w:after="0" w:line="170" w:lineRule="exact"/>
        <w:rPr>
          <w:sz w:val="20"/>
          <w:szCs w:val="20"/>
          <w:color w:val="auto"/>
        </w:rPr>
      </w:pPr>
    </w:p>
    <w:p>
      <w:pPr>
        <w:ind w:left="820" w:right="120" w:hanging="809"/>
        <w:spacing w:after="0" w:line="277" w:lineRule="auto"/>
        <w:tabs>
          <w:tab w:leader="none" w:pos="800" w:val="left"/>
        </w:tabs>
        <w:rPr>
          <w:sz w:val="20"/>
          <w:szCs w:val="20"/>
          <w:color w:val="auto"/>
        </w:rPr>
      </w:pPr>
      <w:r>
        <w:rPr>
          <w:rFonts w:ascii="Arial" w:cs="Arial" w:eastAsia="Arial" w:hAnsi="Arial"/>
          <w:sz w:val="18"/>
          <w:szCs w:val="18"/>
          <w:color w:val="auto"/>
        </w:rPr>
        <w:t>10.7</w:t>
      </w:r>
      <w:r>
        <w:rPr>
          <w:sz w:val="20"/>
          <w:szCs w:val="20"/>
          <w:color w:val="auto"/>
        </w:rPr>
        <w:tab/>
      </w:r>
      <w:r>
        <w:rPr>
          <w:rFonts w:ascii="Arial" w:cs="Arial" w:eastAsia="Arial" w:hAnsi="Arial"/>
          <w:sz w:val="18"/>
          <w:szCs w:val="18"/>
          <w:color w:val="auto"/>
        </w:rPr>
        <w:t>1994 Executive Stock Option and Restricted Stock Plan of Manpower Inc. (Amended and Restated October 29, 2002), incorporated by reference to the Company’s Annual Report on Form 10-K for the fiscal year ended December 31, 2002. **</w:t>
      </w:r>
    </w:p>
    <w:p>
      <w:pPr>
        <w:spacing w:after="0" w:line="170" w:lineRule="exact"/>
        <w:rPr>
          <w:sz w:val="20"/>
          <w:szCs w:val="20"/>
          <w:color w:val="auto"/>
        </w:rPr>
      </w:pPr>
    </w:p>
    <w:p>
      <w:pPr>
        <w:ind w:left="820" w:right="480" w:hanging="809"/>
        <w:spacing w:after="0" w:line="277" w:lineRule="auto"/>
        <w:tabs>
          <w:tab w:leader="none" w:pos="800" w:val="left"/>
        </w:tabs>
        <w:rPr>
          <w:sz w:val="20"/>
          <w:szCs w:val="20"/>
          <w:color w:val="auto"/>
        </w:rPr>
      </w:pPr>
      <w:r>
        <w:rPr>
          <w:rFonts w:ascii="Arial" w:cs="Arial" w:eastAsia="Arial" w:hAnsi="Arial"/>
          <w:sz w:val="18"/>
          <w:szCs w:val="18"/>
          <w:color w:val="auto"/>
        </w:rPr>
        <w:t>10.8</w:t>
      </w:r>
      <w:r>
        <w:rPr>
          <w:sz w:val="20"/>
          <w:szCs w:val="20"/>
          <w:color w:val="auto"/>
        </w:rPr>
        <w:tab/>
      </w:r>
      <w:r>
        <w:rPr>
          <w:rFonts w:ascii="Arial" w:cs="Arial" w:eastAsia="Arial" w:hAnsi="Arial"/>
          <w:sz w:val="18"/>
          <w:szCs w:val="18"/>
          <w:color w:val="auto"/>
        </w:rPr>
        <w:t>Manpower Inc. Corporate Senior Management Incentive Plan dated as of May 2, 2007, incorporated by reference to the Company’s Current Report on Form 8-K dated May 2, 2007. **</w:t>
      </w:r>
    </w:p>
    <w:p>
      <w:pPr>
        <w:spacing w:after="0" w:line="3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25" w:name="page26"/>
    <w:bookmarkEnd w:id="25"/>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10.9(a)</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10.9(b)</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color w:val="auto"/>
        </w:rPr>
        <w:t>10.10(a)</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color w:val="auto"/>
        </w:rPr>
        <w:t>10.10(b)</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color w:val="auto"/>
        </w:rPr>
        <w:t>10.11(a)</w:t>
      </w:r>
    </w:p>
    <w:p>
      <w:pPr>
        <w:spacing w:after="0" w:line="20" w:lineRule="exact"/>
        <w:rPr>
          <w:sz w:val="20"/>
          <w:szCs w:val="20"/>
          <w:color w:val="auto"/>
        </w:rPr>
      </w:pPr>
      <w:r>
        <w:rPr>
          <w:sz w:val="20"/>
          <w:szCs w:val="20"/>
          <w:color w:val="auto"/>
        </w:rPr>
        <w:br w:type="column"/>
      </w:r>
    </w:p>
    <w:p>
      <w:pPr>
        <w:ind w:right="800"/>
        <w:spacing w:after="0" w:line="277" w:lineRule="auto"/>
        <w:rPr>
          <w:sz w:val="20"/>
          <w:szCs w:val="20"/>
          <w:color w:val="auto"/>
        </w:rPr>
      </w:pPr>
      <w:r>
        <w:rPr>
          <w:rFonts w:ascii="Arial" w:cs="Arial" w:eastAsia="Arial" w:hAnsi="Arial"/>
          <w:sz w:val="18"/>
          <w:szCs w:val="18"/>
          <w:color w:val="auto"/>
        </w:rPr>
        <w:t>Employment Agreement between Jeffrey A. Joerres and Manpower Inc. dated as of February 20, 2008, incorporated by reference to the Company’s Annual Report on Form 10-K for the fiscal year ended December 31, 2007. **</w:t>
      </w:r>
    </w:p>
    <w:p>
      <w:pPr>
        <w:spacing w:after="0" w:line="17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Severance Agreement between Jeffrey A. Joerres and Manpower Inc. dated as of February 20, 2008, incorporated by reference to the Company’s Annual Report on Form 10-K for the fiscal year ended December 31, 2007. **</w:t>
      </w:r>
    </w:p>
    <w:p>
      <w:pPr>
        <w:spacing w:after="0" w:line="170"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Employment Agreement between Michael J. Van Handel and Manpower Inc. dated as of February 20, 2008, incorporated by reference to the Company’s Annual Report on Form 10-K for the fiscal year ended December 31, 2007. **</w:t>
      </w:r>
    </w:p>
    <w:p>
      <w:pPr>
        <w:spacing w:after="0" w:line="170"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Severance Agreement between Michael J. Van Handel and Manpower Inc. dated as of February 20, 2008, incorporated by reference to the Company’s Annual Report on Form 10-K for the fiscal year ended December 31, 2007. **</w:t>
      </w:r>
    </w:p>
    <w:p>
      <w:pPr>
        <w:spacing w:after="0" w:line="170" w:lineRule="exact"/>
        <w:rPr>
          <w:sz w:val="20"/>
          <w:szCs w:val="20"/>
          <w:color w:val="auto"/>
        </w:rPr>
      </w:pPr>
    </w:p>
    <w:p>
      <w:pPr>
        <w:ind w:right="800"/>
        <w:spacing w:after="0" w:line="264" w:lineRule="auto"/>
        <w:rPr>
          <w:sz w:val="20"/>
          <w:szCs w:val="20"/>
          <w:color w:val="auto"/>
        </w:rPr>
      </w:pPr>
      <w:r>
        <w:rPr>
          <w:rFonts w:ascii="Arial" w:cs="Arial" w:eastAsia="Arial" w:hAnsi="Arial"/>
          <w:sz w:val="18"/>
          <w:szCs w:val="18"/>
          <w:color w:val="auto"/>
        </w:rPr>
        <w:t>Assignment Agreement by and among Manpower Inc., Manpower Holdings Limited and Barbara Beck dated as of December 20, 2005, incorporated by reference to the Company’s Current Report on Form 8-K dated December 20, 2005. **</w:t>
      </w:r>
    </w:p>
    <w:p>
      <w:pPr>
        <w:spacing w:after="0" w:line="181" w:lineRule="exact"/>
        <w:rPr>
          <w:sz w:val="20"/>
          <w:szCs w:val="20"/>
          <w:color w:val="auto"/>
        </w:rPr>
      </w:pPr>
    </w:p>
    <w:p>
      <w:pPr>
        <w:sectPr>
          <w:pgSz w:w="11900" w:h="16838" w:orient="portrait"/>
          <w:cols w:equalWidth="0" w:num="2">
            <w:col w:w="620" w:space="200"/>
            <w:col w:w="10560"/>
          </w:cols>
          <w:pgMar w:left="240" w:top="341" w:right="279" w:bottom="1440" w:gutter="0" w:footer="0" w:header="0"/>
        </w:sectPr>
      </w:pPr>
    </w:p>
    <w:p>
      <w:pPr>
        <w:spacing w:after="0"/>
        <w:tabs>
          <w:tab w:leader="none" w:pos="800" w:val="left"/>
        </w:tabs>
        <w:rPr>
          <w:sz w:val="20"/>
          <w:szCs w:val="20"/>
          <w:color w:val="auto"/>
        </w:rPr>
      </w:pPr>
      <w:r>
        <w:rPr>
          <w:rFonts w:ascii="Arial" w:cs="Arial" w:eastAsia="Arial" w:hAnsi="Arial"/>
          <w:sz w:val="18"/>
          <w:szCs w:val="18"/>
          <w:color w:val="auto"/>
        </w:rPr>
        <w:t>10.11(b)</w:t>
      </w:r>
      <w:r>
        <w:rPr>
          <w:sz w:val="20"/>
          <w:szCs w:val="20"/>
          <w:color w:val="auto"/>
        </w:rPr>
        <w:tab/>
      </w:r>
      <w:r>
        <w:rPr>
          <w:rFonts w:ascii="Arial" w:cs="Arial" w:eastAsia="Arial" w:hAnsi="Arial"/>
          <w:sz w:val="16"/>
          <w:szCs w:val="16"/>
          <w:color w:val="auto"/>
        </w:rPr>
        <w:t>Letter Agreement by and among Manpower Inc., Manpower Holdings Limited and Barbara Beck dated as of April 1,</w:t>
      </w:r>
    </w:p>
    <w:p>
      <w:pPr>
        <w:spacing w:after="0" w:line="23" w:lineRule="exact"/>
        <w:rPr>
          <w:sz w:val="20"/>
          <w:szCs w:val="20"/>
          <w:color w:val="auto"/>
        </w:rPr>
      </w:pPr>
    </w:p>
    <w:p>
      <w:pPr>
        <w:ind w:left="820"/>
        <w:spacing w:after="0"/>
        <w:rPr>
          <w:sz w:val="20"/>
          <w:szCs w:val="20"/>
          <w:color w:val="auto"/>
        </w:rPr>
      </w:pPr>
      <w:r>
        <w:rPr>
          <w:rFonts w:ascii="Arial" w:cs="Arial" w:eastAsia="Arial" w:hAnsi="Arial"/>
          <w:sz w:val="18"/>
          <w:szCs w:val="18"/>
          <w:color w:val="auto"/>
        </w:rPr>
        <w:t>2008, incorporated by reference to the Company’s Annual Report on Form 10-K for the fiscal year ended December 31, 2008. **</w:t>
      </w:r>
    </w:p>
    <w:p>
      <w:pPr>
        <w:spacing w:after="0" w:line="211" w:lineRule="exact"/>
        <w:rPr>
          <w:sz w:val="20"/>
          <w:szCs w:val="20"/>
          <w:color w:val="auto"/>
        </w:rPr>
      </w:pPr>
    </w:p>
    <w:p>
      <w:pPr>
        <w:ind w:left="820" w:right="120" w:hanging="809"/>
        <w:spacing w:after="0" w:line="277" w:lineRule="auto"/>
        <w:tabs>
          <w:tab w:leader="none" w:pos="800" w:val="left"/>
        </w:tabs>
        <w:rPr>
          <w:sz w:val="20"/>
          <w:szCs w:val="20"/>
          <w:color w:val="auto"/>
        </w:rPr>
      </w:pPr>
      <w:r>
        <w:rPr>
          <w:rFonts w:ascii="Arial" w:cs="Arial" w:eastAsia="Arial" w:hAnsi="Arial"/>
          <w:sz w:val="18"/>
          <w:szCs w:val="18"/>
          <w:color w:val="auto"/>
        </w:rPr>
        <w:t>10.12(a)</w:t>
        <w:tab/>
        <w:t>Amended and Restated Assignment Agreement by and among Manpower Inc. and Jonas Prising dated as of December 29, 2008, incorporated by reference to the Company’s Current Report on Form 8-K dated December 29, 2008. **</w:t>
      </w:r>
    </w:p>
    <w:p>
      <w:pPr>
        <w:spacing w:after="0" w:line="170" w:lineRule="exact"/>
        <w:rPr>
          <w:sz w:val="20"/>
          <w:szCs w:val="20"/>
          <w:color w:val="auto"/>
        </w:rPr>
      </w:pPr>
    </w:p>
    <w:p>
      <w:pPr>
        <w:ind w:left="820" w:right="220" w:hanging="809"/>
        <w:spacing w:after="0" w:line="277" w:lineRule="auto"/>
        <w:tabs>
          <w:tab w:leader="none" w:pos="800" w:val="left"/>
        </w:tabs>
        <w:rPr>
          <w:sz w:val="20"/>
          <w:szCs w:val="20"/>
          <w:color w:val="auto"/>
        </w:rPr>
      </w:pPr>
      <w:r>
        <w:rPr>
          <w:rFonts w:ascii="Arial" w:cs="Arial" w:eastAsia="Arial" w:hAnsi="Arial"/>
          <w:sz w:val="18"/>
          <w:szCs w:val="18"/>
          <w:color w:val="auto"/>
        </w:rPr>
        <w:t>10.12(b)</w:t>
        <w:tab/>
        <w:t>Employment Agreement between Francoise Gri and Manpower Inc. dated as of February 15, 2007, incorporated by reference to the Company’s Annual Report on Form 10-K for the fiscal year ended December 31, 2007. **</w:t>
      </w:r>
    </w:p>
    <w:p>
      <w:pPr>
        <w:spacing w:after="0" w:line="170" w:lineRule="exact"/>
        <w:rPr>
          <w:sz w:val="20"/>
          <w:szCs w:val="20"/>
          <w:color w:val="auto"/>
        </w:rPr>
      </w:pPr>
    </w:p>
    <w:p>
      <w:pPr>
        <w:ind w:left="820" w:hanging="809"/>
        <w:spacing w:after="0" w:line="277" w:lineRule="auto"/>
        <w:tabs>
          <w:tab w:leader="none" w:pos="800" w:val="left"/>
        </w:tabs>
        <w:rPr>
          <w:sz w:val="20"/>
          <w:szCs w:val="20"/>
          <w:color w:val="auto"/>
        </w:rPr>
      </w:pPr>
      <w:r>
        <w:rPr>
          <w:rFonts w:ascii="Arial" w:cs="Arial" w:eastAsia="Arial" w:hAnsi="Arial"/>
          <w:sz w:val="18"/>
          <w:szCs w:val="18"/>
          <w:color w:val="auto"/>
        </w:rPr>
        <w:t>10.12(c)</w:t>
        <w:tab/>
        <w:t>Letter Agreement between Darryl Green and Manpower Inc. dated as of April 4, 2007, incorporated by reference to the Company’s Annual Report on Form 10-K for the fiscal year ended December 31, 2007. **</w:t>
      </w:r>
    </w:p>
    <w:p>
      <w:pPr>
        <w:spacing w:after="0" w:line="170" w:lineRule="exact"/>
        <w:rPr>
          <w:sz w:val="20"/>
          <w:szCs w:val="20"/>
          <w:color w:val="auto"/>
        </w:rPr>
      </w:pPr>
    </w:p>
    <w:p>
      <w:pPr>
        <w:ind w:left="820" w:right="20" w:hanging="809"/>
        <w:spacing w:after="0" w:line="264" w:lineRule="auto"/>
        <w:tabs>
          <w:tab w:leader="none" w:pos="800" w:val="left"/>
        </w:tabs>
        <w:rPr>
          <w:sz w:val="20"/>
          <w:szCs w:val="20"/>
          <w:color w:val="auto"/>
        </w:rPr>
      </w:pPr>
      <w:r>
        <w:rPr>
          <w:rFonts w:ascii="Arial" w:cs="Arial" w:eastAsia="Arial" w:hAnsi="Arial"/>
          <w:sz w:val="18"/>
          <w:szCs w:val="18"/>
          <w:color w:val="auto"/>
        </w:rPr>
        <w:t>10.13(a)</w:t>
        <w:tab/>
        <w:t>Terms and Conditions Regarding the Grant of Awards to Non-Employee Directors under the 2003 Equity Incentive Plan of Manpower Inc. (Amended and Restated Effective January 1, 2006), incorporated by reference to the Company’s Current Report on Form 8-K dated December 19, 2005. **</w:t>
      </w:r>
    </w:p>
    <w:p>
      <w:pPr>
        <w:spacing w:after="0" w:line="181" w:lineRule="exact"/>
        <w:rPr>
          <w:sz w:val="20"/>
          <w:szCs w:val="20"/>
          <w:color w:val="auto"/>
        </w:rPr>
      </w:pPr>
    </w:p>
    <w:p>
      <w:pPr>
        <w:ind w:left="820" w:right="140" w:hanging="809"/>
        <w:spacing w:after="0" w:line="264" w:lineRule="auto"/>
        <w:tabs>
          <w:tab w:leader="none" w:pos="800" w:val="left"/>
        </w:tabs>
        <w:rPr>
          <w:sz w:val="20"/>
          <w:szCs w:val="20"/>
          <w:color w:val="auto"/>
        </w:rPr>
      </w:pPr>
      <w:r>
        <w:rPr>
          <w:rFonts w:ascii="Arial" w:cs="Arial" w:eastAsia="Arial" w:hAnsi="Arial"/>
          <w:sz w:val="18"/>
          <w:szCs w:val="18"/>
          <w:color w:val="auto"/>
        </w:rPr>
        <w:t>10.13(b)</w:t>
        <w:tab/>
        <w:t>Terms and Conditions Regarding the Grant of Awards to Non-Employee Directors under the 2003 Equity Incentive Plan of Manpower Inc. (Amended and Restated Effective January 1, 2008), incorporated by reference to the Company’s Annual Report on Form 10-K for the fiscal year ended December 31, 2007. **</w:t>
      </w:r>
    </w:p>
    <w:p>
      <w:pPr>
        <w:spacing w:after="0" w:line="181" w:lineRule="exact"/>
        <w:rPr>
          <w:sz w:val="20"/>
          <w:szCs w:val="20"/>
          <w:color w:val="auto"/>
        </w:rPr>
      </w:pPr>
    </w:p>
    <w:p>
      <w:pPr>
        <w:ind w:left="820" w:right="400" w:hanging="809"/>
        <w:spacing w:after="0" w:line="277" w:lineRule="auto"/>
        <w:tabs>
          <w:tab w:leader="none" w:pos="800" w:val="left"/>
        </w:tabs>
        <w:rPr>
          <w:sz w:val="20"/>
          <w:szCs w:val="20"/>
          <w:color w:val="auto"/>
        </w:rPr>
      </w:pPr>
      <w:r>
        <w:rPr>
          <w:rFonts w:ascii="Arial" w:cs="Arial" w:eastAsia="Arial" w:hAnsi="Arial"/>
          <w:sz w:val="18"/>
          <w:szCs w:val="18"/>
          <w:color w:val="auto"/>
        </w:rPr>
        <w:t>10.13(c)</w:t>
        <w:tab/>
        <w:t>Manpower Inc. Compensation for Non-Employee Directors (Effective January 1, 2006), incorporated by reference to the Company’s Current Report on Form 8-K dated December 19, 2005. **</w:t>
      </w:r>
    </w:p>
    <w:p>
      <w:pPr>
        <w:spacing w:after="0" w:line="170" w:lineRule="exact"/>
        <w:rPr>
          <w:sz w:val="20"/>
          <w:szCs w:val="20"/>
          <w:color w:val="auto"/>
        </w:rPr>
      </w:pPr>
    </w:p>
    <w:p>
      <w:pPr>
        <w:ind w:left="820" w:right="620" w:hanging="809"/>
        <w:spacing w:after="0" w:line="277" w:lineRule="auto"/>
        <w:tabs>
          <w:tab w:leader="none" w:pos="800" w:val="left"/>
        </w:tabs>
        <w:rPr>
          <w:sz w:val="20"/>
          <w:szCs w:val="20"/>
          <w:color w:val="auto"/>
        </w:rPr>
      </w:pPr>
      <w:r>
        <w:rPr>
          <w:rFonts w:ascii="Arial" w:cs="Arial" w:eastAsia="Arial" w:hAnsi="Arial"/>
          <w:sz w:val="18"/>
          <w:szCs w:val="18"/>
          <w:color w:val="auto"/>
        </w:rPr>
        <w:t>10.13(d)</w:t>
        <w:tab/>
        <w:t>Amended and Restated Severance Agreement between Barbara Beck and Manpower Inc. dated as of November 10, 2009, incorporated by reference to the Company’s Current Report on Form 8-K dated November 10, 2009. **</w:t>
      </w:r>
    </w:p>
    <w:p>
      <w:pPr>
        <w:spacing w:after="0" w:line="170" w:lineRule="exact"/>
        <w:rPr>
          <w:sz w:val="20"/>
          <w:szCs w:val="20"/>
          <w:color w:val="auto"/>
        </w:rPr>
      </w:pPr>
    </w:p>
    <w:p>
      <w:pPr>
        <w:ind w:left="820" w:right="520" w:hanging="809"/>
        <w:spacing w:after="0" w:line="277" w:lineRule="auto"/>
        <w:tabs>
          <w:tab w:leader="none" w:pos="800" w:val="left"/>
        </w:tabs>
        <w:rPr>
          <w:sz w:val="20"/>
          <w:szCs w:val="20"/>
          <w:color w:val="auto"/>
        </w:rPr>
      </w:pPr>
      <w:r>
        <w:rPr>
          <w:rFonts w:ascii="Arial" w:cs="Arial" w:eastAsia="Arial" w:hAnsi="Arial"/>
          <w:sz w:val="18"/>
          <w:szCs w:val="18"/>
          <w:color w:val="auto"/>
        </w:rPr>
        <w:t>10.13(e)</w:t>
        <w:tab/>
        <w:t>Employment Separation Agreement dated December 22, 2010, between Manpower Inc. and Barbara Beck, incorporated by reference to the Company’s Current Report on Form 8-K dated December 22, 2010. **</w:t>
      </w:r>
    </w:p>
    <w:p>
      <w:pPr>
        <w:spacing w:after="0" w:line="170" w:lineRule="exact"/>
        <w:rPr>
          <w:sz w:val="20"/>
          <w:szCs w:val="20"/>
          <w:color w:val="auto"/>
        </w:rPr>
      </w:pPr>
    </w:p>
    <w:p>
      <w:pPr>
        <w:ind w:left="820" w:right="640" w:hanging="809"/>
        <w:spacing w:after="0" w:line="277" w:lineRule="auto"/>
        <w:tabs>
          <w:tab w:leader="none" w:pos="800" w:val="left"/>
        </w:tabs>
        <w:rPr>
          <w:sz w:val="20"/>
          <w:szCs w:val="20"/>
          <w:color w:val="auto"/>
        </w:rPr>
      </w:pPr>
      <w:r>
        <w:rPr>
          <w:rFonts w:ascii="Arial" w:cs="Arial" w:eastAsia="Arial" w:hAnsi="Arial"/>
          <w:sz w:val="18"/>
          <w:szCs w:val="18"/>
          <w:color w:val="auto"/>
        </w:rPr>
        <w:t>10.13(f)</w:t>
        <w:tab/>
        <w:t>Amended and Restated Severance Agreement between Jonas Prising and Manpower Inc. dated as of November 10, 2009, incorporated by reference to the Company’s Current Report on Form 8-K dated November 10, 2009. **</w:t>
      </w:r>
    </w:p>
    <w:p>
      <w:pPr>
        <w:spacing w:after="0" w:line="170" w:lineRule="exact"/>
        <w:rPr>
          <w:sz w:val="20"/>
          <w:szCs w:val="20"/>
          <w:color w:val="auto"/>
        </w:rPr>
      </w:pPr>
    </w:p>
    <w:p>
      <w:pPr>
        <w:ind w:left="820" w:right="360" w:hanging="809"/>
        <w:spacing w:after="0" w:line="277" w:lineRule="auto"/>
        <w:tabs>
          <w:tab w:leader="none" w:pos="800" w:val="left"/>
        </w:tabs>
        <w:rPr>
          <w:sz w:val="20"/>
          <w:szCs w:val="20"/>
          <w:color w:val="auto"/>
        </w:rPr>
      </w:pPr>
      <w:r>
        <w:rPr>
          <w:rFonts w:ascii="Arial" w:cs="Arial" w:eastAsia="Arial" w:hAnsi="Arial"/>
          <w:sz w:val="18"/>
          <w:szCs w:val="18"/>
          <w:color w:val="auto"/>
        </w:rPr>
        <w:t>10.13(g)</w:t>
        <w:tab/>
        <w:t>Amended and Restated Severance Agreement between Owen J. Sullivan and Manpower Inc. dated as of November 10, 2009, incorporated by reference to the Company’s Current Report on Form 8-K dated November 10, 2009. **</w:t>
      </w:r>
    </w:p>
    <w:p>
      <w:pPr>
        <w:spacing w:after="0" w:line="3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type w:val="continuous"/>
        </w:sectPr>
      </w:pPr>
    </w:p>
    <w:bookmarkStart w:id="26" w:name="page27"/>
    <w:bookmarkEnd w:id="26"/>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10.13(h)</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10.13(i)</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10.13(j)</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10.13(k)</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10.13(l)</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color w:val="auto"/>
        </w:rPr>
        <w:t>10.13(m)</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10.13(n)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10.14(a)</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10.14(b)</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10.14(c)</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10.14(d)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10.14(e)</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10.14(f)</w:t>
      </w:r>
    </w:p>
    <w:p>
      <w:pPr>
        <w:spacing w:after="0" w:line="20" w:lineRule="exact"/>
        <w:rPr>
          <w:sz w:val="20"/>
          <w:szCs w:val="20"/>
          <w:color w:val="auto"/>
        </w:rPr>
      </w:pPr>
      <w:r>
        <w:rPr>
          <w:sz w:val="20"/>
          <w:szCs w:val="20"/>
          <w:color w:val="auto"/>
        </w:rPr>
        <w:br w:type="column"/>
      </w:r>
    </w:p>
    <w:p>
      <w:pPr>
        <w:ind w:right="140"/>
        <w:spacing w:after="0" w:line="277" w:lineRule="auto"/>
        <w:rPr>
          <w:sz w:val="20"/>
          <w:szCs w:val="20"/>
          <w:color w:val="auto"/>
        </w:rPr>
      </w:pPr>
      <w:r>
        <w:rPr>
          <w:rFonts w:ascii="Arial" w:cs="Arial" w:eastAsia="Arial" w:hAnsi="Arial"/>
          <w:sz w:val="18"/>
          <w:szCs w:val="18"/>
          <w:color w:val="auto"/>
        </w:rPr>
        <w:t>Amended and Restated Severance Agreement between Mara Swan and Manpower Inc. dated as of November 10, 2009, incorporated by reference to the Company’s Current Report on Form 8-K dated November 10, 2009. **</w:t>
      </w:r>
    </w:p>
    <w:p>
      <w:pPr>
        <w:spacing w:after="0" w:line="17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Amended and Restated Severance Agreement dated November 10, 2008 between Manpower Inc. and Darryl Green, incorporated by reference to the Company’s Current Report on Form 8-K dated December 3, 2008. **</w:t>
      </w:r>
    </w:p>
    <w:p>
      <w:pPr>
        <w:spacing w:after="0" w:line="17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Severance Agreement dated February 15, 2007 between Manpower Inc. and Francoise Gri, incorporated by reference to the Company’s Annual Report on Form 10-K for the fiscal year ended December 31, 2007. **</w:t>
      </w:r>
    </w:p>
    <w:p>
      <w:pPr>
        <w:spacing w:after="0" w:line="170"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Severance Agreement dated December 31, 2007 between Manpower Inc. and Kenneth C. Hunt, incorporated by reference to the Company’s Annual Report on Form 10-K for the fiscal year ended December 31, 2007. **</w:t>
      </w:r>
    </w:p>
    <w:p>
      <w:pPr>
        <w:spacing w:after="0" w:line="170"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2003 Equity Incentive Plan of Manpower Inc. (Amended and Restated Effective April 28, 2009), incorporated by reference to the Company’s Registration Statement on Form S-8 dated September 4, 2009. **</w:t>
      </w:r>
    </w:p>
    <w:p>
      <w:pPr>
        <w:spacing w:after="0" w:line="17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Amendment of Manpower Inc. 2003 Equity Incentive Plan, incorporated by reference to the Company’s Quarterly Report on Form 10-Q for the quarter ended March 31, 2010. **</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Form of Indemnification Agreement, incorporated by reference to the Company’s Current Report on Form 8-K dated October 31, 2006.</w:t>
      </w:r>
    </w:p>
    <w:p>
      <w:pPr>
        <w:spacing w:after="0" w:line="23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Form of Nonstatutory Stock Option Agreement, incorporated by reference to the Company’s Annual Report on Form 10-K for the fiscal year ended December 31, 2007. **</w:t>
      </w:r>
    </w:p>
    <w:p>
      <w:pPr>
        <w:spacing w:after="0" w:line="17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2008 Form of Performance Share Unit Agreement, incorporated by reference to the Company’s Annual Report on Form 10-K for the fiscal year ended December 31, 2007. **</w:t>
      </w:r>
    </w:p>
    <w:p>
      <w:pPr>
        <w:spacing w:after="0" w:line="170"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2010 Form of Performance Share Unit Agreement, incorporated by reference to the Company’s Quarterly Report on Form 10-Q for the quarter ended March 31, 2010. **</w:t>
      </w:r>
    </w:p>
    <w:p>
      <w:pPr>
        <w:spacing w:after="0" w:line="17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Form of Restricted Stock Agreement (CEO Form), incorporated by reference to the Company’s Annual Report on Form 10-K for the fiscal year ended December 31, 2007. **</w:t>
      </w:r>
    </w:p>
    <w:p>
      <w:pPr>
        <w:spacing w:after="0" w:line="170"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Form of Restricted Stock Unit Agreement, incorporated by reference to the Company’s Quarterly Report on Form 10-Q for the quarter ended March 31, 2009. **</w:t>
      </w:r>
    </w:p>
    <w:p>
      <w:pPr>
        <w:spacing w:after="0" w:line="17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Form of Career Share Unit Agreement, incorporated by reference to the Company’s Quarterly Report on Form 10-Q for the quarter ended March 31, 2009. **</w:t>
      </w:r>
    </w:p>
    <w:p>
      <w:pPr>
        <w:spacing w:after="0" w:line="170" w:lineRule="exact"/>
        <w:rPr>
          <w:sz w:val="20"/>
          <w:szCs w:val="20"/>
          <w:color w:val="auto"/>
        </w:rPr>
      </w:pPr>
    </w:p>
    <w:p>
      <w:pPr>
        <w:sectPr>
          <w:pgSz w:w="11900" w:h="16838" w:orient="portrait"/>
          <w:cols w:equalWidth="0" w:num="2">
            <w:col w:w="680" w:space="100"/>
            <w:col w:w="10640"/>
          </w:cols>
          <w:pgMar w:left="240" w:top="557" w:right="239" w:bottom="1440" w:gutter="0" w:footer="0" w:header="0"/>
        </w:sectPr>
      </w:pPr>
    </w:p>
    <w:p>
      <w:pPr>
        <w:spacing w:after="0"/>
        <w:tabs>
          <w:tab w:leader="none" w:pos="760"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6"/>
          <w:szCs w:val="16"/>
          <w:color w:val="auto"/>
        </w:rPr>
        <w:t>Statement Regarding Computation of Ratio of Earnings to Fixed Charges.</w:t>
      </w:r>
    </w:p>
    <w:p>
      <w:pPr>
        <w:spacing w:after="0" w:line="225" w:lineRule="exact"/>
        <w:rPr>
          <w:sz w:val="20"/>
          <w:szCs w:val="20"/>
          <w:color w:val="auto"/>
        </w:rPr>
      </w:pPr>
    </w:p>
    <w:p>
      <w:pPr>
        <w:ind w:left="780" w:right="120" w:hanging="772"/>
        <w:spacing w:after="0" w:line="277" w:lineRule="auto"/>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2010 Annual Report to Shareholders. Pursuant to Item 601(b)(13) of Regulation S-K, the portions of the Annual Report incorporated by reference in this Form 10-K are filed as an exhibit hereto.</w:t>
      </w:r>
    </w:p>
    <w:p>
      <w:pPr>
        <w:spacing w:after="0" w:line="170"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8"/>
          <w:szCs w:val="18"/>
          <w:color w:val="auto"/>
        </w:rPr>
        <w:t>Subsidiaries of Manpower Inc.</w:t>
      </w:r>
    </w:p>
    <w:p>
      <w:pPr>
        <w:spacing w:after="0" w:line="225"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6"/>
          <w:szCs w:val="16"/>
          <w:color w:val="auto"/>
        </w:rPr>
        <w:t>Consent of Deloitte &amp; Touche LLP.</w:t>
      </w:r>
    </w:p>
    <w:p>
      <w:pPr>
        <w:spacing w:after="0" w:line="225"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8"/>
          <w:szCs w:val="18"/>
          <w:color w:val="auto"/>
        </w:rPr>
        <w:t>Power of Attorney.</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type w:val="continuous"/>
        </w:sectPr>
      </w:pPr>
    </w:p>
    <w:bookmarkStart w:id="27" w:name="page28"/>
    <w:bookmarkEnd w:id="27"/>
    <w:p>
      <w:pPr>
        <w:spacing w:after="0"/>
        <w:tabs>
          <w:tab w:leader="none" w:pos="80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of Jeffrey A. Joerres, Chairman and Chief Executive Officer, pursuant to Section 13a-14(a) of the Securities Exchange Act of 1934.</w:t>
      </w:r>
    </w:p>
    <w:p>
      <w:pPr>
        <w:spacing w:after="0" w:line="171" w:lineRule="exact"/>
        <w:rPr>
          <w:sz w:val="20"/>
          <w:szCs w:val="20"/>
          <w:color w:val="auto"/>
        </w:rPr>
      </w:pPr>
    </w:p>
    <w:p>
      <w:pPr>
        <w:ind w:left="820" w:right="300" w:hanging="809"/>
        <w:spacing w:after="0" w:line="277" w:lineRule="auto"/>
        <w:tabs>
          <w:tab w:leader="none" w:pos="800" w:val="left"/>
        </w:tabs>
        <w:rPr>
          <w:sz w:val="20"/>
          <w:szCs w:val="20"/>
          <w:color w:val="auto"/>
        </w:rPr>
      </w:pPr>
      <w:r>
        <w:rPr>
          <w:rFonts w:ascii="Arial" w:cs="Arial" w:eastAsia="Arial" w:hAnsi="Arial"/>
          <w:sz w:val="36"/>
          <w:szCs w:val="36"/>
          <w:color w:val="auto"/>
          <w:vertAlign w:val="subscript"/>
        </w:rPr>
        <w:t>31.2</w:t>
      </w:r>
      <w:r>
        <w:rPr>
          <w:sz w:val="20"/>
          <w:szCs w:val="20"/>
          <w:color w:val="auto"/>
        </w:rPr>
        <w:tab/>
      </w:r>
      <w:r>
        <w:rPr>
          <w:rFonts w:ascii="Arial" w:cs="Arial" w:eastAsia="Arial" w:hAnsi="Arial"/>
          <w:sz w:val="18"/>
          <w:szCs w:val="18"/>
          <w:color w:val="auto"/>
        </w:rPr>
        <w:t>Certification of Michael J. Van Handel, Executive Vice President and Chief Financial Officer, pursuant to Section 13a-14(a) of the Securities Exchange Act of 1934.</w:t>
      </w:r>
    </w:p>
    <w:p>
      <w:pPr>
        <w:spacing w:after="0" w:line="224"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Statement of Jeffrey A. Joerres, Chairman and Chief Executive Officer, pursuant to 18 U.S.C. ss. 1350.</w:t>
      </w:r>
    </w:p>
    <w:p>
      <w:pPr>
        <w:spacing w:after="0" w:line="22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6"/>
          <w:szCs w:val="16"/>
          <w:color w:val="auto"/>
        </w:rPr>
        <w:t>Statement of Michael J. Van Handel, Executive Vice President and Chief Financial Officer, pursuant to 18 U.S.C. ss. 1350</w:t>
      </w:r>
    </w:p>
    <w:p>
      <w:pPr>
        <w:spacing w:after="0" w:line="200" w:lineRule="exact"/>
        <w:rPr>
          <w:sz w:val="20"/>
          <w:szCs w:val="20"/>
          <w:color w:val="auto"/>
        </w:rPr>
      </w:pPr>
    </w:p>
    <w:p>
      <w:pPr>
        <w:spacing w:after="0" w:line="241" w:lineRule="exact"/>
        <w:rPr>
          <w:sz w:val="20"/>
          <w:szCs w:val="20"/>
          <w:color w:val="auto"/>
        </w:rPr>
      </w:pPr>
    </w:p>
    <w:p>
      <w:pPr>
        <w:ind w:left="500" w:hanging="492"/>
        <w:spacing w:after="0"/>
        <w:tabs>
          <w:tab w:leader="none" w:pos="5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w:t>
      </w:r>
    </w:p>
    <w:p>
      <w:pPr>
        <w:spacing w:after="0" w:line="200" w:lineRule="exact"/>
        <w:rPr>
          <w:sz w:val="20"/>
          <w:szCs w:val="20"/>
          <w:color w:val="auto"/>
        </w:rPr>
      </w:pPr>
    </w:p>
    <w:p>
      <w:pPr>
        <w:spacing w:after="0" w:line="39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490" w:right="399"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60" w:firstLine="486"/>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387" w:lineRule="exact"/>
        <w:rPr>
          <w:sz w:val="20"/>
          <w:szCs w:val="20"/>
          <w:color w:val="auto"/>
        </w:rPr>
      </w:pPr>
    </w:p>
    <w:p>
      <w:pPr>
        <w:ind w:left="7020"/>
        <w:spacing w:after="0"/>
        <w:rPr>
          <w:sz w:val="20"/>
          <w:szCs w:val="20"/>
          <w:color w:val="auto"/>
        </w:rPr>
      </w:pPr>
      <w:r>
        <w:rPr>
          <w:rFonts w:ascii="Arial" w:cs="Arial" w:eastAsia="Arial" w:hAnsi="Arial"/>
          <w:sz w:val="18"/>
          <w:szCs w:val="18"/>
          <w:color w:val="auto"/>
        </w:rPr>
        <w:t>MANPOWER INC.</w:t>
      </w:r>
    </w:p>
    <w:p>
      <w:pPr>
        <w:spacing w:after="0" w:line="225" w:lineRule="exact"/>
        <w:rPr>
          <w:sz w:val="20"/>
          <w:szCs w:val="20"/>
          <w:color w:val="auto"/>
        </w:rPr>
      </w:pPr>
    </w:p>
    <w:p>
      <w:pPr>
        <w:ind w:left="7020"/>
        <w:spacing w:after="0"/>
        <w:tabs>
          <w:tab w:leader="none" w:pos="78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Jeffrey A. Joerres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5005070</wp:posOffset>
            </wp:positionH>
            <wp:positionV relativeFrom="paragraph">
              <wp:posOffset>14605</wp:posOffset>
            </wp:positionV>
            <wp:extent cx="224663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246630" cy="17145"/>
                    </a:xfrm>
                    <a:prstGeom prst="rect">
                      <a:avLst/>
                    </a:prstGeom>
                    <a:noFill/>
                  </pic:spPr>
                </pic:pic>
              </a:graphicData>
            </a:graphic>
          </wp:anchor>
        </w:drawing>
      </w:r>
    </w:p>
    <w:p>
      <w:pPr>
        <w:spacing w:after="0" w:line="16" w:lineRule="exact"/>
        <w:rPr>
          <w:sz w:val="20"/>
          <w:szCs w:val="20"/>
          <w:color w:val="auto"/>
        </w:rPr>
      </w:pPr>
    </w:p>
    <w:p>
      <w:pPr>
        <w:ind w:left="7880"/>
        <w:spacing w:after="0"/>
        <w:rPr>
          <w:sz w:val="20"/>
          <w:szCs w:val="20"/>
          <w:color w:val="auto"/>
        </w:rPr>
      </w:pPr>
      <w:r>
        <w:rPr>
          <w:rFonts w:ascii="Arial" w:cs="Arial" w:eastAsia="Arial" w:hAnsi="Arial"/>
          <w:sz w:val="18"/>
          <w:szCs w:val="18"/>
          <w:color w:val="auto"/>
        </w:rPr>
        <w:t>Jeffrey A. Joerres</w:t>
      </w:r>
    </w:p>
    <w:p>
      <w:pPr>
        <w:spacing w:after="0" w:line="23" w:lineRule="exact"/>
        <w:rPr>
          <w:sz w:val="20"/>
          <w:szCs w:val="20"/>
          <w:color w:val="auto"/>
        </w:rPr>
      </w:pPr>
    </w:p>
    <w:p>
      <w:pPr>
        <w:ind w:left="7880"/>
        <w:spacing w:after="0"/>
        <w:rPr>
          <w:sz w:val="20"/>
          <w:szCs w:val="20"/>
          <w:color w:val="auto"/>
        </w:rPr>
      </w:pPr>
      <w:r>
        <w:rPr>
          <w:rFonts w:ascii="Arial" w:cs="Arial" w:eastAsia="Arial" w:hAnsi="Arial"/>
          <w:sz w:val="18"/>
          <w:szCs w:val="18"/>
          <w:color w:val="auto"/>
        </w:rPr>
        <w:t>Chairman, President and Chief Executive</w:t>
      </w:r>
    </w:p>
    <w:p>
      <w:pPr>
        <w:spacing w:after="0" w:line="9" w:lineRule="exact"/>
        <w:rPr>
          <w:sz w:val="20"/>
          <w:szCs w:val="20"/>
          <w:color w:val="auto"/>
        </w:rPr>
      </w:pPr>
    </w:p>
    <w:p>
      <w:pPr>
        <w:ind w:left="7880"/>
        <w:spacing w:after="0"/>
        <w:rPr>
          <w:sz w:val="20"/>
          <w:szCs w:val="20"/>
          <w:color w:val="auto"/>
        </w:rPr>
      </w:pPr>
      <w:r>
        <w:rPr>
          <w:rFonts w:ascii="Arial" w:cs="Arial" w:eastAsia="Arial" w:hAnsi="Arial"/>
          <w:sz w:val="18"/>
          <w:szCs w:val="18"/>
          <w:color w:val="auto"/>
        </w:rPr>
        <w:t>Officer</w:t>
      </w:r>
    </w:p>
    <w:p>
      <w:pPr>
        <w:spacing w:after="0" w:line="211" w:lineRule="exact"/>
        <w:rPr>
          <w:sz w:val="20"/>
          <w:szCs w:val="20"/>
          <w:color w:val="auto"/>
        </w:rPr>
      </w:pPr>
    </w:p>
    <w:p>
      <w:pPr>
        <w:ind w:left="7020"/>
        <w:spacing w:after="0"/>
        <w:tabs>
          <w:tab w:leader="none" w:pos="78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February 24, 2011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480" w:firstLine="486"/>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Name</w:t>
            </w:r>
          </w:p>
        </w:tc>
        <w:tc>
          <w:tcPr>
            <w:tcW w:w="5080" w:type="dxa"/>
            <w:vAlign w:val="bottom"/>
            <w:tcBorders>
              <w:bottom w:val="single" w:sz="8" w:color="auto"/>
            </w:tcBorders>
          </w:tcPr>
          <w:p>
            <w:pPr>
              <w:ind w:left="2960"/>
              <w:spacing w:after="0"/>
              <w:rPr>
                <w:sz w:val="20"/>
                <w:szCs w:val="20"/>
                <w:color w:val="auto"/>
              </w:rPr>
            </w:pPr>
            <w:r>
              <w:rPr>
                <w:rFonts w:ascii="Arial" w:cs="Arial" w:eastAsia="Arial" w:hAnsi="Arial"/>
                <w:sz w:val="18"/>
                <w:szCs w:val="18"/>
                <w:b w:val="1"/>
                <w:bCs w:val="1"/>
                <w:color w:val="auto"/>
              </w:rPr>
              <w:t>Title</w:t>
            </w:r>
          </w:p>
        </w:tc>
        <w:tc>
          <w:tcPr>
            <w:tcW w:w="2820" w:type="dxa"/>
            <w:vAlign w:val="bottom"/>
            <w:tcBorders>
              <w:bottom w:val="single" w:sz="8" w:color="auto"/>
            </w:tcBorders>
          </w:tcPr>
          <w:p>
            <w:pPr>
              <w:ind w:left="1320"/>
              <w:spacing w:after="0"/>
              <w:rPr>
                <w:sz w:val="20"/>
                <w:szCs w:val="20"/>
                <w:color w:val="auto"/>
              </w:rPr>
            </w:pPr>
            <w:r>
              <w:rPr>
                <w:rFonts w:ascii="Arial" w:cs="Arial" w:eastAsia="Arial" w:hAnsi="Arial"/>
                <w:sz w:val="18"/>
                <w:szCs w:val="18"/>
                <w:b w:val="1"/>
                <w:bCs w:val="1"/>
                <w:color w:val="auto"/>
              </w:rPr>
              <w:t>Date</w:t>
            </w:r>
          </w:p>
        </w:tc>
      </w:tr>
      <w:tr>
        <w:trPr>
          <w:trHeight w:val="392"/>
        </w:trPr>
        <w:tc>
          <w:tcPr>
            <w:tcW w:w="3520" w:type="dxa"/>
            <w:vAlign w:val="bottom"/>
            <w:gridSpan w:val="4"/>
          </w:tcPr>
          <w:p>
            <w:pPr>
              <w:spacing w:after="0"/>
              <w:rPr>
                <w:sz w:val="20"/>
                <w:szCs w:val="20"/>
                <w:color w:val="auto"/>
              </w:rPr>
            </w:pPr>
            <w:r>
              <w:rPr>
                <w:rFonts w:ascii="Arial" w:cs="Arial" w:eastAsia="Arial" w:hAnsi="Arial"/>
                <w:sz w:val="18"/>
                <w:szCs w:val="18"/>
                <w:color w:val="auto"/>
              </w:rPr>
              <w:t>/s/ Jeffrey A. Joerres</w:t>
            </w:r>
          </w:p>
        </w:tc>
        <w:tc>
          <w:tcPr>
            <w:tcW w:w="5080" w:type="dxa"/>
            <w:vAlign w:val="bottom"/>
          </w:tcPr>
          <w:p>
            <w:pPr>
              <w:ind w:left="1020"/>
              <w:spacing w:after="0"/>
              <w:rPr>
                <w:sz w:val="20"/>
                <w:szCs w:val="20"/>
                <w:color w:val="auto"/>
              </w:rPr>
            </w:pPr>
            <w:r>
              <w:rPr>
                <w:rFonts w:ascii="Arial" w:cs="Arial" w:eastAsia="Arial" w:hAnsi="Arial"/>
                <w:sz w:val="18"/>
                <w:szCs w:val="18"/>
                <w:color w:val="auto"/>
                <w:w w:val="99"/>
              </w:rPr>
              <w:t>Chairman, President, Chief Executive Officer and a</w:t>
            </w:r>
          </w:p>
        </w:tc>
        <w:tc>
          <w:tcPr>
            <w:tcW w:w="2820" w:type="dxa"/>
            <w:vAlign w:val="bottom"/>
          </w:tcPr>
          <w:p>
            <w:pPr>
              <w:ind w:left="340"/>
              <w:spacing w:after="0"/>
              <w:rPr>
                <w:sz w:val="20"/>
                <w:szCs w:val="20"/>
                <w:color w:val="auto"/>
              </w:rPr>
            </w:pPr>
            <w:r>
              <w:rPr>
                <w:rFonts w:ascii="Arial" w:cs="Arial" w:eastAsia="Arial" w:hAnsi="Arial"/>
                <w:sz w:val="18"/>
                <w:szCs w:val="18"/>
                <w:color w:val="auto"/>
              </w:rPr>
              <w:t>February 24, 2011</w:t>
            </w:r>
          </w:p>
        </w:tc>
      </w:tr>
      <w:tr>
        <w:trPr>
          <w:trHeight w:val="20"/>
        </w:trPr>
        <w:tc>
          <w:tcPr>
            <w:tcW w:w="6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r>
      <w:tr>
        <w:trPr>
          <w:trHeight w:val="222"/>
        </w:trPr>
        <w:tc>
          <w:tcPr>
            <w:tcW w:w="3520" w:type="dxa"/>
            <w:vAlign w:val="bottom"/>
            <w:gridSpan w:val="4"/>
          </w:tcPr>
          <w:p>
            <w:pPr>
              <w:spacing w:after="0"/>
              <w:rPr>
                <w:sz w:val="20"/>
                <w:szCs w:val="20"/>
                <w:color w:val="auto"/>
              </w:rPr>
            </w:pPr>
            <w:r>
              <w:rPr>
                <w:rFonts w:ascii="Arial" w:cs="Arial" w:eastAsia="Arial" w:hAnsi="Arial"/>
                <w:sz w:val="18"/>
                <w:szCs w:val="18"/>
                <w:color w:val="auto"/>
              </w:rPr>
              <w:t>Jeffrey A. Joerres</w:t>
            </w:r>
          </w:p>
        </w:tc>
        <w:tc>
          <w:tcPr>
            <w:tcW w:w="5080" w:type="dxa"/>
            <w:vAlign w:val="bottom"/>
          </w:tcPr>
          <w:p>
            <w:pPr>
              <w:ind w:left="1340"/>
              <w:spacing w:after="0"/>
              <w:rPr>
                <w:sz w:val="20"/>
                <w:szCs w:val="20"/>
                <w:color w:val="auto"/>
              </w:rPr>
            </w:pPr>
            <w:r>
              <w:rPr>
                <w:rFonts w:ascii="Arial" w:cs="Arial" w:eastAsia="Arial" w:hAnsi="Arial"/>
                <w:sz w:val="18"/>
                <w:szCs w:val="18"/>
                <w:color w:val="auto"/>
              </w:rPr>
              <w:t>Director (Principal</w:t>
            </w:r>
          </w:p>
        </w:tc>
        <w:tc>
          <w:tcPr>
            <w:tcW w:w="2820" w:type="dxa"/>
            <w:vAlign w:val="bottom"/>
          </w:tcPr>
          <w:p>
            <w:pPr>
              <w:spacing w:after="0"/>
              <w:rPr>
                <w:sz w:val="19"/>
                <w:szCs w:val="19"/>
                <w:color w:val="auto"/>
              </w:rPr>
            </w:pPr>
          </w:p>
        </w:tc>
      </w:tr>
      <w:tr>
        <w:trPr>
          <w:trHeight w:val="230"/>
        </w:trPr>
        <w:tc>
          <w:tcPr>
            <w:tcW w:w="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5080" w:type="dxa"/>
            <w:vAlign w:val="bottom"/>
          </w:tcPr>
          <w:p>
            <w:pPr>
              <w:ind w:left="1020"/>
              <w:spacing w:after="0"/>
              <w:rPr>
                <w:sz w:val="20"/>
                <w:szCs w:val="20"/>
                <w:color w:val="auto"/>
              </w:rPr>
            </w:pPr>
            <w:r>
              <w:rPr>
                <w:rFonts w:ascii="Arial" w:cs="Arial" w:eastAsia="Arial" w:hAnsi="Arial"/>
                <w:sz w:val="18"/>
                <w:szCs w:val="18"/>
                <w:color w:val="auto"/>
              </w:rPr>
              <w:t>Executive Officer)</w:t>
            </w:r>
          </w:p>
        </w:tc>
        <w:tc>
          <w:tcPr>
            <w:tcW w:w="2820" w:type="dxa"/>
            <w:vAlign w:val="bottom"/>
          </w:tcPr>
          <w:p>
            <w:pPr>
              <w:spacing w:after="0"/>
              <w:rPr>
                <w:sz w:val="20"/>
                <w:szCs w:val="20"/>
                <w:color w:val="auto"/>
              </w:rPr>
            </w:pPr>
          </w:p>
        </w:tc>
      </w:tr>
      <w:tr>
        <w:trPr>
          <w:trHeight w:val="392"/>
        </w:trPr>
        <w:tc>
          <w:tcPr>
            <w:tcW w:w="3520" w:type="dxa"/>
            <w:vAlign w:val="bottom"/>
            <w:gridSpan w:val="4"/>
          </w:tcPr>
          <w:p>
            <w:pPr>
              <w:spacing w:after="0"/>
              <w:rPr>
                <w:sz w:val="20"/>
                <w:szCs w:val="20"/>
                <w:color w:val="auto"/>
              </w:rPr>
            </w:pPr>
            <w:r>
              <w:rPr>
                <w:rFonts w:ascii="Arial" w:cs="Arial" w:eastAsia="Arial" w:hAnsi="Arial"/>
                <w:sz w:val="18"/>
                <w:szCs w:val="18"/>
                <w:color w:val="auto"/>
              </w:rPr>
              <w:t>/s/ Michael J. Van Handel</w:t>
            </w:r>
          </w:p>
        </w:tc>
        <w:tc>
          <w:tcPr>
            <w:tcW w:w="5080" w:type="dxa"/>
            <w:vAlign w:val="bottom"/>
          </w:tcPr>
          <w:p>
            <w:pPr>
              <w:ind w:left="1020"/>
              <w:spacing w:after="0"/>
              <w:rPr>
                <w:sz w:val="20"/>
                <w:szCs w:val="20"/>
                <w:color w:val="auto"/>
              </w:rPr>
            </w:pPr>
            <w:r>
              <w:rPr>
                <w:rFonts w:ascii="Arial" w:cs="Arial" w:eastAsia="Arial" w:hAnsi="Arial"/>
                <w:sz w:val="18"/>
                <w:szCs w:val="18"/>
                <w:color w:val="auto"/>
              </w:rPr>
              <w:t>Executive Vice President and Chief</w:t>
            </w:r>
          </w:p>
        </w:tc>
        <w:tc>
          <w:tcPr>
            <w:tcW w:w="2820" w:type="dxa"/>
            <w:vAlign w:val="bottom"/>
          </w:tcPr>
          <w:p>
            <w:pPr>
              <w:ind w:left="340"/>
              <w:spacing w:after="0"/>
              <w:rPr>
                <w:sz w:val="20"/>
                <w:szCs w:val="20"/>
                <w:color w:val="auto"/>
              </w:rPr>
            </w:pPr>
            <w:r>
              <w:rPr>
                <w:rFonts w:ascii="Arial" w:cs="Arial" w:eastAsia="Arial" w:hAnsi="Arial"/>
                <w:sz w:val="18"/>
                <w:szCs w:val="18"/>
                <w:color w:val="auto"/>
              </w:rPr>
              <w:t>February 24, 2011</w:t>
            </w:r>
          </w:p>
        </w:tc>
      </w:tr>
      <w:tr>
        <w:trPr>
          <w:trHeight w:val="222"/>
        </w:trPr>
        <w:tc>
          <w:tcPr>
            <w:tcW w:w="186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Michael J. Van Handel</w:t>
            </w:r>
          </w:p>
        </w:tc>
        <w:tc>
          <w:tcPr>
            <w:tcW w:w="1660" w:type="dxa"/>
            <w:vAlign w:val="bottom"/>
          </w:tcPr>
          <w:p>
            <w:pPr>
              <w:spacing w:after="0"/>
              <w:rPr>
                <w:sz w:val="19"/>
                <w:szCs w:val="19"/>
                <w:color w:val="auto"/>
              </w:rPr>
            </w:pPr>
          </w:p>
        </w:tc>
        <w:tc>
          <w:tcPr>
            <w:tcW w:w="5080" w:type="dxa"/>
            <w:vAlign w:val="bottom"/>
          </w:tcPr>
          <w:p>
            <w:pPr>
              <w:ind w:left="1020"/>
              <w:spacing w:after="0"/>
              <w:rPr>
                <w:sz w:val="20"/>
                <w:szCs w:val="20"/>
                <w:color w:val="auto"/>
              </w:rPr>
            </w:pPr>
            <w:r>
              <w:rPr>
                <w:rFonts w:ascii="Arial" w:cs="Arial" w:eastAsia="Arial" w:hAnsi="Arial"/>
                <w:sz w:val="18"/>
                <w:szCs w:val="18"/>
                <w:color w:val="auto"/>
              </w:rPr>
              <w:t>Financial Officer (Principal Financial</w:t>
            </w:r>
          </w:p>
        </w:tc>
        <w:tc>
          <w:tcPr>
            <w:tcW w:w="2820" w:type="dxa"/>
            <w:vAlign w:val="bottom"/>
          </w:tcPr>
          <w:p>
            <w:pPr>
              <w:spacing w:after="0"/>
              <w:rPr>
                <w:sz w:val="19"/>
                <w:szCs w:val="19"/>
                <w:color w:val="auto"/>
              </w:rPr>
            </w:pPr>
          </w:p>
        </w:tc>
      </w:tr>
      <w:tr>
        <w:trPr>
          <w:trHeight w:val="230"/>
        </w:trPr>
        <w:tc>
          <w:tcPr>
            <w:tcW w:w="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5080" w:type="dxa"/>
            <w:vAlign w:val="bottom"/>
          </w:tcPr>
          <w:p>
            <w:pPr>
              <w:ind w:left="1020"/>
              <w:spacing w:after="0"/>
              <w:rPr>
                <w:sz w:val="20"/>
                <w:szCs w:val="20"/>
                <w:color w:val="auto"/>
              </w:rPr>
            </w:pPr>
            <w:r>
              <w:rPr>
                <w:rFonts w:ascii="Arial" w:cs="Arial" w:eastAsia="Arial" w:hAnsi="Arial"/>
                <w:sz w:val="18"/>
                <w:szCs w:val="18"/>
                <w:color w:val="auto"/>
              </w:rPr>
              <w:t>Officer and Principal Accounting Officer)</w:t>
            </w:r>
          </w:p>
        </w:tc>
        <w:tc>
          <w:tcPr>
            <w:tcW w:w="2820" w:type="dxa"/>
            <w:vAlign w:val="bottom"/>
          </w:tcPr>
          <w:p>
            <w:pPr>
              <w:spacing w:after="0"/>
              <w:rPr>
                <w:sz w:val="20"/>
                <w:szCs w:val="20"/>
                <w:color w:val="auto"/>
              </w:rPr>
            </w:pPr>
          </w:p>
        </w:tc>
      </w:tr>
    </w:tbl>
    <w:p>
      <w:pPr>
        <w:spacing w:after="0" w:line="202"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Directors: Marc J. Bolland, Gina R. Boswell, Cari M. Dominguez, Jack M. Greenberg, Terry A. Hueneke, Roberto Mendoza, Ulice Payne, Jr., Elizabeth P. Sartain, John R. Walter and Edward J. Zore</w:t>
      </w:r>
    </w:p>
    <w:p>
      <w:pPr>
        <w:spacing w:after="0" w:line="387" w:lineRule="exact"/>
        <w:rPr>
          <w:sz w:val="20"/>
          <w:szCs w:val="20"/>
          <w:color w:val="auto"/>
        </w:rPr>
      </w:pPr>
    </w:p>
    <w:p>
      <w:pPr>
        <w:ind w:left="7660"/>
        <w:spacing w:after="0"/>
        <w:rPr>
          <w:sz w:val="20"/>
          <w:szCs w:val="20"/>
          <w:color w:val="auto"/>
        </w:rPr>
      </w:pPr>
      <w:r>
        <w:rPr>
          <w:rFonts w:ascii="Arial" w:cs="Arial" w:eastAsia="Arial" w:hAnsi="Arial"/>
          <w:sz w:val="18"/>
          <w:szCs w:val="18"/>
          <w:color w:val="auto"/>
        </w:rPr>
        <w:t>February 24, 2011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Kenneth C. Hunt</w:t>
      </w:r>
    </w:p>
    <w:p>
      <w:pPr>
        <w:spacing w:after="0" w:line="2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Kenneth Hunt</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Attorney-In-Fact*</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5620" w:right="4640" w:hanging="5612"/>
        <w:spacing w:after="0" w:line="951" w:lineRule="auto"/>
        <w:tabs>
          <w:tab w:leader="none" w:pos="49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Pursuant to authority granted by powers of attorney, copies of which are filed herewith.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-330835</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29" w:name="page30"/>
    <w:bookmarkEnd w:id="29"/>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 of Manpower Inc.:</w:t>
      </w:r>
    </w:p>
    <w:p>
      <w:pPr>
        <w:spacing w:after="0" w:line="225"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We have audited the consolidated financial statements of Manpower Inc. and subsidiaries (the "Company") as of December 31, 2010 and 2009, and for each of the three years in the period ended December 31, 2010, and the Company's internal control over financial reporting as of December 31, 2010, and have issued our reports thereon dated February 24, 2011; such consolidated financial statements and reports are included in the 2010 Annual Report to Shareholders and are incorporated herein by reference. Our audits also included the consolidated financial statement schedule of the Company listed in Item</w:t>
      </w:r>
    </w:p>
    <w:p>
      <w:pPr>
        <w:spacing w:after="0" w:line="2" w:lineRule="exact"/>
        <w:rPr>
          <w:sz w:val="20"/>
          <w:szCs w:val="20"/>
          <w:color w:val="auto"/>
        </w:rPr>
      </w:pPr>
    </w:p>
    <w:p>
      <w:pPr>
        <w:ind w:firstLine="8"/>
        <w:spacing w:after="0" w:line="255" w:lineRule="auto"/>
        <w:tabs>
          <w:tab w:leader="none" w:pos="27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This consolidated financial statement schedule is the responsibility of the Company's management. Our responsibility is to express an opinion based on our audits. In our opinion, such consolidated financial statement schedule, when considered in relation to the basic consolidated financial statements taken as a whole, presents fairly, in all material respects, the information set forth therein.</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February 24, 2011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Milwaukee, Wisconsin</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486" w:right="339" w:bottom="1440" w:gutter="0" w:footer="0" w:header="0"/>
        </w:sectPr>
      </w:pPr>
    </w:p>
    <w:bookmarkStart w:id="30" w:name="page31"/>
    <w:bookmarkEnd w:id="30"/>
    <w:p>
      <w:pPr>
        <w:ind w:left="3160"/>
        <w:spacing w:after="0"/>
        <w:rPr>
          <w:sz w:val="20"/>
          <w:szCs w:val="20"/>
          <w:color w:val="auto"/>
        </w:rPr>
      </w:pPr>
      <w:r>
        <w:rPr>
          <w:rFonts w:ascii="Arial" w:cs="Arial" w:eastAsia="Arial" w:hAnsi="Arial"/>
          <w:sz w:val="18"/>
          <w:szCs w:val="18"/>
          <w:b w:val="1"/>
          <w:bCs w:val="1"/>
          <w:color w:val="auto"/>
        </w:rPr>
        <w:t>SCHEDULE II - VALUATION AND QUALIFYING ACCOUNTS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For the years ended December 31, 2010, 2009 and 2008, in millions: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Allowance for Doubtful Accounts:</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Balance at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b w:val="1"/>
                <w:bCs w:val="1"/>
                <w:color w:val="auto"/>
                <w:w w:val="86"/>
              </w:rPr>
              <w:t>Provisions</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9"/>
              </w:rPr>
              <w:t>Balance</w:t>
            </w:r>
          </w:p>
        </w:tc>
      </w:tr>
      <w:tr>
        <w:trPr>
          <w:trHeight w:val="216"/>
        </w:trPr>
        <w:tc>
          <w:tcPr>
            <w:tcW w:w="3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8"/>
              </w:rPr>
              <w:t>Beginning</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b w:val="1"/>
                <w:bCs w:val="1"/>
                <w:color w:val="auto"/>
                <w:w w:val="90"/>
              </w:rPr>
              <w:t>Charged to</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98"/>
              </w:rPr>
              <w:t>Translation</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87"/>
              </w:rPr>
              <w:t>Reclassifications</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4"/>
              </w:rPr>
              <w:t>at End</w:t>
            </w:r>
          </w:p>
        </w:tc>
      </w:tr>
      <w:tr>
        <w:trPr>
          <w:trHeight w:val="234"/>
        </w:trPr>
        <w:tc>
          <w:tcPr>
            <w:tcW w:w="3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center"/>
              <w:spacing w:after="0"/>
              <w:rPr>
                <w:sz w:val="20"/>
                <w:szCs w:val="20"/>
                <w:color w:val="auto"/>
              </w:rPr>
            </w:pPr>
            <w:r>
              <w:rPr>
                <w:rFonts w:ascii="Arial" w:cs="Arial" w:eastAsia="Arial" w:hAnsi="Arial"/>
                <w:sz w:val="18"/>
                <w:szCs w:val="18"/>
                <w:b w:val="1"/>
                <w:bCs w:val="1"/>
                <w:color w:val="auto"/>
                <w:w w:val="91"/>
              </w:rPr>
              <w:t>of Year</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center"/>
              <w:spacing w:after="0"/>
              <w:rPr>
                <w:sz w:val="20"/>
                <w:szCs w:val="20"/>
                <w:color w:val="auto"/>
              </w:rPr>
            </w:pPr>
            <w:r>
              <w:rPr>
                <w:rFonts w:ascii="Arial" w:cs="Arial" w:eastAsia="Arial" w:hAnsi="Arial"/>
                <w:sz w:val="18"/>
                <w:szCs w:val="18"/>
                <w:b w:val="1"/>
                <w:bCs w:val="1"/>
                <w:color w:val="auto"/>
                <w:w w:val="90"/>
              </w:rPr>
              <w:t>Earnings</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ind w:left="60"/>
              <w:spacing w:after="0"/>
              <w:rPr>
                <w:sz w:val="20"/>
                <w:szCs w:val="20"/>
                <w:color w:val="auto"/>
              </w:rPr>
            </w:pPr>
            <w:r>
              <w:rPr>
                <w:rFonts w:ascii="Arial" w:cs="Arial" w:eastAsia="Arial" w:hAnsi="Arial"/>
                <w:sz w:val="18"/>
                <w:szCs w:val="18"/>
                <w:b w:val="1"/>
                <w:bCs w:val="1"/>
                <w:color w:val="auto"/>
                <w:w w:val="97"/>
              </w:rPr>
              <w:t>Write- Offs</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w w:val="91"/>
              </w:rPr>
              <w:t>Adjustments</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and Other</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1"/>
              </w:rPr>
              <w:t>of Year</w:t>
            </w:r>
          </w:p>
        </w:tc>
      </w:tr>
      <w:tr>
        <w:trPr>
          <w:trHeight w:val="27"/>
        </w:trPr>
        <w:tc>
          <w:tcPr>
            <w:tcW w:w="3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3120" w:type="dxa"/>
            <w:vAlign w:val="bottom"/>
            <w:shd w:val="clear" w:color="auto" w:fill="CCEEFF"/>
          </w:tcPr>
          <w:p>
            <w:pPr>
              <w:jc w:val="right"/>
              <w:ind w:right="1490"/>
              <w:spacing w:after="0"/>
              <w:rPr>
                <w:sz w:val="20"/>
                <w:szCs w:val="20"/>
                <w:color w:val="auto"/>
              </w:rPr>
            </w:pPr>
            <w:r>
              <w:rPr>
                <w:rFonts w:ascii="Arial" w:cs="Arial" w:eastAsia="Arial" w:hAnsi="Arial"/>
                <w:sz w:val="18"/>
                <w:szCs w:val="18"/>
                <w:color w:val="auto"/>
              </w:rPr>
              <w:t>2010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118.3</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(33.5)</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(5.1)</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111.6</w:t>
            </w:r>
          </w:p>
        </w:tc>
      </w:tr>
      <w:tr>
        <w:trPr>
          <w:trHeight w:val="216"/>
        </w:trPr>
        <w:tc>
          <w:tcPr>
            <w:tcW w:w="3120" w:type="dxa"/>
            <w:vAlign w:val="bottom"/>
          </w:tcPr>
          <w:p>
            <w:pPr>
              <w:jc w:val="right"/>
              <w:ind w:right="1490"/>
              <w:spacing w:after="0"/>
              <w:rPr>
                <w:sz w:val="20"/>
                <w:szCs w:val="20"/>
                <w:color w:val="auto"/>
              </w:rPr>
            </w:pPr>
            <w:r>
              <w:rPr>
                <w:rFonts w:ascii="Arial" w:cs="Arial" w:eastAsia="Arial" w:hAnsi="Arial"/>
                <w:sz w:val="18"/>
                <w:szCs w:val="18"/>
                <w:color w:val="auto"/>
              </w:rPr>
              <w:t>2009</w:t>
            </w:r>
          </w:p>
        </w:tc>
        <w:tc>
          <w:tcPr>
            <w:tcW w:w="1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118.5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27.8</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(39.0)</w:t>
            </w: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2.5</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118.3</w:t>
            </w:r>
          </w:p>
        </w:tc>
      </w:tr>
      <w:tr>
        <w:trPr>
          <w:trHeight w:val="216"/>
        </w:trPr>
        <w:tc>
          <w:tcPr>
            <w:tcW w:w="3120" w:type="dxa"/>
            <w:vAlign w:val="bottom"/>
            <w:shd w:val="clear" w:color="auto" w:fill="CCEEFF"/>
          </w:tcPr>
          <w:p>
            <w:pPr>
              <w:jc w:val="right"/>
              <w:ind w:right="1490"/>
              <w:spacing w:after="0"/>
              <w:rPr>
                <w:sz w:val="20"/>
                <w:szCs w:val="20"/>
                <w:color w:val="auto"/>
              </w:rPr>
            </w:pPr>
            <w:r>
              <w:rPr>
                <w:rFonts w:ascii="Arial" w:cs="Arial" w:eastAsia="Arial" w:hAnsi="Arial"/>
                <w:sz w:val="18"/>
                <w:szCs w:val="18"/>
                <w:color w:val="auto"/>
              </w:rPr>
              <w:t>2008</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123.1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(21.5)</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(10.1)</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118.5</w:t>
            </w:r>
          </w:p>
        </w:tc>
      </w:tr>
      <w:tr>
        <w:trPr>
          <w:trHeight w:val="648"/>
        </w:trPr>
        <w:tc>
          <w:tcPr>
            <w:tcW w:w="3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79"/>
              </w:rPr>
              <w:t>31</w:t>
            </w: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86" w:right="2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10.4</w:t>
      </w:r>
    </w:p>
    <w:p>
      <w:pPr>
        <w:spacing w:after="0" w:line="229" w:lineRule="exact"/>
        <w:rPr>
          <w:sz w:val="20"/>
          <w:szCs w:val="20"/>
          <w:color w:val="auto"/>
        </w:rPr>
      </w:pPr>
    </w:p>
    <w:p>
      <w:pPr>
        <w:ind w:left="3780"/>
        <w:spacing w:after="0"/>
        <w:rPr>
          <w:sz w:val="20"/>
          <w:szCs w:val="20"/>
          <w:color w:val="auto"/>
        </w:rPr>
      </w:pPr>
      <w:r>
        <w:rPr>
          <w:rFonts w:ascii="Arial" w:cs="Arial" w:eastAsia="Arial" w:hAnsi="Arial"/>
          <w:sz w:val="18"/>
          <w:szCs w:val="18"/>
          <w:u w:val="single" w:color="auto"/>
          <w:color w:val="auto"/>
        </w:rPr>
        <w:t>MANPOWER INC.</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180"/>
        <w:spacing w:after="0"/>
        <w:rPr>
          <w:sz w:val="20"/>
          <w:szCs w:val="20"/>
          <w:color w:val="auto"/>
        </w:rPr>
      </w:pPr>
      <w:r>
        <w:rPr>
          <w:rFonts w:ascii="Arial" w:cs="Arial" w:eastAsia="Arial" w:hAnsi="Arial"/>
          <w:sz w:val="18"/>
          <w:szCs w:val="18"/>
          <w:u w:val="single" w:color="auto"/>
          <w:color w:val="auto"/>
        </w:rPr>
        <w:t>RULES OF MANPOWER INC.</w:t>
      </w:r>
    </w:p>
    <w:p>
      <w:pPr>
        <w:spacing w:after="0" w:line="23" w:lineRule="exact"/>
        <w:rPr>
          <w:sz w:val="20"/>
          <w:szCs w:val="20"/>
          <w:color w:val="auto"/>
        </w:rPr>
      </w:pPr>
    </w:p>
    <w:p>
      <w:pPr>
        <w:jc w:val="center"/>
        <w:ind w:right="1180"/>
        <w:spacing w:after="0"/>
        <w:rPr>
          <w:sz w:val="20"/>
          <w:szCs w:val="20"/>
          <w:color w:val="auto"/>
        </w:rPr>
      </w:pPr>
      <w:r>
        <w:rPr>
          <w:rFonts w:ascii="Arial" w:cs="Arial" w:eastAsia="Arial" w:hAnsi="Arial"/>
          <w:sz w:val="17"/>
          <w:szCs w:val="17"/>
          <w:u w:val="single" w:color="auto"/>
          <w:color w:val="auto"/>
        </w:rPr>
        <w:t>SAVINGS RELATED SHARE OPTION SCHEME</w:t>
      </w:r>
    </w:p>
    <w:p>
      <w:pPr>
        <w:spacing w:after="0" w:line="222" w:lineRule="exact"/>
        <w:rPr>
          <w:sz w:val="20"/>
          <w:szCs w:val="20"/>
          <w:color w:val="auto"/>
        </w:rPr>
      </w:pPr>
    </w:p>
    <w:p>
      <w:pPr>
        <w:ind w:left="3260"/>
        <w:spacing w:after="0"/>
        <w:rPr>
          <w:sz w:val="20"/>
          <w:szCs w:val="20"/>
          <w:color w:val="auto"/>
        </w:rPr>
      </w:pPr>
      <w:r>
        <w:rPr>
          <w:rFonts w:ascii="Arial" w:cs="Arial" w:eastAsia="Arial" w:hAnsi="Arial"/>
          <w:sz w:val="18"/>
          <w:szCs w:val="18"/>
          <w:color w:val="auto"/>
        </w:rPr>
        <w:t>(Amended as of October 13,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1539240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121" w:right="239"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u w:val="single" w:color="auto"/>
          <w:color w:val="auto"/>
        </w:rPr>
        <w:t>RULES OF THE MANPOWER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SAVINGS RELATED SHARE OPTION SCHEME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(Amended as of October 13, 2008)</w:t>
      </w:r>
    </w:p>
    <w:p>
      <w:pPr>
        <w:spacing w:after="0" w:line="225" w:lineRule="exact"/>
        <w:rPr>
          <w:sz w:val="20"/>
          <w:szCs w:val="20"/>
          <w:color w:val="auto"/>
        </w:rPr>
      </w:pPr>
    </w:p>
    <w:p>
      <w:pPr>
        <w:ind w:right="9660" w:firstLine="8"/>
        <w:spacing w:after="0" w:line="530" w:lineRule="auto"/>
        <w:tabs>
          <w:tab w:leader="none" w:pos="630" w:val="left"/>
        </w:tabs>
        <w:numPr>
          <w:ilvl w:val="0"/>
          <w:numId w:val="21"/>
        </w:numPr>
        <w:rPr>
          <w:rFonts w:ascii="Arial" w:cs="Arial" w:eastAsia="Arial" w:hAnsi="Arial"/>
          <w:sz w:val="17"/>
          <w:szCs w:val="17"/>
          <w:color w:val="auto"/>
        </w:rPr>
      </w:pPr>
      <w:r>
        <w:rPr>
          <w:rFonts w:ascii="Arial" w:cs="Arial" w:eastAsia="Arial" w:hAnsi="Arial"/>
          <w:sz w:val="17"/>
          <w:szCs w:val="17"/>
          <w:u w:val="single" w:color="auto"/>
          <w:color w:val="auto"/>
        </w:rPr>
        <w:t xml:space="preserve">DEFINITIONS </w:t>
      </w:r>
      <w:r>
        <w:rPr>
          <w:rFonts w:ascii="Arial" w:cs="Arial" w:eastAsia="Arial" w:hAnsi="Arial"/>
          <w:sz w:val="17"/>
          <w:szCs w:val="17"/>
          <w:color w:val="auto"/>
        </w:rPr>
        <w:t>In these Rules:</w:t>
      </w:r>
    </w:p>
    <w:p>
      <w:pPr>
        <w:spacing w:after="0" w:line="1" w:lineRule="exact"/>
        <w:rPr>
          <w:sz w:val="20"/>
          <w:szCs w:val="20"/>
          <w:color w:val="auto"/>
        </w:rPr>
      </w:pPr>
    </w:p>
    <w:p>
      <w:pPr>
        <w:ind w:left="1300" w:hanging="644"/>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following words and expressions have the following meanings: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700" w:type="dxa"/>
            <w:vAlign w:val="bottom"/>
          </w:tcPr>
          <w:p>
            <w:pPr>
              <w:ind w:left="660"/>
              <w:spacing w:after="0"/>
              <w:rPr>
                <w:sz w:val="20"/>
                <w:szCs w:val="20"/>
                <w:color w:val="auto"/>
              </w:rPr>
            </w:pPr>
            <w:r>
              <w:rPr>
                <w:rFonts w:ascii="Arial" w:cs="Arial" w:eastAsia="Arial" w:hAnsi="Arial"/>
                <w:sz w:val="18"/>
                <w:szCs w:val="18"/>
                <w:color w:val="auto"/>
              </w:rPr>
              <w:t>“Auditors”</w:t>
            </w:r>
          </w:p>
        </w:tc>
        <w:tc>
          <w:tcPr>
            <w:tcW w:w="8720" w:type="dxa"/>
            <w:vAlign w:val="bottom"/>
          </w:tcPr>
          <w:p>
            <w:pPr>
              <w:ind w:left="540"/>
              <w:spacing w:after="0"/>
              <w:rPr>
                <w:sz w:val="20"/>
                <w:szCs w:val="20"/>
                <w:color w:val="auto"/>
              </w:rPr>
            </w:pPr>
            <w:r>
              <w:rPr>
                <w:rFonts w:ascii="Arial" w:cs="Arial" w:eastAsia="Arial" w:hAnsi="Arial"/>
                <w:sz w:val="18"/>
                <w:szCs w:val="18"/>
                <w:color w:val="auto"/>
                <w:w w:val="97"/>
              </w:rPr>
              <w:t>the Auditors for the time being of the Company or any other Company whose shares are Scheme Shares;</w:t>
            </w:r>
          </w:p>
        </w:tc>
      </w:tr>
      <w:tr>
        <w:trPr>
          <w:trHeight w:val="432"/>
        </w:trPr>
        <w:tc>
          <w:tcPr>
            <w:tcW w:w="2700" w:type="dxa"/>
            <w:vAlign w:val="bottom"/>
          </w:tcPr>
          <w:p>
            <w:pPr>
              <w:ind w:left="660"/>
              <w:spacing w:after="0"/>
              <w:rPr>
                <w:sz w:val="20"/>
                <w:szCs w:val="20"/>
                <w:color w:val="auto"/>
              </w:rPr>
            </w:pPr>
            <w:r>
              <w:rPr>
                <w:rFonts w:ascii="Arial" w:cs="Arial" w:eastAsia="Arial" w:hAnsi="Arial"/>
                <w:sz w:val="18"/>
                <w:szCs w:val="18"/>
                <w:color w:val="auto"/>
              </w:rPr>
              <w:t>“the Committee”</w:t>
            </w:r>
          </w:p>
        </w:tc>
        <w:tc>
          <w:tcPr>
            <w:tcW w:w="8720" w:type="dxa"/>
            <w:vAlign w:val="bottom"/>
          </w:tcPr>
          <w:p>
            <w:pPr>
              <w:ind w:left="540"/>
              <w:spacing w:after="0"/>
              <w:rPr>
                <w:sz w:val="20"/>
                <w:szCs w:val="20"/>
                <w:color w:val="auto"/>
              </w:rPr>
            </w:pPr>
            <w:r>
              <w:rPr>
                <w:rFonts w:ascii="Arial" w:cs="Arial" w:eastAsia="Arial" w:hAnsi="Arial"/>
                <w:sz w:val="18"/>
                <w:szCs w:val="18"/>
                <w:color w:val="auto"/>
              </w:rPr>
              <w:t>the meaning given to that expression in Rule 9(a);</w:t>
            </w:r>
          </w:p>
        </w:tc>
      </w:tr>
      <w:tr>
        <w:trPr>
          <w:trHeight w:val="432"/>
        </w:trPr>
        <w:tc>
          <w:tcPr>
            <w:tcW w:w="2700" w:type="dxa"/>
            <w:vAlign w:val="bottom"/>
          </w:tcPr>
          <w:p>
            <w:pPr>
              <w:ind w:left="660"/>
              <w:spacing w:after="0"/>
              <w:rPr>
                <w:sz w:val="20"/>
                <w:szCs w:val="20"/>
                <w:color w:val="auto"/>
              </w:rPr>
            </w:pPr>
            <w:r>
              <w:rPr>
                <w:rFonts w:ascii="Arial" w:cs="Arial" w:eastAsia="Arial" w:hAnsi="Arial"/>
                <w:sz w:val="18"/>
                <w:szCs w:val="18"/>
                <w:color w:val="auto"/>
              </w:rPr>
              <w:t>“the Company”</w:t>
            </w:r>
          </w:p>
        </w:tc>
        <w:tc>
          <w:tcPr>
            <w:tcW w:w="8720" w:type="dxa"/>
            <w:vAlign w:val="bottom"/>
          </w:tcPr>
          <w:p>
            <w:pPr>
              <w:ind w:left="540"/>
              <w:spacing w:after="0"/>
              <w:rPr>
                <w:sz w:val="20"/>
                <w:szCs w:val="20"/>
                <w:color w:val="auto"/>
              </w:rPr>
            </w:pPr>
            <w:r>
              <w:rPr>
                <w:rFonts w:ascii="Arial" w:cs="Arial" w:eastAsia="Arial" w:hAnsi="Arial"/>
                <w:sz w:val="18"/>
                <w:szCs w:val="18"/>
                <w:color w:val="auto"/>
              </w:rPr>
              <w:t>Manpower Inc.;</w:t>
            </w:r>
          </w:p>
        </w:tc>
      </w:tr>
      <w:tr>
        <w:trPr>
          <w:trHeight w:val="432"/>
        </w:trPr>
        <w:tc>
          <w:tcPr>
            <w:tcW w:w="2700" w:type="dxa"/>
            <w:vAlign w:val="bottom"/>
          </w:tcPr>
          <w:p>
            <w:pPr>
              <w:ind w:left="660"/>
              <w:spacing w:after="0"/>
              <w:rPr>
                <w:sz w:val="20"/>
                <w:szCs w:val="20"/>
                <w:color w:val="auto"/>
              </w:rPr>
            </w:pPr>
            <w:r>
              <w:rPr>
                <w:rFonts w:ascii="Arial" w:cs="Arial" w:eastAsia="Arial" w:hAnsi="Arial"/>
                <w:sz w:val="18"/>
                <w:szCs w:val="18"/>
                <w:color w:val="auto"/>
              </w:rPr>
              <w:t>“Control”</w:t>
            </w:r>
          </w:p>
        </w:tc>
        <w:tc>
          <w:tcPr>
            <w:tcW w:w="8720" w:type="dxa"/>
            <w:vAlign w:val="bottom"/>
          </w:tcPr>
          <w:p>
            <w:pPr>
              <w:ind w:left="540"/>
              <w:spacing w:after="0"/>
              <w:rPr>
                <w:sz w:val="20"/>
                <w:szCs w:val="20"/>
                <w:color w:val="auto"/>
              </w:rPr>
            </w:pPr>
            <w:r>
              <w:rPr>
                <w:rFonts w:ascii="Arial" w:cs="Arial" w:eastAsia="Arial" w:hAnsi="Arial"/>
                <w:sz w:val="18"/>
                <w:szCs w:val="18"/>
                <w:color w:val="auto"/>
              </w:rPr>
              <w:t>has the same meaning as in Section 995 of the Income Tax Act 2007;</w:t>
            </w:r>
          </w:p>
        </w:tc>
      </w:tr>
      <w:tr>
        <w:trPr>
          <w:trHeight w:val="432"/>
        </w:trPr>
        <w:tc>
          <w:tcPr>
            <w:tcW w:w="2700" w:type="dxa"/>
            <w:vAlign w:val="bottom"/>
          </w:tcPr>
          <w:p>
            <w:pPr>
              <w:ind w:left="660"/>
              <w:spacing w:after="0"/>
              <w:rPr>
                <w:sz w:val="20"/>
                <w:szCs w:val="20"/>
                <w:color w:val="auto"/>
              </w:rPr>
            </w:pPr>
            <w:r>
              <w:rPr>
                <w:rFonts w:ascii="Arial" w:cs="Arial" w:eastAsia="Arial" w:hAnsi="Arial"/>
                <w:sz w:val="18"/>
                <w:szCs w:val="18"/>
                <w:color w:val="auto"/>
              </w:rPr>
              <w:t>“Date of Grant”</w:t>
            </w:r>
          </w:p>
        </w:tc>
        <w:tc>
          <w:tcPr>
            <w:tcW w:w="8720" w:type="dxa"/>
            <w:vAlign w:val="bottom"/>
          </w:tcPr>
          <w:p>
            <w:pPr>
              <w:ind w:left="540"/>
              <w:spacing w:after="0"/>
              <w:rPr>
                <w:sz w:val="20"/>
                <w:szCs w:val="20"/>
                <w:color w:val="auto"/>
              </w:rPr>
            </w:pPr>
            <w:r>
              <w:rPr>
                <w:rFonts w:ascii="Arial" w:cs="Arial" w:eastAsia="Arial" w:hAnsi="Arial"/>
                <w:sz w:val="18"/>
                <w:szCs w:val="18"/>
                <w:color w:val="auto"/>
              </w:rPr>
              <w:t>the date on which the Directors resolve to grant an Option in accordance with the terms of Rule 2(c);</w:t>
            </w:r>
          </w:p>
        </w:tc>
      </w:tr>
      <w:tr>
        <w:trPr>
          <w:trHeight w:val="432"/>
        </w:trPr>
        <w:tc>
          <w:tcPr>
            <w:tcW w:w="2700" w:type="dxa"/>
            <w:vAlign w:val="bottom"/>
          </w:tcPr>
          <w:p>
            <w:pPr>
              <w:ind w:left="660"/>
              <w:spacing w:after="0"/>
              <w:rPr>
                <w:sz w:val="20"/>
                <w:szCs w:val="20"/>
                <w:color w:val="auto"/>
              </w:rPr>
            </w:pPr>
            <w:r>
              <w:rPr>
                <w:rFonts w:ascii="Arial" w:cs="Arial" w:eastAsia="Arial" w:hAnsi="Arial"/>
                <w:sz w:val="18"/>
                <w:szCs w:val="18"/>
                <w:color w:val="auto"/>
              </w:rPr>
              <w:t>“Date of Offer”</w:t>
            </w:r>
          </w:p>
        </w:tc>
        <w:tc>
          <w:tcPr>
            <w:tcW w:w="8720" w:type="dxa"/>
            <w:vAlign w:val="bottom"/>
          </w:tcPr>
          <w:p>
            <w:pPr>
              <w:ind w:left="540"/>
              <w:spacing w:after="0"/>
              <w:rPr>
                <w:sz w:val="20"/>
                <w:szCs w:val="20"/>
                <w:color w:val="auto"/>
              </w:rPr>
            </w:pPr>
            <w:r>
              <w:rPr>
                <w:rFonts w:ascii="Arial" w:cs="Arial" w:eastAsia="Arial" w:hAnsi="Arial"/>
                <w:sz w:val="18"/>
                <w:szCs w:val="18"/>
                <w:color w:val="auto"/>
              </w:rPr>
              <w:t>the date of the notice given to Eligible Employees as referred to in Rule 2(a);</w:t>
            </w:r>
          </w:p>
        </w:tc>
      </w:tr>
      <w:tr>
        <w:trPr>
          <w:trHeight w:val="432"/>
        </w:trPr>
        <w:tc>
          <w:tcPr>
            <w:tcW w:w="2700" w:type="dxa"/>
            <w:vAlign w:val="bottom"/>
          </w:tcPr>
          <w:p>
            <w:pPr>
              <w:ind w:left="660"/>
              <w:spacing w:after="0"/>
              <w:rPr>
                <w:sz w:val="20"/>
                <w:szCs w:val="20"/>
                <w:color w:val="auto"/>
              </w:rPr>
            </w:pPr>
            <w:r>
              <w:rPr>
                <w:rFonts w:ascii="Arial" w:cs="Arial" w:eastAsia="Arial" w:hAnsi="Arial"/>
                <w:sz w:val="18"/>
                <w:szCs w:val="18"/>
                <w:color w:val="auto"/>
              </w:rPr>
              <w:t>“Directors”</w:t>
            </w:r>
          </w:p>
        </w:tc>
        <w:tc>
          <w:tcPr>
            <w:tcW w:w="8720" w:type="dxa"/>
            <w:vAlign w:val="bottom"/>
          </w:tcPr>
          <w:p>
            <w:pPr>
              <w:ind w:left="540"/>
              <w:spacing w:after="0"/>
              <w:rPr>
                <w:sz w:val="20"/>
                <w:szCs w:val="20"/>
                <w:color w:val="auto"/>
              </w:rPr>
            </w:pPr>
            <w:r>
              <w:rPr>
                <w:rFonts w:ascii="Arial" w:cs="Arial" w:eastAsia="Arial" w:hAnsi="Arial"/>
                <w:sz w:val="18"/>
                <w:szCs w:val="18"/>
                <w:color w:val="auto"/>
              </w:rPr>
              <w:t>the Board of Directors for the time being of the Company;</w:t>
            </w:r>
          </w:p>
        </w:tc>
      </w:tr>
      <w:tr>
        <w:trPr>
          <w:trHeight w:val="418"/>
        </w:trPr>
        <w:tc>
          <w:tcPr>
            <w:tcW w:w="2700" w:type="dxa"/>
            <w:vAlign w:val="bottom"/>
          </w:tcPr>
          <w:p>
            <w:pPr>
              <w:ind w:left="660"/>
              <w:spacing w:after="0"/>
              <w:rPr>
                <w:sz w:val="20"/>
                <w:szCs w:val="20"/>
                <w:color w:val="auto"/>
              </w:rPr>
            </w:pPr>
            <w:r>
              <w:rPr>
                <w:rFonts w:ascii="Arial" w:cs="Arial" w:eastAsia="Arial" w:hAnsi="Arial"/>
                <w:sz w:val="18"/>
                <w:szCs w:val="18"/>
                <w:color w:val="auto"/>
              </w:rPr>
              <w:t>“Disability”</w:t>
            </w:r>
          </w:p>
        </w:tc>
        <w:tc>
          <w:tcPr>
            <w:tcW w:w="8720" w:type="dxa"/>
            <w:vAlign w:val="bottom"/>
          </w:tcPr>
          <w:p>
            <w:pPr>
              <w:ind w:left="540"/>
              <w:spacing w:after="0"/>
              <w:rPr>
                <w:sz w:val="20"/>
                <w:szCs w:val="20"/>
                <w:color w:val="auto"/>
              </w:rPr>
            </w:pPr>
            <w:r>
              <w:rPr>
                <w:rFonts w:ascii="Arial" w:cs="Arial" w:eastAsia="Arial" w:hAnsi="Arial"/>
                <w:sz w:val="18"/>
                <w:szCs w:val="18"/>
                <w:color w:val="auto"/>
              </w:rPr>
              <w:t>the inability of an Employee to engage in any substantial gainful activity by reason of any medically</w:t>
            </w:r>
          </w:p>
        </w:tc>
      </w:tr>
      <w:tr>
        <w:trPr>
          <w:trHeight w:val="216"/>
        </w:trPr>
        <w:tc>
          <w:tcPr>
            <w:tcW w:w="2700" w:type="dxa"/>
            <w:vAlign w:val="bottom"/>
          </w:tcPr>
          <w:p>
            <w:pPr>
              <w:spacing w:after="0"/>
              <w:rPr>
                <w:sz w:val="18"/>
                <w:szCs w:val="18"/>
                <w:color w:val="auto"/>
              </w:rPr>
            </w:pPr>
          </w:p>
        </w:tc>
        <w:tc>
          <w:tcPr>
            <w:tcW w:w="8720" w:type="dxa"/>
            <w:vAlign w:val="bottom"/>
          </w:tcPr>
          <w:p>
            <w:pPr>
              <w:ind w:left="540"/>
              <w:spacing w:after="0"/>
              <w:rPr>
                <w:sz w:val="20"/>
                <w:szCs w:val="20"/>
                <w:color w:val="auto"/>
              </w:rPr>
            </w:pPr>
            <w:r>
              <w:rPr>
                <w:rFonts w:ascii="Arial" w:cs="Arial" w:eastAsia="Arial" w:hAnsi="Arial"/>
                <w:sz w:val="18"/>
                <w:szCs w:val="18"/>
                <w:color w:val="auto"/>
                <w:w w:val="91"/>
              </w:rPr>
              <w:t>determinable physical or mental impairment which can be expected to result in death or which has lasted or can</w:t>
            </w:r>
          </w:p>
        </w:tc>
      </w:tr>
      <w:tr>
        <w:trPr>
          <w:trHeight w:val="216"/>
        </w:trPr>
        <w:tc>
          <w:tcPr>
            <w:tcW w:w="2700" w:type="dxa"/>
            <w:vAlign w:val="bottom"/>
          </w:tcPr>
          <w:p>
            <w:pPr>
              <w:spacing w:after="0"/>
              <w:rPr>
                <w:sz w:val="18"/>
                <w:szCs w:val="18"/>
                <w:color w:val="auto"/>
              </w:rPr>
            </w:pPr>
          </w:p>
        </w:tc>
        <w:tc>
          <w:tcPr>
            <w:tcW w:w="8720" w:type="dxa"/>
            <w:vAlign w:val="bottom"/>
          </w:tcPr>
          <w:p>
            <w:pPr>
              <w:ind w:left="540"/>
              <w:spacing w:after="0"/>
              <w:rPr>
                <w:sz w:val="20"/>
                <w:szCs w:val="20"/>
                <w:color w:val="auto"/>
              </w:rPr>
            </w:pPr>
            <w:r>
              <w:rPr>
                <w:rFonts w:ascii="Arial" w:cs="Arial" w:eastAsia="Arial" w:hAnsi="Arial"/>
                <w:sz w:val="18"/>
                <w:szCs w:val="18"/>
                <w:color w:val="auto"/>
                <w:w w:val="95"/>
              </w:rPr>
              <w:t>be expected to last for a continuous period of not less than twelve months; and as to the existence of which,</w:t>
            </w:r>
          </w:p>
        </w:tc>
      </w:tr>
      <w:tr>
        <w:trPr>
          <w:trHeight w:val="230"/>
        </w:trPr>
        <w:tc>
          <w:tcPr>
            <w:tcW w:w="2700" w:type="dxa"/>
            <w:vAlign w:val="bottom"/>
          </w:tcPr>
          <w:p>
            <w:pPr>
              <w:spacing w:after="0"/>
              <w:rPr>
                <w:sz w:val="20"/>
                <w:szCs w:val="20"/>
                <w:color w:val="auto"/>
              </w:rPr>
            </w:pPr>
          </w:p>
        </w:tc>
        <w:tc>
          <w:tcPr>
            <w:tcW w:w="8720" w:type="dxa"/>
            <w:vAlign w:val="bottom"/>
          </w:tcPr>
          <w:p>
            <w:pPr>
              <w:ind w:left="540"/>
              <w:spacing w:after="0"/>
              <w:rPr>
                <w:sz w:val="20"/>
                <w:szCs w:val="20"/>
                <w:color w:val="auto"/>
              </w:rPr>
            </w:pPr>
            <w:r>
              <w:rPr>
                <w:rFonts w:ascii="Arial" w:cs="Arial" w:eastAsia="Arial" w:hAnsi="Arial"/>
                <w:sz w:val="18"/>
                <w:szCs w:val="18"/>
                <w:color w:val="auto"/>
              </w:rPr>
              <w:t>adequate proof is provided to the Committee;</w:t>
            </w:r>
          </w:p>
        </w:tc>
      </w:tr>
      <w:tr>
        <w:trPr>
          <w:trHeight w:val="418"/>
        </w:trPr>
        <w:tc>
          <w:tcPr>
            <w:tcW w:w="2700" w:type="dxa"/>
            <w:vAlign w:val="bottom"/>
          </w:tcPr>
          <w:p>
            <w:pPr>
              <w:ind w:left="660"/>
              <w:spacing w:after="0"/>
              <w:rPr>
                <w:sz w:val="20"/>
                <w:szCs w:val="20"/>
                <w:color w:val="auto"/>
              </w:rPr>
            </w:pPr>
            <w:r>
              <w:rPr>
                <w:rFonts w:ascii="Arial" w:cs="Arial" w:eastAsia="Arial" w:hAnsi="Arial"/>
                <w:sz w:val="18"/>
                <w:szCs w:val="18"/>
                <w:color w:val="auto"/>
              </w:rPr>
              <w:t>“Eligible Employee”</w:t>
            </w:r>
          </w:p>
        </w:tc>
        <w:tc>
          <w:tcPr>
            <w:tcW w:w="8720" w:type="dxa"/>
            <w:vAlign w:val="bottom"/>
          </w:tcPr>
          <w:p>
            <w:pPr>
              <w:ind w:left="540"/>
              <w:spacing w:after="0"/>
              <w:rPr>
                <w:sz w:val="20"/>
                <w:szCs w:val="20"/>
                <w:color w:val="auto"/>
              </w:rPr>
            </w:pPr>
            <w:r>
              <w:rPr>
                <w:rFonts w:ascii="Arial" w:cs="Arial" w:eastAsia="Arial" w:hAnsi="Arial"/>
                <w:sz w:val="18"/>
                <w:szCs w:val="18"/>
                <w:color w:val="auto"/>
                <w:w w:val="95"/>
              </w:rPr>
              <w:t>(i) any Employee whose earnings from Employment are (or would be if there were any) general earnings to</w:t>
            </w:r>
          </w:p>
        </w:tc>
      </w:tr>
      <w:tr>
        <w:trPr>
          <w:trHeight w:val="216"/>
        </w:trPr>
        <w:tc>
          <w:tcPr>
            <w:tcW w:w="2700" w:type="dxa"/>
            <w:vAlign w:val="bottom"/>
          </w:tcPr>
          <w:p>
            <w:pPr>
              <w:spacing w:after="0"/>
              <w:rPr>
                <w:sz w:val="18"/>
                <w:szCs w:val="18"/>
                <w:color w:val="auto"/>
              </w:rPr>
            </w:pPr>
          </w:p>
        </w:tc>
        <w:tc>
          <w:tcPr>
            <w:tcW w:w="8720" w:type="dxa"/>
            <w:vAlign w:val="bottom"/>
          </w:tcPr>
          <w:p>
            <w:pPr>
              <w:ind w:left="540"/>
              <w:spacing w:after="0"/>
              <w:rPr>
                <w:sz w:val="20"/>
                <w:szCs w:val="20"/>
                <w:color w:val="auto"/>
              </w:rPr>
            </w:pPr>
            <w:r>
              <w:rPr>
                <w:rFonts w:ascii="Arial" w:cs="Arial" w:eastAsia="Arial" w:hAnsi="Arial"/>
                <w:sz w:val="18"/>
                <w:szCs w:val="18"/>
                <w:color w:val="auto"/>
                <w:w w:val="96"/>
              </w:rPr>
              <w:t>which Section 15 of ITEPA applies for a tax year in which the Employee is ordinarily resident in the United</w:t>
            </w:r>
          </w:p>
        </w:tc>
      </w:tr>
      <w:tr>
        <w:trPr>
          <w:trHeight w:val="230"/>
        </w:trPr>
        <w:tc>
          <w:tcPr>
            <w:tcW w:w="2700" w:type="dxa"/>
            <w:vAlign w:val="bottom"/>
          </w:tcPr>
          <w:p>
            <w:pPr>
              <w:spacing w:after="0"/>
              <w:rPr>
                <w:sz w:val="20"/>
                <w:szCs w:val="20"/>
                <w:color w:val="auto"/>
              </w:rPr>
            </w:pPr>
          </w:p>
        </w:tc>
        <w:tc>
          <w:tcPr>
            <w:tcW w:w="8720" w:type="dxa"/>
            <w:vAlign w:val="bottom"/>
          </w:tcPr>
          <w:p>
            <w:pPr>
              <w:ind w:left="540"/>
              <w:spacing w:after="0"/>
              <w:rPr>
                <w:sz w:val="20"/>
                <w:szCs w:val="20"/>
                <w:color w:val="auto"/>
              </w:rPr>
            </w:pPr>
            <w:r>
              <w:rPr>
                <w:rFonts w:ascii="Arial" w:cs="Arial" w:eastAsia="Arial" w:hAnsi="Arial"/>
                <w:sz w:val="18"/>
                <w:szCs w:val="18"/>
                <w:color w:val="auto"/>
              </w:rPr>
              <w:t>Kingdom and who has been in Employment for a continuous period of not less than one year; and</w:t>
            </w:r>
          </w:p>
        </w:tc>
      </w:tr>
      <w:tr>
        <w:trPr>
          <w:trHeight w:val="418"/>
        </w:trPr>
        <w:tc>
          <w:tcPr>
            <w:tcW w:w="2700" w:type="dxa"/>
            <w:vAlign w:val="bottom"/>
          </w:tcPr>
          <w:p>
            <w:pPr>
              <w:spacing w:after="0"/>
              <w:rPr>
                <w:sz w:val="24"/>
                <w:szCs w:val="24"/>
                <w:color w:val="auto"/>
              </w:rPr>
            </w:pPr>
          </w:p>
        </w:tc>
        <w:tc>
          <w:tcPr>
            <w:tcW w:w="8720" w:type="dxa"/>
            <w:vAlign w:val="bottom"/>
          </w:tcPr>
          <w:p>
            <w:pPr>
              <w:ind w:left="540"/>
              <w:spacing w:after="0"/>
              <w:rPr>
                <w:sz w:val="20"/>
                <w:szCs w:val="20"/>
                <w:color w:val="auto"/>
              </w:rPr>
            </w:pPr>
            <w:r>
              <w:rPr>
                <w:rFonts w:ascii="Arial" w:cs="Arial" w:eastAsia="Arial" w:hAnsi="Arial"/>
                <w:sz w:val="18"/>
                <w:szCs w:val="18"/>
                <w:color w:val="auto"/>
                <w:w w:val="92"/>
              </w:rPr>
              <w:t>(ii) any Employee (not being an Eligible Employee within (i) above) who the Directors have determined shall be</w:t>
            </w:r>
          </w:p>
        </w:tc>
      </w:tr>
      <w:tr>
        <w:trPr>
          <w:trHeight w:val="230"/>
        </w:trPr>
        <w:tc>
          <w:tcPr>
            <w:tcW w:w="2700" w:type="dxa"/>
            <w:vAlign w:val="bottom"/>
          </w:tcPr>
          <w:p>
            <w:pPr>
              <w:spacing w:after="0"/>
              <w:rPr>
                <w:sz w:val="20"/>
                <w:szCs w:val="20"/>
                <w:color w:val="auto"/>
              </w:rPr>
            </w:pPr>
          </w:p>
        </w:tc>
        <w:tc>
          <w:tcPr>
            <w:tcW w:w="8720" w:type="dxa"/>
            <w:vAlign w:val="bottom"/>
          </w:tcPr>
          <w:p>
            <w:pPr>
              <w:ind w:left="540"/>
              <w:spacing w:after="0"/>
              <w:rPr>
                <w:sz w:val="20"/>
                <w:szCs w:val="20"/>
                <w:color w:val="auto"/>
              </w:rPr>
            </w:pPr>
            <w:r>
              <w:rPr>
                <w:rFonts w:ascii="Arial" w:cs="Arial" w:eastAsia="Arial" w:hAnsi="Arial"/>
                <w:sz w:val="18"/>
                <w:szCs w:val="18"/>
                <w:color w:val="auto"/>
              </w:rPr>
              <w:t>regarded as an Eligible Employee in respect of any particular offer;</w:t>
            </w:r>
          </w:p>
        </w:tc>
      </w:tr>
      <w:tr>
        <w:trPr>
          <w:trHeight w:val="418"/>
        </w:trPr>
        <w:tc>
          <w:tcPr>
            <w:tcW w:w="2700" w:type="dxa"/>
            <w:vAlign w:val="bottom"/>
          </w:tcPr>
          <w:p>
            <w:pPr>
              <w:spacing w:after="0"/>
              <w:rPr>
                <w:sz w:val="24"/>
                <w:szCs w:val="24"/>
                <w:color w:val="auto"/>
              </w:rPr>
            </w:pPr>
          </w:p>
        </w:tc>
        <w:tc>
          <w:tcPr>
            <w:tcW w:w="8720" w:type="dxa"/>
            <w:vAlign w:val="bottom"/>
          </w:tcPr>
          <w:p>
            <w:pPr>
              <w:ind w:left="540"/>
              <w:spacing w:after="0"/>
              <w:rPr>
                <w:sz w:val="20"/>
                <w:szCs w:val="20"/>
                <w:color w:val="auto"/>
              </w:rPr>
            </w:pPr>
            <w:r>
              <w:rPr>
                <w:rFonts w:ascii="Arial" w:cs="Arial" w:eastAsia="Arial" w:hAnsi="Arial"/>
                <w:sz w:val="18"/>
                <w:szCs w:val="18"/>
                <w:color w:val="auto"/>
                <w:w w:val="95"/>
              </w:rPr>
              <w:t>but shall exclude an Employee who is not permitted to be eligible to participate by virtue of the provisions of</w:t>
            </w:r>
          </w:p>
        </w:tc>
      </w:tr>
      <w:tr>
        <w:trPr>
          <w:trHeight w:val="230"/>
        </w:trPr>
        <w:tc>
          <w:tcPr>
            <w:tcW w:w="2700" w:type="dxa"/>
            <w:vAlign w:val="bottom"/>
          </w:tcPr>
          <w:p>
            <w:pPr>
              <w:spacing w:after="0"/>
              <w:rPr>
                <w:sz w:val="20"/>
                <w:szCs w:val="20"/>
                <w:color w:val="auto"/>
              </w:rPr>
            </w:pPr>
          </w:p>
        </w:tc>
        <w:tc>
          <w:tcPr>
            <w:tcW w:w="8720" w:type="dxa"/>
            <w:vAlign w:val="bottom"/>
          </w:tcPr>
          <w:p>
            <w:pPr>
              <w:ind w:left="540"/>
              <w:spacing w:after="0"/>
              <w:rPr>
                <w:sz w:val="20"/>
                <w:szCs w:val="20"/>
                <w:color w:val="auto"/>
              </w:rPr>
            </w:pPr>
            <w:r>
              <w:rPr>
                <w:rFonts w:ascii="Arial" w:cs="Arial" w:eastAsia="Arial" w:hAnsi="Arial"/>
                <w:sz w:val="18"/>
                <w:szCs w:val="18"/>
                <w:color w:val="auto"/>
              </w:rPr>
              <w:t>paragraph 11 of Schedule 3;</w:t>
            </w:r>
          </w:p>
        </w:tc>
      </w:tr>
      <w:tr>
        <w:trPr>
          <w:trHeight w:val="418"/>
        </w:trPr>
        <w:tc>
          <w:tcPr>
            <w:tcW w:w="2700" w:type="dxa"/>
            <w:vAlign w:val="bottom"/>
          </w:tcPr>
          <w:p>
            <w:pPr>
              <w:spacing w:after="0"/>
              <w:rPr>
                <w:sz w:val="24"/>
                <w:szCs w:val="24"/>
                <w:color w:val="auto"/>
              </w:rPr>
            </w:pPr>
          </w:p>
        </w:tc>
        <w:tc>
          <w:tcPr>
            <w:tcW w:w="8720" w:type="dxa"/>
            <w:vAlign w:val="bottom"/>
          </w:tcPr>
          <w:p>
            <w:pPr>
              <w:ind w:left="540"/>
              <w:spacing w:after="0"/>
              <w:rPr>
                <w:sz w:val="20"/>
                <w:szCs w:val="20"/>
                <w:color w:val="auto"/>
              </w:rPr>
            </w:pPr>
            <w:r>
              <w:rPr>
                <w:rFonts w:ascii="Arial" w:cs="Arial" w:eastAsia="Arial" w:hAnsi="Arial"/>
                <w:sz w:val="18"/>
                <w:szCs w:val="18"/>
                <w:color w:val="auto"/>
                <w:w w:val="95"/>
              </w:rPr>
              <w:t>Provided that the Directors may vary the period of one year referred to in (i) above to such other period (not</w:t>
            </w:r>
          </w:p>
        </w:tc>
      </w:tr>
      <w:tr>
        <w:trPr>
          <w:trHeight w:val="216"/>
        </w:trPr>
        <w:tc>
          <w:tcPr>
            <w:tcW w:w="2700" w:type="dxa"/>
            <w:vAlign w:val="bottom"/>
          </w:tcPr>
          <w:p>
            <w:pPr>
              <w:spacing w:after="0"/>
              <w:rPr>
                <w:sz w:val="18"/>
                <w:szCs w:val="18"/>
                <w:color w:val="auto"/>
              </w:rPr>
            </w:pPr>
          </w:p>
        </w:tc>
        <w:tc>
          <w:tcPr>
            <w:tcW w:w="8720" w:type="dxa"/>
            <w:vAlign w:val="bottom"/>
          </w:tcPr>
          <w:p>
            <w:pPr>
              <w:ind w:left="540"/>
              <w:spacing w:after="0"/>
              <w:rPr>
                <w:sz w:val="20"/>
                <w:szCs w:val="20"/>
                <w:color w:val="auto"/>
              </w:rPr>
            </w:pPr>
            <w:r>
              <w:rPr>
                <w:rFonts w:ascii="Arial" w:cs="Arial" w:eastAsia="Arial" w:hAnsi="Arial"/>
                <w:sz w:val="18"/>
                <w:szCs w:val="18"/>
                <w:color w:val="auto"/>
                <w:w w:val="92"/>
              </w:rPr>
              <w:t>exceeding four years and 333 days) as they in their absolute discretion think fit for the purpose of any particular</w:t>
            </w:r>
          </w:p>
        </w:tc>
      </w:tr>
      <w:tr>
        <w:trPr>
          <w:trHeight w:val="230"/>
        </w:trPr>
        <w:tc>
          <w:tcPr>
            <w:tcW w:w="2700" w:type="dxa"/>
            <w:vAlign w:val="bottom"/>
          </w:tcPr>
          <w:p>
            <w:pPr>
              <w:spacing w:after="0"/>
              <w:rPr>
                <w:sz w:val="20"/>
                <w:szCs w:val="20"/>
                <w:color w:val="auto"/>
              </w:rPr>
            </w:pPr>
          </w:p>
        </w:tc>
        <w:tc>
          <w:tcPr>
            <w:tcW w:w="8720" w:type="dxa"/>
            <w:vAlign w:val="bottom"/>
          </w:tcPr>
          <w:p>
            <w:pPr>
              <w:ind w:left="540"/>
              <w:spacing w:after="0"/>
              <w:rPr>
                <w:sz w:val="20"/>
                <w:szCs w:val="20"/>
                <w:color w:val="auto"/>
              </w:rPr>
            </w:pPr>
            <w:r>
              <w:rPr>
                <w:rFonts w:ascii="Arial" w:cs="Arial" w:eastAsia="Arial" w:hAnsi="Arial"/>
                <w:sz w:val="18"/>
                <w:szCs w:val="18"/>
                <w:color w:val="auto"/>
              </w:rPr>
              <w:t>offer;</w:t>
            </w:r>
          </w:p>
        </w:tc>
      </w:tr>
      <w:tr>
        <w:trPr>
          <w:trHeight w:val="418"/>
        </w:trPr>
        <w:tc>
          <w:tcPr>
            <w:tcW w:w="2700" w:type="dxa"/>
            <w:vAlign w:val="bottom"/>
          </w:tcPr>
          <w:p>
            <w:pPr>
              <w:ind w:left="660"/>
              <w:spacing w:after="0"/>
              <w:rPr>
                <w:sz w:val="20"/>
                <w:szCs w:val="20"/>
                <w:color w:val="auto"/>
              </w:rPr>
            </w:pPr>
            <w:r>
              <w:rPr>
                <w:rFonts w:ascii="Arial" w:cs="Arial" w:eastAsia="Arial" w:hAnsi="Arial"/>
                <w:sz w:val="18"/>
                <w:szCs w:val="18"/>
                <w:color w:val="auto"/>
              </w:rPr>
              <w:t>“Employee”</w:t>
            </w:r>
          </w:p>
        </w:tc>
        <w:tc>
          <w:tcPr>
            <w:tcW w:w="8720" w:type="dxa"/>
            <w:vAlign w:val="bottom"/>
          </w:tcPr>
          <w:p>
            <w:pPr>
              <w:ind w:left="540"/>
              <w:spacing w:after="0"/>
              <w:rPr>
                <w:sz w:val="20"/>
                <w:szCs w:val="20"/>
                <w:color w:val="auto"/>
              </w:rPr>
            </w:pPr>
            <w:r>
              <w:rPr>
                <w:rFonts w:ascii="Arial" w:cs="Arial" w:eastAsia="Arial" w:hAnsi="Arial"/>
                <w:sz w:val="18"/>
                <w:szCs w:val="18"/>
                <w:color w:val="auto"/>
                <w:w w:val="99"/>
              </w:rPr>
              <w:t>a director holding a salaried employment with and any other employee of any Participating Company or</w:t>
            </w:r>
          </w:p>
        </w:tc>
      </w:tr>
      <w:tr>
        <w:trPr>
          <w:trHeight w:val="230"/>
        </w:trPr>
        <w:tc>
          <w:tcPr>
            <w:tcW w:w="2700" w:type="dxa"/>
            <w:vAlign w:val="bottom"/>
          </w:tcPr>
          <w:p>
            <w:pPr>
              <w:spacing w:after="0"/>
              <w:rPr>
                <w:sz w:val="20"/>
                <w:szCs w:val="20"/>
                <w:color w:val="auto"/>
              </w:rPr>
            </w:pPr>
          </w:p>
        </w:tc>
        <w:tc>
          <w:tcPr>
            <w:tcW w:w="8720" w:type="dxa"/>
            <w:vAlign w:val="bottom"/>
          </w:tcPr>
          <w:p>
            <w:pPr>
              <w:ind w:left="540"/>
              <w:spacing w:after="0"/>
              <w:rPr>
                <w:sz w:val="20"/>
                <w:szCs w:val="20"/>
                <w:color w:val="auto"/>
              </w:rPr>
            </w:pPr>
            <w:r>
              <w:rPr>
                <w:rFonts w:ascii="Arial" w:cs="Arial" w:eastAsia="Arial" w:hAnsi="Arial"/>
                <w:sz w:val="18"/>
                <w:szCs w:val="18"/>
                <w:color w:val="auto"/>
              </w:rPr>
              <w:t>Companies and “Employment” shall be construed accordingly;</w:t>
            </w:r>
          </w:p>
        </w:tc>
      </w:tr>
      <w:tr>
        <w:trPr>
          <w:trHeight w:val="418"/>
        </w:trPr>
        <w:tc>
          <w:tcPr>
            <w:tcW w:w="2700" w:type="dxa"/>
            <w:vAlign w:val="bottom"/>
          </w:tcPr>
          <w:p>
            <w:pPr>
              <w:ind w:left="660"/>
              <w:spacing w:after="0"/>
              <w:rPr>
                <w:sz w:val="20"/>
                <w:szCs w:val="20"/>
                <w:color w:val="auto"/>
              </w:rPr>
            </w:pPr>
            <w:r>
              <w:rPr>
                <w:rFonts w:ascii="Arial" w:cs="Arial" w:eastAsia="Arial" w:hAnsi="Arial"/>
                <w:sz w:val="18"/>
                <w:szCs w:val="18"/>
                <w:color w:val="auto"/>
              </w:rPr>
              <w:t>“Employer”</w:t>
            </w:r>
          </w:p>
        </w:tc>
        <w:tc>
          <w:tcPr>
            <w:tcW w:w="8720" w:type="dxa"/>
            <w:vAlign w:val="bottom"/>
          </w:tcPr>
          <w:p>
            <w:pPr>
              <w:ind w:left="540"/>
              <w:spacing w:after="0"/>
              <w:rPr>
                <w:sz w:val="20"/>
                <w:szCs w:val="20"/>
                <w:color w:val="auto"/>
              </w:rPr>
            </w:pPr>
            <w:r>
              <w:rPr>
                <w:rFonts w:ascii="Arial" w:cs="Arial" w:eastAsia="Arial" w:hAnsi="Arial"/>
                <w:sz w:val="18"/>
                <w:szCs w:val="18"/>
                <w:color w:val="auto"/>
                <w:w w:val="93"/>
              </w:rPr>
              <w:t>the Participating Company, being any Participating Company by which a Participant is or has been employed,</w:t>
            </w:r>
          </w:p>
        </w:tc>
      </w:tr>
      <w:tr>
        <w:trPr>
          <w:trHeight w:val="230"/>
        </w:trPr>
        <w:tc>
          <w:tcPr>
            <w:tcW w:w="2700" w:type="dxa"/>
            <w:vAlign w:val="bottom"/>
          </w:tcPr>
          <w:p>
            <w:pPr>
              <w:spacing w:after="0"/>
              <w:rPr>
                <w:sz w:val="20"/>
                <w:szCs w:val="20"/>
                <w:color w:val="auto"/>
              </w:rPr>
            </w:pPr>
          </w:p>
        </w:tc>
        <w:tc>
          <w:tcPr>
            <w:tcW w:w="8720" w:type="dxa"/>
            <w:vAlign w:val="bottom"/>
          </w:tcPr>
          <w:p>
            <w:pPr>
              <w:ind w:left="540"/>
              <w:spacing w:after="0"/>
              <w:rPr>
                <w:sz w:val="20"/>
                <w:szCs w:val="20"/>
                <w:color w:val="auto"/>
              </w:rPr>
            </w:pPr>
            <w:r>
              <w:rPr>
                <w:rFonts w:ascii="Arial" w:cs="Arial" w:eastAsia="Arial" w:hAnsi="Arial"/>
                <w:sz w:val="18"/>
                <w:szCs w:val="18"/>
                <w:color w:val="auto"/>
              </w:rPr>
              <w:t>with whom arrangements have been made for the payment of the Participant’s Savings Contributions;</w:t>
            </w:r>
          </w:p>
        </w:tc>
      </w:tr>
      <w:tr>
        <w:trPr>
          <w:trHeight w:val="581"/>
        </w:trPr>
        <w:tc>
          <w:tcPr>
            <w:tcW w:w="2700" w:type="dxa"/>
            <w:vAlign w:val="bottom"/>
          </w:tcPr>
          <w:p>
            <w:pPr>
              <w:spacing w:after="0"/>
              <w:rPr>
                <w:sz w:val="24"/>
                <w:szCs w:val="24"/>
                <w:color w:val="auto"/>
              </w:rPr>
            </w:pPr>
          </w:p>
        </w:tc>
        <w:tc>
          <w:tcPr>
            <w:tcW w:w="8720" w:type="dxa"/>
            <w:vAlign w:val="bottom"/>
          </w:tcPr>
          <w:p>
            <w:pPr>
              <w:ind w:left="2960"/>
              <w:spacing w:after="0"/>
              <w:rPr>
                <w:sz w:val="20"/>
                <w:szCs w:val="20"/>
                <w:color w:val="auto"/>
              </w:rPr>
            </w:pPr>
            <w:r>
              <w:rPr>
                <w:rFonts w:ascii="Arial" w:cs="Arial" w:eastAsia="Arial" w:hAnsi="Arial"/>
                <w:sz w:val="18"/>
                <w:szCs w:val="18"/>
                <w:color w:val="auto"/>
              </w:rPr>
              <w:t>2</w:t>
            </w:r>
          </w:p>
        </w:tc>
      </w:tr>
      <w:tr>
        <w:trPr>
          <w:trHeight w:val="105"/>
        </w:trPr>
        <w:tc>
          <w:tcPr>
            <w:tcW w:w="2700" w:type="dxa"/>
            <w:vAlign w:val="bottom"/>
            <w:tcBorders>
              <w:bottom w:val="single" w:sz="8" w:color="808080"/>
            </w:tcBorders>
          </w:tcPr>
          <w:p>
            <w:pPr>
              <w:spacing w:after="0"/>
              <w:rPr>
                <w:sz w:val="9"/>
                <w:szCs w:val="9"/>
                <w:color w:val="auto"/>
              </w:rPr>
            </w:pPr>
          </w:p>
        </w:tc>
        <w:tc>
          <w:tcPr>
            <w:tcW w:w="872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16"/>
        </w:trPr>
        <w:tc>
          <w:tcPr>
            <w:tcW w:w="2700" w:type="dxa"/>
            <w:vAlign w:val="bottom"/>
          </w:tcPr>
          <w:p>
            <w:pPr>
              <w:ind w:left="660"/>
              <w:spacing w:after="0"/>
              <w:rPr>
                <w:sz w:val="20"/>
                <w:szCs w:val="20"/>
                <w:color w:val="auto"/>
              </w:rPr>
            </w:pPr>
            <w:r>
              <w:rPr>
                <w:rFonts w:ascii="Arial" w:cs="Arial" w:eastAsia="Arial" w:hAnsi="Arial"/>
                <w:sz w:val="18"/>
                <w:szCs w:val="18"/>
                <w:color w:val="auto"/>
              </w:rPr>
              <w:t>“Employment”</w:t>
            </w:r>
          </w:p>
        </w:tc>
        <w:tc>
          <w:tcPr>
            <w:tcW w:w="8720" w:type="dxa"/>
            <w:vAlign w:val="bottom"/>
          </w:tcPr>
          <w:p>
            <w:pPr>
              <w:ind w:left="540"/>
              <w:spacing w:after="0"/>
              <w:rPr>
                <w:sz w:val="20"/>
                <w:szCs w:val="20"/>
                <w:color w:val="auto"/>
              </w:rPr>
            </w:pPr>
            <w:r>
              <w:rPr>
                <w:rFonts w:ascii="Arial" w:cs="Arial" w:eastAsia="Arial" w:hAnsi="Arial"/>
                <w:sz w:val="18"/>
                <w:szCs w:val="18"/>
                <w:color w:val="auto"/>
                <w:w w:val="99"/>
              </w:rPr>
              <w:t>employment or office as an employee or full-time director of any Participating Company or Participating</w:t>
            </w:r>
          </w:p>
        </w:tc>
      </w:tr>
      <w:tr>
        <w:trPr>
          <w:trHeight w:val="216"/>
        </w:trPr>
        <w:tc>
          <w:tcPr>
            <w:tcW w:w="2700" w:type="dxa"/>
            <w:vAlign w:val="bottom"/>
          </w:tcPr>
          <w:p>
            <w:pPr>
              <w:spacing w:after="0"/>
              <w:rPr>
                <w:sz w:val="18"/>
                <w:szCs w:val="18"/>
                <w:color w:val="auto"/>
              </w:rPr>
            </w:pPr>
          </w:p>
        </w:tc>
        <w:tc>
          <w:tcPr>
            <w:tcW w:w="8720" w:type="dxa"/>
            <w:vAlign w:val="bottom"/>
          </w:tcPr>
          <w:p>
            <w:pPr>
              <w:ind w:left="540"/>
              <w:spacing w:after="0"/>
              <w:rPr>
                <w:sz w:val="20"/>
                <w:szCs w:val="20"/>
                <w:color w:val="auto"/>
              </w:rPr>
            </w:pPr>
            <w:r>
              <w:rPr>
                <w:rFonts w:ascii="Arial" w:cs="Arial" w:eastAsia="Arial" w:hAnsi="Arial"/>
                <w:sz w:val="18"/>
                <w:szCs w:val="18"/>
                <w:color w:val="auto"/>
                <w:w w:val="94"/>
              </w:rPr>
              <w:t>Companies and for this purpose “full-time” shall mean that the director is required to work for not less than 25</w:t>
            </w:r>
          </w:p>
        </w:tc>
      </w:tr>
      <w:tr>
        <w:trPr>
          <w:trHeight w:val="230"/>
        </w:trPr>
        <w:tc>
          <w:tcPr>
            <w:tcW w:w="2700" w:type="dxa"/>
            <w:vAlign w:val="bottom"/>
          </w:tcPr>
          <w:p>
            <w:pPr>
              <w:spacing w:after="0"/>
              <w:rPr>
                <w:sz w:val="20"/>
                <w:szCs w:val="20"/>
                <w:color w:val="auto"/>
              </w:rPr>
            </w:pPr>
          </w:p>
        </w:tc>
        <w:tc>
          <w:tcPr>
            <w:tcW w:w="8720" w:type="dxa"/>
            <w:vAlign w:val="bottom"/>
          </w:tcPr>
          <w:p>
            <w:pPr>
              <w:ind w:left="540"/>
              <w:spacing w:after="0"/>
              <w:rPr>
                <w:sz w:val="20"/>
                <w:szCs w:val="20"/>
                <w:color w:val="auto"/>
              </w:rPr>
            </w:pPr>
            <w:r>
              <w:rPr>
                <w:rFonts w:ascii="Arial" w:cs="Arial" w:eastAsia="Arial" w:hAnsi="Arial"/>
                <w:sz w:val="18"/>
                <w:szCs w:val="18"/>
                <w:color w:val="auto"/>
              </w:rPr>
              <w:t>hours per week excluding meal breaks;</w:t>
            </w:r>
          </w:p>
        </w:tc>
      </w:tr>
      <w:tr>
        <w:trPr>
          <w:trHeight w:val="432"/>
        </w:trPr>
        <w:tc>
          <w:tcPr>
            <w:tcW w:w="2700" w:type="dxa"/>
            <w:vAlign w:val="bottom"/>
          </w:tcPr>
          <w:p>
            <w:pPr>
              <w:ind w:left="660"/>
              <w:spacing w:after="0"/>
              <w:rPr>
                <w:sz w:val="20"/>
                <w:szCs w:val="20"/>
                <w:color w:val="auto"/>
              </w:rPr>
            </w:pPr>
            <w:r>
              <w:rPr>
                <w:rFonts w:ascii="Arial" w:cs="Arial" w:eastAsia="Arial" w:hAnsi="Arial"/>
                <w:sz w:val="18"/>
                <w:szCs w:val="18"/>
                <w:color w:val="auto"/>
              </w:rPr>
              <w:t>“Exercise Notice”</w:t>
            </w:r>
          </w:p>
        </w:tc>
        <w:tc>
          <w:tcPr>
            <w:tcW w:w="8720" w:type="dxa"/>
            <w:vAlign w:val="bottom"/>
          </w:tcPr>
          <w:p>
            <w:pPr>
              <w:ind w:left="540"/>
              <w:spacing w:after="0"/>
              <w:rPr>
                <w:sz w:val="20"/>
                <w:szCs w:val="20"/>
                <w:color w:val="auto"/>
              </w:rPr>
            </w:pPr>
            <w:r>
              <w:rPr>
                <w:rFonts w:ascii="Arial" w:cs="Arial" w:eastAsia="Arial" w:hAnsi="Arial"/>
                <w:sz w:val="18"/>
                <w:szCs w:val="18"/>
                <w:color w:val="auto"/>
              </w:rPr>
              <w:t>the meaning given to that expression in Rule 6(a);</w:t>
            </w:r>
          </w:p>
        </w:tc>
      </w:tr>
      <w:tr>
        <w:trPr>
          <w:trHeight w:val="432"/>
        </w:trPr>
        <w:tc>
          <w:tcPr>
            <w:tcW w:w="2700" w:type="dxa"/>
            <w:vAlign w:val="bottom"/>
          </w:tcPr>
          <w:p>
            <w:pPr>
              <w:ind w:left="660"/>
              <w:spacing w:after="0"/>
              <w:rPr>
                <w:sz w:val="20"/>
                <w:szCs w:val="20"/>
                <w:color w:val="auto"/>
              </w:rPr>
            </w:pPr>
            <w:r>
              <w:rPr>
                <w:rFonts w:ascii="Arial" w:cs="Arial" w:eastAsia="Arial" w:hAnsi="Arial"/>
                <w:sz w:val="18"/>
                <w:szCs w:val="18"/>
                <w:color w:val="auto"/>
              </w:rPr>
              <w:t>“ITEPA”</w:t>
            </w:r>
          </w:p>
        </w:tc>
        <w:tc>
          <w:tcPr>
            <w:tcW w:w="8720" w:type="dxa"/>
            <w:vAlign w:val="bottom"/>
          </w:tcPr>
          <w:p>
            <w:pPr>
              <w:ind w:left="540"/>
              <w:spacing w:after="0"/>
              <w:rPr>
                <w:sz w:val="20"/>
                <w:szCs w:val="20"/>
                <w:color w:val="auto"/>
              </w:rPr>
            </w:pPr>
            <w:r>
              <w:rPr>
                <w:rFonts w:ascii="Arial" w:cs="Arial" w:eastAsia="Arial" w:hAnsi="Arial"/>
                <w:sz w:val="18"/>
                <w:szCs w:val="18"/>
                <w:color w:val="auto"/>
              </w:rPr>
              <w:t>the Income Tax (Earnings and Pensions) Act 2003;</w:t>
            </w:r>
          </w:p>
        </w:tc>
      </w:tr>
      <w:tr>
        <w:trPr>
          <w:trHeight w:val="418"/>
        </w:trPr>
        <w:tc>
          <w:tcPr>
            <w:tcW w:w="2700" w:type="dxa"/>
            <w:vAlign w:val="bottom"/>
          </w:tcPr>
          <w:p>
            <w:pPr>
              <w:ind w:left="660"/>
              <w:spacing w:after="0"/>
              <w:rPr>
                <w:sz w:val="20"/>
                <w:szCs w:val="20"/>
                <w:color w:val="auto"/>
              </w:rPr>
            </w:pPr>
            <w:r>
              <w:rPr>
                <w:rFonts w:ascii="Arial" w:cs="Arial" w:eastAsia="Arial" w:hAnsi="Arial"/>
                <w:sz w:val="18"/>
                <w:szCs w:val="18"/>
                <w:color w:val="auto"/>
              </w:rPr>
              <w:t>“Group”</w:t>
            </w:r>
          </w:p>
        </w:tc>
        <w:tc>
          <w:tcPr>
            <w:tcW w:w="8720" w:type="dxa"/>
            <w:vAlign w:val="bottom"/>
          </w:tcPr>
          <w:p>
            <w:pPr>
              <w:ind w:left="540"/>
              <w:spacing w:after="0"/>
              <w:rPr>
                <w:sz w:val="20"/>
                <w:szCs w:val="20"/>
                <w:color w:val="auto"/>
              </w:rPr>
            </w:pPr>
            <w:r>
              <w:rPr>
                <w:rFonts w:ascii="Arial" w:cs="Arial" w:eastAsia="Arial" w:hAnsi="Arial"/>
                <w:sz w:val="18"/>
                <w:szCs w:val="18"/>
                <w:color w:val="auto"/>
                <w:w w:val="93"/>
              </w:rPr>
              <w:t>the Company and every company which is a subsidiary of the Company and which is under the Control of the</w:t>
            </w:r>
          </w:p>
        </w:tc>
      </w:tr>
      <w:tr>
        <w:trPr>
          <w:trHeight w:val="230"/>
        </w:trPr>
        <w:tc>
          <w:tcPr>
            <w:tcW w:w="2700" w:type="dxa"/>
            <w:vAlign w:val="bottom"/>
          </w:tcPr>
          <w:p>
            <w:pPr>
              <w:spacing w:after="0"/>
              <w:rPr>
                <w:sz w:val="20"/>
                <w:szCs w:val="20"/>
                <w:color w:val="auto"/>
              </w:rPr>
            </w:pPr>
          </w:p>
        </w:tc>
        <w:tc>
          <w:tcPr>
            <w:tcW w:w="8720" w:type="dxa"/>
            <w:vAlign w:val="bottom"/>
          </w:tcPr>
          <w:p>
            <w:pPr>
              <w:ind w:left="540"/>
              <w:spacing w:after="0"/>
              <w:rPr>
                <w:sz w:val="20"/>
                <w:szCs w:val="20"/>
                <w:color w:val="auto"/>
              </w:rPr>
            </w:pPr>
            <w:r>
              <w:rPr>
                <w:rFonts w:ascii="Arial" w:cs="Arial" w:eastAsia="Arial" w:hAnsi="Arial"/>
                <w:sz w:val="18"/>
                <w:szCs w:val="18"/>
                <w:color w:val="auto"/>
                <w:w w:val="95"/>
              </w:rPr>
              <w:t>Company and “subsidiary” shall be construed in accordance with Section 1159 of the Companies Act 2006;</w:t>
            </w:r>
          </w:p>
        </w:tc>
      </w:tr>
      <w:tr>
        <w:trPr>
          <w:trHeight w:val="418"/>
        </w:trPr>
        <w:tc>
          <w:tcPr>
            <w:tcW w:w="2700" w:type="dxa"/>
            <w:vAlign w:val="bottom"/>
          </w:tcPr>
          <w:p>
            <w:pPr>
              <w:ind w:left="660"/>
              <w:spacing w:after="0"/>
              <w:rPr>
                <w:sz w:val="20"/>
                <w:szCs w:val="20"/>
                <w:color w:val="auto"/>
              </w:rPr>
            </w:pPr>
            <w:r>
              <w:rPr>
                <w:rFonts w:ascii="Arial" w:cs="Arial" w:eastAsia="Arial" w:hAnsi="Arial"/>
                <w:sz w:val="18"/>
                <w:szCs w:val="18"/>
                <w:color w:val="auto"/>
              </w:rPr>
              <w:t>“Minimum Savings</w:t>
            </w:r>
          </w:p>
        </w:tc>
        <w:tc>
          <w:tcPr>
            <w:tcW w:w="8720" w:type="dxa"/>
            <w:vAlign w:val="bottom"/>
          </w:tcPr>
          <w:p>
            <w:pPr>
              <w:ind w:left="540"/>
              <w:spacing w:after="0"/>
              <w:rPr>
                <w:sz w:val="20"/>
                <w:szCs w:val="20"/>
                <w:color w:val="auto"/>
              </w:rPr>
            </w:pPr>
            <w:r>
              <w:rPr>
                <w:rFonts w:ascii="Arial" w:cs="Arial" w:eastAsia="Arial" w:hAnsi="Arial"/>
                <w:sz w:val="18"/>
                <w:szCs w:val="18"/>
                <w:color w:val="auto"/>
              </w:rPr>
              <w:t>a monthly Savings Contribution of £10 or such other</w:t>
            </w:r>
          </w:p>
        </w:tc>
      </w:tr>
      <w:tr>
        <w:trPr>
          <w:trHeight w:val="230"/>
        </w:trPr>
        <w:tc>
          <w:tcPr>
            <w:tcW w:w="2700" w:type="dxa"/>
            <w:vAlign w:val="bottom"/>
          </w:tcPr>
          <w:p>
            <w:pPr>
              <w:ind w:left="740"/>
              <w:spacing w:after="0"/>
              <w:rPr>
                <w:sz w:val="20"/>
                <w:szCs w:val="20"/>
                <w:color w:val="auto"/>
              </w:rPr>
            </w:pPr>
            <w:r>
              <w:rPr>
                <w:rFonts w:ascii="Arial" w:cs="Arial" w:eastAsia="Arial" w:hAnsi="Arial"/>
                <w:sz w:val="18"/>
                <w:szCs w:val="18"/>
                <w:color w:val="auto"/>
              </w:rPr>
              <w:t>Contribution”</w:t>
            </w:r>
          </w:p>
        </w:tc>
        <w:tc>
          <w:tcPr>
            <w:tcW w:w="8720" w:type="dxa"/>
            <w:vAlign w:val="bottom"/>
          </w:tcPr>
          <w:p>
            <w:pPr>
              <w:ind w:left="540"/>
              <w:spacing w:after="0"/>
              <w:rPr>
                <w:sz w:val="20"/>
                <w:szCs w:val="20"/>
                <w:color w:val="auto"/>
              </w:rPr>
            </w:pPr>
            <w:r>
              <w:rPr>
                <w:rFonts w:ascii="Arial" w:cs="Arial" w:eastAsia="Arial" w:hAnsi="Arial"/>
                <w:sz w:val="18"/>
                <w:szCs w:val="18"/>
                <w:color w:val="auto"/>
              </w:rPr>
              <w:t>minimum amount as may be specified for the purposes of Schedule 3;</w:t>
            </w:r>
          </w:p>
        </w:tc>
      </w:tr>
      <w:tr>
        <w:trPr>
          <w:trHeight w:val="418"/>
        </w:trPr>
        <w:tc>
          <w:tcPr>
            <w:tcW w:w="2700" w:type="dxa"/>
            <w:vAlign w:val="bottom"/>
          </w:tcPr>
          <w:p>
            <w:pPr>
              <w:ind w:left="660"/>
              <w:spacing w:after="0"/>
              <w:rPr>
                <w:sz w:val="20"/>
                <w:szCs w:val="20"/>
                <w:color w:val="auto"/>
              </w:rPr>
            </w:pPr>
            <w:r>
              <w:rPr>
                <w:rFonts w:ascii="Arial" w:cs="Arial" w:eastAsia="Arial" w:hAnsi="Arial"/>
                <w:sz w:val="18"/>
                <w:szCs w:val="18"/>
                <w:color w:val="auto"/>
              </w:rPr>
              <w:t>“Option”</w:t>
            </w:r>
          </w:p>
        </w:tc>
        <w:tc>
          <w:tcPr>
            <w:tcW w:w="8720" w:type="dxa"/>
            <w:vAlign w:val="bottom"/>
          </w:tcPr>
          <w:p>
            <w:pPr>
              <w:ind w:left="540"/>
              <w:spacing w:after="0"/>
              <w:rPr>
                <w:sz w:val="20"/>
                <w:szCs w:val="20"/>
                <w:color w:val="auto"/>
              </w:rPr>
            </w:pPr>
            <w:r>
              <w:rPr>
                <w:rFonts w:ascii="Arial" w:cs="Arial" w:eastAsia="Arial" w:hAnsi="Arial"/>
                <w:sz w:val="18"/>
                <w:szCs w:val="18"/>
                <w:color w:val="auto"/>
                <w:w w:val="96"/>
              </w:rPr>
              <w:t>the right granted or to be granted to a Participant on any particular Date of Grant to subscribe for Shares in</w:t>
            </w:r>
          </w:p>
        </w:tc>
      </w:tr>
      <w:tr>
        <w:trPr>
          <w:trHeight w:val="230"/>
        </w:trPr>
        <w:tc>
          <w:tcPr>
            <w:tcW w:w="2700" w:type="dxa"/>
            <w:vAlign w:val="bottom"/>
          </w:tcPr>
          <w:p>
            <w:pPr>
              <w:spacing w:after="0"/>
              <w:rPr>
                <w:sz w:val="20"/>
                <w:szCs w:val="20"/>
                <w:color w:val="auto"/>
              </w:rPr>
            </w:pPr>
          </w:p>
        </w:tc>
        <w:tc>
          <w:tcPr>
            <w:tcW w:w="8720" w:type="dxa"/>
            <w:vAlign w:val="bottom"/>
          </w:tcPr>
          <w:p>
            <w:pPr>
              <w:ind w:left="540"/>
              <w:spacing w:after="0"/>
              <w:rPr>
                <w:sz w:val="20"/>
                <w:szCs w:val="20"/>
                <w:color w:val="auto"/>
              </w:rPr>
            </w:pPr>
            <w:r>
              <w:rPr>
                <w:rFonts w:ascii="Arial" w:cs="Arial" w:eastAsia="Arial" w:hAnsi="Arial"/>
                <w:sz w:val="18"/>
                <w:szCs w:val="18"/>
                <w:color w:val="auto"/>
              </w:rPr>
              <w:t>accordance with the Rules of the Scheme;</w:t>
            </w:r>
          </w:p>
        </w:tc>
      </w:tr>
      <w:tr>
        <w:trPr>
          <w:trHeight w:val="418"/>
        </w:trPr>
        <w:tc>
          <w:tcPr>
            <w:tcW w:w="2700" w:type="dxa"/>
            <w:vAlign w:val="bottom"/>
          </w:tcPr>
          <w:p>
            <w:pPr>
              <w:ind w:left="660"/>
              <w:spacing w:after="0"/>
              <w:rPr>
                <w:sz w:val="20"/>
                <w:szCs w:val="20"/>
                <w:color w:val="auto"/>
              </w:rPr>
            </w:pPr>
            <w:r>
              <w:rPr>
                <w:rFonts w:ascii="Arial" w:cs="Arial" w:eastAsia="Arial" w:hAnsi="Arial"/>
                <w:sz w:val="18"/>
                <w:szCs w:val="18"/>
                <w:color w:val="auto"/>
              </w:rPr>
              <w:t>“Participant”</w:t>
            </w:r>
          </w:p>
        </w:tc>
        <w:tc>
          <w:tcPr>
            <w:tcW w:w="8720" w:type="dxa"/>
            <w:vAlign w:val="bottom"/>
          </w:tcPr>
          <w:p>
            <w:pPr>
              <w:ind w:left="540"/>
              <w:spacing w:after="0"/>
              <w:rPr>
                <w:sz w:val="20"/>
                <w:szCs w:val="20"/>
                <w:color w:val="auto"/>
              </w:rPr>
            </w:pPr>
            <w:r>
              <w:rPr>
                <w:rFonts w:ascii="Arial" w:cs="Arial" w:eastAsia="Arial" w:hAnsi="Arial"/>
                <w:sz w:val="18"/>
                <w:szCs w:val="18"/>
                <w:color w:val="auto"/>
                <w:w w:val="90"/>
              </w:rPr>
              <w:t>any person who has been granted an Option which has not lapsed in accordance with the provisions of Rule 4(b)</w:t>
            </w:r>
          </w:p>
        </w:tc>
      </w:tr>
      <w:tr>
        <w:trPr>
          <w:trHeight w:val="230"/>
        </w:trPr>
        <w:tc>
          <w:tcPr>
            <w:tcW w:w="2700" w:type="dxa"/>
            <w:vAlign w:val="bottom"/>
          </w:tcPr>
          <w:p>
            <w:pPr>
              <w:spacing w:after="0"/>
              <w:rPr>
                <w:sz w:val="20"/>
                <w:szCs w:val="20"/>
                <w:color w:val="auto"/>
              </w:rPr>
            </w:pPr>
          </w:p>
        </w:tc>
        <w:tc>
          <w:tcPr>
            <w:tcW w:w="8720" w:type="dxa"/>
            <w:vAlign w:val="bottom"/>
          </w:tcPr>
          <w:p>
            <w:pPr>
              <w:ind w:left="540"/>
              <w:spacing w:after="0"/>
              <w:rPr>
                <w:sz w:val="20"/>
                <w:szCs w:val="20"/>
                <w:color w:val="auto"/>
              </w:rPr>
            </w:pPr>
            <w:r>
              <w:rPr>
                <w:rFonts w:ascii="Arial" w:cs="Arial" w:eastAsia="Arial" w:hAnsi="Arial"/>
                <w:sz w:val="18"/>
                <w:szCs w:val="18"/>
                <w:color w:val="auto"/>
              </w:rPr>
              <w:t>(including, where the context so requires, the legal personal representatives of any such person);</w:t>
            </w:r>
          </w:p>
        </w:tc>
      </w:tr>
      <w:tr>
        <w:trPr>
          <w:trHeight w:val="418"/>
        </w:trPr>
        <w:tc>
          <w:tcPr>
            <w:tcW w:w="2700" w:type="dxa"/>
            <w:vAlign w:val="bottom"/>
          </w:tcPr>
          <w:p>
            <w:pPr>
              <w:ind w:left="660"/>
              <w:spacing w:after="0"/>
              <w:rPr>
                <w:sz w:val="20"/>
                <w:szCs w:val="20"/>
                <w:color w:val="auto"/>
              </w:rPr>
            </w:pPr>
            <w:r>
              <w:rPr>
                <w:rFonts w:ascii="Arial" w:cs="Arial" w:eastAsia="Arial" w:hAnsi="Arial"/>
                <w:sz w:val="18"/>
                <w:szCs w:val="18"/>
                <w:color w:val="auto"/>
              </w:rPr>
              <w:t>“Participating</w:t>
            </w:r>
          </w:p>
        </w:tc>
        <w:tc>
          <w:tcPr>
            <w:tcW w:w="8720" w:type="dxa"/>
            <w:vAlign w:val="bottom"/>
          </w:tcPr>
          <w:p>
            <w:pPr>
              <w:ind w:left="540"/>
              <w:spacing w:after="0"/>
              <w:rPr>
                <w:sz w:val="20"/>
                <w:szCs w:val="20"/>
                <w:color w:val="auto"/>
              </w:rPr>
            </w:pPr>
            <w:r>
              <w:rPr>
                <w:rFonts w:ascii="Arial" w:cs="Arial" w:eastAsia="Arial" w:hAnsi="Arial"/>
                <w:sz w:val="18"/>
                <w:szCs w:val="18"/>
                <w:color w:val="auto"/>
              </w:rPr>
              <w:t>any company within the Group which the Directors from</w:t>
            </w:r>
          </w:p>
        </w:tc>
      </w:tr>
      <w:tr>
        <w:trPr>
          <w:trHeight w:val="230"/>
        </w:trPr>
        <w:tc>
          <w:tcPr>
            <w:tcW w:w="2700" w:type="dxa"/>
            <w:vAlign w:val="bottom"/>
          </w:tcPr>
          <w:p>
            <w:pPr>
              <w:ind w:left="740"/>
              <w:spacing w:after="0"/>
              <w:rPr>
                <w:sz w:val="20"/>
                <w:szCs w:val="20"/>
                <w:color w:val="auto"/>
              </w:rPr>
            </w:pPr>
            <w:r>
              <w:rPr>
                <w:rFonts w:ascii="Arial" w:cs="Arial" w:eastAsia="Arial" w:hAnsi="Arial"/>
                <w:sz w:val="18"/>
                <w:szCs w:val="18"/>
                <w:color w:val="auto"/>
              </w:rPr>
              <w:t>Company”</w:t>
            </w:r>
          </w:p>
        </w:tc>
        <w:tc>
          <w:tcPr>
            <w:tcW w:w="8720" w:type="dxa"/>
            <w:vAlign w:val="bottom"/>
          </w:tcPr>
          <w:p>
            <w:pPr>
              <w:ind w:left="540"/>
              <w:spacing w:after="0"/>
              <w:rPr>
                <w:sz w:val="20"/>
                <w:szCs w:val="20"/>
                <w:color w:val="auto"/>
              </w:rPr>
            </w:pPr>
            <w:r>
              <w:rPr>
                <w:rFonts w:ascii="Arial" w:cs="Arial" w:eastAsia="Arial" w:hAnsi="Arial"/>
                <w:sz w:val="18"/>
                <w:szCs w:val="18"/>
                <w:color w:val="auto"/>
              </w:rPr>
              <w:t>time to time determine shall be a Participating Company for the purposes of the Scheme;</w:t>
            </w:r>
          </w:p>
        </w:tc>
      </w:tr>
      <w:tr>
        <w:trPr>
          <w:trHeight w:val="432"/>
        </w:trPr>
        <w:tc>
          <w:tcPr>
            <w:tcW w:w="2700" w:type="dxa"/>
            <w:vAlign w:val="bottom"/>
          </w:tcPr>
          <w:p>
            <w:pPr>
              <w:ind w:left="660"/>
              <w:spacing w:after="0"/>
              <w:rPr>
                <w:sz w:val="20"/>
                <w:szCs w:val="20"/>
                <w:color w:val="auto"/>
              </w:rPr>
            </w:pPr>
            <w:r>
              <w:rPr>
                <w:rFonts w:ascii="Arial" w:cs="Arial" w:eastAsia="Arial" w:hAnsi="Arial"/>
                <w:sz w:val="18"/>
                <w:szCs w:val="18"/>
                <w:color w:val="auto"/>
              </w:rPr>
              <w:t>“Redundancy”</w:t>
            </w:r>
          </w:p>
        </w:tc>
        <w:tc>
          <w:tcPr>
            <w:tcW w:w="8720" w:type="dxa"/>
            <w:vAlign w:val="bottom"/>
          </w:tcPr>
          <w:p>
            <w:pPr>
              <w:ind w:left="540"/>
              <w:spacing w:after="0"/>
              <w:rPr>
                <w:sz w:val="20"/>
                <w:szCs w:val="20"/>
                <w:color w:val="auto"/>
              </w:rPr>
            </w:pPr>
            <w:r>
              <w:rPr>
                <w:rFonts w:ascii="Arial" w:cs="Arial" w:eastAsia="Arial" w:hAnsi="Arial"/>
                <w:sz w:val="18"/>
                <w:szCs w:val="18"/>
                <w:color w:val="auto"/>
              </w:rPr>
              <w:t>dismissal by reason of redundancy within the meaning of the Employment Rights Act 1996;</w:t>
            </w:r>
          </w:p>
        </w:tc>
      </w:tr>
      <w:tr>
        <w:trPr>
          <w:trHeight w:val="432"/>
        </w:trPr>
        <w:tc>
          <w:tcPr>
            <w:tcW w:w="2700" w:type="dxa"/>
            <w:vAlign w:val="bottom"/>
          </w:tcPr>
          <w:p>
            <w:pPr>
              <w:ind w:left="660"/>
              <w:spacing w:after="0"/>
              <w:rPr>
                <w:sz w:val="20"/>
                <w:szCs w:val="20"/>
                <w:color w:val="auto"/>
              </w:rPr>
            </w:pPr>
            <w:r>
              <w:rPr>
                <w:rFonts w:ascii="Arial" w:cs="Arial" w:eastAsia="Arial" w:hAnsi="Arial"/>
                <w:sz w:val="18"/>
                <w:szCs w:val="18"/>
                <w:color w:val="auto"/>
              </w:rPr>
              <w:t>“Repayment Notice”</w:t>
            </w:r>
          </w:p>
        </w:tc>
        <w:tc>
          <w:tcPr>
            <w:tcW w:w="8720" w:type="dxa"/>
            <w:vAlign w:val="bottom"/>
          </w:tcPr>
          <w:p>
            <w:pPr>
              <w:ind w:left="540"/>
              <w:spacing w:after="0"/>
              <w:rPr>
                <w:sz w:val="20"/>
                <w:szCs w:val="20"/>
                <w:color w:val="auto"/>
              </w:rPr>
            </w:pPr>
            <w:r>
              <w:rPr>
                <w:rFonts w:ascii="Arial" w:cs="Arial" w:eastAsia="Arial" w:hAnsi="Arial"/>
                <w:sz w:val="18"/>
                <w:szCs w:val="18"/>
                <w:color w:val="auto"/>
              </w:rPr>
              <w:t>the meaning given to that expression in Rule 5(b)(i)(B);</w:t>
            </w:r>
          </w:p>
        </w:tc>
      </w:tr>
      <w:tr>
        <w:trPr>
          <w:trHeight w:val="418"/>
        </w:trPr>
        <w:tc>
          <w:tcPr>
            <w:tcW w:w="2700" w:type="dxa"/>
            <w:vAlign w:val="bottom"/>
          </w:tcPr>
          <w:p>
            <w:pPr>
              <w:ind w:left="660"/>
              <w:spacing w:after="0"/>
              <w:rPr>
                <w:sz w:val="20"/>
                <w:szCs w:val="20"/>
                <w:color w:val="auto"/>
              </w:rPr>
            </w:pPr>
            <w:r>
              <w:rPr>
                <w:rFonts w:ascii="Arial" w:cs="Arial" w:eastAsia="Arial" w:hAnsi="Arial"/>
                <w:sz w:val="18"/>
                <w:szCs w:val="18"/>
                <w:color w:val="auto"/>
              </w:rPr>
              <w:t>“Retirement”</w:t>
            </w:r>
          </w:p>
        </w:tc>
        <w:tc>
          <w:tcPr>
            <w:tcW w:w="8720" w:type="dxa"/>
            <w:vAlign w:val="bottom"/>
          </w:tcPr>
          <w:p>
            <w:pPr>
              <w:ind w:left="540"/>
              <w:spacing w:after="0"/>
              <w:rPr>
                <w:sz w:val="20"/>
                <w:szCs w:val="20"/>
                <w:color w:val="auto"/>
              </w:rPr>
            </w:pPr>
            <w:r>
              <w:rPr>
                <w:rFonts w:ascii="Arial" w:cs="Arial" w:eastAsia="Arial" w:hAnsi="Arial"/>
                <w:sz w:val="18"/>
                <w:szCs w:val="18"/>
                <w:color w:val="auto"/>
                <w:w w:val="91"/>
              </w:rPr>
              <w:t>the Participant reaching 60 years of age or at any other age at which he is bound to retire in accordance with the</w:t>
            </w:r>
          </w:p>
        </w:tc>
      </w:tr>
      <w:tr>
        <w:trPr>
          <w:trHeight w:val="216"/>
        </w:trPr>
        <w:tc>
          <w:tcPr>
            <w:tcW w:w="2700" w:type="dxa"/>
            <w:vAlign w:val="bottom"/>
          </w:tcPr>
          <w:p>
            <w:pPr>
              <w:spacing w:after="0"/>
              <w:rPr>
                <w:sz w:val="18"/>
                <w:szCs w:val="18"/>
                <w:color w:val="auto"/>
              </w:rPr>
            </w:pPr>
          </w:p>
        </w:tc>
        <w:tc>
          <w:tcPr>
            <w:tcW w:w="8720" w:type="dxa"/>
            <w:vAlign w:val="bottom"/>
          </w:tcPr>
          <w:p>
            <w:pPr>
              <w:ind w:left="540"/>
              <w:spacing w:after="0"/>
              <w:rPr>
                <w:sz w:val="20"/>
                <w:szCs w:val="20"/>
                <w:color w:val="auto"/>
              </w:rPr>
            </w:pPr>
            <w:r>
              <w:rPr>
                <w:rFonts w:ascii="Arial" w:cs="Arial" w:eastAsia="Arial" w:hAnsi="Arial"/>
                <w:sz w:val="18"/>
                <w:szCs w:val="18"/>
                <w:color w:val="auto"/>
                <w:w w:val="92"/>
              </w:rPr>
              <w:t>terms of his contract of employment and for these purposes a Participant is bound to retire if the Employer has</w:t>
            </w:r>
          </w:p>
        </w:tc>
      </w:tr>
      <w:tr>
        <w:trPr>
          <w:trHeight w:val="216"/>
        </w:trPr>
        <w:tc>
          <w:tcPr>
            <w:tcW w:w="2700" w:type="dxa"/>
            <w:vAlign w:val="bottom"/>
          </w:tcPr>
          <w:p>
            <w:pPr>
              <w:spacing w:after="0"/>
              <w:rPr>
                <w:sz w:val="18"/>
                <w:szCs w:val="18"/>
                <w:color w:val="auto"/>
              </w:rPr>
            </w:pPr>
          </w:p>
        </w:tc>
        <w:tc>
          <w:tcPr>
            <w:tcW w:w="8720" w:type="dxa"/>
            <w:vAlign w:val="bottom"/>
          </w:tcPr>
          <w:p>
            <w:pPr>
              <w:ind w:left="540"/>
              <w:spacing w:after="0"/>
              <w:rPr>
                <w:sz w:val="20"/>
                <w:szCs w:val="20"/>
                <w:color w:val="auto"/>
              </w:rPr>
            </w:pPr>
            <w:r>
              <w:rPr>
                <w:rFonts w:ascii="Arial" w:cs="Arial" w:eastAsia="Arial" w:hAnsi="Arial"/>
                <w:sz w:val="18"/>
                <w:szCs w:val="18"/>
                <w:color w:val="auto"/>
                <w:w w:val="91"/>
              </w:rPr>
              <w:t>notified or should have notified the Participant in accordance with paragraph 2 of Schedule 6 to the Employment</w:t>
            </w:r>
          </w:p>
        </w:tc>
      </w:tr>
      <w:tr>
        <w:trPr>
          <w:trHeight w:val="230"/>
        </w:trPr>
        <w:tc>
          <w:tcPr>
            <w:tcW w:w="2700" w:type="dxa"/>
            <w:vAlign w:val="bottom"/>
          </w:tcPr>
          <w:p>
            <w:pPr>
              <w:spacing w:after="0"/>
              <w:rPr>
                <w:sz w:val="20"/>
                <w:szCs w:val="20"/>
                <w:color w:val="auto"/>
              </w:rPr>
            </w:pPr>
          </w:p>
        </w:tc>
        <w:tc>
          <w:tcPr>
            <w:tcW w:w="8720" w:type="dxa"/>
            <w:vAlign w:val="bottom"/>
          </w:tcPr>
          <w:p>
            <w:pPr>
              <w:ind w:left="540"/>
              <w:spacing w:after="0"/>
              <w:rPr>
                <w:sz w:val="20"/>
                <w:szCs w:val="20"/>
                <w:color w:val="auto"/>
              </w:rPr>
            </w:pPr>
            <w:r>
              <w:rPr>
                <w:rFonts w:ascii="Arial" w:cs="Arial" w:eastAsia="Arial" w:hAnsi="Arial"/>
                <w:sz w:val="18"/>
                <w:szCs w:val="18"/>
                <w:color w:val="auto"/>
              </w:rPr>
              <w:t>Equality (Age) Regulations 2006 (the "Regulations"); and</w:t>
            </w:r>
          </w:p>
        </w:tc>
      </w:tr>
      <w:tr>
        <w:trPr>
          <w:trHeight w:val="418"/>
        </w:trPr>
        <w:tc>
          <w:tcPr>
            <w:tcW w:w="2700" w:type="dxa"/>
            <w:vAlign w:val="bottom"/>
          </w:tcPr>
          <w:p>
            <w:pPr>
              <w:spacing w:after="0"/>
              <w:rPr>
                <w:sz w:val="24"/>
                <w:szCs w:val="24"/>
                <w:color w:val="auto"/>
              </w:rPr>
            </w:pPr>
          </w:p>
        </w:tc>
        <w:tc>
          <w:tcPr>
            <w:tcW w:w="8720" w:type="dxa"/>
            <w:vAlign w:val="bottom"/>
          </w:tcPr>
          <w:p>
            <w:pPr>
              <w:ind w:left="540"/>
              <w:spacing w:after="0"/>
              <w:rPr>
                <w:sz w:val="20"/>
                <w:szCs w:val="20"/>
                <w:color w:val="auto"/>
              </w:rPr>
            </w:pPr>
            <w:r>
              <w:rPr>
                <w:rFonts w:ascii="Arial" w:cs="Arial" w:eastAsia="Arial" w:hAnsi="Arial"/>
                <w:sz w:val="18"/>
                <w:szCs w:val="18"/>
                <w:color w:val="auto"/>
                <w:w w:val="97"/>
              </w:rPr>
              <w:t>(i) the contract of employment terminates on the intended date of retirement (as defined in paragraph 1 of</w:t>
            </w:r>
          </w:p>
        </w:tc>
      </w:tr>
      <w:tr>
        <w:trPr>
          <w:trHeight w:val="230"/>
        </w:trPr>
        <w:tc>
          <w:tcPr>
            <w:tcW w:w="2700" w:type="dxa"/>
            <w:vAlign w:val="bottom"/>
          </w:tcPr>
          <w:p>
            <w:pPr>
              <w:spacing w:after="0"/>
              <w:rPr>
                <w:sz w:val="20"/>
                <w:szCs w:val="20"/>
                <w:color w:val="auto"/>
              </w:rPr>
            </w:pPr>
          </w:p>
        </w:tc>
        <w:tc>
          <w:tcPr>
            <w:tcW w:w="8720" w:type="dxa"/>
            <w:vAlign w:val="bottom"/>
          </w:tcPr>
          <w:p>
            <w:pPr>
              <w:ind w:left="540"/>
              <w:spacing w:after="0"/>
              <w:rPr>
                <w:sz w:val="20"/>
                <w:szCs w:val="20"/>
                <w:color w:val="auto"/>
              </w:rPr>
            </w:pPr>
            <w:r>
              <w:rPr>
                <w:rFonts w:ascii="Arial" w:cs="Arial" w:eastAsia="Arial" w:hAnsi="Arial"/>
                <w:sz w:val="18"/>
                <w:szCs w:val="18"/>
                <w:color w:val="auto"/>
              </w:rPr>
              <w:t>Schedule 6 to the Regulations); or</w:t>
            </w:r>
          </w:p>
        </w:tc>
      </w:tr>
      <w:tr>
        <w:trPr>
          <w:trHeight w:val="418"/>
        </w:trPr>
        <w:tc>
          <w:tcPr>
            <w:tcW w:w="2700" w:type="dxa"/>
            <w:vAlign w:val="bottom"/>
          </w:tcPr>
          <w:p>
            <w:pPr>
              <w:spacing w:after="0"/>
              <w:rPr>
                <w:sz w:val="24"/>
                <w:szCs w:val="24"/>
                <w:color w:val="auto"/>
              </w:rPr>
            </w:pPr>
          </w:p>
        </w:tc>
        <w:tc>
          <w:tcPr>
            <w:tcW w:w="8720" w:type="dxa"/>
            <w:vAlign w:val="bottom"/>
          </w:tcPr>
          <w:p>
            <w:pPr>
              <w:ind w:left="540"/>
              <w:spacing w:after="0"/>
              <w:rPr>
                <w:sz w:val="20"/>
                <w:szCs w:val="20"/>
                <w:color w:val="auto"/>
              </w:rPr>
            </w:pPr>
            <w:r>
              <w:rPr>
                <w:rFonts w:ascii="Arial" w:cs="Arial" w:eastAsia="Arial" w:hAnsi="Arial"/>
                <w:sz w:val="18"/>
                <w:szCs w:val="18"/>
                <w:color w:val="auto"/>
                <w:w w:val="91"/>
              </w:rPr>
              <w:t>(ii) the contract of employment terminates on such a date as is agreed between the Participant and the Employer</w:t>
            </w:r>
          </w:p>
        </w:tc>
      </w:tr>
      <w:tr>
        <w:trPr>
          <w:trHeight w:val="216"/>
        </w:trPr>
        <w:tc>
          <w:tcPr>
            <w:tcW w:w="2700" w:type="dxa"/>
            <w:vAlign w:val="bottom"/>
          </w:tcPr>
          <w:p>
            <w:pPr>
              <w:spacing w:after="0"/>
              <w:rPr>
                <w:sz w:val="18"/>
                <w:szCs w:val="18"/>
                <w:color w:val="auto"/>
              </w:rPr>
            </w:pPr>
          </w:p>
        </w:tc>
        <w:tc>
          <w:tcPr>
            <w:tcW w:w="8720" w:type="dxa"/>
            <w:vAlign w:val="bottom"/>
          </w:tcPr>
          <w:p>
            <w:pPr>
              <w:ind w:left="540"/>
              <w:spacing w:after="0"/>
              <w:rPr>
                <w:sz w:val="20"/>
                <w:szCs w:val="20"/>
                <w:color w:val="auto"/>
              </w:rPr>
            </w:pPr>
            <w:r>
              <w:rPr>
                <w:rFonts w:ascii="Arial" w:cs="Arial" w:eastAsia="Arial" w:hAnsi="Arial"/>
                <w:sz w:val="18"/>
                <w:szCs w:val="18"/>
                <w:color w:val="auto"/>
                <w:w w:val="97"/>
              </w:rPr>
              <w:t>pursuant to the exercise of a statutory right to request not to retire under paragraph 5 of Schedule 6 to the</w:t>
            </w:r>
          </w:p>
        </w:tc>
      </w:tr>
      <w:tr>
        <w:trPr>
          <w:trHeight w:val="230"/>
        </w:trPr>
        <w:tc>
          <w:tcPr>
            <w:tcW w:w="2700" w:type="dxa"/>
            <w:vAlign w:val="bottom"/>
          </w:tcPr>
          <w:p>
            <w:pPr>
              <w:spacing w:after="0"/>
              <w:rPr>
                <w:sz w:val="20"/>
                <w:szCs w:val="20"/>
                <w:color w:val="auto"/>
              </w:rPr>
            </w:pPr>
          </w:p>
        </w:tc>
        <w:tc>
          <w:tcPr>
            <w:tcW w:w="8720" w:type="dxa"/>
            <w:vAlign w:val="bottom"/>
          </w:tcPr>
          <w:p>
            <w:pPr>
              <w:ind w:left="540"/>
              <w:spacing w:after="0"/>
              <w:rPr>
                <w:sz w:val="20"/>
                <w:szCs w:val="20"/>
                <w:color w:val="auto"/>
              </w:rPr>
            </w:pPr>
            <w:r>
              <w:rPr>
                <w:rFonts w:ascii="Arial" w:cs="Arial" w:eastAsia="Arial" w:hAnsi="Arial"/>
                <w:sz w:val="18"/>
                <w:szCs w:val="18"/>
                <w:color w:val="auto"/>
              </w:rPr>
              <w:t>Regulations;</w:t>
            </w:r>
          </w:p>
        </w:tc>
      </w:tr>
      <w:tr>
        <w:trPr>
          <w:trHeight w:val="432"/>
        </w:trPr>
        <w:tc>
          <w:tcPr>
            <w:tcW w:w="2700" w:type="dxa"/>
            <w:vAlign w:val="bottom"/>
          </w:tcPr>
          <w:p>
            <w:pPr>
              <w:ind w:left="660"/>
              <w:spacing w:after="0"/>
              <w:rPr>
                <w:sz w:val="20"/>
                <w:szCs w:val="20"/>
                <w:color w:val="auto"/>
              </w:rPr>
            </w:pPr>
            <w:r>
              <w:rPr>
                <w:rFonts w:ascii="Arial" w:cs="Arial" w:eastAsia="Arial" w:hAnsi="Arial"/>
                <w:sz w:val="18"/>
                <w:szCs w:val="18"/>
                <w:color w:val="auto"/>
              </w:rPr>
              <w:t>“Revenue”</w:t>
            </w:r>
          </w:p>
        </w:tc>
        <w:tc>
          <w:tcPr>
            <w:tcW w:w="8720" w:type="dxa"/>
            <w:vAlign w:val="bottom"/>
          </w:tcPr>
          <w:p>
            <w:pPr>
              <w:ind w:left="540"/>
              <w:spacing w:after="0"/>
              <w:rPr>
                <w:sz w:val="20"/>
                <w:szCs w:val="20"/>
                <w:color w:val="auto"/>
              </w:rPr>
            </w:pPr>
            <w:r>
              <w:rPr>
                <w:rFonts w:ascii="Arial" w:cs="Arial" w:eastAsia="Arial" w:hAnsi="Arial"/>
                <w:sz w:val="18"/>
                <w:szCs w:val="18"/>
                <w:color w:val="auto"/>
              </w:rPr>
              <w:t>Her Majesty's Revenue and Customs;</w:t>
            </w:r>
          </w:p>
        </w:tc>
      </w:tr>
      <w:tr>
        <w:trPr>
          <w:trHeight w:val="432"/>
        </w:trPr>
        <w:tc>
          <w:tcPr>
            <w:tcW w:w="2700" w:type="dxa"/>
            <w:vAlign w:val="bottom"/>
          </w:tcPr>
          <w:p>
            <w:pPr>
              <w:ind w:left="660"/>
              <w:spacing w:after="0"/>
              <w:rPr>
                <w:sz w:val="20"/>
                <w:szCs w:val="20"/>
                <w:color w:val="auto"/>
              </w:rPr>
            </w:pPr>
            <w:r>
              <w:rPr>
                <w:rFonts w:ascii="Arial" w:cs="Arial" w:eastAsia="Arial" w:hAnsi="Arial"/>
                <w:sz w:val="18"/>
                <w:szCs w:val="18"/>
                <w:color w:val="auto"/>
              </w:rPr>
              <w:t>“Savings Body”</w:t>
            </w:r>
          </w:p>
        </w:tc>
        <w:tc>
          <w:tcPr>
            <w:tcW w:w="8720" w:type="dxa"/>
            <w:vAlign w:val="bottom"/>
          </w:tcPr>
          <w:p>
            <w:pPr>
              <w:ind w:left="540"/>
              <w:spacing w:after="0"/>
              <w:rPr>
                <w:sz w:val="20"/>
                <w:szCs w:val="20"/>
                <w:color w:val="auto"/>
              </w:rPr>
            </w:pPr>
            <w:r>
              <w:rPr>
                <w:rFonts w:ascii="Arial" w:cs="Arial" w:eastAsia="Arial" w:hAnsi="Arial"/>
                <w:sz w:val="18"/>
                <w:szCs w:val="18"/>
                <w:color w:val="auto"/>
                <w:w w:val="91"/>
              </w:rPr>
              <w:t>Such appropriate savings body chosen by the Directors (at their discretion) to administer the Savings Contracts;</w:t>
            </w:r>
          </w:p>
        </w:tc>
      </w:tr>
      <w:tr>
        <w:trPr>
          <w:trHeight w:val="581"/>
        </w:trPr>
        <w:tc>
          <w:tcPr>
            <w:tcW w:w="2700" w:type="dxa"/>
            <w:vAlign w:val="bottom"/>
          </w:tcPr>
          <w:p>
            <w:pPr>
              <w:spacing w:after="0"/>
              <w:rPr>
                <w:sz w:val="24"/>
                <w:szCs w:val="24"/>
                <w:color w:val="auto"/>
              </w:rPr>
            </w:pPr>
          </w:p>
        </w:tc>
        <w:tc>
          <w:tcPr>
            <w:tcW w:w="8720" w:type="dxa"/>
            <w:vAlign w:val="bottom"/>
          </w:tcPr>
          <w:p>
            <w:pPr>
              <w:ind w:left="2960"/>
              <w:spacing w:after="0"/>
              <w:rPr>
                <w:sz w:val="20"/>
                <w:szCs w:val="20"/>
                <w:color w:val="auto"/>
              </w:rPr>
            </w:pPr>
            <w:r>
              <w:rPr>
                <w:rFonts w:ascii="Arial" w:cs="Arial" w:eastAsia="Arial" w:hAnsi="Arial"/>
                <w:sz w:val="18"/>
                <w:szCs w:val="18"/>
                <w:color w:val="auto"/>
              </w:rPr>
              <w:t>3</w:t>
            </w:r>
          </w:p>
        </w:tc>
      </w:tr>
      <w:tr>
        <w:trPr>
          <w:trHeight w:val="105"/>
        </w:trPr>
        <w:tc>
          <w:tcPr>
            <w:tcW w:w="2700" w:type="dxa"/>
            <w:vAlign w:val="bottom"/>
            <w:tcBorders>
              <w:bottom w:val="single" w:sz="8" w:color="808080"/>
            </w:tcBorders>
          </w:tcPr>
          <w:p>
            <w:pPr>
              <w:spacing w:after="0"/>
              <w:rPr>
                <w:sz w:val="9"/>
                <w:szCs w:val="9"/>
                <w:color w:val="auto"/>
              </w:rPr>
            </w:pPr>
          </w:p>
        </w:tc>
        <w:tc>
          <w:tcPr>
            <w:tcW w:w="872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16"/>
        </w:trPr>
        <w:tc>
          <w:tcPr>
            <w:tcW w:w="2800" w:type="dxa"/>
            <w:vAlign w:val="bottom"/>
          </w:tcPr>
          <w:p>
            <w:pPr>
              <w:ind w:left="660"/>
              <w:spacing w:after="0"/>
              <w:rPr>
                <w:sz w:val="20"/>
                <w:szCs w:val="20"/>
                <w:color w:val="auto"/>
              </w:rPr>
            </w:pPr>
            <w:r>
              <w:rPr>
                <w:rFonts w:ascii="Arial" w:cs="Arial" w:eastAsia="Arial" w:hAnsi="Arial"/>
                <w:sz w:val="18"/>
                <w:szCs w:val="18"/>
                <w:color w:val="auto"/>
              </w:rPr>
              <w:t>“Savings Contract”</w:t>
            </w:r>
          </w:p>
        </w:tc>
        <w:tc>
          <w:tcPr>
            <w:tcW w:w="8620" w:type="dxa"/>
            <w:vAlign w:val="bottom"/>
          </w:tcPr>
          <w:p>
            <w:pPr>
              <w:ind w:left="440"/>
              <w:spacing w:after="0"/>
              <w:rPr>
                <w:sz w:val="20"/>
                <w:szCs w:val="20"/>
                <w:color w:val="auto"/>
              </w:rPr>
            </w:pPr>
            <w:r>
              <w:rPr>
                <w:rFonts w:ascii="Arial" w:cs="Arial" w:eastAsia="Arial" w:hAnsi="Arial"/>
                <w:sz w:val="18"/>
                <w:szCs w:val="18"/>
                <w:color w:val="auto"/>
                <w:w w:val="95"/>
              </w:rPr>
              <w:t>a certified SAYE savings arrangement within the meaning of Section 703(1) of the Income Tax (Trading and</w:t>
            </w:r>
          </w:p>
        </w:tc>
      </w:tr>
      <w:tr>
        <w:trPr>
          <w:trHeight w:val="216"/>
        </w:trPr>
        <w:tc>
          <w:tcPr>
            <w:tcW w:w="2800" w:type="dxa"/>
            <w:vAlign w:val="bottom"/>
          </w:tcPr>
          <w:p>
            <w:pPr>
              <w:spacing w:after="0"/>
              <w:rPr>
                <w:sz w:val="18"/>
                <w:szCs w:val="18"/>
                <w:color w:val="auto"/>
              </w:rPr>
            </w:pPr>
          </w:p>
        </w:tc>
        <w:tc>
          <w:tcPr>
            <w:tcW w:w="8620" w:type="dxa"/>
            <w:vAlign w:val="bottom"/>
          </w:tcPr>
          <w:p>
            <w:pPr>
              <w:ind w:left="440"/>
              <w:spacing w:after="0"/>
              <w:rPr>
                <w:sz w:val="20"/>
                <w:szCs w:val="20"/>
                <w:color w:val="auto"/>
              </w:rPr>
            </w:pPr>
            <w:r>
              <w:rPr>
                <w:rFonts w:ascii="Arial" w:cs="Arial" w:eastAsia="Arial" w:hAnsi="Arial"/>
                <w:sz w:val="18"/>
                <w:szCs w:val="18"/>
                <w:color w:val="auto"/>
                <w:w w:val="92"/>
              </w:rPr>
              <w:t>Other Income) Act 2005 approved by the Revenue for the purposes of Schedule 3 under which (in accordance</w:t>
            </w:r>
          </w:p>
        </w:tc>
      </w:tr>
      <w:tr>
        <w:trPr>
          <w:trHeight w:val="230"/>
        </w:trPr>
        <w:tc>
          <w:tcPr>
            <w:tcW w:w="2800" w:type="dxa"/>
            <w:vAlign w:val="bottom"/>
          </w:tcPr>
          <w:p>
            <w:pPr>
              <w:spacing w:after="0"/>
              <w:rPr>
                <w:sz w:val="20"/>
                <w:szCs w:val="20"/>
                <w:color w:val="auto"/>
              </w:rPr>
            </w:pPr>
          </w:p>
        </w:tc>
        <w:tc>
          <w:tcPr>
            <w:tcW w:w="8620" w:type="dxa"/>
            <w:vAlign w:val="bottom"/>
          </w:tcPr>
          <w:p>
            <w:pPr>
              <w:ind w:left="440"/>
              <w:spacing w:after="0"/>
              <w:rPr>
                <w:sz w:val="20"/>
                <w:szCs w:val="20"/>
                <w:color w:val="auto"/>
              </w:rPr>
            </w:pPr>
            <w:r>
              <w:rPr>
                <w:rFonts w:ascii="Arial" w:cs="Arial" w:eastAsia="Arial" w:hAnsi="Arial"/>
                <w:sz w:val="18"/>
                <w:szCs w:val="18"/>
                <w:color w:val="auto"/>
              </w:rPr>
              <w:t>with the Scheme) a Participant makes Savings Contributions;</w:t>
            </w:r>
          </w:p>
        </w:tc>
      </w:tr>
      <w:tr>
        <w:trPr>
          <w:trHeight w:val="418"/>
        </w:trPr>
        <w:tc>
          <w:tcPr>
            <w:tcW w:w="2800" w:type="dxa"/>
            <w:vAlign w:val="bottom"/>
          </w:tcPr>
          <w:p>
            <w:pPr>
              <w:ind w:left="660"/>
              <w:spacing w:after="0"/>
              <w:rPr>
                <w:sz w:val="20"/>
                <w:szCs w:val="20"/>
                <w:color w:val="auto"/>
              </w:rPr>
            </w:pPr>
            <w:r>
              <w:rPr>
                <w:rFonts w:ascii="Arial" w:cs="Arial" w:eastAsia="Arial" w:hAnsi="Arial"/>
                <w:sz w:val="18"/>
                <w:szCs w:val="18"/>
                <w:color w:val="auto"/>
              </w:rPr>
              <w:t>“Savings Contract</w:t>
            </w:r>
          </w:p>
        </w:tc>
        <w:tc>
          <w:tcPr>
            <w:tcW w:w="8620" w:type="dxa"/>
            <w:vAlign w:val="bottom"/>
          </w:tcPr>
          <w:p>
            <w:pPr>
              <w:ind w:left="440"/>
              <w:spacing w:after="0"/>
              <w:rPr>
                <w:sz w:val="20"/>
                <w:szCs w:val="20"/>
                <w:color w:val="auto"/>
              </w:rPr>
            </w:pPr>
            <w:r>
              <w:rPr>
                <w:rFonts w:ascii="Arial" w:cs="Arial" w:eastAsia="Arial" w:hAnsi="Arial"/>
                <w:sz w:val="18"/>
                <w:szCs w:val="18"/>
                <w:color w:val="auto"/>
              </w:rPr>
              <w:t>(i) in respect of any Option to be granted the aggregate</w:t>
            </w:r>
          </w:p>
        </w:tc>
      </w:tr>
      <w:tr>
        <w:trPr>
          <w:trHeight w:val="216"/>
        </w:trPr>
        <w:tc>
          <w:tcPr>
            <w:tcW w:w="2800" w:type="dxa"/>
            <w:vAlign w:val="bottom"/>
          </w:tcPr>
          <w:p>
            <w:pPr>
              <w:ind w:left="740"/>
              <w:spacing w:after="0"/>
              <w:rPr>
                <w:sz w:val="20"/>
                <w:szCs w:val="20"/>
                <w:color w:val="auto"/>
              </w:rPr>
            </w:pPr>
            <w:r>
              <w:rPr>
                <w:rFonts w:ascii="Arial" w:cs="Arial" w:eastAsia="Arial" w:hAnsi="Arial"/>
                <w:sz w:val="18"/>
                <w:szCs w:val="18"/>
                <w:color w:val="auto"/>
              </w:rPr>
              <w:t>Repayment”</w:t>
            </w:r>
          </w:p>
        </w:tc>
        <w:tc>
          <w:tcPr>
            <w:tcW w:w="8620" w:type="dxa"/>
            <w:vAlign w:val="bottom"/>
          </w:tcPr>
          <w:p>
            <w:pPr>
              <w:ind w:left="440"/>
              <w:spacing w:after="0"/>
              <w:rPr>
                <w:sz w:val="20"/>
                <w:szCs w:val="20"/>
                <w:color w:val="auto"/>
              </w:rPr>
            </w:pPr>
            <w:r>
              <w:rPr>
                <w:rFonts w:ascii="Arial" w:cs="Arial" w:eastAsia="Arial" w:hAnsi="Arial"/>
                <w:sz w:val="18"/>
                <w:szCs w:val="18"/>
                <w:color w:val="auto"/>
                <w:w w:val="92"/>
              </w:rPr>
              <w:t>repayment which corresponds to any particular rate of Savings Contribution, being the repayment of all Savings</w:t>
            </w:r>
          </w:p>
        </w:tc>
      </w:tr>
      <w:tr>
        <w:trPr>
          <w:trHeight w:val="230"/>
        </w:trPr>
        <w:tc>
          <w:tcPr>
            <w:tcW w:w="2800" w:type="dxa"/>
            <w:vAlign w:val="bottom"/>
          </w:tcPr>
          <w:p>
            <w:pPr>
              <w:spacing w:after="0"/>
              <w:rPr>
                <w:sz w:val="20"/>
                <w:szCs w:val="20"/>
                <w:color w:val="auto"/>
              </w:rPr>
            </w:pPr>
          </w:p>
        </w:tc>
        <w:tc>
          <w:tcPr>
            <w:tcW w:w="8620" w:type="dxa"/>
            <w:vAlign w:val="bottom"/>
          </w:tcPr>
          <w:p>
            <w:pPr>
              <w:ind w:left="440"/>
              <w:spacing w:after="0"/>
              <w:rPr>
                <w:sz w:val="20"/>
                <w:szCs w:val="20"/>
                <w:color w:val="auto"/>
              </w:rPr>
            </w:pPr>
            <w:r>
              <w:rPr>
                <w:rFonts w:ascii="Arial" w:cs="Arial" w:eastAsia="Arial" w:hAnsi="Arial"/>
                <w:sz w:val="18"/>
                <w:szCs w:val="18"/>
                <w:color w:val="auto"/>
                <w:w w:val="90"/>
              </w:rPr>
              <w:t>Contributions upon completion of the term of the Savings Contract plus the standard bonus payable thereon; and</w:t>
            </w:r>
          </w:p>
        </w:tc>
      </w:tr>
      <w:tr>
        <w:trPr>
          <w:trHeight w:val="418"/>
        </w:trPr>
        <w:tc>
          <w:tcPr>
            <w:tcW w:w="2800" w:type="dxa"/>
            <w:vAlign w:val="bottom"/>
          </w:tcPr>
          <w:p>
            <w:pPr>
              <w:spacing w:after="0"/>
              <w:rPr>
                <w:sz w:val="24"/>
                <w:szCs w:val="24"/>
                <w:color w:val="auto"/>
              </w:rPr>
            </w:pPr>
          </w:p>
        </w:tc>
        <w:tc>
          <w:tcPr>
            <w:tcW w:w="8620" w:type="dxa"/>
            <w:vAlign w:val="bottom"/>
          </w:tcPr>
          <w:p>
            <w:pPr>
              <w:ind w:left="440"/>
              <w:spacing w:after="0"/>
              <w:rPr>
                <w:sz w:val="20"/>
                <w:szCs w:val="20"/>
                <w:color w:val="auto"/>
              </w:rPr>
            </w:pPr>
            <w:r>
              <w:rPr>
                <w:rFonts w:ascii="Arial" w:cs="Arial" w:eastAsia="Arial" w:hAnsi="Arial"/>
                <w:sz w:val="18"/>
                <w:szCs w:val="18"/>
                <w:color w:val="auto"/>
                <w:w w:val="94"/>
              </w:rPr>
              <w:t>(ii) in respect of any Option already granted, the amount applied for the purpose of calculating the number of</w:t>
            </w:r>
          </w:p>
        </w:tc>
      </w:tr>
      <w:tr>
        <w:trPr>
          <w:trHeight w:val="230"/>
        </w:trPr>
        <w:tc>
          <w:tcPr>
            <w:tcW w:w="2800" w:type="dxa"/>
            <w:vAlign w:val="bottom"/>
          </w:tcPr>
          <w:p>
            <w:pPr>
              <w:spacing w:after="0"/>
              <w:rPr>
                <w:sz w:val="20"/>
                <w:szCs w:val="20"/>
                <w:color w:val="auto"/>
              </w:rPr>
            </w:pPr>
          </w:p>
        </w:tc>
        <w:tc>
          <w:tcPr>
            <w:tcW w:w="8620" w:type="dxa"/>
            <w:vAlign w:val="bottom"/>
          </w:tcPr>
          <w:p>
            <w:pPr>
              <w:ind w:left="440"/>
              <w:spacing w:after="0"/>
              <w:rPr>
                <w:sz w:val="20"/>
                <w:szCs w:val="20"/>
                <w:color w:val="auto"/>
              </w:rPr>
            </w:pPr>
            <w:r>
              <w:rPr>
                <w:rFonts w:ascii="Arial" w:cs="Arial" w:eastAsia="Arial" w:hAnsi="Arial"/>
                <w:sz w:val="18"/>
                <w:szCs w:val="18"/>
                <w:color w:val="auto"/>
              </w:rPr>
              <w:t>Shares comprised in the Option in Rule 2(c);</w:t>
            </w:r>
          </w:p>
        </w:tc>
      </w:tr>
      <w:tr>
        <w:trPr>
          <w:trHeight w:val="418"/>
        </w:trPr>
        <w:tc>
          <w:tcPr>
            <w:tcW w:w="2800" w:type="dxa"/>
            <w:vAlign w:val="bottom"/>
          </w:tcPr>
          <w:p>
            <w:pPr>
              <w:spacing w:after="0"/>
              <w:rPr>
                <w:sz w:val="24"/>
                <w:szCs w:val="24"/>
                <w:color w:val="auto"/>
              </w:rPr>
            </w:pPr>
          </w:p>
        </w:tc>
        <w:tc>
          <w:tcPr>
            <w:tcW w:w="8620" w:type="dxa"/>
            <w:vAlign w:val="bottom"/>
          </w:tcPr>
          <w:p>
            <w:pPr>
              <w:ind w:left="440"/>
              <w:spacing w:after="0"/>
              <w:rPr>
                <w:sz w:val="20"/>
                <w:szCs w:val="20"/>
                <w:color w:val="auto"/>
              </w:rPr>
            </w:pPr>
            <w:r>
              <w:rPr>
                <w:rFonts w:ascii="Arial" w:cs="Arial" w:eastAsia="Arial" w:hAnsi="Arial"/>
                <w:sz w:val="18"/>
                <w:szCs w:val="18"/>
                <w:color w:val="auto"/>
                <w:w w:val="97"/>
              </w:rPr>
              <w:t>Provided that if the Directors permit Eligible Employees to choose under Rule 2(b)(ii) the maximum bonus</w:t>
            </w:r>
          </w:p>
        </w:tc>
      </w:tr>
      <w:tr>
        <w:trPr>
          <w:trHeight w:val="216"/>
        </w:trPr>
        <w:tc>
          <w:tcPr>
            <w:tcW w:w="2800" w:type="dxa"/>
            <w:vAlign w:val="bottom"/>
          </w:tcPr>
          <w:p>
            <w:pPr>
              <w:spacing w:after="0"/>
              <w:rPr>
                <w:sz w:val="18"/>
                <w:szCs w:val="18"/>
                <w:color w:val="auto"/>
              </w:rPr>
            </w:pPr>
          </w:p>
        </w:tc>
        <w:tc>
          <w:tcPr>
            <w:tcW w:w="8620" w:type="dxa"/>
            <w:vAlign w:val="bottom"/>
          </w:tcPr>
          <w:p>
            <w:pPr>
              <w:ind w:left="440"/>
              <w:spacing w:after="0"/>
              <w:rPr>
                <w:sz w:val="20"/>
                <w:szCs w:val="20"/>
                <w:color w:val="auto"/>
              </w:rPr>
            </w:pPr>
            <w:r>
              <w:rPr>
                <w:rFonts w:ascii="Arial" w:cs="Arial" w:eastAsia="Arial" w:hAnsi="Arial"/>
                <w:sz w:val="18"/>
                <w:szCs w:val="18"/>
                <w:color w:val="auto"/>
                <w:w w:val="90"/>
              </w:rPr>
              <w:t>payable under a Savings Contract the reference to “the standard bonus payable thereon” shall be construed as a</w:t>
            </w:r>
          </w:p>
        </w:tc>
      </w:tr>
      <w:tr>
        <w:trPr>
          <w:trHeight w:val="216"/>
        </w:trPr>
        <w:tc>
          <w:tcPr>
            <w:tcW w:w="2800" w:type="dxa"/>
            <w:vAlign w:val="bottom"/>
          </w:tcPr>
          <w:p>
            <w:pPr>
              <w:spacing w:after="0"/>
              <w:rPr>
                <w:sz w:val="18"/>
                <w:szCs w:val="18"/>
                <w:color w:val="auto"/>
              </w:rPr>
            </w:pPr>
          </w:p>
        </w:tc>
        <w:tc>
          <w:tcPr>
            <w:tcW w:w="8620" w:type="dxa"/>
            <w:vAlign w:val="bottom"/>
          </w:tcPr>
          <w:p>
            <w:pPr>
              <w:ind w:left="440"/>
              <w:spacing w:after="0"/>
              <w:rPr>
                <w:sz w:val="20"/>
                <w:szCs w:val="20"/>
                <w:color w:val="auto"/>
              </w:rPr>
            </w:pPr>
            <w:r>
              <w:rPr>
                <w:rFonts w:ascii="Arial" w:cs="Arial" w:eastAsia="Arial" w:hAnsi="Arial"/>
                <w:sz w:val="18"/>
                <w:szCs w:val="18"/>
                <w:color w:val="auto"/>
                <w:w w:val="96"/>
              </w:rPr>
              <w:t>reference to “either the maximum or the standard bonus payable thereon (whichever the Eligible Employee</w:t>
            </w:r>
          </w:p>
        </w:tc>
      </w:tr>
      <w:tr>
        <w:trPr>
          <w:trHeight w:val="230"/>
        </w:trPr>
        <w:tc>
          <w:tcPr>
            <w:tcW w:w="2800" w:type="dxa"/>
            <w:vAlign w:val="bottom"/>
          </w:tcPr>
          <w:p>
            <w:pPr>
              <w:spacing w:after="0"/>
              <w:rPr>
                <w:sz w:val="20"/>
                <w:szCs w:val="20"/>
                <w:color w:val="auto"/>
              </w:rPr>
            </w:pPr>
          </w:p>
        </w:tc>
        <w:tc>
          <w:tcPr>
            <w:tcW w:w="8620" w:type="dxa"/>
            <w:vAlign w:val="bottom"/>
          </w:tcPr>
          <w:p>
            <w:pPr>
              <w:ind w:left="440"/>
              <w:spacing w:after="0"/>
              <w:rPr>
                <w:sz w:val="20"/>
                <w:szCs w:val="20"/>
                <w:color w:val="auto"/>
              </w:rPr>
            </w:pPr>
            <w:r>
              <w:rPr>
                <w:rFonts w:ascii="Arial" w:cs="Arial" w:eastAsia="Arial" w:hAnsi="Arial"/>
                <w:sz w:val="18"/>
                <w:szCs w:val="18"/>
                <w:color w:val="auto"/>
              </w:rPr>
              <w:t>chooses under Rule 2(b)(ii))”;</w:t>
            </w:r>
          </w:p>
        </w:tc>
      </w:tr>
      <w:tr>
        <w:trPr>
          <w:trHeight w:val="418"/>
        </w:trPr>
        <w:tc>
          <w:tcPr>
            <w:tcW w:w="2800" w:type="dxa"/>
            <w:vAlign w:val="bottom"/>
          </w:tcPr>
          <w:p>
            <w:pPr>
              <w:ind w:left="660"/>
              <w:spacing w:after="0"/>
              <w:rPr>
                <w:sz w:val="20"/>
                <w:szCs w:val="20"/>
                <w:color w:val="auto"/>
              </w:rPr>
            </w:pPr>
            <w:r>
              <w:rPr>
                <w:rFonts w:ascii="Arial" w:cs="Arial" w:eastAsia="Arial" w:hAnsi="Arial"/>
                <w:sz w:val="18"/>
                <w:szCs w:val="18"/>
                <w:color w:val="auto"/>
              </w:rPr>
              <w:t>“Savings Contribution”</w:t>
            </w:r>
          </w:p>
        </w:tc>
        <w:tc>
          <w:tcPr>
            <w:tcW w:w="8620" w:type="dxa"/>
            <w:vAlign w:val="bottom"/>
          </w:tcPr>
          <w:p>
            <w:pPr>
              <w:ind w:left="440"/>
              <w:spacing w:after="0"/>
              <w:rPr>
                <w:sz w:val="20"/>
                <w:szCs w:val="20"/>
                <w:color w:val="auto"/>
              </w:rPr>
            </w:pPr>
            <w:r>
              <w:rPr>
                <w:rFonts w:ascii="Arial" w:cs="Arial" w:eastAsia="Arial" w:hAnsi="Arial"/>
                <w:sz w:val="18"/>
                <w:szCs w:val="18"/>
                <w:color w:val="auto"/>
                <w:w w:val="95"/>
              </w:rPr>
              <w:t>the amount payable by a Participant by way of monthly contributions to the Savings Contract which amount</w:t>
            </w:r>
          </w:p>
        </w:tc>
      </w:tr>
      <w:tr>
        <w:trPr>
          <w:trHeight w:val="230"/>
        </w:trPr>
        <w:tc>
          <w:tcPr>
            <w:tcW w:w="2800" w:type="dxa"/>
            <w:vAlign w:val="bottom"/>
          </w:tcPr>
          <w:p>
            <w:pPr>
              <w:spacing w:after="0"/>
              <w:rPr>
                <w:sz w:val="20"/>
                <w:szCs w:val="20"/>
                <w:color w:val="auto"/>
              </w:rPr>
            </w:pPr>
          </w:p>
        </w:tc>
        <w:tc>
          <w:tcPr>
            <w:tcW w:w="8620" w:type="dxa"/>
            <w:vAlign w:val="bottom"/>
          </w:tcPr>
          <w:p>
            <w:pPr>
              <w:ind w:left="440"/>
              <w:spacing w:after="0"/>
              <w:rPr>
                <w:sz w:val="20"/>
                <w:szCs w:val="20"/>
                <w:color w:val="auto"/>
              </w:rPr>
            </w:pPr>
            <w:r>
              <w:rPr>
                <w:rFonts w:ascii="Arial" w:cs="Arial" w:eastAsia="Arial" w:hAnsi="Arial"/>
                <w:sz w:val="18"/>
                <w:szCs w:val="18"/>
                <w:color w:val="auto"/>
              </w:rPr>
              <w:t>shall:</w:t>
            </w:r>
          </w:p>
        </w:tc>
      </w:tr>
      <w:tr>
        <w:trPr>
          <w:trHeight w:val="432"/>
        </w:trPr>
        <w:tc>
          <w:tcPr>
            <w:tcW w:w="2800" w:type="dxa"/>
            <w:vAlign w:val="bottom"/>
          </w:tcPr>
          <w:p>
            <w:pPr>
              <w:spacing w:after="0"/>
              <w:rPr>
                <w:sz w:val="24"/>
                <w:szCs w:val="24"/>
                <w:color w:val="auto"/>
              </w:rPr>
            </w:pPr>
          </w:p>
        </w:tc>
        <w:tc>
          <w:tcPr>
            <w:tcW w:w="8620" w:type="dxa"/>
            <w:vAlign w:val="bottom"/>
          </w:tcPr>
          <w:p>
            <w:pPr>
              <w:ind w:left="440"/>
              <w:spacing w:after="0"/>
              <w:rPr>
                <w:sz w:val="20"/>
                <w:szCs w:val="20"/>
                <w:color w:val="auto"/>
              </w:rPr>
            </w:pPr>
            <w:r>
              <w:rPr>
                <w:rFonts w:ascii="Arial" w:cs="Arial" w:eastAsia="Arial" w:hAnsi="Arial"/>
                <w:sz w:val="18"/>
                <w:szCs w:val="18"/>
                <w:color w:val="auto"/>
                <w:w w:val="97"/>
              </w:rPr>
              <w:t>(i) in the case of a Participant who is remunerated weekly, be deductible from his weekly remuneration; or</w:t>
            </w:r>
          </w:p>
        </w:tc>
      </w:tr>
      <w:tr>
        <w:trPr>
          <w:trHeight w:val="432"/>
        </w:trPr>
        <w:tc>
          <w:tcPr>
            <w:tcW w:w="2800" w:type="dxa"/>
            <w:vAlign w:val="bottom"/>
          </w:tcPr>
          <w:p>
            <w:pPr>
              <w:spacing w:after="0"/>
              <w:rPr>
                <w:sz w:val="24"/>
                <w:szCs w:val="24"/>
                <w:color w:val="auto"/>
              </w:rPr>
            </w:pPr>
          </w:p>
        </w:tc>
        <w:tc>
          <w:tcPr>
            <w:tcW w:w="8620" w:type="dxa"/>
            <w:vAlign w:val="bottom"/>
          </w:tcPr>
          <w:p>
            <w:pPr>
              <w:ind w:left="440"/>
              <w:spacing w:after="0"/>
              <w:rPr>
                <w:sz w:val="20"/>
                <w:szCs w:val="20"/>
                <w:color w:val="auto"/>
              </w:rPr>
            </w:pPr>
            <w:r>
              <w:rPr>
                <w:rFonts w:ascii="Arial" w:cs="Arial" w:eastAsia="Arial" w:hAnsi="Arial"/>
                <w:sz w:val="18"/>
                <w:szCs w:val="18"/>
                <w:color w:val="auto"/>
                <w:w w:val="97"/>
              </w:rPr>
              <w:t>(ii) in the case of a Participant who is remunerated monthly, be deductible from his monthly remuneration;</w:t>
            </w:r>
          </w:p>
        </w:tc>
      </w:tr>
      <w:tr>
        <w:trPr>
          <w:trHeight w:val="418"/>
        </w:trPr>
        <w:tc>
          <w:tcPr>
            <w:tcW w:w="2800" w:type="dxa"/>
            <w:vAlign w:val="bottom"/>
          </w:tcPr>
          <w:p>
            <w:pPr>
              <w:spacing w:after="0"/>
              <w:rPr>
                <w:sz w:val="24"/>
                <w:szCs w:val="24"/>
                <w:color w:val="auto"/>
              </w:rPr>
            </w:pPr>
          </w:p>
        </w:tc>
        <w:tc>
          <w:tcPr>
            <w:tcW w:w="8620" w:type="dxa"/>
            <w:vAlign w:val="bottom"/>
          </w:tcPr>
          <w:p>
            <w:pPr>
              <w:ind w:left="440"/>
              <w:spacing w:after="0"/>
              <w:rPr>
                <w:sz w:val="20"/>
                <w:szCs w:val="20"/>
                <w:color w:val="auto"/>
              </w:rPr>
            </w:pPr>
            <w:r>
              <w:rPr>
                <w:rFonts w:ascii="Arial" w:cs="Arial" w:eastAsia="Arial" w:hAnsi="Arial"/>
                <w:sz w:val="18"/>
                <w:szCs w:val="18"/>
                <w:color w:val="auto"/>
                <w:w w:val="99"/>
              </w:rPr>
              <w:t>Provided that, in either case, such amount shall be an integral multiple of £1 which does not exceed the</w:t>
            </w:r>
          </w:p>
        </w:tc>
      </w:tr>
      <w:tr>
        <w:trPr>
          <w:trHeight w:val="230"/>
        </w:trPr>
        <w:tc>
          <w:tcPr>
            <w:tcW w:w="2800" w:type="dxa"/>
            <w:vAlign w:val="bottom"/>
          </w:tcPr>
          <w:p>
            <w:pPr>
              <w:spacing w:after="0"/>
              <w:rPr>
                <w:sz w:val="20"/>
                <w:szCs w:val="20"/>
                <w:color w:val="auto"/>
              </w:rPr>
            </w:pPr>
          </w:p>
        </w:tc>
        <w:tc>
          <w:tcPr>
            <w:tcW w:w="8620" w:type="dxa"/>
            <w:vAlign w:val="bottom"/>
          </w:tcPr>
          <w:p>
            <w:pPr>
              <w:ind w:left="440"/>
              <w:spacing w:after="0"/>
              <w:rPr>
                <w:sz w:val="20"/>
                <w:szCs w:val="20"/>
                <w:color w:val="auto"/>
              </w:rPr>
            </w:pPr>
            <w:r>
              <w:rPr>
                <w:rFonts w:ascii="Arial" w:cs="Arial" w:eastAsia="Arial" w:hAnsi="Arial"/>
                <w:sz w:val="18"/>
                <w:szCs w:val="18"/>
                <w:color w:val="auto"/>
              </w:rPr>
              <w:t>maximum monthly sum referred to in Rule 3(a) and is not less than the Minimum Savings Contribution;</w:t>
            </w:r>
          </w:p>
        </w:tc>
      </w:tr>
      <w:tr>
        <w:trPr>
          <w:trHeight w:val="432"/>
        </w:trPr>
        <w:tc>
          <w:tcPr>
            <w:tcW w:w="2800" w:type="dxa"/>
            <w:vAlign w:val="bottom"/>
          </w:tcPr>
          <w:p>
            <w:pPr>
              <w:ind w:left="660"/>
              <w:spacing w:after="0"/>
              <w:rPr>
                <w:sz w:val="20"/>
                <w:szCs w:val="20"/>
                <w:color w:val="auto"/>
              </w:rPr>
            </w:pPr>
            <w:r>
              <w:rPr>
                <w:rFonts w:ascii="Arial" w:cs="Arial" w:eastAsia="Arial" w:hAnsi="Arial"/>
                <w:sz w:val="18"/>
                <w:szCs w:val="18"/>
                <w:color w:val="auto"/>
              </w:rPr>
              <w:t>“Schedule 3”</w:t>
            </w:r>
          </w:p>
        </w:tc>
        <w:tc>
          <w:tcPr>
            <w:tcW w:w="8620" w:type="dxa"/>
            <w:vAlign w:val="bottom"/>
          </w:tcPr>
          <w:p>
            <w:pPr>
              <w:ind w:left="440"/>
              <w:spacing w:after="0"/>
              <w:rPr>
                <w:sz w:val="20"/>
                <w:szCs w:val="20"/>
                <w:color w:val="auto"/>
              </w:rPr>
            </w:pPr>
            <w:r>
              <w:rPr>
                <w:rFonts w:ascii="Arial" w:cs="Arial" w:eastAsia="Arial" w:hAnsi="Arial"/>
                <w:sz w:val="18"/>
                <w:szCs w:val="18"/>
                <w:color w:val="auto"/>
              </w:rPr>
              <w:t>Schedule 3 to ITEPA;</w:t>
            </w:r>
          </w:p>
        </w:tc>
      </w:tr>
      <w:tr>
        <w:trPr>
          <w:trHeight w:val="418"/>
        </w:trPr>
        <w:tc>
          <w:tcPr>
            <w:tcW w:w="2800" w:type="dxa"/>
            <w:vAlign w:val="bottom"/>
          </w:tcPr>
          <w:p>
            <w:pPr>
              <w:ind w:left="660"/>
              <w:spacing w:after="0"/>
              <w:rPr>
                <w:sz w:val="20"/>
                <w:szCs w:val="20"/>
                <w:color w:val="auto"/>
              </w:rPr>
            </w:pPr>
            <w:r>
              <w:rPr>
                <w:rFonts w:ascii="Arial" w:cs="Arial" w:eastAsia="Arial" w:hAnsi="Arial"/>
                <w:sz w:val="18"/>
                <w:szCs w:val="18"/>
                <w:color w:val="auto"/>
              </w:rPr>
              <w:t>“Scheme”</w:t>
            </w:r>
          </w:p>
        </w:tc>
        <w:tc>
          <w:tcPr>
            <w:tcW w:w="8620" w:type="dxa"/>
            <w:vAlign w:val="bottom"/>
          </w:tcPr>
          <w:p>
            <w:pPr>
              <w:ind w:left="440"/>
              <w:spacing w:after="0"/>
              <w:rPr>
                <w:sz w:val="20"/>
                <w:szCs w:val="20"/>
                <w:color w:val="auto"/>
              </w:rPr>
            </w:pPr>
            <w:r>
              <w:rPr>
                <w:rFonts w:ascii="Arial" w:cs="Arial" w:eastAsia="Arial" w:hAnsi="Arial"/>
                <w:sz w:val="18"/>
                <w:szCs w:val="18"/>
                <w:color w:val="auto"/>
                <w:w w:val="91"/>
              </w:rPr>
              <w:t>this Scheme, being the Manpower Inc. Savings Related Share Option Scheme, adopted by the Company on the</w:t>
            </w:r>
          </w:p>
        </w:tc>
      </w:tr>
      <w:tr>
        <w:trPr>
          <w:trHeight w:val="216"/>
        </w:trPr>
        <w:tc>
          <w:tcPr>
            <w:tcW w:w="2800" w:type="dxa"/>
            <w:vAlign w:val="bottom"/>
          </w:tcPr>
          <w:p>
            <w:pPr>
              <w:spacing w:after="0"/>
              <w:rPr>
                <w:sz w:val="18"/>
                <w:szCs w:val="18"/>
                <w:color w:val="auto"/>
              </w:rPr>
            </w:pPr>
          </w:p>
        </w:tc>
        <w:tc>
          <w:tcPr>
            <w:tcW w:w="8620" w:type="dxa"/>
            <w:vAlign w:val="bottom"/>
          </w:tcPr>
          <w:p>
            <w:pPr>
              <w:ind w:left="440"/>
              <w:spacing w:after="0"/>
              <w:rPr>
                <w:sz w:val="20"/>
                <w:szCs w:val="20"/>
                <w:color w:val="auto"/>
              </w:rPr>
            </w:pPr>
            <w:r>
              <w:rPr>
                <w:rFonts w:ascii="Arial" w:cs="Arial" w:eastAsia="Arial" w:hAnsi="Arial"/>
                <w:sz w:val="18"/>
                <w:szCs w:val="18"/>
                <w:color w:val="auto"/>
                <w:w w:val="99"/>
              </w:rPr>
              <w:t>25th day of February 1991 in its present form or with and subject to any amendment thereto effected in</w:t>
            </w:r>
          </w:p>
        </w:tc>
      </w:tr>
      <w:tr>
        <w:trPr>
          <w:trHeight w:val="230"/>
        </w:trPr>
        <w:tc>
          <w:tcPr>
            <w:tcW w:w="2800" w:type="dxa"/>
            <w:vAlign w:val="bottom"/>
          </w:tcPr>
          <w:p>
            <w:pPr>
              <w:spacing w:after="0"/>
              <w:rPr>
                <w:sz w:val="20"/>
                <w:szCs w:val="20"/>
                <w:color w:val="auto"/>
              </w:rPr>
            </w:pPr>
          </w:p>
        </w:tc>
        <w:tc>
          <w:tcPr>
            <w:tcW w:w="8620" w:type="dxa"/>
            <w:vAlign w:val="bottom"/>
          </w:tcPr>
          <w:p>
            <w:pPr>
              <w:ind w:left="440"/>
              <w:spacing w:after="0"/>
              <w:rPr>
                <w:sz w:val="20"/>
                <w:szCs w:val="20"/>
                <w:color w:val="auto"/>
              </w:rPr>
            </w:pPr>
            <w:r>
              <w:rPr>
                <w:rFonts w:ascii="Arial" w:cs="Arial" w:eastAsia="Arial" w:hAnsi="Arial"/>
                <w:sz w:val="18"/>
                <w:szCs w:val="18"/>
                <w:color w:val="auto"/>
              </w:rPr>
              <w:t>accordance with the provisions contained herein;</w:t>
            </w:r>
          </w:p>
        </w:tc>
      </w:tr>
      <w:tr>
        <w:trPr>
          <w:trHeight w:val="432"/>
        </w:trPr>
        <w:tc>
          <w:tcPr>
            <w:tcW w:w="2800" w:type="dxa"/>
            <w:vAlign w:val="bottom"/>
          </w:tcPr>
          <w:p>
            <w:pPr>
              <w:ind w:left="660"/>
              <w:spacing w:after="0"/>
              <w:rPr>
                <w:sz w:val="20"/>
                <w:szCs w:val="20"/>
                <w:color w:val="auto"/>
              </w:rPr>
            </w:pPr>
            <w:r>
              <w:rPr>
                <w:rFonts w:ascii="Arial" w:cs="Arial" w:eastAsia="Arial" w:hAnsi="Arial"/>
                <w:sz w:val="18"/>
                <w:szCs w:val="18"/>
                <w:color w:val="auto"/>
              </w:rPr>
              <w:t>“Scheme Shares”</w:t>
            </w:r>
          </w:p>
        </w:tc>
        <w:tc>
          <w:tcPr>
            <w:tcW w:w="8620" w:type="dxa"/>
            <w:vAlign w:val="bottom"/>
          </w:tcPr>
          <w:p>
            <w:pPr>
              <w:ind w:left="440"/>
              <w:spacing w:after="0"/>
              <w:rPr>
                <w:sz w:val="20"/>
                <w:szCs w:val="20"/>
                <w:color w:val="auto"/>
              </w:rPr>
            </w:pPr>
            <w:r>
              <w:rPr>
                <w:rFonts w:ascii="Arial" w:cs="Arial" w:eastAsia="Arial" w:hAnsi="Arial"/>
                <w:sz w:val="18"/>
                <w:szCs w:val="18"/>
                <w:color w:val="auto"/>
              </w:rPr>
              <w:t>Shares issued or to be issued under the Scheme;</w:t>
            </w:r>
          </w:p>
        </w:tc>
      </w:tr>
      <w:tr>
        <w:trPr>
          <w:trHeight w:val="418"/>
        </w:trPr>
        <w:tc>
          <w:tcPr>
            <w:tcW w:w="2800" w:type="dxa"/>
            <w:vAlign w:val="bottom"/>
          </w:tcPr>
          <w:p>
            <w:pPr>
              <w:ind w:left="660"/>
              <w:spacing w:after="0"/>
              <w:rPr>
                <w:sz w:val="20"/>
                <w:szCs w:val="20"/>
                <w:color w:val="auto"/>
              </w:rPr>
            </w:pPr>
            <w:r>
              <w:rPr>
                <w:rFonts w:ascii="Arial" w:cs="Arial" w:eastAsia="Arial" w:hAnsi="Arial"/>
                <w:sz w:val="18"/>
                <w:szCs w:val="18"/>
                <w:color w:val="auto"/>
              </w:rPr>
              <w:t>“Share”</w:t>
            </w:r>
          </w:p>
        </w:tc>
        <w:tc>
          <w:tcPr>
            <w:tcW w:w="8620" w:type="dxa"/>
            <w:vAlign w:val="bottom"/>
          </w:tcPr>
          <w:p>
            <w:pPr>
              <w:ind w:left="440"/>
              <w:spacing w:after="0"/>
              <w:rPr>
                <w:sz w:val="20"/>
                <w:szCs w:val="20"/>
                <w:color w:val="auto"/>
              </w:rPr>
            </w:pPr>
            <w:r>
              <w:rPr>
                <w:rFonts w:ascii="Arial" w:cs="Arial" w:eastAsia="Arial" w:hAnsi="Arial"/>
                <w:sz w:val="18"/>
                <w:szCs w:val="18"/>
                <w:color w:val="auto"/>
                <w:w w:val="92"/>
              </w:rPr>
              <w:t>an ordinary share in the capital of the Company or (where the context so admits) a unit of ordinary stock which</w:t>
            </w:r>
          </w:p>
        </w:tc>
      </w:tr>
      <w:tr>
        <w:trPr>
          <w:trHeight w:val="230"/>
        </w:trPr>
        <w:tc>
          <w:tcPr>
            <w:tcW w:w="2800" w:type="dxa"/>
            <w:vAlign w:val="bottom"/>
          </w:tcPr>
          <w:p>
            <w:pPr>
              <w:spacing w:after="0"/>
              <w:rPr>
                <w:sz w:val="20"/>
                <w:szCs w:val="20"/>
                <w:color w:val="auto"/>
              </w:rPr>
            </w:pPr>
          </w:p>
        </w:tc>
        <w:tc>
          <w:tcPr>
            <w:tcW w:w="8620" w:type="dxa"/>
            <w:vAlign w:val="bottom"/>
          </w:tcPr>
          <w:p>
            <w:pPr>
              <w:ind w:left="440"/>
              <w:spacing w:after="0"/>
              <w:rPr>
                <w:sz w:val="20"/>
                <w:szCs w:val="20"/>
                <w:color w:val="auto"/>
              </w:rPr>
            </w:pPr>
            <w:r>
              <w:rPr>
                <w:rFonts w:ascii="Arial" w:cs="Arial" w:eastAsia="Arial" w:hAnsi="Arial"/>
                <w:sz w:val="18"/>
                <w:szCs w:val="18"/>
                <w:color w:val="auto"/>
                <w:w w:val="92"/>
              </w:rPr>
              <w:t>satisfies the conditions in paragraphs 18 to 22 of Schedule 3 and “shareholder” shall be construed accordingly;</w:t>
            </w:r>
          </w:p>
        </w:tc>
      </w:tr>
      <w:tr>
        <w:trPr>
          <w:trHeight w:val="581"/>
        </w:trPr>
        <w:tc>
          <w:tcPr>
            <w:tcW w:w="2800" w:type="dxa"/>
            <w:vAlign w:val="bottom"/>
          </w:tcPr>
          <w:p>
            <w:pPr>
              <w:spacing w:after="0"/>
              <w:rPr>
                <w:sz w:val="24"/>
                <w:szCs w:val="24"/>
                <w:color w:val="auto"/>
              </w:rPr>
            </w:pPr>
          </w:p>
        </w:tc>
        <w:tc>
          <w:tcPr>
            <w:tcW w:w="8620" w:type="dxa"/>
            <w:vAlign w:val="bottom"/>
          </w:tcPr>
          <w:p>
            <w:pPr>
              <w:ind w:left="2860"/>
              <w:spacing w:after="0"/>
              <w:rPr>
                <w:sz w:val="20"/>
                <w:szCs w:val="20"/>
                <w:color w:val="auto"/>
              </w:rPr>
            </w:pPr>
            <w:r>
              <w:rPr>
                <w:rFonts w:ascii="Arial" w:cs="Arial" w:eastAsia="Arial" w:hAnsi="Arial"/>
                <w:sz w:val="18"/>
                <w:szCs w:val="18"/>
                <w:color w:val="auto"/>
              </w:rPr>
              <w:t>4</w:t>
            </w:r>
          </w:p>
        </w:tc>
      </w:tr>
      <w:tr>
        <w:trPr>
          <w:trHeight w:val="105"/>
        </w:trPr>
        <w:tc>
          <w:tcPr>
            <w:tcW w:w="2800" w:type="dxa"/>
            <w:vAlign w:val="bottom"/>
            <w:tcBorders>
              <w:bottom w:val="single" w:sz="8" w:color="808080"/>
            </w:tcBorders>
          </w:tcPr>
          <w:p>
            <w:pPr>
              <w:spacing w:after="0"/>
              <w:rPr>
                <w:sz w:val="9"/>
                <w:szCs w:val="9"/>
                <w:color w:val="auto"/>
              </w:rPr>
            </w:pPr>
          </w:p>
        </w:tc>
        <w:tc>
          <w:tcPr>
            <w:tcW w:w="862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35" w:name="page36"/>
    <w:bookmarkEnd w:id="35"/>
    <w:tbl>
      <w:tblPr>
        <w:tblLayout w:type="fixed"/>
        <w:tblInd w:w="4" w:type="dxa"/>
        <w:tblCellMar>
          <w:top w:w="0" w:type="dxa"/>
          <w:left w:w="0" w:type="dxa"/>
          <w:bottom w:w="0" w:type="dxa"/>
          <w:right w:w="0" w:type="dxa"/>
        </w:tblCellMar>
      </w:tblPr>
      <w:tr>
        <w:trPr>
          <w:trHeight w:val="230"/>
        </w:trPr>
        <w:tc>
          <w:tcPr>
            <w:tcW w:w="2480" w:type="dxa"/>
            <w:vAlign w:val="bottom"/>
          </w:tcPr>
          <w:p>
            <w:pPr>
              <w:spacing w:after="0"/>
              <w:rPr>
                <w:sz w:val="20"/>
                <w:szCs w:val="20"/>
                <w:color w:val="auto"/>
              </w:rPr>
            </w:pPr>
            <w:r>
              <w:rPr>
                <w:rFonts w:ascii="Arial" w:cs="Arial" w:eastAsia="Arial" w:hAnsi="Arial"/>
                <w:sz w:val="18"/>
                <w:szCs w:val="18"/>
                <w:color w:val="auto"/>
              </w:rPr>
              <w:t>“Subscription Price”</w:t>
            </w:r>
          </w:p>
        </w:tc>
        <w:tc>
          <w:tcPr>
            <w:tcW w:w="8280" w:type="dxa"/>
            <w:vAlign w:val="bottom"/>
            <w:gridSpan w:val="5"/>
          </w:tcPr>
          <w:p>
            <w:pPr>
              <w:ind w:left="100"/>
              <w:spacing w:after="0"/>
              <w:rPr>
                <w:sz w:val="20"/>
                <w:szCs w:val="20"/>
                <w:color w:val="auto"/>
              </w:rPr>
            </w:pPr>
            <w:r>
              <w:rPr>
                <w:rFonts w:ascii="Arial" w:cs="Arial" w:eastAsia="Arial" w:hAnsi="Arial"/>
                <w:sz w:val="18"/>
                <w:szCs w:val="18"/>
                <w:color w:val="auto"/>
                <w:w w:val="96"/>
              </w:rPr>
              <w:t>the price for the subscription of a Share comprised in any Option which, subject to Rule 7, is the highest of:</w:t>
            </w:r>
          </w:p>
        </w:tc>
      </w:tr>
      <w:tr>
        <w:trPr>
          <w:trHeight w:val="432"/>
        </w:trPr>
        <w:tc>
          <w:tcPr>
            <w:tcW w:w="2480" w:type="dxa"/>
            <w:vAlign w:val="bottom"/>
          </w:tcPr>
          <w:p>
            <w:pPr>
              <w:spacing w:after="0"/>
              <w:rPr>
                <w:sz w:val="24"/>
                <w:szCs w:val="24"/>
                <w:color w:val="auto"/>
              </w:rPr>
            </w:pPr>
          </w:p>
        </w:tc>
        <w:tc>
          <w:tcPr>
            <w:tcW w:w="8280" w:type="dxa"/>
            <w:vAlign w:val="bottom"/>
            <w:gridSpan w:val="5"/>
          </w:tcPr>
          <w:p>
            <w:pPr>
              <w:ind w:left="100"/>
              <w:spacing w:after="0"/>
              <w:rPr>
                <w:sz w:val="20"/>
                <w:szCs w:val="20"/>
                <w:color w:val="auto"/>
              </w:rPr>
            </w:pPr>
            <w:r>
              <w:rPr>
                <w:rFonts w:ascii="Arial" w:cs="Arial" w:eastAsia="Arial" w:hAnsi="Arial"/>
                <w:sz w:val="18"/>
                <w:szCs w:val="18"/>
                <w:color w:val="auto"/>
              </w:rPr>
              <w:t>(i) the nominal value of a Share; and</w:t>
            </w:r>
          </w:p>
        </w:tc>
      </w:tr>
      <w:tr>
        <w:trPr>
          <w:trHeight w:val="418"/>
        </w:trPr>
        <w:tc>
          <w:tcPr>
            <w:tcW w:w="2480" w:type="dxa"/>
            <w:vAlign w:val="bottom"/>
          </w:tcPr>
          <w:p>
            <w:pPr>
              <w:spacing w:after="0"/>
              <w:rPr>
                <w:sz w:val="24"/>
                <w:szCs w:val="24"/>
                <w:color w:val="auto"/>
              </w:rPr>
            </w:pPr>
          </w:p>
        </w:tc>
        <w:tc>
          <w:tcPr>
            <w:tcW w:w="8280" w:type="dxa"/>
            <w:vAlign w:val="bottom"/>
            <w:gridSpan w:val="5"/>
          </w:tcPr>
          <w:p>
            <w:pPr>
              <w:ind w:left="100"/>
              <w:spacing w:after="0"/>
              <w:rPr>
                <w:sz w:val="20"/>
                <w:szCs w:val="20"/>
                <w:color w:val="auto"/>
              </w:rPr>
            </w:pPr>
            <w:r>
              <w:rPr>
                <w:rFonts w:ascii="Arial" w:cs="Arial" w:eastAsia="Arial" w:hAnsi="Arial"/>
                <w:sz w:val="18"/>
                <w:szCs w:val="18"/>
                <w:color w:val="auto"/>
                <w:w w:val="93"/>
              </w:rPr>
              <w:t>(ii) if, on the Date of Offer, the Shares are listed on the Official List maintained by the UK Listing Authority, the</w:t>
            </w:r>
          </w:p>
        </w:tc>
      </w:tr>
      <w:tr>
        <w:trPr>
          <w:trHeight w:val="216"/>
        </w:trPr>
        <w:tc>
          <w:tcPr>
            <w:tcW w:w="2480" w:type="dxa"/>
            <w:vAlign w:val="bottom"/>
          </w:tcPr>
          <w:p>
            <w:pPr>
              <w:spacing w:after="0"/>
              <w:rPr>
                <w:sz w:val="18"/>
                <w:szCs w:val="18"/>
                <w:color w:val="auto"/>
              </w:rPr>
            </w:pPr>
          </w:p>
        </w:tc>
        <w:tc>
          <w:tcPr>
            <w:tcW w:w="8280" w:type="dxa"/>
            <w:vAlign w:val="bottom"/>
            <w:gridSpan w:val="5"/>
          </w:tcPr>
          <w:p>
            <w:pPr>
              <w:ind w:left="100"/>
              <w:spacing w:after="0"/>
              <w:rPr>
                <w:sz w:val="20"/>
                <w:szCs w:val="20"/>
                <w:color w:val="auto"/>
              </w:rPr>
            </w:pPr>
            <w:r>
              <w:rPr>
                <w:rFonts w:ascii="Arial" w:cs="Arial" w:eastAsia="Arial" w:hAnsi="Arial"/>
                <w:sz w:val="18"/>
                <w:szCs w:val="18"/>
                <w:color w:val="auto"/>
                <w:w w:val="92"/>
              </w:rPr>
              <w:t>price per Share equal to 85 per cent of the middle market quotation of a Share as derived from the Daily Official</w:t>
            </w:r>
          </w:p>
        </w:tc>
      </w:tr>
      <w:tr>
        <w:trPr>
          <w:trHeight w:val="216"/>
        </w:trPr>
        <w:tc>
          <w:tcPr>
            <w:tcW w:w="2480" w:type="dxa"/>
            <w:vAlign w:val="bottom"/>
          </w:tcPr>
          <w:p>
            <w:pPr>
              <w:spacing w:after="0"/>
              <w:rPr>
                <w:sz w:val="18"/>
                <w:szCs w:val="18"/>
                <w:color w:val="auto"/>
              </w:rPr>
            </w:pPr>
          </w:p>
        </w:tc>
        <w:tc>
          <w:tcPr>
            <w:tcW w:w="8280" w:type="dxa"/>
            <w:vAlign w:val="bottom"/>
            <w:gridSpan w:val="5"/>
          </w:tcPr>
          <w:p>
            <w:pPr>
              <w:ind w:left="100"/>
              <w:spacing w:after="0"/>
              <w:rPr>
                <w:sz w:val="20"/>
                <w:szCs w:val="20"/>
                <w:color w:val="auto"/>
              </w:rPr>
            </w:pPr>
            <w:r>
              <w:rPr>
                <w:rFonts w:ascii="Arial" w:cs="Arial" w:eastAsia="Arial" w:hAnsi="Arial"/>
                <w:sz w:val="18"/>
                <w:szCs w:val="18"/>
                <w:color w:val="auto"/>
                <w:w w:val="91"/>
              </w:rPr>
              <w:t>List of the London Stock Exchange for the immediately preceding dealing day (being a day on which the London</w:t>
            </w:r>
          </w:p>
        </w:tc>
      </w:tr>
      <w:tr>
        <w:trPr>
          <w:trHeight w:val="230"/>
        </w:trPr>
        <w:tc>
          <w:tcPr>
            <w:tcW w:w="2480" w:type="dxa"/>
            <w:vAlign w:val="bottom"/>
          </w:tcPr>
          <w:p>
            <w:pPr>
              <w:spacing w:after="0"/>
              <w:rPr>
                <w:sz w:val="20"/>
                <w:szCs w:val="20"/>
                <w:color w:val="auto"/>
              </w:rPr>
            </w:pPr>
          </w:p>
        </w:tc>
        <w:tc>
          <w:tcPr>
            <w:tcW w:w="8280" w:type="dxa"/>
            <w:vAlign w:val="bottom"/>
            <w:gridSpan w:val="5"/>
          </w:tcPr>
          <w:p>
            <w:pPr>
              <w:ind w:left="100"/>
              <w:spacing w:after="0"/>
              <w:rPr>
                <w:sz w:val="20"/>
                <w:szCs w:val="20"/>
                <w:color w:val="auto"/>
              </w:rPr>
            </w:pPr>
            <w:r>
              <w:rPr>
                <w:rFonts w:ascii="Arial" w:cs="Arial" w:eastAsia="Arial" w:hAnsi="Arial"/>
                <w:sz w:val="18"/>
                <w:szCs w:val="18"/>
                <w:color w:val="auto"/>
              </w:rPr>
              <w:t>Stock Exchange is open for business); and</w:t>
            </w:r>
          </w:p>
        </w:tc>
      </w:tr>
      <w:tr>
        <w:trPr>
          <w:trHeight w:val="418"/>
        </w:trPr>
        <w:tc>
          <w:tcPr>
            <w:tcW w:w="2480" w:type="dxa"/>
            <w:vAlign w:val="bottom"/>
          </w:tcPr>
          <w:p>
            <w:pPr>
              <w:spacing w:after="0"/>
              <w:rPr>
                <w:sz w:val="24"/>
                <w:szCs w:val="24"/>
                <w:color w:val="auto"/>
              </w:rPr>
            </w:pPr>
          </w:p>
        </w:tc>
        <w:tc>
          <w:tcPr>
            <w:tcW w:w="8280" w:type="dxa"/>
            <w:vAlign w:val="bottom"/>
            <w:gridSpan w:val="5"/>
          </w:tcPr>
          <w:p>
            <w:pPr>
              <w:ind w:left="100"/>
              <w:spacing w:after="0"/>
              <w:rPr>
                <w:sz w:val="20"/>
                <w:szCs w:val="20"/>
                <w:color w:val="auto"/>
              </w:rPr>
            </w:pPr>
            <w:r>
              <w:rPr>
                <w:rFonts w:ascii="Arial" w:cs="Arial" w:eastAsia="Arial" w:hAnsi="Arial"/>
                <w:sz w:val="18"/>
                <w:szCs w:val="18"/>
                <w:color w:val="auto"/>
                <w:w w:val="93"/>
              </w:rPr>
              <w:t>(iii) if, on the Date of Offer, Shares are listed on the New York Stock Exchange, an amount determined by the</w:t>
            </w:r>
          </w:p>
        </w:tc>
      </w:tr>
      <w:tr>
        <w:trPr>
          <w:trHeight w:val="216"/>
        </w:trPr>
        <w:tc>
          <w:tcPr>
            <w:tcW w:w="2480" w:type="dxa"/>
            <w:vAlign w:val="bottom"/>
          </w:tcPr>
          <w:p>
            <w:pPr>
              <w:spacing w:after="0"/>
              <w:rPr>
                <w:sz w:val="18"/>
                <w:szCs w:val="18"/>
                <w:color w:val="auto"/>
              </w:rPr>
            </w:pPr>
          </w:p>
        </w:tc>
        <w:tc>
          <w:tcPr>
            <w:tcW w:w="8280" w:type="dxa"/>
            <w:vAlign w:val="bottom"/>
            <w:gridSpan w:val="5"/>
          </w:tcPr>
          <w:p>
            <w:pPr>
              <w:ind w:left="100"/>
              <w:spacing w:after="0"/>
              <w:rPr>
                <w:sz w:val="20"/>
                <w:szCs w:val="20"/>
                <w:color w:val="auto"/>
              </w:rPr>
            </w:pPr>
            <w:r>
              <w:rPr>
                <w:rFonts w:ascii="Arial" w:cs="Arial" w:eastAsia="Arial" w:hAnsi="Arial"/>
                <w:sz w:val="18"/>
                <w:szCs w:val="18"/>
                <w:color w:val="auto"/>
                <w:w w:val="91"/>
              </w:rPr>
              <w:t>Directors, but being not less than 85 per cent of the closing sale price for a Share on the day prior to the relevant</w:t>
            </w:r>
          </w:p>
        </w:tc>
      </w:tr>
      <w:tr>
        <w:trPr>
          <w:trHeight w:val="190"/>
        </w:trPr>
        <w:tc>
          <w:tcPr>
            <w:tcW w:w="2480" w:type="dxa"/>
            <w:vAlign w:val="bottom"/>
          </w:tcPr>
          <w:p>
            <w:pPr>
              <w:spacing w:after="0"/>
              <w:rPr>
                <w:sz w:val="16"/>
                <w:szCs w:val="16"/>
                <w:color w:val="auto"/>
              </w:rPr>
            </w:pPr>
          </w:p>
        </w:tc>
        <w:tc>
          <w:tcPr>
            <w:tcW w:w="8280" w:type="dxa"/>
            <w:vAlign w:val="bottom"/>
            <w:gridSpan w:val="5"/>
          </w:tcPr>
          <w:p>
            <w:pPr>
              <w:ind w:left="100"/>
              <w:spacing w:after="0" w:line="190" w:lineRule="exact"/>
              <w:rPr>
                <w:sz w:val="20"/>
                <w:szCs w:val="20"/>
                <w:color w:val="auto"/>
              </w:rPr>
            </w:pPr>
            <w:r>
              <w:rPr>
                <w:rFonts w:ascii="Arial" w:cs="Arial" w:eastAsia="Arial" w:hAnsi="Arial"/>
                <w:sz w:val="18"/>
                <w:szCs w:val="18"/>
                <w:color w:val="auto"/>
                <w:w w:val="92"/>
              </w:rPr>
              <w:t>Date of Offer, as reported in the Midwest Edition of The Wall Street Journal, or, if The Wall Street Journal is not</w:t>
            </w:r>
          </w:p>
        </w:tc>
      </w:tr>
      <w:tr>
        <w:trPr>
          <w:trHeight w:val="20"/>
        </w:trPr>
        <w:tc>
          <w:tcPr>
            <w:tcW w:w="248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237"/>
        </w:trPr>
        <w:tc>
          <w:tcPr>
            <w:tcW w:w="2480" w:type="dxa"/>
            <w:vAlign w:val="bottom"/>
          </w:tcPr>
          <w:p>
            <w:pPr>
              <w:spacing w:after="0"/>
              <w:rPr>
                <w:sz w:val="20"/>
                <w:szCs w:val="20"/>
                <w:color w:val="auto"/>
              </w:rPr>
            </w:pPr>
          </w:p>
        </w:tc>
        <w:tc>
          <w:tcPr>
            <w:tcW w:w="8280" w:type="dxa"/>
            <w:vAlign w:val="bottom"/>
            <w:gridSpan w:val="5"/>
          </w:tcPr>
          <w:p>
            <w:pPr>
              <w:ind w:left="100"/>
              <w:spacing w:after="0"/>
              <w:rPr>
                <w:sz w:val="20"/>
                <w:szCs w:val="20"/>
                <w:color w:val="auto"/>
              </w:rPr>
            </w:pPr>
            <w:r>
              <w:rPr>
                <w:rFonts w:ascii="Arial" w:cs="Arial" w:eastAsia="Arial" w:hAnsi="Arial"/>
                <w:sz w:val="18"/>
                <w:szCs w:val="18"/>
                <w:color w:val="auto"/>
              </w:rPr>
              <w:t>published on the relevant day, such other publication as the Directors may select; and</w:t>
            </w:r>
          </w:p>
        </w:tc>
      </w:tr>
      <w:tr>
        <w:trPr>
          <w:trHeight w:val="418"/>
        </w:trPr>
        <w:tc>
          <w:tcPr>
            <w:tcW w:w="2480" w:type="dxa"/>
            <w:vAlign w:val="bottom"/>
          </w:tcPr>
          <w:p>
            <w:pPr>
              <w:spacing w:after="0"/>
              <w:rPr>
                <w:sz w:val="24"/>
                <w:szCs w:val="24"/>
                <w:color w:val="auto"/>
              </w:rPr>
            </w:pPr>
          </w:p>
        </w:tc>
        <w:tc>
          <w:tcPr>
            <w:tcW w:w="8280" w:type="dxa"/>
            <w:vAlign w:val="bottom"/>
            <w:gridSpan w:val="5"/>
          </w:tcPr>
          <w:p>
            <w:pPr>
              <w:ind w:left="100"/>
              <w:spacing w:after="0"/>
              <w:rPr>
                <w:sz w:val="20"/>
                <w:szCs w:val="20"/>
                <w:color w:val="auto"/>
              </w:rPr>
            </w:pPr>
            <w:r>
              <w:rPr>
                <w:rFonts w:ascii="Arial" w:cs="Arial" w:eastAsia="Arial" w:hAnsi="Arial"/>
                <w:sz w:val="18"/>
                <w:szCs w:val="18"/>
                <w:color w:val="auto"/>
                <w:w w:val="94"/>
              </w:rPr>
              <w:t>(iv) if, on the Date of Offer, the Shares are not so listed by the UK Listing Authority or on the New York Stock</w:t>
            </w:r>
          </w:p>
        </w:tc>
      </w:tr>
      <w:tr>
        <w:trPr>
          <w:trHeight w:val="216"/>
        </w:trPr>
        <w:tc>
          <w:tcPr>
            <w:tcW w:w="2480" w:type="dxa"/>
            <w:vAlign w:val="bottom"/>
          </w:tcPr>
          <w:p>
            <w:pPr>
              <w:spacing w:after="0"/>
              <w:rPr>
                <w:sz w:val="18"/>
                <w:szCs w:val="18"/>
                <w:color w:val="auto"/>
              </w:rPr>
            </w:pPr>
          </w:p>
        </w:tc>
        <w:tc>
          <w:tcPr>
            <w:tcW w:w="8280" w:type="dxa"/>
            <w:vAlign w:val="bottom"/>
            <w:gridSpan w:val="5"/>
          </w:tcPr>
          <w:p>
            <w:pPr>
              <w:ind w:left="100"/>
              <w:spacing w:after="0"/>
              <w:rPr>
                <w:sz w:val="20"/>
                <w:szCs w:val="20"/>
                <w:color w:val="auto"/>
              </w:rPr>
            </w:pPr>
            <w:r>
              <w:rPr>
                <w:rFonts w:ascii="Arial" w:cs="Arial" w:eastAsia="Arial" w:hAnsi="Arial"/>
                <w:sz w:val="18"/>
                <w:szCs w:val="18"/>
                <w:color w:val="auto"/>
                <w:w w:val="91"/>
              </w:rPr>
              <w:t>Exchange, the price per Share equal to 85 per cent of the market value of a Share on that day (or such later day,</w:t>
            </w:r>
          </w:p>
        </w:tc>
      </w:tr>
      <w:tr>
        <w:trPr>
          <w:trHeight w:val="216"/>
        </w:trPr>
        <w:tc>
          <w:tcPr>
            <w:tcW w:w="2480" w:type="dxa"/>
            <w:vAlign w:val="bottom"/>
          </w:tcPr>
          <w:p>
            <w:pPr>
              <w:spacing w:after="0"/>
              <w:rPr>
                <w:sz w:val="18"/>
                <w:szCs w:val="18"/>
                <w:color w:val="auto"/>
              </w:rPr>
            </w:pPr>
          </w:p>
        </w:tc>
        <w:tc>
          <w:tcPr>
            <w:tcW w:w="8280" w:type="dxa"/>
            <w:vAlign w:val="bottom"/>
            <w:gridSpan w:val="5"/>
          </w:tcPr>
          <w:p>
            <w:pPr>
              <w:ind w:left="100"/>
              <w:spacing w:after="0"/>
              <w:rPr>
                <w:sz w:val="20"/>
                <w:szCs w:val="20"/>
                <w:color w:val="auto"/>
              </w:rPr>
            </w:pPr>
            <w:r>
              <w:rPr>
                <w:rFonts w:ascii="Arial" w:cs="Arial" w:eastAsia="Arial" w:hAnsi="Arial"/>
                <w:sz w:val="18"/>
                <w:szCs w:val="18"/>
                <w:color w:val="auto"/>
                <w:w w:val="90"/>
              </w:rPr>
              <w:t>not being later than the Date of Grant, as is agreed with Revenue Shares and Assets Valuation) as determined in</w:t>
            </w:r>
          </w:p>
        </w:tc>
      </w:tr>
      <w:tr>
        <w:trPr>
          <w:trHeight w:val="216"/>
        </w:trPr>
        <w:tc>
          <w:tcPr>
            <w:tcW w:w="2480" w:type="dxa"/>
            <w:vAlign w:val="bottom"/>
          </w:tcPr>
          <w:p>
            <w:pPr>
              <w:spacing w:after="0"/>
              <w:rPr>
                <w:sz w:val="18"/>
                <w:szCs w:val="18"/>
                <w:color w:val="auto"/>
              </w:rPr>
            </w:pPr>
          </w:p>
        </w:tc>
        <w:tc>
          <w:tcPr>
            <w:tcW w:w="8280" w:type="dxa"/>
            <w:vAlign w:val="bottom"/>
            <w:gridSpan w:val="5"/>
          </w:tcPr>
          <w:p>
            <w:pPr>
              <w:ind w:left="100"/>
              <w:spacing w:after="0"/>
              <w:rPr>
                <w:sz w:val="20"/>
                <w:szCs w:val="20"/>
                <w:color w:val="auto"/>
              </w:rPr>
            </w:pPr>
            <w:r>
              <w:rPr>
                <w:rFonts w:ascii="Arial" w:cs="Arial" w:eastAsia="Arial" w:hAnsi="Arial"/>
                <w:sz w:val="18"/>
                <w:szCs w:val="18"/>
                <w:color w:val="auto"/>
                <w:w w:val="95"/>
              </w:rPr>
              <w:t>accordance with Part VIII of the Taxation of Chargeable Gains Act 1992 and agreed for the purposes of the</w:t>
            </w:r>
          </w:p>
        </w:tc>
      </w:tr>
      <w:tr>
        <w:trPr>
          <w:trHeight w:val="230"/>
        </w:trPr>
        <w:tc>
          <w:tcPr>
            <w:tcW w:w="2480" w:type="dxa"/>
            <w:vAlign w:val="bottom"/>
          </w:tcPr>
          <w:p>
            <w:pPr>
              <w:spacing w:after="0"/>
              <w:rPr>
                <w:sz w:val="20"/>
                <w:szCs w:val="20"/>
                <w:color w:val="auto"/>
              </w:rPr>
            </w:pPr>
          </w:p>
        </w:tc>
        <w:tc>
          <w:tcPr>
            <w:tcW w:w="8280" w:type="dxa"/>
            <w:vAlign w:val="bottom"/>
            <w:gridSpan w:val="5"/>
          </w:tcPr>
          <w:p>
            <w:pPr>
              <w:ind w:left="100"/>
              <w:spacing w:after="0"/>
              <w:rPr>
                <w:sz w:val="20"/>
                <w:szCs w:val="20"/>
                <w:color w:val="auto"/>
              </w:rPr>
            </w:pPr>
            <w:r>
              <w:rPr>
                <w:rFonts w:ascii="Arial" w:cs="Arial" w:eastAsia="Arial" w:hAnsi="Arial"/>
                <w:sz w:val="18"/>
                <w:szCs w:val="18"/>
                <w:color w:val="auto"/>
              </w:rPr>
              <w:t>Scheme with Revenue Shares and Assets Valuation on or prior to that day;</w:t>
            </w:r>
          </w:p>
        </w:tc>
      </w:tr>
      <w:tr>
        <w:trPr>
          <w:trHeight w:val="432"/>
        </w:trPr>
        <w:tc>
          <w:tcPr>
            <w:tcW w:w="2480" w:type="dxa"/>
            <w:vAlign w:val="bottom"/>
          </w:tcPr>
          <w:p>
            <w:pPr>
              <w:spacing w:after="0"/>
              <w:rPr>
                <w:sz w:val="20"/>
                <w:szCs w:val="20"/>
                <w:color w:val="auto"/>
              </w:rPr>
            </w:pPr>
            <w:r>
              <w:rPr>
                <w:rFonts w:ascii="Arial" w:cs="Arial" w:eastAsia="Arial" w:hAnsi="Arial"/>
                <w:sz w:val="18"/>
                <w:szCs w:val="18"/>
                <w:color w:val="auto"/>
              </w:rPr>
              <w:t>“the London Stock Exchange”</w:t>
            </w:r>
          </w:p>
        </w:tc>
        <w:tc>
          <w:tcPr>
            <w:tcW w:w="8280" w:type="dxa"/>
            <w:vAlign w:val="bottom"/>
            <w:gridSpan w:val="5"/>
          </w:tcPr>
          <w:p>
            <w:pPr>
              <w:ind w:left="100"/>
              <w:spacing w:after="0"/>
              <w:rPr>
                <w:sz w:val="20"/>
                <w:szCs w:val="20"/>
                <w:color w:val="auto"/>
              </w:rPr>
            </w:pPr>
            <w:r>
              <w:rPr>
                <w:rFonts w:ascii="Arial" w:cs="Arial" w:eastAsia="Arial" w:hAnsi="Arial"/>
                <w:sz w:val="18"/>
                <w:szCs w:val="18"/>
                <w:color w:val="auto"/>
              </w:rPr>
              <w:t>London Stock Exchange PLC or any successor body thereto;</w:t>
            </w:r>
          </w:p>
        </w:tc>
      </w:tr>
      <w:tr>
        <w:trPr>
          <w:trHeight w:val="432"/>
        </w:trPr>
        <w:tc>
          <w:tcPr>
            <w:tcW w:w="2480" w:type="dxa"/>
            <w:vAlign w:val="bottom"/>
          </w:tcPr>
          <w:p>
            <w:pPr>
              <w:spacing w:after="0"/>
              <w:rPr>
                <w:sz w:val="20"/>
                <w:szCs w:val="20"/>
                <w:color w:val="auto"/>
              </w:rPr>
            </w:pPr>
            <w:r>
              <w:rPr>
                <w:rFonts w:ascii="Arial" w:cs="Arial" w:eastAsia="Arial" w:hAnsi="Arial"/>
                <w:sz w:val="18"/>
                <w:szCs w:val="18"/>
                <w:color w:val="auto"/>
                <w:w w:val="96"/>
              </w:rPr>
              <w:t>“the New York Stock Exchange”</w:t>
            </w:r>
          </w:p>
        </w:tc>
        <w:tc>
          <w:tcPr>
            <w:tcW w:w="8280" w:type="dxa"/>
            <w:vAlign w:val="bottom"/>
            <w:gridSpan w:val="5"/>
          </w:tcPr>
          <w:p>
            <w:pPr>
              <w:ind w:left="100"/>
              <w:spacing w:after="0"/>
              <w:rPr>
                <w:sz w:val="20"/>
                <w:szCs w:val="20"/>
                <w:color w:val="auto"/>
              </w:rPr>
            </w:pPr>
            <w:r>
              <w:rPr>
                <w:rFonts w:ascii="Arial" w:cs="Arial" w:eastAsia="Arial" w:hAnsi="Arial"/>
                <w:sz w:val="18"/>
                <w:szCs w:val="18"/>
                <w:color w:val="auto"/>
              </w:rPr>
              <w:t>New York Stock Exchange, Inc.;</w:t>
            </w:r>
          </w:p>
        </w:tc>
      </w:tr>
      <w:tr>
        <w:trPr>
          <w:trHeight w:val="432"/>
        </w:trPr>
        <w:tc>
          <w:tcPr>
            <w:tcW w:w="2480" w:type="dxa"/>
            <w:vAlign w:val="bottom"/>
          </w:tcPr>
          <w:p>
            <w:pPr>
              <w:spacing w:after="0"/>
              <w:rPr>
                <w:sz w:val="20"/>
                <w:szCs w:val="20"/>
                <w:color w:val="auto"/>
              </w:rPr>
            </w:pPr>
            <w:r>
              <w:rPr>
                <w:rFonts w:ascii="Arial" w:cs="Arial" w:eastAsia="Arial" w:hAnsi="Arial"/>
                <w:sz w:val="18"/>
                <w:szCs w:val="18"/>
                <w:color w:val="auto"/>
              </w:rPr>
              <w:t>“UK Listing Authority”</w:t>
            </w:r>
          </w:p>
        </w:tc>
        <w:tc>
          <w:tcPr>
            <w:tcW w:w="8280" w:type="dxa"/>
            <w:vAlign w:val="bottom"/>
            <w:gridSpan w:val="5"/>
          </w:tcPr>
          <w:p>
            <w:pPr>
              <w:ind w:left="100"/>
              <w:spacing w:after="0"/>
              <w:rPr>
                <w:sz w:val="20"/>
                <w:szCs w:val="20"/>
                <w:color w:val="auto"/>
              </w:rPr>
            </w:pPr>
            <w:r>
              <w:rPr>
                <w:rFonts w:ascii="Arial" w:cs="Arial" w:eastAsia="Arial" w:hAnsi="Arial"/>
                <w:sz w:val="18"/>
                <w:szCs w:val="18"/>
                <w:color w:val="auto"/>
              </w:rPr>
              <w:t>the Financial Services Authority acting as the competent listing authority in the United Kingdom.</w:t>
            </w:r>
          </w:p>
        </w:tc>
      </w:tr>
    </w:tbl>
    <w:p>
      <w:pPr>
        <w:spacing w:after="0" w:line="202" w:lineRule="exact"/>
        <w:rPr>
          <w:sz w:val="20"/>
          <w:szCs w:val="20"/>
          <w:color w:val="auto"/>
        </w:rPr>
      </w:pPr>
    </w:p>
    <w:p>
      <w:pPr>
        <w:ind w:left="644" w:hanging="644"/>
        <w:spacing w:after="0"/>
        <w:tabs>
          <w:tab w:leader="none" w:pos="644" w:val="left"/>
        </w:tabs>
        <w:numPr>
          <w:ilvl w:val="0"/>
          <w:numId w:val="23"/>
        </w:numPr>
        <w:rPr>
          <w:rFonts w:ascii="Arial" w:cs="Arial" w:eastAsia="Arial" w:hAnsi="Arial"/>
          <w:sz w:val="18"/>
          <w:szCs w:val="18"/>
          <w:color w:val="auto"/>
        </w:rPr>
      </w:pPr>
      <w:r>
        <w:rPr>
          <w:rFonts w:ascii="Arial" w:cs="Arial" w:eastAsia="Arial" w:hAnsi="Arial"/>
          <w:sz w:val="18"/>
          <w:szCs w:val="18"/>
          <w:color w:val="auto"/>
        </w:rPr>
        <w:t>Other words or expressions, so far as not inconsistent with the context, have the same meanings as in Schedule 3.</w:t>
      </w:r>
    </w:p>
    <w:p>
      <w:pPr>
        <w:spacing w:after="0" w:line="225" w:lineRule="exact"/>
        <w:rPr>
          <w:rFonts w:ascii="Arial" w:cs="Arial" w:eastAsia="Arial" w:hAnsi="Arial"/>
          <w:sz w:val="18"/>
          <w:szCs w:val="18"/>
          <w:color w:val="auto"/>
        </w:rPr>
      </w:pPr>
    </w:p>
    <w:p>
      <w:pPr>
        <w:ind w:left="644" w:hanging="644"/>
        <w:spacing w:after="0"/>
        <w:tabs>
          <w:tab w:leader="none" w:pos="644" w:val="left"/>
        </w:tabs>
        <w:numPr>
          <w:ilvl w:val="0"/>
          <w:numId w:val="23"/>
        </w:numPr>
        <w:rPr>
          <w:rFonts w:ascii="Arial" w:cs="Arial" w:eastAsia="Arial" w:hAnsi="Arial"/>
          <w:sz w:val="17"/>
          <w:szCs w:val="17"/>
          <w:color w:val="auto"/>
        </w:rPr>
      </w:pPr>
      <w:r>
        <w:rPr>
          <w:rFonts w:ascii="Arial" w:cs="Arial" w:eastAsia="Arial" w:hAnsi="Arial"/>
          <w:sz w:val="17"/>
          <w:szCs w:val="17"/>
          <w:color w:val="auto"/>
        </w:rPr>
        <w:t>Words importing the singular shall include the plural and vice versa and words importing the masculine shall include the feminine.</w:t>
      </w:r>
    </w:p>
    <w:p>
      <w:pPr>
        <w:spacing w:after="0" w:line="236" w:lineRule="exact"/>
        <w:rPr>
          <w:rFonts w:ascii="Arial" w:cs="Arial" w:eastAsia="Arial" w:hAnsi="Arial"/>
          <w:sz w:val="17"/>
          <w:szCs w:val="17"/>
          <w:color w:val="auto"/>
        </w:rPr>
      </w:pPr>
    </w:p>
    <w:p>
      <w:pPr>
        <w:ind w:left="644" w:right="40" w:hanging="644"/>
        <w:spacing w:after="0" w:line="277" w:lineRule="auto"/>
        <w:tabs>
          <w:tab w:leader="none" w:pos="644"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reference to a statutory provision shall be deemed to include that provision as the same may from time to time hereafter be amended or re-enacted.</w:t>
      </w:r>
    </w:p>
    <w:p>
      <w:pPr>
        <w:spacing w:after="0" w:line="319" w:lineRule="exact"/>
        <w:rPr>
          <w:sz w:val="20"/>
          <w:szCs w:val="20"/>
          <w:color w:val="auto"/>
        </w:rPr>
      </w:pPr>
    </w:p>
    <w:p>
      <w:pPr>
        <w:ind w:left="5004"/>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73025</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64"/>
          </w:cols>
          <w:pgMar w:left="896" w:top="274" w:right="239" w:bottom="1440" w:gutter="0" w:footer="0" w:header="0"/>
        </w:sectPr>
      </w:pPr>
    </w:p>
    <w:bookmarkStart w:id="36" w:name="page37"/>
    <w:bookmarkEnd w:id="36"/>
    <w:p>
      <w:pPr>
        <w:ind w:left="652" w:hanging="652"/>
        <w:spacing w:after="0"/>
        <w:tabs>
          <w:tab w:leader="none" w:pos="652"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GRANT OF OPTIONS</w:t>
      </w:r>
    </w:p>
    <w:p>
      <w:pPr>
        <w:spacing w:after="0" w:line="225" w:lineRule="exact"/>
        <w:rPr>
          <w:rFonts w:ascii="Arial" w:cs="Arial" w:eastAsia="Arial" w:hAnsi="Arial"/>
          <w:sz w:val="18"/>
          <w:szCs w:val="18"/>
          <w:color w:val="auto"/>
        </w:rPr>
      </w:pPr>
    </w:p>
    <w:p>
      <w:pPr>
        <w:ind w:left="1292" w:right="80" w:hanging="644"/>
        <w:spacing w:after="0" w:line="264" w:lineRule="auto"/>
        <w:tabs>
          <w:tab w:leader="none" w:pos="1292" w:val="left"/>
        </w:tabs>
        <w:numPr>
          <w:ilvl w:val="1"/>
          <w:numId w:val="24"/>
        </w:numPr>
        <w:rPr>
          <w:rFonts w:ascii="Arial" w:cs="Arial" w:eastAsia="Arial" w:hAnsi="Arial"/>
          <w:sz w:val="18"/>
          <w:szCs w:val="18"/>
          <w:color w:val="auto"/>
        </w:rPr>
      </w:pPr>
      <w:r>
        <w:rPr>
          <w:rFonts w:ascii="Arial" w:cs="Arial" w:eastAsia="Arial" w:hAnsi="Arial"/>
          <w:sz w:val="18"/>
          <w:szCs w:val="18"/>
          <w:color w:val="auto"/>
        </w:rPr>
        <w:t>The Committee may make an offer by whatever means (whether by notice, advertisement, circular or otherwise) and at whatever time they deem appropriate to every Eligible Employee to participate in the Scheme. Such offer shall constitute an invitation to each Eligible Employee to apply for an Option and shall specify (whether directly or by reference):</w:t>
      </w:r>
    </w:p>
    <w:p>
      <w:pPr>
        <w:spacing w:after="0" w:line="181" w:lineRule="exact"/>
        <w:rPr>
          <w:rFonts w:ascii="Arial" w:cs="Arial" w:eastAsia="Arial" w:hAnsi="Arial"/>
          <w:sz w:val="18"/>
          <w:szCs w:val="18"/>
          <w:color w:val="auto"/>
        </w:rPr>
      </w:pPr>
    </w:p>
    <w:p>
      <w:pPr>
        <w:ind w:left="1952" w:hanging="655"/>
        <w:spacing w:after="0"/>
        <w:tabs>
          <w:tab w:leader="none" w:pos="1952" w:val="left"/>
        </w:tabs>
        <w:numPr>
          <w:ilvl w:val="2"/>
          <w:numId w:val="24"/>
        </w:numPr>
        <w:rPr>
          <w:rFonts w:ascii="Arial" w:cs="Arial" w:eastAsia="Arial" w:hAnsi="Arial"/>
          <w:sz w:val="18"/>
          <w:szCs w:val="18"/>
          <w:color w:val="auto"/>
        </w:rPr>
      </w:pPr>
      <w:r>
        <w:rPr>
          <w:rFonts w:ascii="Arial" w:cs="Arial" w:eastAsia="Arial" w:hAnsi="Arial"/>
          <w:sz w:val="18"/>
          <w:szCs w:val="18"/>
          <w:color w:val="auto"/>
        </w:rPr>
        <w:t>the Subscription Price;</w:t>
      </w:r>
    </w:p>
    <w:p>
      <w:pPr>
        <w:spacing w:after="0" w:line="225" w:lineRule="exact"/>
        <w:rPr>
          <w:rFonts w:ascii="Arial" w:cs="Arial" w:eastAsia="Arial" w:hAnsi="Arial"/>
          <w:sz w:val="18"/>
          <w:szCs w:val="18"/>
          <w:color w:val="auto"/>
        </w:rPr>
      </w:pPr>
    </w:p>
    <w:p>
      <w:pPr>
        <w:ind w:left="1952" w:right="80" w:hanging="655"/>
        <w:spacing w:after="0" w:line="264" w:lineRule="auto"/>
        <w:tabs>
          <w:tab w:leader="none" w:pos="1952" w:val="left"/>
        </w:tabs>
        <w:numPr>
          <w:ilvl w:val="2"/>
          <w:numId w:val="24"/>
        </w:numPr>
        <w:rPr>
          <w:rFonts w:ascii="Arial" w:cs="Arial" w:eastAsia="Arial" w:hAnsi="Arial"/>
          <w:sz w:val="18"/>
          <w:szCs w:val="18"/>
          <w:color w:val="auto"/>
        </w:rPr>
      </w:pPr>
      <w:r>
        <w:rPr>
          <w:rFonts w:ascii="Arial" w:cs="Arial" w:eastAsia="Arial" w:hAnsi="Arial"/>
          <w:sz w:val="18"/>
          <w:szCs w:val="18"/>
          <w:color w:val="auto"/>
        </w:rPr>
        <w:t>the maximum permitted aggregate monthly savings contribution, being the lesser of the maximum specified in paragraph 25(3)(a) of Schedule 3 and such sum (being a multiple of £1 and not less than £10) as the Committee decides shall apply in respect of the offer; and</w:t>
      </w:r>
    </w:p>
    <w:p>
      <w:pPr>
        <w:spacing w:after="0" w:line="181" w:lineRule="exact"/>
        <w:rPr>
          <w:rFonts w:ascii="Arial" w:cs="Arial" w:eastAsia="Arial" w:hAnsi="Arial"/>
          <w:sz w:val="18"/>
          <w:szCs w:val="18"/>
          <w:color w:val="auto"/>
        </w:rPr>
      </w:pPr>
    </w:p>
    <w:p>
      <w:pPr>
        <w:ind w:left="1952" w:hanging="655"/>
        <w:spacing w:after="0"/>
        <w:tabs>
          <w:tab w:leader="none" w:pos="1952" w:val="left"/>
        </w:tabs>
        <w:numPr>
          <w:ilvl w:val="2"/>
          <w:numId w:val="24"/>
        </w:numPr>
        <w:rPr>
          <w:rFonts w:ascii="Arial" w:cs="Arial" w:eastAsia="Arial" w:hAnsi="Arial"/>
          <w:sz w:val="18"/>
          <w:szCs w:val="18"/>
          <w:color w:val="auto"/>
        </w:rPr>
      </w:pPr>
      <w:r>
        <w:rPr>
          <w:rFonts w:ascii="Arial" w:cs="Arial" w:eastAsia="Arial" w:hAnsi="Arial"/>
          <w:sz w:val="18"/>
          <w:szCs w:val="18"/>
          <w:color w:val="auto"/>
        </w:rPr>
        <w:t>the amount(s) of the Savings Contract Repayment(s) which correspond to such monthly Savings Contribution.</w:t>
      </w:r>
    </w:p>
    <w:p>
      <w:pPr>
        <w:spacing w:after="0" w:line="225" w:lineRule="exact"/>
        <w:rPr>
          <w:sz w:val="20"/>
          <w:szCs w:val="20"/>
          <w:color w:val="auto"/>
        </w:rPr>
      </w:pPr>
    </w:p>
    <w:p>
      <w:pPr>
        <w:ind w:left="1292" w:right="180"/>
        <w:spacing w:after="0" w:line="277" w:lineRule="auto"/>
        <w:rPr>
          <w:sz w:val="20"/>
          <w:szCs w:val="20"/>
          <w:color w:val="auto"/>
        </w:rPr>
      </w:pPr>
      <w:r>
        <w:rPr>
          <w:rFonts w:ascii="Arial" w:cs="Arial" w:eastAsia="Arial" w:hAnsi="Arial"/>
          <w:sz w:val="18"/>
          <w:szCs w:val="18"/>
          <w:color w:val="auto"/>
        </w:rPr>
        <w:t>The Eligible Employee shall be given a period of 21 days (or such shorter period as the Committee shall determine being not less than 14 days) during which he may apply for an Option in accordance with paragraph (b) of this Rule.</w:t>
      </w:r>
    </w:p>
    <w:p>
      <w:pPr>
        <w:spacing w:after="0" w:line="170" w:lineRule="exact"/>
        <w:rPr>
          <w:sz w:val="20"/>
          <w:szCs w:val="20"/>
          <w:color w:val="auto"/>
        </w:rPr>
      </w:pPr>
    </w:p>
    <w:p>
      <w:pPr>
        <w:ind w:left="1292" w:right="580" w:hanging="644"/>
        <w:spacing w:after="0" w:line="264" w:lineRule="auto"/>
        <w:tabs>
          <w:tab w:leader="none" w:pos="1292"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Eligible Employee may apply for an Option by completing and forwarding to the Committee or such other person as they may nominate a form of application to join the Scheme and by completing the application form of the Savings Body to enter the Savings Contract, and he shall specify:</w:t>
      </w:r>
    </w:p>
    <w:p>
      <w:pPr>
        <w:spacing w:after="0" w:line="181" w:lineRule="exact"/>
        <w:rPr>
          <w:rFonts w:ascii="Arial" w:cs="Arial" w:eastAsia="Arial" w:hAnsi="Arial"/>
          <w:sz w:val="18"/>
          <w:szCs w:val="18"/>
          <w:color w:val="auto"/>
        </w:rPr>
      </w:pPr>
    </w:p>
    <w:p>
      <w:pPr>
        <w:ind w:left="1952" w:right="280" w:hanging="655"/>
        <w:spacing w:after="0" w:line="277" w:lineRule="auto"/>
        <w:tabs>
          <w:tab w:leader="none" w:pos="1952" w:val="left"/>
        </w:tabs>
        <w:numPr>
          <w:ilvl w:val="1"/>
          <w:numId w:val="25"/>
        </w:numPr>
        <w:rPr>
          <w:rFonts w:ascii="Arial" w:cs="Arial" w:eastAsia="Arial" w:hAnsi="Arial"/>
          <w:sz w:val="18"/>
          <w:szCs w:val="18"/>
          <w:color w:val="auto"/>
        </w:rPr>
      </w:pPr>
      <w:r>
        <w:rPr>
          <w:rFonts w:ascii="Arial" w:cs="Arial" w:eastAsia="Arial" w:hAnsi="Arial"/>
          <w:sz w:val="18"/>
          <w:szCs w:val="18"/>
          <w:color w:val="auto"/>
        </w:rPr>
        <w:t>the monthly Savings Contribution which (subject to Rule 3(a)) he wishes to contract to pay (being a multiple of £1 and not less than £10);</w:t>
      </w:r>
    </w:p>
    <w:p>
      <w:pPr>
        <w:spacing w:after="0" w:line="170" w:lineRule="exact"/>
        <w:rPr>
          <w:rFonts w:ascii="Arial" w:cs="Arial" w:eastAsia="Arial" w:hAnsi="Arial"/>
          <w:sz w:val="18"/>
          <w:szCs w:val="18"/>
          <w:color w:val="auto"/>
        </w:rPr>
      </w:pPr>
    </w:p>
    <w:p>
      <w:pPr>
        <w:ind w:left="1952" w:right="360" w:hanging="655"/>
        <w:spacing w:after="0" w:line="342" w:lineRule="auto"/>
        <w:tabs>
          <w:tab w:leader="none" w:pos="1952" w:val="left"/>
        </w:tabs>
        <w:numPr>
          <w:ilvl w:val="1"/>
          <w:numId w:val="25"/>
        </w:numPr>
        <w:rPr>
          <w:rFonts w:ascii="Arial" w:cs="Arial" w:eastAsia="Arial" w:hAnsi="Arial"/>
          <w:sz w:val="16"/>
          <w:szCs w:val="16"/>
          <w:color w:val="auto"/>
        </w:rPr>
      </w:pPr>
      <w:r>
        <w:rPr>
          <w:rFonts w:ascii="Arial" w:cs="Arial" w:eastAsia="Arial" w:hAnsi="Arial"/>
          <w:sz w:val="16"/>
          <w:szCs w:val="16"/>
          <w:color w:val="auto"/>
        </w:rPr>
        <w:t>if the Committee has determined that Eligible Employees may choose the maximum bonus payable under a Savings Contract, whether he wishes the Savings Contract Repayment to include the maximum or the standard bonus payable thereon; and</w:t>
      </w:r>
    </w:p>
    <w:p>
      <w:pPr>
        <w:spacing w:after="0" w:line="123" w:lineRule="exact"/>
        <w:rPr>
          <w:rFonts w:ascii="Arial" w:cs="Arial" w:eastAsia="Arial" w:hAnsi="Arial"/>
          <w:sz w:val="16"/>
          <w:szCs w:val="16"/>
          <w:color w:val="auto"/>
        </w:rPr>
      </w:pPr>
    </w:p>
    <w:p>
      <w:pPr>
        <w:jc w:val="both"/>
        <w:ind w:left="1952" w:right="300" w:hanging="655"/>
        <w:spacing w:after="0" w:line="286" w:lineRule="auto"/>
        <w:tabs>
          <w:tab w:leader="none" w:pos="1952" w:val="left"/>
        </w:tabs>
        <w:numPr>
          <w:ilvl w:val="1"/>
          <w:numId w:val="25"/>
        </w:numPr>
        <w:rPr>
          <w:rFonts w:ascii="Arial" w:cs="Arial" w:eastAsia="Arial" w:hAnsi="Arial"/>
          <w:sz w:val="17"/>
          <w:szCs w:val="17"/>
          <w:color w:val="auto"/>
        </w:rPr>
      </w:pPr>
      <w:r>
        <w:rPr>
          <w:rFonts w:ascii="Arial" w:cs="Arial" w:eastAsia="Arial" w:hAnsi="Arial"/>
          <w:sz w:val="17"/>
          <w:szCs w:val="17"/>
          <w:color w:val="auto"/>
        </w:rPr>
        <w:t>that his proposed monthly savings contribution, when added to any monthly savings contributions then being made under any other Savings Contract linked to an option granted under the Scheme or any other scheme approved under Schedule 3, will not exceed the maximum permitted aggregate monthly savings contribution specified in the invitation.</w:t>
      </w:r>
    </w:p>
    <w:p>
      <w:pPr>
        <w:spacing w:after="0" w:line="166" w:lineRule="exact"/>
        <w:rPr>
          <w:sz w:val="20"/>
          <w:szCs w:val="20"/>
          <w:color w:val="auto"/>
        </w:rPr>
      </w:pPr>
    </w:p>
    <w:p>
      <w:pPr>
        <w:jc w:val="both"/>
        <w:ind w:left="1292" w:right="220"/>
        <w:spacing w:after="0" w:line="286" w:lineRule="auto"/>
        <w:rPr>
          <w:sz w:val="20"/>
          <w:szCs w:val="20"/>
          <w:color w:val="auto"/>
        </w:rPr>
      </w:pPr>
      <w:r>
        <w:rPr>
          <w:rFonts w:ascii="Arial" w:cs="Arial" w:eastAsia="Arial" w:hAnsi="Arial"/>
          <w:sz w:val="17"/>
          <w:szCs w:val="17"/>
          <w:color w:val="auto"/>
        </w:rPr>
        <w:t>The form of application given to the Committee as aforesaid shall contain such undertakings given or declarations made by the Eligible Employee, not inconsistent with the terms of the Scheme, as the Committee may require. An Eligible Employee may not complete more than one form of application to join the Scheme pursuant to an offer under paragraph (a) of this Rule.</w:t>
      </w:r>
    </w:p>
    <w:p>
      <w:pPr>
        <w:spacing w:after="0" w:line="166" w:lineRule="exact"/>
        <w:rPr>
          <w:sz w:val="20"/>
          <w:szCs w:val="20"/>
          <w:color w:val="auto"/>
        </w:rPr>
      </w:pPr>
    </w:p>
    <w:p>
      <w:pPr>
        <w:ind w:left="1292" w:hanging="644"/>
        <w:spacing w:after="0" w:line="257" w:lineRule="auto"/>
        <w:tabs>
          <w:tab w:leader="none" w:pos="1292" w:val="left"/>
        </w:tabs>
        <w:numPr>
          <w:ilvl w:val="0"/>
          <w:numId w:val="26"/>
        </w:numPr>
        <w:rPr>
          <w:rFonts w:ascii="Arial" w:cs="Arial" w:eastAsia="Arial" w:hAnsi="Arial"/>
          <w:sz w:val="18"/>
          <w:szCs w:val="18"/>
          <w:color w:val="auto"/>
        </w:rPr>
      </w:pPr>
      <w:r>
        <w:rPr>
          <w:rFonts w:ascii="Arial" w:cs="Arial" w:eastAsia="Arial" w:hAnsi="Arial"/>
          <w:sz w:val="18"/>
          <w:szCs w:val="18"/>
          <w:color w:val="auto"/>
        </w:rPr>
        <w:t>Following the Date of Offer and within 30 days of the date of determination of the Subscription Price the Committee shall grant an Option to each person who is then an Eligible Employee and who has applied for an Option over the number of Shares in respect of which the Subscription Prices are as nearly as possible equal to, but not in excess of, the Savings Contract Repayment relative to the Eligible Employee’s application, by resolving to grant such Options. Each such Option shall be evidenced by the issue of an option certificate in the terms specified in paragraph (e) of this Rule.</w:t>
      </w:r>
    </w:p>
    <w:p>
      <w:pPr>
        <w:spacing w:after="0" w:line="188" w:lineRule="exact"/>
        <w:rPr>
          <w:rFonts w:ascii="Arial" w:cs="Arial" w:eastAsia="Arial" w:hAnsi="Arial"/>
          <w:sz w:val="18"/>
          <w:szCs w:val="18"/>
          <w:color w:val="auto"/>
        </w:rPr>
      </w:pPr>
    </w:p>
    <w:p>
      <w:pPr>
        <w:ind w:left="1292" w:right="80" w:hanging="644"/>
        <w:spacing w:after="0" w:line="308" w:lineRule="auto"/>
        <w:tabs>
          <w:tab w:leader="none" w:pos="1292" w:val="left"/>
        </w:tabs>
        <w:numPr>
          <w:ilvl w:val="0"/>
          <w:numId w:val="26"/>
        </w:numPr>
        <w:rPr>
          <w:rFonts w:ascii="Arial" w:cs="Arial" w:eastAsia="Arial" w:hAnsi="Arial"/>
          <w:sz w:val="17"/>
          <w:szCs w:val="17"/>
          <w:color w:val="auto"/>
        </w:rPr>
      </w:pPr>
      <w:r>
        <w:rPr>
          <w:rFonts w:ascii="Arial" w:cs="Arial" w:eastAsia="Arial" w:hAnsi="Arial"/>
          <w:sz w:val="17"/>
          <w:szCs w:val="17"/>
          <w:color w:val="auto"/>
        </w:rPr>
        <w:t>An Option shall be personal to the Participant and shall not be assignable and in the event of any purported assignment, charge, disposal or dealing with the rights and interests of the Participant under the Scheme the Company shall cancel the Option.</w:t>
      </w:r>
    </w:p>
    <w:p>
      <w:pPr>
        <w:spacing w:after="0" w:line="295"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72"/>
          </w:cols>
          <w:pgMar w:left="248" w:top="274" w:right="279" w:bottom="1440" w:gutter="0" w:footer="0" w:header="0"/>
        </w:sectPr>
      </w:pPr>
    </w:p>
    <w:bookmarkStart w:id="37" w:name="page38"/>
    <w:bookmarkEnd w:id="37"/>
    <w:p>
      <w:pPr>
        <w:ind w:left="1292" w:right="20" w:hanging="644"/>
        <w:spacing w:after="0" w:line="273" w:lineRule="auto"/>
        <w:tabs>
          <w:tab w:leader="none" w:pos="1292" w:val="left"/>
        </w:tabs>
        <w:numPr>
          <w:ilvl w:val="1"/>
          <w:numId w:val="27"/>
        </w:numPr>
        <w:rPr>
          <w:rFonts w:ascii="Arial" w:cs="Arial" w:eastAsia="Arial" w:hAnsi="Arial"/>
          <w:sz w:val="17"/>
          <w:szCs w:val="17"/>
          <w:color w:val="auto"/>
        </w:rPr>
      </w:pPr>
      <w:r>
        <w:rPr>
          <w:rFonts w:ascii="Arial" w:cs="Arial" w:eastAsia="Arial" w:hAnsi="Arial"/>
          <w:sz w:val="17"/>
          <w:szCs w:val="17"/>
          <w:color w:val="auto"/>
        </w:rPr>
        <w:t>An option certificate shall be issued under the authority of the Committee and shall specify the number of Shares comprised in the Option, the Subscription Price in respect of each such Share and the earliest date on which the Savings Contract Repayment may become payable in accordance with the terms of the Savings Contract relative thereto and shall be otherwise in such form (not inconsistent with the provisions of the Scheme) as the Directors may from time to time determine. An option certificate shall be issued to each Participant in accordance with paragraph (c) of this Rule. If any such certificate shall be worn out, defaced, destroyed or lost, it may be renewed on such evidence being provided and on such terms as the Committee shall require.</w:t>
      </w:r>
    </w:p>
    <w:p>
      <w:pPr>
        <w:spacing w:after="0" w:line="178" w:lineRule="exact"/>
        <w:rPr>
          <w:rFonts w:ascii="Arial" w:cs="Arial" w:eastAsia="Arial" w:hAnsi="Arial"/>
          <w:sz w:val="17"/>
          <w:szCs w:val="17"/>
          <w:color w:val="auto"/>
        </w:rPr>
      </w:pPr>
    </w:p>
    <w:p>
      <w:pPr>
        <w:ind w:left="652" w:hanging="652"/>
        <w:spacing w:after="0"/>
        <w:tabs>
          <w:tab w:leader="none" w:pos="652"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LIMITATIONS</w:t>
      </w:r>
    </w:p>
    <w:p>
      <w:pPr>
        <w:spacing w:after="0" w:line="225" w:lineRule="exact"/>
        <w:rPr>
          <w:rFonts w:ascii="Arial" w:cs="Arial" w:eastAsia="Arial" w:hAnsi="Arial"/>
          <w:sz w:val="18"/>
          <w:szCs w:val="18"/>
          <w:color w:val="auto"/>
        </w:rPr>
      </w:pPr>
    </w:p>
    <w:p>
      <w:pPr>
        <w:ind w:left="652" w:right="20"/>
        <w:spacing w:after="0" w:line="259" w:lineRule="auto"/>
        <w:rPr>
          <w:rFonts w:ascii="Arial" w:cs="Arial" w:eastAsia="Arial" w:hAnsi="Arial"/>
          <w:sz w:val="18"/>
          <w:szCs w:val="18"/>
          <w:color w:val="auto"/>
        </w:rPr>
      </w:pPr>
      <w:r>
        <w:rPr>
          <w:rFonts w:ascii="Arial" w:cs="Arial" w:eastAsia="Arial" w:hAnsi="Arial"/>
          <w:sz w:val="18"/>
          <w:szCs w:val="18"/>
          <w:color w:val="auto"/>
        </w:rPr>
        <w:t>A Participant shall not in any one month or, in the case of a Participant paid weekly, in such other period as determined by the Directors in which a monthly Savings Contribution is deducted from his pay, be entitled to make Savings Contributions which in aggregate amount to more than the maximum monthly sum permitted under the regulations for the time being in force governing contractual savings schemes approved by the Revenue for the purposes of Schedule 3.</w:t>
      </w:r>
    </w:p>
    <w:p>
      <w:pPr>
        <w:spacing w:after="0" w:line="186" w:lineRule="exact"/>
        <w:rPr>
          <w:rFonts w:ascii="Arial" w:cs="Arial" w:eastAsia="Arial" w:hAnsi="Arial"/>
          <w:sz w:val="18"/>
          <w:szCs w:val="18"/>
          <w:color w:val="auto"/>
        </w:rPr>
      </w:pPr>
    </w:p>
    <w:p>
      <w:pPr>
        <w:ind w:left="652" w:hanging="652"/>
        <w:spacing w:after="0"/>
        <w:tabs>
          <w:tab w:leader="none" w:pos="652"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EXERCISE AND LAPSE OF OPTIONS</w:t>
      </w:r>
    </w:p>
    <w:p>
      <w:pPr>
        <w:spacing w:after="0" w:line="225" w:lineRule="exact"/>
        <w:rPr>
          <w:rFonts w:ascii="Arial" w:cs="Arial" w:eastAsia="Arial" w:hAnsi="Arial"/>
          <w:sz w:val="18"/>
          <w:szCs w:val="18"/>
          <w:color w:val="auto"/>
        </w:rPr>
      </w:pPr>
    </w:p>
    <w:p>
      <w:pPr>
        <w:ind w:left="1292" w:right="40" w:hanging="644"/>
        <w:spacing w:after="0" w:line="257" w:lineRule="auto"/>
        <w:tabs>
          <w:tab w:leader="none" w:pos="1292" w:val="left"/>
        </w:tabs>
        <w:numPr>
          <w:ilvl w:val="1"/>
          <w:numId w:val="28"/>
        </w:numPr>
        <w:rPr>
          <w:rFonts w:ascii="Arial" w:cs="Arial" w:eastAsia="Arial" w:hAnsi="Arial"/>
          <w:sz w:val="18"/>
          <w:szCs w:val="18"/>
          <w:color w:val="auto"/>
        </w:rPr>
      </w:pPr>
      <w:r>
        <w:rPr>
          <w:rFonts w:ascii="Arial" w:cs="Arial" w:eastAsia="Arial" w:hAnsi="Arial"/>
          <w:sz w:val="18"/>
          <w:szCs w:val="18"/>
          <w:color w:val="auto"/>
        </w:rPr>
        <w:t>No Option shall be capable of being exercised before the earliest date on which the Savings Contract Repayment relative thereto becomes payable save where the Participant ceases to be in Employment at any time by reason of his death, Disability, Retirement, injury, Redundancy, or by reason of his Employer ceasing to be under the Control of the Company or by reason of the transfer of a business or part of a business to which his Employment relates to a person who is neither an associated company of the Company nor a company under the Control of the Company.</w:t>
      </w:r>
    </w:p>
    <w:p>
      <w:pPr>
        <w:spacing w:after="0" w:line="188" w:lineRule="exact"/>
        <w:rPr>
          <w:rFonts w:ascii="Arial" w:cs="Arial" w:eastAsia="Arial" w:hAnsi="Arial"/>
          <w:sz w:val="18"/>
          <w:szCs w:val="18"/>
          <w:color w:val="auto"/>
        </w:rPr>
      </w:pPr>
    </w:p>
    <w:p>
      <w:pPr>
        <w:ind w:left="1292" w:hanging="644"/>
        <w:spacing w:after="0"/>
        <w:tabs>
          <w:tab w:leader="none" w:pos="1292" w:val="left"/>
        </w:tabs>
        <w:numPr>
          <w:ilvl w:val="1"/>
          <w:numId w:val="28"/>
        </w:numPr>
        <w:rPr>
          <w:rFonts w:ascii="Arial" w:cs="Arial" w:eastAsia="Arial" w:hAnsi="Arial"/>
          <w:sz w:val="18"/>
          <w:szCs w:val="18"/>
          <w:color w:val="auto"/>
        </w:rPr>
      </w:pPr>
      <w:r>
        <w:rPr>
          <w:rFonts w:ascii="Arial" w:cs="Arial" w:eastAsia="Arial" w:hAnsi="Arial"/>
          <w:sz w:val="18"/>
          <w:szCs w:val="18"/>
          <w:color w:val="auto"/>
        </w:rPr>
        <w:t>An Option shall lapse to the extent that it has not been exercised by the earliest of:</w:t>
      </w:r>
    </w:p>
    <w:p>
      <w:pPr>
        <w:spacing w:after="0" w:line="225" w:lineRule="exact"/>
        <w:rPr>
          <w:rFonts w:ascii="Arial" w:cs="Arial" w:eastAsia="Arial" w:hAnsi="Arial"/>
          <w:sz w:val="18"/>
          <w:szCs w:val="18"/>
          <w:color w:val="auto"/>
        </w:rPr>
      </w:pPr>
    </w:p>
    <w:p>
      <w:pPr>
        <w:ind w:left="1952" w:right="20" w:hanging="655"/>
        <w:spacing w:after="0" w:line="277" w:lineRule="auto"/>
        <w:tabs>
          <w:tab w:leader="none" w:pos="1952" w:val="left"/>
        </w:tabs>
        <w:numPr>
          <w:ilvl w:val="2"/>
          <w:numId w:val="28"/>
        </w:numPr>
        <w:rPr>
          <w:rFonts w:ascii="Arial" w:cs="Arial" w:eastAsia="Arial" w:hAnsi="Arial"/>
          <w:sz w:val="18"/>
          <w:szCs w:val="18"/>
          <w:color w:val="auto"/>
        </w:rPr>
      </w:pPr>
      <w:r>
        <w:rPr>
          <w:rFonts w:ascii="Arial" w:cs="Arial" w:eastAsia="Arial" w:hAnsi="Arial"/>
          <w:sz w:val="18"/>
          <w:szCs w:val="18"/>
          <w:color w:val="auto"/>
        </w:rPr>
        <w:t>the expiry of six months from the earliest date on which the Savings Contract Repayment relative thereto becomes payable (except where sub-paragraph (ii) below applies);</w:t>
      </w:r>
    </w:p>
    <w:p>
      <w:pPr>
        <w:spacing w:after="0" w:line="170" w:lineRule="exact"/>
        <w:rPr>
          <w:rFonts w:ascii="Arial" w:cs="Arial" w:eastAsia="Arial" w:hAnsi="Arial"/>
          <w:sz w:val="18"/>
          <w:szCs w:val="18"/>
          <w:color w:val="auto"/>
        </w:rPr>
      </w:pPr>
    </w:p>
    <w:p>
      <w:pPr>
        <w:ind w:left="1952" w:right="160" w:hanging="655"/>
        <w:spacing w:after="0" w:line="342" w:lineRule="auto"/>
        <w:tabs>
          <w:tab w:leader="none" w:pos="1952" w:val="left"/>
        </w:tabs>
        <w:numPr>
          <w:ilvl w:val="2"/>
          <w:numId w:val="28"/>
        </w:numPr>
        <w:rPr>
          <w:rFonts w:ascii="Arial" w:cs="Arial" w:eastAsia="Arial" w:hAnsi="Arial"/>
          <w:sz w:val="16"/>
          <w:szCs w:val="16"/>
          <w:color w:val="auto"/>
        </w:rPr>
      </w:pPr>
      <w:r>
        <w:rPr>
          <w:rFonts w:ascii="Arial" w:cs="Arial" w:eastAsia="Arial" w:hAnsi="Arial"/>
          <w:sz w:val="16"/>
          <w:szCs w:val="16"/>
          <w:color w:val="auto"/>
        </w:rPr>
        <w:t>the expiry of twelve months from the date of death of the Participant or, if the Participant dies within six months after the earliest date on which the Savings Contract Repayment relative thereto becomes payable, twelve months after such earliest date;</w:t>
      </w:r>
    </w:p>
    <w:p>
      <w:pPr>
        <w:spacing w:after="0" w:line="123" w:lineRule="exact"/>
        <w:rPr>
          <w:rFonts w:ascii="Arial" w:cs="Arial" w:eastAsia="Arial" w:hAnsi="Arial"/>
          <w:sz w:val="16"/>
          <w:szCs w:val="16"/>
          <w:color w:val="auto"/>
        </w:rPr>
      </w:pPr>
    </w:p>
    <w:p>
      <w:pPr>
        <w:ind w:left="1952" w:right="680" w:hanging="655"/>
        <w:spacing w:after="0" w:line="277" w:lineRule="auto"/>
        <w:tabs>
          <w:tab w:leader="none" w:pos="1952" w:val="left"/>
        </w:tabs>
        <w:numPr>
          <w:ilvl w:val="2"/>
          <w:numId w:val="28"/>
        </w:numPr>
        <w:rPr>
          <w:rFonts w:ascii="Arial" w:cs="Arial" w:eastAsia="Arial" w:hAnsi="Arial"/>
          <w:sz w:val="18"/>
          <w:szCs w:val="18"/>
          <w:color w:val="auto"/>
        </w:rPr>
      </w:pPr>
      <w:r>
        <w:rPr>
          <w:rFonts w:ascii="Arial" w:cs="Arial" w:eastAsia="Arial" w:hAnsi="Arial"/>
          <w:sz w:val="18"/>
          <w:szCs w:val="18"/>
          <w:color w:val="auto"/>
        </w:rPr>
        <w:t>the expiry of six months from the date on which the Participant ceases to be in Employment by reason of his Disability or Retirement;</w:t>
      </w:r>
    </w:p>
    <w:p>
      <w:pPr>
        <w:spacing w:after="0" w:line="170" w:lineRule="exact"/>
        <w:rPr>
          <w:rFonts w:ascii="Arial" w:cs="Arial" w:eastAsia="Arial" w:hAnsi="Arial"/>
          <w:sz w:val="18"/>
          <w:szCs w:val="18"/>
          <w:color w:val="auto"/>
        </w:rPr>
      </w:pPr>
    </w:p>
    <w:p>
      <w:pPr>
        <w:ind w:left="1952" w:hanging="655"/>
        <w:spacing w:after="0" w:line="259" w:lineRule="auto"/>
        <w:tabs>
          <w:tab w:leader="none" w:pos="1952" w:val="left"/>
        </w:tabs>
        <w:numPr>
          <w:ilvl w:val="2"/>
          <w:numId w:val="28"/>
        </w:numPr>
        <w:rPr>
          <w:rFonts w:ascii="Arial" w:cs="Arial" w:eastAsia="Arial" w:hAnsi="Arial"/>
          <w:sz w:val="18"/>
          <w:szCs w:val="18"/>
          <w:color w:val="auto"/>
        </w:rPr>
      </w:pPr>
      <w:r>
        <w:rPr>
          <w:rFonts w:ascii="Arial" w:cs="Arial" w:eastAsia="Arial" w:hAnsi="Arial"/>
          <w:sz w:val="18"/>
          <w:szCs w:val="18"/>
          <w:color w:val="auto"/>
        </w:rPr>
        <w:t>the expiry of six months from the date on which the Participant ceases to be in Employment by reason of his injury or Redundancy, or by reason of his Employer ceasing to be under the Control of the Company or by reason of a transfer of a business or part of a business to which his Employment relates to a person who is neither an associated company of the Company nor a company under the Control of the Company;</w:t>
      </w:r>
    </w:p>
    <w:p>
      <w:pPr>
        <w:spacing w:after="0" w:line="186" w:lineRule="exact"/>
        <w:rPr>
          <w:rFonts w:ascii="Arial" w:cs="Arial" w:eastAsia="Arial" w:hAnsi="Arial"/>
          <w:sz w:val="18"/>
          <w:szCs w:val="18"/>
          <w:color w:val="auto"/>
        </w:rPr>
      </w:pPr>
    </w:p>
    <w:p>
      <w:pPr>
        <w:ind w:left="1952" w:hanging="655"/>
        <w:spacing w:after="0"/>
        <w:tabs>
          <w:tab w:leader="none" w:pos="1952" w:val="left"/>
        </w:tabs>
        <w:numPr>
          <w:ilvl w:val="2"/>
          <w:numId w:val="28"/>
        </w:numPr>
        <w:rPr>
          <w:rFonts w:ascii="Arial" w:cs="Arial" w:eastAsia="Arial" w:hAnsi="Arial"/>
          <w:sz w:val="18"/>
          <w:szCs w:val="18"/>
          <w:color w:val="auto"/>
        </w:rPr>
      </w:pPr>
      <w:r>
        <w:rPr>
          <w:rFonts w:ascii="Arial" w:cs="Arial" w:eastAsia="Arial" w:hAnsi="Arial"/>
          <w:sz w:val="18"/>
          <w:szCs w:val="18"/>
          <w:color w:val="auto"/>
        </w:rPr>
        <w:t>six months after the Option has become exercisable by virtue of Rule 8;</w:t>
      </w:r>
    </w:p>
    <w:p>
      <w:pPr>
        <w:spacing w:after="0" w:line="225" w:lineRule="exact"/>
        <w:rPr>
          <w:rFonts w:ascii="Arial" w:cs="Arial" w:eastAsia="Arial" w:hAnsi="Arial"/>
          <w:sz w:val="18"/>
          <w:szCs w:val="18"/>
          <w:color w:val="auto"/>
        </w:rPr>
      </w:pPr>
    </w:p>
    <w:p>
      <w:pPr>
        <w:ind w:left="1952" w:right="80" w:hanging="655"/>
        <w:spacing w:after="0" w:line="277" w:lineRule="auto"/>
        <w:tabs>
          <w:tab w:leader="none" w:pos="1952" w:val="left"/>
        </w:tabs>
        <w:numPr>
          <w:ilvl w:val="2"/>
          <w:numId w:val="28"/>
        </w:numPr>
        <w:rPr>
          <w:rFonts w:ascii="Arial" w:cs="Arial" w:eastAsia="Arial" w:hAnsi="Arial"/>
          <w:sz w:val="18"/>
          <w:szCs w:val="18"/>
          <w:color w:val="auto"/>
        </w:rPr>
      </w:pPr>
      <w:r>
        <w:rPr>
          <w:rFonts w:ascii="Arial" w:cs="Arial" w:eastAsia="Arial" w:hAnsi="Arial"/>
          <w:sz w:val="18"/>
          <w:szCs w:val="18"/>
          <w:color w:val="auto"/>
        </w:rPr>
        <w:t>the date on which the Participant ceases to be in Employment in any circumstances other than those referred to in paragraph (a) of this Rule; and</w:t>
      </w:r>
    </w:p>
    <w:p>
      <w:pPr>
        <w:spacing w:after="0" w:line="170" w:lineRule="exact"/>
        <w:rPr>
          <w:rFonts w:ascii="Arial" w:cs="Arial" w:eastAsia="Arial" w:hAnsi="Arial"/>
          <w:sz w:val="18"/>
          <w:szCs w:val="18"/>
          <w:color w:val="auto"/>
        </w:rPr>
      </w:pPr>
    </w:p>
    <w:p>
      <w:pPr>
        <w:ind w:left="1952" w:right="40" w:hanging="655"/>
        <w:spacing w:after="0" w:line="277" w:lineRule="auto"/>
        <w:tabs>
          <w:tab w:leader="none" w:pos="1952" w:val="left"/>
        </w:tabs>
        <w:numPr>
          <w:ilvl w:val="2"/>
          <w:numId w:val="28"/>
        </w:numPr>
        <w:rPr>
          <w:rFonts w:ascii="Arial" w:cs="Arial" w:eastAsia="Arial" w:hAnsi="Arial"/>
          <w:sz w:val="18"/>
          <w:szCs w:val="18"/>
          <w:color w:val="auto"/>
        </w:rPr>
      </w:pPr>
      <w:r>
        <w:rPr>
          <w:rFonts w:ascii="Arial" w:cs="Arial" w:eastAsia="Arial" w:hAnsi="Arial"/>
          <w:sz w:val="18"/>
          <w:szCs w:val="18"/>
          <w:color w:val="auto"/>
        </w:rPr>
        <w:t>the Participant’s right to continue making Savings Contributions lapsing in accordance with the provisions of the Savings Contract except in the event of his death.</w:t>
      </w:r>
    </w:p>
    <w:p>
      <w:pPr>
        <w:spacing w:after="0" w:line="170" w:lineRule="exact"/>
        <w:rPr>
          <w:rFonts w:ascii="Arial" w:cs="Arial" w:eastAsia="Arial" w:hAnsi="Arial"/>
          <w:sz w:val="18"/>
          <w:szCs w:val="18"/>
          <w:color w:val="auto"/>
        </w:rPr>
      </w:pPr>
    </w:p>
    <w:p>
      <w:pPr>
        <w:ind w:left="1292" w:right="80" w:hanging="644"/>
        <w:spacing w:after="0" w:line="257" w:lineRule="auto"/>
        <w:tabs>
          <w:tab w:leader="none" w:pos="1292" w:val="left"/>
        </w:tabs>
        <w:numPr>
          <w:ilvl w:val="1"/>
          <w:numId w:val="28"/>
        </w:numPr>
        <w:rPr>
          <w:rFonts w:ascii="Arial" w:cs="Arial" w:eastAsia="Arial" w:hAnsi="Arial"/>
          <w:sz w:val="18"/>
          <w:szCs w:val="18"/>
          <w:color w:val="auto"/>
        </w:rPr>
      </w:pPr>
      <w:r>
        <w:rPr>
          <w:rFonts w:ascii="Arial" w:cs="Arial" w:eastAsia="Arial" w:hAnsi="Arial"/>
          <w:sz w:val="18"/>
          <w:szCs w:val="18"/>
          <w:color w:val="auto"/>
        </w:rPr>
        <w:t>On the exercise of an Option the Subscription Price for the Shares shall be payable in an amount not exceeding any repayment made under the Savings Contract of the Participant’s Savings Contributions together with the standard bonus (or the maximum bonus if Eligible Employees were permitted to choose such bonus under Rule 2(b)(ii) and the Eligible Employee so chose) and any interest. Any repayment under the Savings Contract shall exclude the repayment of any contribution the due date for payment of which falls more than one month after the date on which repayment is made.</w:t>
      </w:r>
    </w:p>
    <w:p>
      <w:pPr>
        <w:spacing w:after="0" w:line="184" w:lineRule="exact"/>
        <w:rPr>
          <w:sz w:val="20"/>
          <w:szCs w:val="20"/>
          <w:color w:val="auto"/>
        </w:rPr>
      </w:pPr>
    </w:p>
    <w:p>
      <w:pPr>
        <w:jc w:val="center"/>
        <w:ind w:right="-11"/>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62230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92"/>
          </w:cols>
          <w:pgMar w:left="248" w:top="274" w:right="259" w:bottom="1440" w:gutter="0" w:footer="0" w:header="0"/>
        </w:sectPr>
      </w:pPr>
    </w:p>
    <w:bookmarkStart w:id="38" w:name="page39"/>
    <w:bookmarkEnd w:id="38"/>
    <w:p>
      <w:pPr>
        <w:ind w:left="1292" w:hanging="644"/>
        <w:spacing w:after="0" w:line="286" w:lineRule="auto"/>
        <w:tabs>
          <w:tab w:leader="none" w:pos="1292" w:val="left"/>
        </w:tabs>
        <w:numPr>
          <w:ilvl w:val="1"/>
          <w:numId w:val="29"/>
        </w:numPr>
        <w:rPr>
          <w:rFonts w:ascii="Arial" w:cs="Arial" w:eastAsia="Arial" w:hAnsi="Arial"/>
          <w:sz w:val="17"/>
          <w:szCs w:val="17"/>
          <w:color w:val="auto"/>
        </w:rPr>
      </w:pPr>
      <w:r>
        <w:rPr>
          <w:rFonts w:ascii="Arial" w:cs="Arial" w:eastAsia="Arial" w:hAnsi="Arial"/>
          <w:sz w:val="17"/>
          <w:szCs w:val="17"/>
          <w:color w:val="auto"/>
        </w:rPr>
        <w:t>For the purposes of (a), (b)(iii), (b)(iv) and (b)(vi) of this Rule a Participant shall be deemed not to cease to be in Employment until he ceases to be in employment with any Participating Company or with any company under the Control of the Company or with any associated company (within the meaning that these words bear in paragraph 35(1)-(4) of Schedule 3) of the Company.</w:t>
      </w:r>
    </w:p>
    <w:p>
      <w:pPr>
        <w:spacing w:after="0" w:line="165" w:lineRule="exact"/>
        <w:rPr>
          <w:rFonts w:ascii="Arial" w:cs="Arial" w:eastAsia="Arial" w:hAnsi="Arial"/>
          <w:sz w:val="17"/>
          <w:szCs w:val="17"/>
          <w:color w:val="auto"/>
        </w:rPr>
      </w:pPr>
    </w:p>
    <w:p>
      <w:pPr>
        <w:ind w:left="1292" w:right="180" w:hanging="644"/>
        <w:spacing w:after="0" w:line="264" w:lineRule="auto"/>
        <w:tabs>
          <w:tab w:leader="none" w:pos="1292" w:val="left"/>
        </w:tabs>
        <w:numPr>
          <w:ilvl w:val="1"/>
          <w:numId w:val="29"/>
        </w:numPr>
        <w:rPr>
          <w:rFonts w:ascii="Arial" w:cs="Arial" w:eastAsia="Arial" w:hAnsi="Arial"/>
          <w:sz w:val="18"/>
          <w:szCs w:val="18"/>
          <w:color w:val="auto"/>
        </w:rPr>
      </w:pPr>
      <w:r>
        <w:rPr>
          <w:rFonts w:ascii="Arial" w:cs="Arial" w:eastAsia="Arial" w:hAnsi="Arial"/>
          <w:sz w:val="18"/>
          <w:szCs w:val="18"/>
          <w:color w:val="auto"/>
        </w:rPr>
        <w:t>A Participant shall not be entitled to exercise an Option at any time when he is ineligible to participate by virtue of paragraph 11 of Schedule 3 or when he is ineligible to participate by virtue of paragraph 10(1) of Schedule 3 that is, except as provided in paragraph 34(2) of Schedule 3, unless he is at that time a director or employee of a Participating Company.</w:t>
      </w:r>
    </w:p>
    <w:p>
      <w:pPr>
        <w:spacing w:after="0" w:line="181" w:lineRule="exact"/>
        <w:rPr>
          <w:rFonts w:ascii="Arial" w:cs="Arial" w:eastAsia="Arial" w:hAnsi="Arial"/>
          <w:sz w:val="18"/>
          <w:szCs w:val="18"/>
          <w:color w:val="auto"/>
        </w:rPr>
      </w:pPr>
    </w:p>
    <w:p>
      <w:pPr>
        <w:ind w:left="1292" w:right="400" w:hanging="644"/>
        <w:spacing w:after="0" w:line="277" w:lineRule="auto"/>
        <w:tabs>
          <w:tab w:leader="none" w:pos="1292" w:val="left"/>
        </w:tabs>
        <w:numPr>
          <w:ilvl w:val="1"/>
          <w:numId w:val="29"/>
        </w:numPr>
        <w:rPr>
          <w:rFonts w:ascii="Arial" w:cs="Arial" w:eastAsia="Arial" w:hAnsi="Arial"/>
          <w:sz w:val="18"/>
          <w:szCs w:val="18"/>
          <w:color w:val="auto"/>
        </w:rPr>
      </w:pPr>
      <w:r>
        <w:rPr>
          <w:rFonts w:ascii="Arial" w:cs="Arial" w:eastAsia="Arial" w:hAnsi="Arial"/>
          <w:sz w:val="18"/>
          <w:szCs w:val="18"/>
          <w:color w:val="auto"/>
        </w:rPr>
        <w:t>If a Participant continues to be in Employment after the date on which he reaches Retirement age he may exercise an Option within six months following that date.</w:t>
      </w:r>
    </w:p>
    <w:p>
      <w:pPr>
        <w:spacing w:after="0" w:line="170" w:lineRule="exact"/>
        <w:rPr>
          <w:rFonts w:ascii="Arial" w:cs="Arial" w:eastAsia="Arial" w:hAnsi="Arial"/>
          <w:sz w:val="18"/>
          <w:szCs w:val="18"/>
          <w:color w:val="auto"/>
        </w:rPr>
      </w:pPr>
    </w:p>
    <w:p>
      <w:pPr>
        <w:ind w:left="652" w:hanging="652"/>
        <w:spacing w:after="0"/>
        <w:tabs>
          <w:tab w:leader="none" w:pos="652"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TERMS AND CONDITIONS RELATING TO THE SAVINGS CONTRACT</w:t>
      </w:r>
    </w:p>
    <w:p>
      <w:pPr>
        <w:spacing w:after="0" w:line="225" w:lineRule="exact"/>
        <w:rPr>
          <w:rFonts w:ascii="Arial" w:cs="Arial" w:eastAsia="Arial" w:hAnsi="Arial"/>
          <w:sz w:val="18"/>
          <w:szCs w:val="18"/>
          <w:color w:val="auto"/>
        </w:rPr>
      </w:pPr>
    </w:p>
    <w:p>
      <w:pPr>
        <w:ind w:left="1292" w:hanging="644"/>
        <w:spacing w:after="0"/>
        <w:tabs>
          <w:tab w:leader="none" w:pos="1292" w:val="left"/>
        </w:tabs>
        <w:numPr>
          <w:ilvl w:val="1"/>
          <w:numId w:val="30"/>
        </w:numPr>
        <w:rPr>
          <w:rFonts w:ascii="Arial" w:cs="Arial" w:eastAsia="Arial" w:hAnsi="Arial"/>
          <w:sz w:val="16"/>
          <w:szCs w:val="16"/>
          <w:color w:val="auto"/>
        </w:rPr>
      </w:pPr>
      <w:r>
        <w:rPr>
          <w:rFonts w:ascii="Arial" w:cs="Arial" w:eastAsia="Arial" w:hAnsi="Arial"/>
          <w:sz w:val="16"/>
          <w:szCs w:val="16"/>
          <w:color w:val="auto"/>
        </w:rPr>
        <w:t>The following shall apply in relation to the payment of Savings Contributions in addition to any conditions required by the Savings Body:</w:t>
      </w:r>
    </w:p>
    <w:p>
      <w:pPr>
        <w:spacing w:after="0" w:line="248" w:lineRule="exact"/>
        <w:rPr>
          <w:rFonts w:ascii="Arial" w:cs="Arial" w:eastAsia="Arial" w:hAnsi="Arial"/>
          <w:sz w:val="16"/>
          <w:szCs w:val="16"/>
          <w:color w:val="auto"/>
        </w:rPr>
      </w:pPr>
    </w:p>
    <w:p>
      <w:pPr>
        <w:ind w:left="1952" w:right="120" w:hanging="655"/>
        <w:spacing w:after="0" w:line="277" w:lineRule="auto"/>
        <w:tabs>
          <w:tab w:leader="none" w:pos="1952" w:val="left"/>
        </w:tabs>
        <w:numPr>
          <w:ilvl w:val="2"/>
          <w:numId w:val="30"/>
        </w:numPr>
        <w:rPr>
          <w:rFonts w:ascii="Arial" w:cs="Arial" w:eastAsia="Arial" w:hAnsi="Arial"/>
          <w:sz w:val="18"/>
          <w:szCs w:val="18"/>
          <w:color w:val="auto"/>
        </w:rPr>
      </w:pPr>
      <w:r>
        <w:rPr>
          <w:rFonts w:ascii="Arial" w:cs="Arial" w:eastAsia="Arial" w:hAnsi="Arial"/>
          <w:sz w:val="18"/>
          <w:szCs w:val="18"/>
          <w:color w:val="auto"/>
        </w:rPr>
        <w:t>Savings Contributions shall be deducted from the Participant’s salary or wages as the case may be by his Employer whilst he is in Employment;</w:t>
      </w:r>
    </w:p>
    <w:p>
      <w:pPr>
        <w:spacing w:after="0" w:line="170" w:lineRule="exact"/>
        <w:rPr>
          <w:rFonts w:ascii="Arial" w:cs="Arial" w:eastAsia="Arial" w:hAnsi="Arial"/>
          <w:sz w:val="18"/>
          <w:szCs w:val="18"/>
          <w:color w:val="auto"/>
        </w:rPr>
      </w:pPr>
    </w:p>
    <w:p>
      <w:pPr>
        <w:ind w:left="1952" w:right="120" w:hanging="655"/>
        <w:spacing w:after="0" w:line="259" w:lineRule="auto"/>
        <w:tabs>
          <w:tab w:leader="none" w:pos="1952" w:val="left"/>
        </w:tabs>
        <w:numPr>
          <w:ilvl w:val="2"/>
          <w:numId w:val="30"/>
        </w:numPr>
        <w:rPr>
          <w:rFonts w:ascii="Arial" w:cs="Arial" w:eastAsia="Arial" w:hAnsi="Arial"/>
          <w:sz w:val="18"/>
          <w:szCs w:val="18"/>
          <w:color w:val="auto"/>
        </w:rPr>
      </w:pPr>
      <w:r>
        <w:rPr>
          <w:rFonts w:ascii="Arial" w:cs="Arial" w:eastAsia="Arial" w:hAnsi="Arial"/>
          <w:sz w:val="18"/>
          <w:szCs w:val="18"/>
          <w:color w:val="auto"/>
        </w:rPr>
        <w:t>the Participant may at any time by notice given in writing to his Employer direct that as from the day following the date on which the next due Savings Contribution is made, he wishes to cease making Savings Contributions and following the deduction in respect of such next due Savings Contribution the Employer shall make no further deductions in respect of Savings Contributions from the Participant’s salary or wages; and</w:t>
      </w:r>
    </w:p>
    <w:p>
      <w:pPr>
        <w:spacing w:after="0" w:line="186" w:lineRule="exact"/>
        <w:rPr>
          <w:rFonts w:ascii="Arial" w:cs="Arial" w:eastAsia="Arial" w:hAnsi="Arial"/>
          <w:sz w:val="18"/>
          <w:szCs w:val="18"/>
          <w:color w:val="auto"/>
        </w:rPr>
      </w:pPr>
    </w:p>
    <w:p>
      <w:pPr>
        <w:ind w:left="1952" w:right="40" w:hanging="655"/>
        <w:spacing w:after="0" w:line="257" w:lineRule="auto"/>
        <w:tabs>
          <w:tab w:leader="none" w:pos="1952" w:val="left"/>
        </w:tabs>
        <w:numPr>
          <w:ilvl w:val="2"/>
          <w:numId w:val="30"/>
        </w:numPr>
        <w:rPr>
          <w:rFonts w:ascii="Arial" w:cs="Arial" w:eastAsia="Arial" w:hAnsi="Arial"/>
          <w:sz w:val="18"/>
          <w:szCs w:val="18"/>
          <w:color w:val="auto"/>
        </w:rPr>
      </w:pPr>
      <w:r>
        <w:rPr>
          <w:rFonts w:ascii="Arial" w:cs="Arial" w:eastAsia="Arial" w:hAnsi="Arial"/>
          <w:sz w:val="18"/>
          <w:szCs w:val="18"/>
          <w:color w:val="auto"/>
        </w:rPr>
        <w:t>the Participant having ceased making Savings Contributions may at any time by notice given in writing to his Employer direct that as from the day following the date on which the next Savings Contribution would otherwise have been made, he wishes to recommence making Savings Contributions and provided that the terms of the Savings Contract so permit the Employer shall from the aforesaid day make deductions in respect of Savings Contributions from the Participant’s salary or wages in accordance with the provisions of sub-paragraph (i) of this paragraph.</w:t>
      </w:r>
    </w:p>
    <w:p>
      <w:pPr>
        <w:spacing w:after="0" w:line="188" w:lineRule="exact"/>
        <w:rPr>
          <w:rFonts w:ascii="Arial" w:cs="Arial" w:eastAsia="Arial" w:hAnsi="Arial"/>
          <w:sz w:val="18"/>
          <w:szCs w:val="18"/>
          <w:color w:val="auto"/>
        </w:rPr>
      </w:pPr>
    </w:p>
    <w:p>
      <w:pPr>
        <w:ind w:left="1292" w:right="340" w:hanging="644"/>
        <w:spacing w:after="0" w:line="277" w:lineRule="auto"/>
        <w:tabs>
          <w:tab w:leader="none" w:pos="1292" w:val="left"/>
        </w:tabs>
        <w:numPr>
          <w:ilvl w:val="1"/>
          <w:numId w:val="30"/>
        </w:numPr>
        <w:rPr>
          <w:rFonts w:ascii="Arial" w:cs="Arial" w:eastAsia="Arial" w:hAnsi="Arial"/>
          <w:sz w:val="18"/>
          <w:szCs w:val="18"/>
          <w:color w:val="auto"/>
        </w:rPr>
      </w:pPr>
      <w:r>
        <w:rPr>
          <w:rFonts w:ascii="Arial" w:cs="Arial" w:eastAsia="Arial" w:hAnsi="Arial"/>
          <w:sz w:val="18"/>
          <w:szCs w:val="18"/>
          <w:color w:val="auto"/>
        </w:rPr>
        <w:t>The following shall apply in relation to repayments to be made under the Savings Contract in addition to any conditions required by the Savings Body:</w:t>
      </w:r>
    </w:p>
    <w:p>
      <w:pPr>
        <w:spacing w:after="0" w:line="170" w:lineRule="exact"/>
        <w:rPr>
          <w:rFonts w:ascii="Arial" w:cs="Arial" w:eastAsia="Arial" w:hAnsi="Arial"/>
          <w:sz w:val="18"/>
          <w:szCs w:val="18"/>
          <w:color w:val="auto"/>
        </w:rPr>
      </w:pPr>
    </w:p>
    <w:p>
      <w:pPr>
        <w:ind w:left="1952" w:right="20" w:hanging="655"/>
        <w:spacing w:after="0" w:line="277" w:lineRule="auto"/>
        <w:tabs>
          <w:tab w:leader="none" w:pos="1952" w:val="left"/>
        </w:tabs>
        <w:numPr>
          <w:ilvl w:val="2"/>
          <w:numId w:val="30"/>
        </w:numPr>
        <w:rPr>
          <w:rFonts w:ascii="Arial" w:cs="Arial" w:eastAsia="Arial" w:hAnsi="Arial"/>
          <w:sz w:val="18"/>
          <w:szCs w:val="18"/>
          <w:color w:val="auto"/>
        </w:rPr>
      </w:pPr>
      <w:r>
        <w:rPr>
          <w:rFonts w:ascii="Arial" w:cs="Arial" w:eastAsia="Arial" w:hAnsi="Arial"/>
          <w:sz w:val="18"/>
          <w:szCs w:val="18"/>
          <w:color w:val="auto"/>
        </w:rPr>
        <w:t>The Participant may at any time by notice given in writing to the Savings Body direct that he wishes such repayment to be made as is then due to him and</w:t>
      </w:r>
    </w:p>
    <w:p>
      <w:pPr>
        <w:spacing w:after="0" w:line="170" w:lineRule="exact"/>
        <w:rPr>
          <w:rFonts w:ascii="Arial" w:cs="Arial" w:eastAsia="Arial" w:hAnsi="Arial"/>
          <w:sz w:val="18"/>
          <w:szCs w:val="18"/>
          <w:color w:val="auto"/>
        </w:rPr>
      </w:pPr>
    </w:p>
    <w:p>
      <w:pPr>
        <w:ind w:left="2592" w:right="80" w:hanging="647"/>
        <w:spacing w:after="0" w:line="342" w:lineRule="auto"/>
        <w:tabs>
          <w:tab w:leader="none" w:pos="2592" w:val="left"/>
        </w:tabs>
        <w:numPr>
          <w:ilvl w:val="3"/>
          <w:numId w:val="30"/>
        </w:numPr>
        <w:rPr>
          <w:rFonts w:ascii="Arial" w:cs="Arial" w:eastAsia="Arial" w:hAnsi="Arial"/>
          <w:sz w:val="16"/>
          <w:szCs w:val="16"/>
          <w:color w:val="auto"/>
        </w:rPr>
      </w:pPr>
      <w:r>
        <w:rPr>
          <w:rFonts w:ascii="Arial" w:cs="Arial" w:eastAsia="Arial" w:hAnsi="Arial"/>
          <w:sz w:val="16"/>
          <w:szCs w:val="16"/>
          <w:color w:val="auto"/>
        </w:rPr>
        <w:t>if such notice is given in respect of any Option which is then capable of being exercised and which the Participant wishes to exercise in whole or in part, such notice shall be given at the same time that the Exercise Notice is given; or</w:t>
      </w:r>
    </w:p>
    <w:p>
      <w:pPr>
        <w:spacing w:after="0" w:line="123" w:lineRule="exact"/>
        <w:rPr>
          <w:rFonts w:ascii="Arial" w:cs="Arial" w:eastAsia="Arial" w:hAnsi="Arial"/>
          <w:sz w:val="16"/>
          <w:szCs w:val="16"/>
          <w:color w:val="auto"/>
        </w:rPr>
      </w:pPr>
    </w:p>
    <w:p>
      <w:pPr>
        <w:ind w:left="2592" w:right="240" w:hanging="647"/>
        <w:spacing w:after="0" w:line="308" w:lineRule="auto"/>
        <w:tabs>
          <w:tab w:leader="none" w:pos="2592" w:val="left"/>
        </w:tabs>
        <w:numPr>
          <w:ilvl w:val="3"/>
          <w:numId w:val="30"/>
        </w:numPr>
        <w:rPr>
          <w:rFonts w:ascii="Arial" w:cs="Arial" w:eastAsia="Arial" w:hAnsi="Arial"/>
          <w:sz w:val="17"/>
          <w:szCs w:val="17"/>
          <w:color w:val="auto"/>
        </w:rPr>
      </w:pPr>
      <w:r>
        <w:rPr>
          <w:rFonts w:ascii="Arial" w:cs="Arial" w:eastAsia="Arial" w:hAnsi="Arial"/>
          <w:sz w:val="17"/>
          <w:szCs w:val="17"/>
          <w:color w:val="auto"/>
        </w:rPr>
        <w:t>if such notice is given in respect of any Option which the Participant does not then wish to exercise or in respect of any Option not then capable of being exercised, such notice shall be referred to as “Repayment Notice”.</w:t>
      </w:r>
    </w:p>
    <w:p>
      <w:pPr>
        <w:spacing w:after="0" w:line="146" w:lineRule="exact"/>
        <w:rPr>
          <w:rFonts w:ascii="Arial" w:cs="Arial" w:eastAsia="Arial" w:hAnsi="Arial"/>
          <w:sz w:val="17"/>
          <w:szCs w:val="17"/>
          <w:color w:val="auto"/>
        </w:rPr>
      </w:pPr>
    </w:p>
    <w:p>
      <w:pPr>
        <w:ind w:left="1952" w:right="280" w:hanging="655"/>
        <w:spacing w:after="0" w:line="264" w:lineRule="auto"/>
        <w:tabs>
          <w:tab w:leader="none" w:pos="1952" w:val="left"/>
        </w:tabs>
        <w:numPr>
          <w:ilvl w:val="2"/>
          <w:numId w:val="30"/>
        </w:numPr>
        <w:rPr>
          <w:rFonts w:ascii="Arial" w:cs="Arial" w:eastAsia="Arial" w:hAnsi="Arial"/>
          <w:sz w:val="18"/>
          <w:szCs w:val="18"/>
          <w:color w:val="auto"/>
        </w:rPr>
      </w:pPr>
      <w:r>
        <w:rPr>
          <w:rFonts w:ascii="Arial" w:cs="Arial" w:eastAsia="Arial" w:hAnsi="Arial"/>
          <w:sz w:val="18"/>
          <w:szCs w:val="18"/>
          <w:color w:val="auto"/>
        </w:rPr>
        <w:t>Forthwith upon receipt by it of an Exercise Notice the Employer shall notify the Savings Body with a view to agreeing with the relevant Participant and the Savings Body how best to apply the proceeds of repayment as directed by the Participant in such Exercise Notice.</w:t>
      </w:r>
    </w:p>
    <w:p>
      <w:pPr>
        <w:spacing w:after="0" w:line="330"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12"/>
          </w:cols>
          <w:pgMar w:left="248" w:top="341" w:right="239" w:bottom="1440" w:gutter="0" w:footer="0" w:header="0"/>
        </w:sectPr>
      </w:pPr>
    </w:p>
    <w:bookmarkStart w:id="39" w:name="page40"/>
    <w:bookmarkEnd w:id="39"/>
    <w:p>
      <w:pPr>
        <w:ind w:left="652" w:hanging="652"/>
        <w:spacing w:after="0"/>
        <w:tabs>
          <w:tab w:leader="none" w:pos="652"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MANNER OF EXERCISE OF OPTIONS</w:t>
      </w:r>
    </w:p>
    <w:p>
      <w:pPr>
        <w:spacing w:after="0" w:line="225" w:lineRule="exact"/>
        <w:rPr>
          <w:rFonts w:ascii="Arial" w:cs="Arial" w:eastAsia="Arial" w:hAnsi="Arial"/>
          <w:sz w:val="18"/>
          <w:szCs w:val="18"/>
          <w:color w:val="auto"/>
        </w:rPr>
      </w:pPr>
    </w:p>
    <w:p>
      <w:pPr>
        <w:ind w:left="1292" w:right="160" w:hanging="644"/>
        <w:spacing w:after="0" w:line="255" w:lineRule="auto"/>
        <w:tabs>
          <w:tab w:leader="none" w:pos="1292" w:val="left"/>
        </w:tabs>
        <w:numPr>
          <w:ilvl w:val="1"/>
          <w:numId w:val="31"/>
        </w:numPr>
        <w:rPr>
          <w:rFonts w:ascii="Arial" w:cs="Arial" w:eastAsia="Arial" w:hAnsi="Arial"/>
          <w:sz w:val="18"/>
          <w:szCs w:val="18"/>
          <w:color w:val="auto"/>
        </w:rPr>
      </w:pPr>
      <w:r>
        <w:rPr>
          <w:rFonts w:ascii="Arial" w:cs="Arial" w:eastAsia="Arial" w:hAnsi="Arial"/>
          <w:sz w:val="18"/>
          <w:szCs w:val="18"/>
          <w:color w:val="auto"/>
        </w:rPr>
        <w:t>An Option shall be exercised by the Participant giving notice in writing to the Company or any other company whose shares are Scheme Shares and to the Employer (the “Exercise Notice”) that the Option is to be exercised in respect of that number of Shares of which the aggregate Subscription Price is not in excess of the amount specified in the Exercise Notice (being the whole or part of the amount of the Savings Contract Repayment relating to such Option). Such Exercise Notice shall be accompanied by the relevant option certificate and such form of withdrawal from the Savings Contract as the Savings Body shall require. Shares shall be allotted and issued pursuant to an Exercise Notice within 30 days of the date of exercise subject to the Company having the right to delay the issue or delivery of any shares under this Scheme until:</w:t>
      </w:r>
    </w:p>
    <w:p>
      <w:pPr>
        <w:spacing w:after="0" w:line="189" w:lineRule="exact"/>
        <w:rPr>
          <w:rFonts w:ascii="Arial" w:cs="Arial" w:eastAsia="Arial" w:hAnsi="Arial"/>
          <w:sz w:val="18"/>
          <w:szCs w:val="18"/>
          <w:color w:val="auto"/>
        </w:rPr>
      </w:pPr>
    </w:p>
    <w:p>
      <w:pPr>
        <w:ind w:left="1952" w:right="40" w:hanging="655"/>
        <w:spacing w:after="0" w:line="277" w:lineRule="auto"/>
        <w:tabs>
          <w:tab w:leader="none" w:pos="1952" w:val="left"/>
        </w:tabs>
        <w:numPr>
          <w:ilvl w:val="2"/>
          <w:numId w:val="31"/>
        </w:numPr>
        <w:rPr>
          <w:rFonts w:ascii="Arial" w:cs="Arial" w:eastAsia="Arial" w:hAnsi="Arial"/>
          <w:sz w:val="18"/>
          <w:szCs w:val="18"/>
          <w:color w:val="auto"/>
        </w:rPr>
      </w:pPr>
      <w:r>
        <w:rPr>
          <w:rFonts w:ascii="Arial" w:cs="Arial" w:eastAsia="Arial" w:hAnsi="Arial"/>
          <w:sz w:val="18"/>
          <w:szCs w:val="18"/>
          <w:color w:val="auto"/>
        </w:rPr>
        <w:t>the completion of such registration or qualification of such Shares under any state or federal law, ruling or regulation of the United States as the Company shall determine to be necessary and advisable; and</w:t>
      </w:r>
    </w:p>
    <w:p>
      <w:pPr>
        <w:spacing w:after="0" w:line="170" w:lineRule="exact"/>
        <w:rPr>
          <w:rFonts w:ascii="Arial" w:cs="Arial" w:eastAsia="Arial" w:hAnsi="Arial"/>
          <w:sz w:val="18"/>
          <w:szCs w:val="18"/>
          <w:color w:val="auto"/>
        </w:rPr>
      </w:pPr>
    </w:p>
    <w:p>
      <w:pPr>
        <w:ind w:left="1952" w:right="800" w:hanging="655"/>
        <w:spacing w:after="0" w:line="277" w:lineRule="auto"/>
        <w:tabs>
          <w:tab w:leader="none" w:pos="1952" w:val="left"/>
        </w:tabs>
        <w:numPr>
          <w:ilvl w:val="2"/>
          <w:numId w:val="31"/>
        </w:numPr>
        <w:rPr>
          <w:rFonts w:ascii="Arial" w:cs="Arial" w:eastAsia="Arial" w:hAnsi="Arial"/>
          <w:sz w:val="18"/>
          <w:szCs w:val="18"/>
          <w:color w:val="auto"/>
        </w:rPr>
      </w:pPr>
      <w:r>
        <w:rPr>
          <w:rFonts w:ascii="Arial" w:cs="Arial" w:eastAsia="Arial" w:hAnsi="Arial"/>
          <w:sz w:val="18"/>
          <w:szCs w:val="18"/>
          <w:color w:val="auto"/>
        </w:rPr>
        <w:t>receipt from the Participant of such documents and information as the Committee may deem necessary or appropriate in connection with such registration or qualification.</w:t>
      </w:r>
    </w:p>
    <w:p>
      <w:pPr>
        <w:spacing w:after="0" w:line="170" w:lineRule="exact"/>
        <w:rPr>
          <w:sz w:val="20"/>
          <w:szCs w:val="20"/>
          <w:color w:val="auto"/>
        </w:rPr>
      </w:pPr>
    </w:p>
    <w:p>
      <w:pPr>
        <w:jc w:val="both"/>
        <w:ind w:left="1292" w:right="120"/>
        <w:spacing w:after="0" w:line="259" w:lineRule="auto"/>
        <w:rPr>
          <w:sz w:val="20"/>
          <w:szCs w:val="20"/>
          <w:color w:val="auto"/>
        </w:rPr>
      </w:pPr>
      <w:r>
        <w:rPr>
          <w:rFonts w:ascii="Arial" w:cs="Arial" w:eastAsia="Arial" w:hAnsi="Arial"/>
          <w:sz w:val="18"/>
          <w:szCs w:val="18"/>
          <w:color w:val="auto"/>
        </w:rPr>
        <w:t>Subject to Rule 7(a), below, if such Notice is received after the record date for payment of a dividend, the making of any other distribution or any offer by way of rights to the holders of Shares the allotment of Shares upon such exercise shall be made upon terms that the Shares so allotted are not entitled to participate in the relevant dividend, rights or distribution, but the Shares so allotted shall in all other respects rank pari passu with the other issued Shares of the same class.</w:t>
      </w:r>
    </w:p>
    <w:p>
      <w:pPr>
        <w:spacing w:after="0" w:line="187" w:lineRule="exact"/>
        <w:rPr>
          <w:sz w:val="20"/>
          <w:szCs w:val="20"/>
          <w:color w:val="auto"/>
        </w:rPr>
      </w:pPr>
    </w:p>
    <w:p>
      <w:pPr>
        <w:ind w:left="1292" w:hanging="644"/>
        <w:spacing w:after="0"/>
        <w:tabs>
          <w:tab w:leader="none" w:pos="1292" w:val="left"/>
        </w:tabs>
        <w:numPr>
          <w:ilvl w:val="1"/>
          <w:numId w:val="32"/>
        </w:numPr>
        <w:rPr>
          <w:rFonts w:ascii="Arial" w:cs="Arial" w:eastAsia="Arial" w:hAnsi="Arial"/>
          <w:sz w:val="18"/>
          <w:szCs w:val="18"/>
          <w:color w:val="auto"/>
        </w:rPr>
      </w:pPr>
      <w:r>
        <w:rPr>
          <w:rFonts w:ascii="Arial" w:cs="Arial" w:eastAsia="Arial" w:hAnsi="Arial"/>
          <w:sz w:val="18"/>
          <w:szCs w:val="18"/>
          <w:color w:val="auto"/>
        </w:rPr>
        <w:t>An Option may be exercised in whole or in part but if exercised in part shall lapse as to the unexercised portion.</w:t>
      </w:r>
    </w:p>
    <w:p>
      <w:pPr>
        <w:spacing w:after="0" w:line="225" w:lineRule="exact"/>
        <w:rPr>
          <w:rFonts w:ascii="Arial" w:cs="Arial" w:eastAsia="Arial" w:hAnsi="Arial"/>
          <w:sz w:val="18"/>
          <w:szCs w:val="18"/>
          <w:color w:val="auto"/>
        </w:rPr>
      </w:pPr>
    </w:p>
    <w:p>
      <w:pPr>
        <w:ind w:left="1292" w:hanging="644"/>
        <w:spacing w:after="0" w:line="259" w:lineRule="auto"/>
        <w:tabs>
          <w:tab w:leader="none" w:pos="1292" w:val="left"/>
        </w:tabs>
        <w:numPr>
          <w:ilvl w:val="1"/>
          <w:numId w:val="32"/>
        </w:numPr>
        <w:rPr>
          <w:rFonts w:ascii="Arial" w:cs="Arial" w:eastAsia="Arial" w:hAnsi="Arial"/>
          <w:sz w:val="18"/>
          <w:szCs w:val="18"/>
          <w:color w:val="auto"/>
        </w:rPr>
      </w:pPr>
      <w:r>
        <w:rPr>
          <w:rFonts w:ascii="Arial" w:cs="Arial" w:eastAsia="Arial" w:hAnsi="Arial"/>
          <w:sz w:val="18"/>
          <w:szCs w:val="18"/>
          <w:color w:val="auto"/>
        </w:rPr>
        <w:t>If the Shares of the Company are listed on the London Stock Exchange or traded on AIM, then, on the exercise of any Option, the Company or any other company whose shares are Scheme Shares shall forthwith apply for the relevant Shares to be admitted to the Official List maintained by the UK Listing Authority or, if appropriate, on AIM unless such Shares shall have been so admitted or such permission shall have been so granted previously.</w:t>
      </w:r>
    </w:p>
    <w:p>
      <w:pPr>
        <w:spacing w:after="0" w:line="186" w:lineRule="exact"/>
        <w:rPr>
          <w:rFonts w:ascii="Arial" w:cs="Arial" w:eastAsia="Arial" w:hAnsi="Arial"/>
          <w:sz w:val="18"/>
          <w:szCs w:val="18"/>
          <w:color w:val="auto"/>
        </w:rPr>
      </w:pPr>
    </w:p>
    <w:p>
      <w:pPr>
        <w:ind w:left="652" w:hanging="652"/>
        <w:spacing w:after="0"/>
        <w:tabs>
          <w:tab w:leader="none" w:pos="652"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ADJUSTMENT PROVISIONS</w:t>
      </w:r>
    </w:p>
    <w:p>
      <w:pPr>
        <w:spacing w:after="0" w:line="225" w:lineRule="exact"/>
        <w:rPr>
          <w:rFonts w:ascii="Arial" w:cs="Arial" w:eastAsia="Arial" w:hAnsi="Arial"/>
          <w:sz w:val="18"/>
          <w:szCs w:val="18"/>
          <w:color w:val="auto"/>
        </w:rPr>
      </w:pPr>
    </w:p>
    <w:p>
      <w:pPr>
        <w:ind w:left="652" w:right="20"/>
        <w:spacing w:after="0" w:line="264" w:lineRule="auto"/>
        <w:rPr>
          <w:rFonts w:ascii="Arial" w:cs="Arial" w:eastAsia="Arial" w:hAnsi="Arial"/>
          <w:sz w:val="18"/>
          <w:szCs w:val="18"/>
          <w:color w:val="auto"/>
        </w:rPr>
      </w:pPr>
      <w:r>
        <w:rPr>
          <w:rFonts w:ascii="Arial" w:cs="Arial" w:eastAsia="Arial" w:hAnsi="Arial"/>
          <w:sz w:val="18"/>
          <w:szCs w:val="18"/>
          <w:color w:val="auto"/>
        </w:rPr>
        <w:t>In the event of any variation in the share capital of the Company, the number of Shares subject to an Option and the Subscription Price for each Share shall be adjusted in such manner as the Committee in consultation with the Auditors determine to be fair and reasonable, subject to the express terms and conditions of this Scheme, provided that:</w:t>
      </w:r>
    </w:p>
    <w:p>
      <w:pPr>
        <w:spacing w:after="0" w:line="181" w:lineRule="exact"/>
        <w:rPr>
          <w:rFonts w:ascii="Arial" w:cs="Arial" w:eastAsia="Arial" w:hAnsi="Arial"/>
          <w:sz w:val="18"/>
          <w:szCs w:val="18"/>
          <w:color w:val="auto"/>
        </w:rPr>
      </w:pPr>
    </w:p>
    <w:p>
      <w:pPr>
        <w:ind w:left="1292" w:hanging="644"/>
        <w:spacing w:after="0"/>
        <w:tabs>
          <w:tab w:leader="none" w:pos="1292" w:val="left"/>
        </w:tabs>
        <w:numPr>
          <w:ilvl w:val="1"/>
          <w:numId w:val="33"/>
        </w:numPr>
        <w:rPr>
          <w:rFonts w:ascii="Arial" w:cs="Arial" w:eastAsia="Arial" w:hAnsi="Arial"/>
          <w:sz w:val="18"/>
          <w:szCs w:val="18"/>
          <w:color w:val="auto"/>
        </w:rPr>
      </w:pPr>
      <w:r>
        <w:rPr>
          <w:rFonts w:ascii="Arial" w:cs="Arial" w:eastAsia="Arial" w:hAnsi="Arial"/>
          <w:sz w:val="18"/>
          <w:szCs w:val="18"/>
          <w:color w:val="auto"/>
        </w:rPr>
        <w:t>the Subscription Price of a Share is not reduced below its par value;</w:t>
      </w:r>
    </w:p>
    <w:p>
      <w:pPr>
        <w:spacing w:after="0" w:line="225" w:lineRule="exact"/>
        <w:rPr>
          <w:rFonts w:ascii="Arial" w:cs="Arial" w:eastAsia="Arial" w:hAnsi="Arial"/>
          <w:sz w:val="18"/>
          <w:szCs w:val="18"/>
          <w:color w:val="auto"/>
        </w:rPr>
      </w:pPr>
    </w:p>
    <w:p>
      <w:pPr>
        <w:ind w:left="1292" w:hanging="644"/>
        <w:spacing w:after="0"/>
        <w:tabs>
          <w:tab w:leader="none" w:pos="1292" w:val="left"/>
        </w:tabs>
        <w:numPr>
          <w:ilvl w:val="1"/>
          <w:numId w:val="33"/>
        </w:numPr>
        <w:rPr>
          <w:rFonts w:ascii="Arial" w:cs="Arial" w:eastAsia="Arial" w:hAnsi="Arial"/>
          <w:sz w:val="18"/>
          <w:szCs w:val="18"/>
          <w:color w:val="auto"/>
        </w:rPr>
      </w:pPr>
      <w:r>
        <w:rPr>
          <w:rFonts w:ascii="Arial" w:cs="Arial" w:eastAsia="Arial" w:hAnsi="Arial"/>
          <w:sz w:val="18"/>
          <w:szCs w:val="18"/>
          <w:color w:val="auto"/>
        </w:rPr>
        <w:t>no such adjustment shall be made without the prior approval of the Revenue;</w:t>
      </w:r>
    </w:p>
    <w:p>
      <w:pPr>
        <w:spacing w:after="0" w:line="225" w:lineRule="exact"/>
        <w:rPr>
          <w:rFonts w:ascii="Arial" w:cs="Arial" w:eastAsia="Arial" w:hAnsi="Arial"/>
          <w:sz w:val="18"/>
          <w:szCs w:val="18"/>
          <w:color w:val="auto"/>
        </w:rPr>
      </w:pPr>
    </w:p>
    <w:p>
      <w:pPr>
        <w:ind w:left="1292" w:right="100" w:hanging="644"/>
        <w:spacing w:after="0" w:line="277" w:lineRule="auto"/>
        <w:tabs>
          <w:tab w:leader="none" w:pos="1292" w:val="left"/>
        </w:tabs>
        <w:numPr>
          <w:ilvl w:val="1"/>
          <w:numId w:val="33"/>
        </w:numPr>
        <w:rPr>
          <w:rFonts w:ascii="Arial" w:cs="Arial" w:eastAsia="Arial" w:hAnsi="Arial"/>
          <w:sz w:val="18"/>
          <w:szCs w:val="18"/>
          <w:color w:val="auto"/>
        </w:rPr>
      </w:pPr>
      <w:r>
        <w:rPr>
          <w:rFonts w:ascii="Arial" w:cs="Arial" w:eastAsia="Arial" w:hAnsi="Arial"/>
          <w:sz w:val="18"/>
          <w:szCs w:val="18"/>
          <w:color w:val="auto"/>
        </w:rPr>
        <w:t>the class of shares subject to Options shall not be altered unless, following such alteration, the shares would comply with paragraphs 18-22 of Schedule 3;</w:t>
      </w:r>
    </w:p>
    <w:p>
      <w:pPr>
        <w:spacing w:after="0" w:line="170" w:lineRule="exact"/>
        <w:rPr>
          <w:rFonts w:ascii="Arial" w:cs="Arial" w:eastAsia="Arial" w:hAnsi="Arial"/>
          <w:sz w:val="18"/>
          <w:szCs w:val="18"/>
          <w:color w:val="auto"/>
        </w:rPr>
      </w:pPr>
    </w:p>
    <w:p>
      <w:pPr>
        <w:ind w:left="1292" w:right="360" w:hanging="644"/>
        <w:spacing w:after="0" w:line="277" w:lineRule="auto"/>
        <w:tabs>
          <w:tab w:leader="none" w:pos="1292" w:val="left"/>
        </w:tabs>
        <w:numPr>
          <w:ilvl w:val="1"/>
          <w:numId w:val="33"/>
        </w:numPr>
        <w:rPr>
          <w:rFonts w:ascii="Arial" w:cs="Arial" w:eastAsia="Arial" w:hAnsi="Arial"/>
          <w:sz w:val="18"/>
          <w:szCs w:val="18"/>
          <w:color w:val="auto"/>
        </w:rPr>
      </w:pPr>
      <w:r>
        <w:rPr>
          <w:rFonts w:ascii="Arial" w:cs="Arial" w:eastAsia="Arial" w:hAnsi="Arial"/>
          <w:sz w:val="18"/>
          <w:szCs w:val="18"/>
          <w:color w:val="auto"/>
        </w:rPr>
        <w:t>the aggregate amount payable on exercise of an Option in full is neither materially changed nor increased beyond the expected Savings Contract Repayment.</w:t>
      </w:r>
    </w:p>
    <w:p>
      <w:pPr>
        <w:spacing w:after="0" w:line="31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92"/>
          </w:cols>
          <w:pgMar w:left="248" w:top="274" w:right="259" w:bottom="1440" w:gutter="0" w:footer="0" w:header="0"/>
        </w:sectPr>
      </w:pPr>
    </w:p>
    <w:bookmarkStart w:id="40" w:name="page41"/>
    <w:bookmarkEnd w:id="40"/>
    <w:p>
      <w:pPr>
        <w:ind w:left="652" w:hanging="652"/>
        <w:spacing w:after="0"/>
        <w:tabs>
          <w:tab w:leader="none" w:pos="652"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TAKEOVERS</w:t>
      </w:r>
    </w:p>
    <w:p>
      <w:pPr>
        <w:spacing w:after="0" w:line="225" w:lineRule="exact"/>
        <w:rPr>
          <w:rFonts w:ascii="Arial" w:cs="Arial" w:eastAsia="Arial" w:hAnsi="Arial"/>
          <w:sz w:val="18"/>
          <w:szCs w:val="18"/>
          <w:color w:val="auto"/>
        </w:rPr>
      </w:pPr>
    </w:p>
    <w:p>
      <w:pPr>
        <w:ind w:left="1292" w:hanging="644"/>
        <w:spacing w:after="0"/>
        <w:tabs>
          <w:tab w:leader="none" w:pos="1292" w:val="left"/>
        </w:tabs>
        <w:numPr>
          <w:ilvl w:val="1"/>
          <w:numId w:val="34"/>
        </w:numPr>
        <w:rPr>
          <w:rFonts w:ascii="Arial" w:cs="Arial" w:eastAsia="Arial" w:hAnsi="Arial"/>
          <w:sz w:val="18"/>
          <w:szCs w:val="18"/>
          <w:color w:val="auto"/>
        </w:rPr>
      </w:pPr>
      <w:r>
        <w:rPr>
          <w:rFonts w:ascii="Arial" w:cs="Arial" w:eastAsia="Arial" w:hAnsi="Arial"/>
          <w:sz w:val="18"/>
          <w:szCs w:val="18"/>
          <w:color w:val="auto"/>
        </w:rPr>
        <w:t>If any person obtains Control of the Company as a result of making:</w:t>
      </w:r>
    </w:p>
    <w:p>
      <w:pPr>
        <w:spacing w:after="0" w:line="225" w:lineRule="exact"/>
        <w:rPr>
          <w:rFonts w:ascii="Arial" w:cs="Arial" w:eastAsia="Arial" w:hAnsi="Arial"/>
          <w:sz w:val="18"/>
          <w:szCs w:val="18"/>
          <w:color w:val="auto"/>
        </w:rPr>
      </w:pPr>
    </w:p>
    <w:p>
      <w:pPr>
        <w:ind w:left="1952" w:right="140" w:hanging="655"/>
        <w:spacing w:after="0" w:line="277" w:lineRule="auto"/>
        <w:tabs>
          <w:tab w:leader="none" w:pos="1952" w:val="left"/>
        </w:tabs>
        <w:numPr>
          <w:ilvl w:val="2"/>
          <w:numId w:val="34"/>
        </w:numPr>
        <w:rPr>
          <w:rFonts w:ascii="Arial" w:cs="Arial" w:eastAsia="Arial" w:hAnsi="Arial"/>
          <w:sz w:val="18"/>
          <w:szCs w:val="18"/>
          <w:color w:val="auto"/>
        </w:rPr>
      </w:pPr>
      <w:r>
        <w:rPr>
          <w:rFonts w:ascii="Arial" w:cs="Arial" w:eastAsia="Arial" w:hAnsi="Arial"/>
          <w:sz w:val="18"/>
          <w:szCs w:val="18"/>
          <w:color w:val="auto"/>
        </w:rPr>
        <w:t>a general offer to acquire the whole of the common stock of the Company which is made on a condition such that if it is satisfied the person making the offer will have Control of the Company; or</w:t>
      </w:r>
    </w:p>
    <w:p>
      <w:pPr>
        <w:spacing w:after="0" w:line="170" w:lineRule="exact"/>
        <w:rPr>
          <w:rFonts w:ascii="Arial" w:cs="Arial" w:eastAsia="Arial" w:hAnsi="Arial"/>
          <w:sz w:val="18"/>
          <w:szCs w:val="18"/>
          <w:color w:val="auto"/>
        </w:rPr>
      </w:pPr>
    </w:p>
    <w:p>
      <w:pPr>
        <w:ind w:left="1952" w:hanging="655"/>
        <w:spacing w:after="0"/>
        <w:tabs>
          <w:tab w:leader="none" w:pos="1952" w:val="left"/>
        </w:tabs>
        <w:numPr>
          <w:ilvl w:val="2"/>
          <w:numId w:val="34"/>
        </w:numPr>
        <w:rPr>
          <w:rFonts w:ascii="Arial" w:cs="Arial" w:eastAsia="Arial" w:hAnsi="Arial"/>
          <w:sz w:val="18"/>
          <w:szCs w:val="18"/>
          <w:color w:val="auto"/>
        </w:rPr>
      </w:pPr>
      <w:r>
        <w:rPr>
          <w:rFonts w:ascii="Arial" w:cs="Arial" w:eastAsia="Arial" w:hAnsi="Arial"/>
          <w:sz w:val="18"/>
          <w:szCs w:val="18"/>
          <w:color w:val="auto"/>
        </w:rPr>
        <w:t>a general offer to acquire all the shares in the Company which are of the same class as the Shares;</w:t>
      </w:r>
    </w:p>
    <w:p>
      <w:pPr>
        <w:spacing w:after="0" w:line="225" w:lineRule="exact"/>
        <w:rPr>
          <w:sz w:val="20"/>
          <w:szCs w:val="20"/>
          <w:color w:val="auto"/>
        </w:rPr>
      </w:pPr>
    </w:p>
    <w:p>
      <w:pPr>
        <w:ind w:left="1292" w:right="120"/>
        <w:spacing w:after="0" w:line="277" w:lineRule="auto"/>
        <w:rPr>
          <w:sz w:val="20"/>
          <w:szCs w:val="20"/>
          <w:color w:val="auto"/>
        </w:rPr>
      </w:pPr>
      <w:r>
        <w:rPr>
          <w:rFonts w:ascii="Arial" w:cs="Arial" w:eastAsia="Arial" w:hAnsi="Arial"/>
          <w:sz w:val="18"/>
          <w:szCs w:val="18"/>
          <w:color w:val="auto"/>
        </w:rPr>
        <w:t>then any unexercised Option may be exercised within six months of the time when the person making the offer has obtained Control of the Company and any conditions subject to which the offer has been made have been satisfied.</w:t>
      </w:r>
    </w:p>
    <w:p>
      <w:pPr>
        <w:spacing w:after="0" w:line="170" w:lineRule="exact"/>
        <w:rPr>
          <w:sz w:val="20"/>
          <w:szCs w:val="20"/>
          <w:color w:val="auto"/>
        </w:rPr>
      </w:pPr>
    </w:p>
    <w:p>
      <w:pPr>
        <w:ind w:left="1292" w:right="220" w:hanging="644"/>
        <w:spacing w:after="0" w:line="302" w:lineRule="auto"/>
        <w:tabs>
          <w:tab w:leader="none" w:pos="1292" w:val="left"/>
        </w:tabs>
        <w:numPr>
          <w:ilvl w:val="0"/>
          <w:numId w:val="35"/>
        </w:numPr>
        <w:rPr>
          <w:rFonts w:ascii="Arial" w:cs="Arial" w:eastAsia="Arial" w:hAnsi="Arial"/>
          <w:sz w:val="16"/>
          <w:szCs w:val="16"/>
          <w:color w:val="auto"/>
        </w:rPr>
      </w:pPr>
      <w:r>
        <w:rPr>
          <w:rFonts w:ascii="Arial" w:cs="Arial" w:eastAsia="Arial" w:hAnsi="Arial"/>
          <w:sz w:val="16"/>
          <w:szCs w:val="16"/>
          <w:color w:val="auto"/>
        </w:rPr>
        <w:t>If as a result of the events specified in paragraph (a) above a company (“the Acquiring Company”) has obtained Control of the Company, the Company shall seek the agreement of the Acquiring Company and if such agreement is obtained the Committee shall forthwith notify each Participant thereof and any unexercised Option may at any time during the periods referred to in paragraph 38(3) of Schedule 3 be released by the Participant for a new Option which satisfies the following conditions, namely that it:</w:t>
      </w:r>
    </w:p>
    <w:p>
      <w:pPr>
        <w:spacing w:after="0" w:line="154" w:lineRule="exact"/>
        <w:rPr>
          <w:rFonts w:ascii="Arial" w:cs="Arial" w:eastAsia="Arial" w:hAnsi="Arial"/>
          <w:sz w:val="16"/>
          <w:szCs w:val="16"/>
          <w:color w:val="auto"/>
        </w:rPr>
      </w:pPr>
    </w:p>
    <w:p>
      <w:pPr>
        <w:ind w:left="1952" w:right="440" w:hanging="655"/>
        <w:spacing w:after="0" w:line="264" w:lineRule="auto"/>
        <w:tabs>
          <w:tab w:leader="none" w:pos="1952" w:val="left"/>
        </w:tabs>
        <w:numPr>
          <w:ilvl w:val="1"/>
          <w:numId w:val="35"/>
        </w:numPr>
        <w:rPr>
          <w:rFonts w:ascii="Arial" w:cs="Arial" w:eastAsia="Arial" w:hAnsi="Arial"/>
          <w:sz w:val="18"/>
          <w:szCs w:val="18"/>
          <w:color w:val="auto"/>
        </w:rPr>
      </w:pPr>
      <w:r>
        <w:rPr>
          <w:rFonts w:ascii="Arial" w:cs="Arial" w:eastAsia="Arial" w:hAnsi="Arial"/>
          <w:sz w:val="18"/>
          <w:szCs w:val="18"/>
          <w:color w:val="auto"/>
        </w:rPr>
        <w:t>is over the shares in the Acquiring Company or a company which has Control over the Acquiring Company which satisfy the conditions specified in paragraphs 18-22 inclusive of Schedule 3 (and the term “shares” in this Scheme shall thereafter be construed accordingly);</w:t>
      </w:r>
    </w:p>
    <w:p>
      <w:pPr>
        <w:spacing w:after="0" w:line="181" w:lineRule="exact"/>
        <w:rPr>
          <w:rFonts w:ascii="Arial" w:cs="Arial" w:eastAsia="Arial" w:hAnsi="Arial"/>
          <w:sz w:val="18"/>
          <w:szCs w:val="18"/>
          <w:color w:val="auto"/>
        </w:rPr>
      </w:pPr>
    </w:p>
    <w:p>
      <w:pPr>
        <w:ind w:left="1952" w:right="340" w:hanging="655"/>
        <w:spacing w:after="0" w:line="277" w:lineRule="auto"/>
        <w:tabs>
          <w:tab w:leader="none" w:pos="1952" w:val="left"/>
        </w:tabs>
        <w:numPr>
          <w:ilvl w:val="1"/>
          <w:numId w:val="35"/>
        </w:numPr>
        <w:rPr>
          <w:rFonts w:ascii="Arial" w:cs="Arial" w:eastAsia="Arial" w:hAnsi="Arial"/>
          <w:sz w:val="18"/>
          <w:szCs w:val="18"/>
          <w:color w:val="auto"/>
        </w:rPr>
      </w:pPr>
      <w:r>
        <w:rPr>
          <w:rFonts w:ascii="Arial" w:cs="Arial" w:eastAsia="Arial" w:hAnsi="Arial"/>
          <w:sz w:val="18"/>
          <w:szCs w:val="18"/>
          <w:color w:val="auto"/>
        </w:rPr>
        <w:t>is the right to acquire such a number of shares as have on acquisition of the new Option an aggregate market value equal to the aggregate market value of the shares subject to the old Option immediately before its release;</w:t>
      </w:r>
    </w:p>
    <w:p>
      <w:pPr>
        <w:spacing w:after="0" w:line="170" w:lineRule="exact"/>
        <w:rPr>
          <w:rFonts w:ascii="Arial" w:cs="Arial" w:eastAsia="Arial" w:hAnsi="Arial"/>
          <w:sz w:val="18"/>
          <w:szCs w:val="18"/>
          <w:color w:val="auto"/>
        </w:rPr>
      </w:pPr>
    </w:p>
    <w:p>
      <w:pPr>
        <w:ind w:left="1952" w:right="200" w:hanging="655"/>
        <w:spacing w:after="0" w:line="277" w:lineRule="auto"/>
        <w:tabs>
          <w:tab w:leader="none" w:pos="1952" w:val="left"/>
        </w:tabs>
        <w:numPr>
          <w:ilvl w:val="1"/>
          <w:numId w:val="35"/>
        </w:numPr>
        <w:rPr>
          <w:rFonts w:ascii="Arial" w:cs="Arial" w:eastAsia="Arial" w:hAnsi="Arial"/>
          <w:sz w:val="18"/>
          <w:szCs w:val="18"/>
          <w:color w:val="auto"/>
        </w:rPr>
      </w:pPr>
      <w:r>
        <w:rPr>
          <w:rFonts w:ascii="Arial" w:cs="Arial" w:eastAsia="Arial" w:hAnsi="Arial"/>
          <w:sz w:val="18"/>
          <w:szCs w:val="18"/>
          <w:color w:val="auto"/>
        </w:rPr>
        <w:t>has a subscription price such that the total amount payable on exercise is equal to the total amount payable on exercise of the old Option; and</w:t>
      </w:r>
    </w:p>
    <w:p>
      <w:pPr>
        <w:spacing w:after="0" w:line="170" w:lineRule="exact"/>
        <w:rPr>
          <w:rFonts w:ascii="Arial" w:cs="Arial" w:eastAsia="Arial" w:hAnsi="Arial"/>
          <w:sz w:val="18"/>
          <w:szCs w:val="18"/>
          <w:color w:val="auto"/>
        </w:rPr>
      </w:pPr>
    </w:p>
    <w:p>
      <w:pPr>
        <w:ind w:left="1952" w:right="140" w:hanging="655"/>
        <w:spacing w:after="0" w:line="259" w:lineRule="auto"/>
        <w:tabs>
          <w:tab w:leader="none" w:pos="1952" w:val="left"/>
        </w:tabs>
        <w:numPr>
          <w:ilvl w:val="1"/>
          <w:numId w:val="35"/>
        </w:numPr>
        <w:rPr>
          <w:rFonts w:ascii="Arial" w:cs="Arial" w:eastAsia="Arial" w:hAnsi="Arial"/>
          <w:sz w:val="18"/>
          <w:szCs w:val="18"/>
          <w:color w:val="auto"/>
        </w:rPr>
      </w:pPr>
      <w:r>
        <w:rPr>
          <w:rFonts w:ascii="Arial" w:cs="Arial" w:eastAsia="Arial" w:hAnsi="Arial"/>
          <w:sz w:val="18"/>
          <w:szCs w:val="18"/>
          <w:color w:val="auto"/>
        </w:rPr>
        <w:t>is otherwise identical in terms to the old Option and for this purpose references to “the Company” in Rules 6, 7, 9(c), 9(e) and 10 and in the definitions of any expressions used in any of the Scheme Rules which make reference to “the Company” shall, unless the context otherwise requires, be deemed to refer to “the Acquiring Company” or, as the case may be, to the other company over which the new Option is granted.</w:t>
      </w:r>
    </w:p>
    <w:p>
      <w:pPr>
        <w:spacing w:after="0" w:line="187" w:lineRule="exact"/>
        <w:rPr>
          <w:sz w:val="20"/>
          <w:szCs w:val="20"/>
          <w:color w:val="auto"/>
        </w:rPr>
      </w:pPr>
    </w:p>
    <w:p>
      <w:pPr>
        <w:ind w:left="1292" w:right="40"/>
        <w:spacing w:after="0" w:line="277" w:lineRule="auto"/>
        <w:rPr>
          <w:sz w:val="20"/>
          <w:szCs w:val="20"/>
          <w:color w:val="auto"/>
        </w:rPr>
      </w:pPr>
      <w:r>
        <w:rPr>
          <w:rFonts w:ascii="Arial" w:cs="Arial" w:eastAsia="Arial" w:hAnsi="Arial"/>
          <w:sz w:val="18"/>
          <w:szCs w:val="18"/>
          <w:color w:val="auto"/>
        </w:rPr>
        <w:t>The new Option shall, for all other purposes of the Scheme, be treated as having been acquired at the same time as the old Option in respect of which it is granted.</w:t>
      </w:r>
    </w:p>
    <w:p>
      <w:pPr>
        <w:spacing w:after="0" w:line="170" w:lineRule="exact"/>
        <w:rPr>
          <w:sz w:val="20"/>
          <w:szCs w:val="20"/>
          <w:color w:val="auto"/>
        </w:rPr>
      </w:pPr>
    </w:p>
    <w:p>
      <w:pPr>
        <w:ind w:left="1292"/>
        <w:spacing w:after="0" w:line="277" w:lineRule="auto"/>
        <w:rPr>
          <w:sz w:val="20"/>
          <w:szCs w:val="20"/>
          <w:color w:val="auto"/>
        </w:rPr>
      </w:pPr>
      <w:r>
        <w:rPr>
          <w:rFonts w:ascii="Arial" w:cs="Arial" w:eastAsia="Arial" w:hAnsi="Arial"/>
          <w:sz w:val="18"/>
          <w:szCs w:val="18"/>
          <w:color w:val="auto"/>
        </w:rPr>
        <w:t>The provisions of this Rule 8(b) shall apply within any consequential amendments in the event that Control of the Acquiring Company itself changes as a result of the events specified in Rule 8(a).</w:t>
      </w:r>
    </w:p>
    <w:p>
      <w:pPr>
        <w:spacing w:after="0" w:line="31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12"/>
          </w:cols>
          <w:pgMar w:left="248" w:top="274" w:right="239" w:bottom="1440" w:gutter="0" w:footer="0" w:header="0"/>
        </w:sectPr>
      </w:pPr>
    </w:p>
    <w:bookmarkStart w:id="41" w:name="page42"/>
    <w:bookmarkEnd w:id="41"/>
    <w:p>
      <w:pPr>
        <w:ind w:left="652" w:hanging="652"/>
        <w:spacing w:after="0"/>
        <w:tabs>
          <w:tab w:leader="none" w:pos="652"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ADMINISTRATION AND AMENDMENT</w:t>
      </w:r>
    </w:p>
    <w:p>
      <w:pPr>
        <w:spacing w:after="0" w:line="225" w:lineRule="exact"/>
        <w:rPr>
          <w:rFonts w:ascii="Arial" w:cs="Arial" w:eastAsia="Arial" w:hAnsi="Arial"/>
          <w:sz w:val="18"/>
          <w:szCs w:val="18"/>
          <w:color w:val="auto"/>
        </w:rPr>
      </w:pPr>
    </w:p>
    <w:p>
      <w:pPr>
        <w:ind w:left="1292" w:right="80" w:hanging="644"/>
        <w:spacing w:after="0" w:line="293" w:lineRule="auto"/>
        <w:tabs>
          <w:tab w:leader="none" w:pos="1292" w:val="left"/>
        </w:tabs>
        <w:numPr>
          <w:ilvl w:val="1"/>
          <w:numId w:val="36"/>
        </w:numPr>
        <w:rPr>
          <w:rFonts w:ascii="Arial" w:cs="Arial" w:eastAsia="Arial" w:hAnsi="Arial"/>
          <w:sz w:val="16"/>
          <w:szCs w:val="16"/>
          <w:color w:val="auto"/>
        </w:rPr>
      </w:pPr>
      <w:r>
        <w:rPr>
          <w:rFonts w:ascii="Arial" w:cs="Arial" w:eastAsia="Arial" w:hAnsi="Arial"/>
          <w:sz w:val="16"/>
          <w:szCs w:val="16"/>
          <w:color w:val="auto"/>
        </w:rPr>
        <w:t>Subject to the general control of the Directors, the Scheme shall be administered by the Stock Purchase Plan Committee (the “Committee”) which shall be appointed by the Directors. The Committee shall consist of at least three members, who shall serve without compensation, and who need not be Directors. The Directors may at any time replace a member of the Committee. Any expenses of the Committee shall be paid by the Company. The Committee may adopt regulations not inconsistent with these Rules for the administration of the Scheme, and, subject to paragraph (d) below, its interpretation and construction of the Rules and the regulations shall be final and conclusive. Any action to be taken by the Committee shall be on a vote of a majority of the Committee either at a meeting or in writing.</w:t>
      </w:r>
    </w:p>
    <w:p>
      <w:pPr>
        <w:spacing w:after="0" w:line="164" w:lineRule="exact"/>
        <w:rPr>
          <w:rFonts w:ascii="Arial" w:cs="Arial" w:eastAsia="Arial" w:hAnsi="Arial"/>
          <w:sz w:val="16"/>
          <w:szCs w:val="16"/>
          <w:color w:val="auto"/>
        </w:rPr>
      </w:pPr>
    </w:p>
    <w:p>
      <w:pPr>
        <w:ind w:left="1292" w:right="560" w:hanging="644"/>
        <w:spacing w:after="0" w:line="277" w:lineRule="auto"/>
        <w:tabs>
          <w:tab w:leader="none" w:pos="1292" w:val="left"/>
        </w:tabs>
        <w:numPr>
          <w:ilvl w:val="1"/>
          <w:numId w:val="36"/>
        </w:numPr>
        <w:rPr>
          <w:rFonts w:ascii="Arial" w:cs="Arial" w:eastAsia="Arial" w:hAnsi="Arial"/>
          <w:sz w:val="18"/>
          <w:szCs w:val="18"/>
          <w:color w:val="auto"/>
        </w:rPr>
      </w:pPr>
      <w:r>
        <w:rPr>
          <w:rFonts w:ascii="Arial" w:cs="Arial" w:eastAsia="Arial" w:hAnsi="Arial"/>
          <w:sz w:val="18"/>
          <w:szCs w:val="18"/>
          <w:color w:val="auto"/>
        </w:rPr>
        <w:t>The Directors or the Committee may at any time, and from time to time, by resolution and without other formality, amend the Rules, provided, however, that:</w:t>
      </w:r>
    </w:p>
    <w:p>
      <w:pPr>
        <w:spacing w:after="0" w:line="170" w:lineRule="exact"/>
        <w:rPr>
          <w:rFonts w:ascii="Arial" w:cs="Arial" w:eastAsia="Arial" w:hAnsi="Arial"/>
          <w:sz w:val="18"/>
          <w:szCs w:val="18"/>
          <w:color w:val="auto"/>
        </w:rPr>
      </w:pPr>
    </w:p>
    <w:p>
      <w:pPr>
        <w:ind w:left="1952" w:right="480" w:hanging="655"/>
        <w:spacing w:after="0" w:line="277" w:lineRule="auto"/>
        <w:tabs>
          <w:tab w:leader="none" w:pos="1952" w:val="left"/>
        </w:tabs>
        <w:numPr>
          <w:ilvl w:val="2"/>
          <w:numId w:val="36"/>
        </w:numPr>
        <w:rPr>
          <w:rFonts w:ascii="Arial" w:cs="Arial" w:eastAsia="Arial" w:hAnsi="Arial"/>
          <w:sz w:val="18"/>
          <w:szCs w:val="18"/>
          <w:color w:val="auto"/>
        </w:rPr>
      </w:pPr>
      <w:r>
        <w:rPr>
          <w:rFonts w:ascii="Arial" w:cs="Arial" w:eastAsia="Arial" w:hAnsi="Arial"/>
          <w:sz w:val="18"/>
          <w:szCs w:val="18"/>
          <w:color w:val="auto"/>
        </w:rPr>
        <w:t>no amendment made by the Directors or the Committee shall operate to prejudice materially any rights already acquired by a Participant under the Scheme;</w:t>
      </w:r>
    </w:p>
    <w:p>
      <w:pPr>
        <w:spacing w:after="0" w:line="170" w:lineRule="exact"/>
        <w:rPr>
          <w:rFonts w:ascii="Arial" w:cs="Arial" w:eastAsia="Arial" w:hAnsi="Arial"/>
          <w:sz w:val="18"/>
          <w:szCs w:val="18"/>
          <w:color w:val="auto"/>
        </w:rPr>
      </w:pPr>
    </w:p>
    <w:p>
      <w:pPr>
        <w:ind w:left="1952" w:hanging="655"/>
        <w:spacing w:after="0"/>
        <w:tabs>
          <w:tab w:leader="none" w:pos="1952" w:val="left"/>
        </w:tabs>
        <w:numPr>
          <w:ilvl w:val="2"/>
          <w:numId w:val="36"/>
        </w:numPr>
        <w:rPr>
          <w:rFonts w:ascii="Arial" w:cs="Arial" w:eastAsia="Arial" w:hAnsi="Arial"/>
          <w:sz w:val="17"/>
          <w:szCs w:val="17"/>
          <w:color w:val="auto"/>
        </w:rPr>
      </w:pPr>
      <w:r>
        <w:rPr>
          <w:rFonts w:ascii="Arial" w:cs="Arial" w:eastAsia="Arial" w:hAnsi="Arial"/>
          <w:sz w:val="17"/>
          <w:szCs w:val="17"/>
          <w:color w:val="auto"/>
        </w:rPr>
        <w:t>no amendment made by the Committee shall increase the number of Shares authorized to be issued under the Scheme; and</w:t>
      </w:r>
    </w:p>
    <w:p>
      <w:pPr>
        <w:spacing w:after="0" w:line="236" w:lineRule="exact"/>
        <w:rPr>
          <w:rFonts w:ascii="Arial" w:cs="Arial" w:eastAsia="Arial" w:hAnsi="Arial"/>
          <w:sz w:val="17"/>
          <w:szCs w:val="17"/>
          <w:color w:val="auto"/>
        </w:rPr>
      </w:pPr>
    </w:p>
    <w:p>
      <w:pPr>
        <w:jc w:val="both"/>
        <w:ind w:left="1952" w:right="60" w:hanging="655"/>
        <w:spacing w:after="0" w:line="312" w:lineRule="auto"/>
        <w:tabs>
          <w:tab w:leader="none" w:pos="1952" w:val="left"/>
        </w:tabs>
        <w:numPr>
          <w:ilvl w:val="2"/>
          <w:numId w:val="36"/>
        </w:numPr>
        <w:rPr>
          <w:rFonts w:ascii="Arial" w:cs="Arial" w:eastAsia="Arial" w:hAnsi="Arial"/>
          <w:sz w:val="16"/>
          <w:szCs w:val="16"/>
          <w:color w:val="auto"/>
        </w:rPr>
      </w:pPr>
      <w:r>
        <w:rPr>
          <w:rFonts w:ascii="Arial" w:cs="Arial" w:eastAsia="Arial" w:hAnsi="Arial"/>
          <w:sz w:val="16"/>
          <w:szCs w:val="16"/>
          <w:color w:val="auto"/>
        </w:rPr>
        <w:t>no amendment made by the Directors or the Committee for which the prior approval of the Revenue is required under ITEPA shall take effect so far as it relates to any "key feature" of the Scheme (as defined in paragraph 42(2B) of Schedule 3) until approved by the Revenue, nor shall any amendments so made be valid which would cause the Scheme to cease to be approved.</w:t>
      </w:r>
    </w:p>
    <w:p>
      <w:pPr>
        <w:spacing w:after="0" w:line="147" w:lineRule="exact"/>
        <w:rPr>
          <w:sz w:val="20"/>
          <w:szCs w:val="20"/>
          <w:color w:val="auto"/>
        </w:rPr>
      </w:pPr>
    </w:p>
    <w:p>
      <w:pPr>
        <w:ind w:left="1292"/>
        <w:spacing w:after="0" w:line="342" w:lineRule="auto"/>
        <w:rPr>
          <w:sz w:val="20"/>
          <w:szCs w:val="20"/>
          <w:color w:val="auto"/>
        </w:rPr>
      </w:pPr>
      <w:r>
        <w:rPr>
          <w:rFonts w:ascii="Arial" w:cs="Arial" w:eastAsia="Arial" w:hAnsi="Arial"/>
          <w:sz w:val="16"/>
          <w:szCs w:val="16"/>
          <w:color w:val="auto"/>
        </w:rPr>
        <w:t>Notwithstanding the foregoing provisions of this paragraph (b), the Directors or the Committee may, by resolution and without other formality, amend the Rules in any respect for the purpose of securing or retaining approval of the Scheme by the Revenue under Schedule 3.</w:t>
      </w:r>
    </w:p>
    <w:p>
      <w:pPr>
        <w:spacing w:after="0" w:line="124" w:lineRule="exact"/>
        <w:rPr>
          <w:sz w:val="20"/>
          <w:szCs w:val="20"/>
          <w:color w:val="auto"/>
        </w:rPr>
      </w:pPr>
    </w:p>
    <w:p>
      <w:pPr>
        <w:ind w:left="1292" w:right="160" w:hanging="644"/>
        <w:spacing w:after="0" w:line="277" w:lineRule="auto"/>
        <w:tabs>
          <w:tab w:leader="none" w:pos="1292"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cost of the operation of the Scheme (including but not limited to the costs relating to the issue of Shares upon the exercise of Options) shall be borne by the Company.</w:t>
      </w:r>
    </w:p>
    <w:p>
      <w:pPr>
        <w:spacing w:after="0" w:line="170" w:lineRule="exact"/>
        <w:rPr>
          <w:rFonts w:ascii="Arial" w:cs="Arial" w:eastAsia="Arial" w:hAnsi="Arial"/>
          <w:sz w:val="18"/>
          <w:szCs w:val="18"/>
          <w:color w:val="auto"/>
        </w:rPr>
      </w:pPr>
    </w:p>
    <w:p>
      <w:pPr>
        <w:ind w:left="1292" w:right="320" w:hanging="644"/>
        <w:spacing w:after="0" w:line="277" w:lineRule="auto"/>
        <w:tabs>
          <w:tab w:leader="none" w:pos="1292"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 any matter in which they are required to act hereunder the Auditors shall be deemed to be acting as experts and not as arbitrators and, save for manifest error, their decision shall be final and binding and the Arbitration Act 1996 shall not apply.</w:t>
      </w:r>
    </w:p>
    <w:p>
      <w:pPr>
        <w:spacing w:after="0" w:line="170" w:lineRule="exact"/>
        <w:rPr>
          <w:rFonts w:ascii="Arial" w:cs="Arial" w:eastAsia="Arial" w:hAnsi="Arial"/>
          <w:sz w:val="18"/>
          <w:szCs w:val="18"/>
          <w:color w:val="auto"/>
        </w:rPr>
      </w:pPr>
    </w:p>
    <w:p>
      <w:pPr>
        <w:ind w:left="1292" w:right="60" w:hanging="644"/>
        <w:spacing w:after="0" w:line="271" w:lineRule="auto"/>
        <w:tabs>
          <w:tab w:leader="none" w:pos="1292" w:val="left"/>
        </w:tabs>
        <w:numPr>
          <w:ilvl w:val="0"/>
          <w:numId w:val="37"/>
        </w:numPr>
        <w:rPr>
          <w:rFonts w:ascii="Arial" w:cs="Arial" w:eastAsia="Arial" w:hAnsi="Arial"/>
          <w:sz w:val="17"/>
          <w:szCs w:val="17"/>
          <w:color w:val="auto"/>
        </w:rPr>
      </w:pPr>
      <w:r>
        <w:rPr>
          <w:rFonts w:ascii="Arial" w:cs="Arial" w:eastAsia="Arial" w:hAnsi="Arial"/>
          <w:sz w:val="17"/>
          <w:szCs w:val="17"/>
          <w:color w:val="auto"/>
        </w:rPr>
        <w:t>All notices under the Scheme shall be in writing and if to the Company or any other company whose shares are Scheme Shares or to the Employer shall be delivered to the Company or such other company or to the Employer as appropriate or sent by first class post or by airmail (as the case may be) to their respective registered offices for the time being, and if to a Participant shall be delivered personally or sent by first class post or by airmail (as the case may be) to the Participant at the address which he shall give to the Company or such other company for the purpose or, failing any such address, to his last known place of abode. If a notice is sent by first class post or by airmail as aforesaid, service thereof shall be deemed to be effected by properly addressing, prepaying and posting a letter containing the same to such address and shall be deemed to be served on the first weekday (other than a S aturday or Bank Holiday) after such posting in the case of first class mail and ninety-six hours after such posting in the case of airmail.</w:t>
      </w:r>
    </w:p>
    <w:p>
      <w:pPr>
        <w:spacing w:after="0" w:line="178" w:lineRule="exact"/>
        <w:rPr>
          <w:rFonts w:ascii="Arial" w:cs="Arial" w:eastAsia="Arial" w:hAnsi="Arial"/>
          <w:sz w:val="17"/>
          <w:szCs w:val="17"/>
          <w:color w:val="auto"/>
        </w:rPr>
      </w:pPr>
    </w:p>
    <w:p>
      <w:pPr>
        <w:ind w:left="1292" w:right="120" w:hanging="644"/>
        <w:spacing w:after="0" w:line="302" w:lineRule="auto"/>
        <w:tabs>
          <w:tab w:leader="none" w:pos="1292" w:val="left"/>
        </w:tabs>
        <w:numPr>
          <w:ilvl w:val="0"/>
          <w:numId w:val="37"/>
        </w:numPr>
        <w:rPr>
          <w:rFonts w:ascii="Arial" w:cs="Arial" w:eastAsia="Arial" w:hAnsi="Arial"/>
          <w:sz w:val="16"/>
          <w:szCs w:val="16"/>
          <w:color w:val="auto"/>
        </w:rPr>
      </w:pPr>
      <w:r>
        <w:rPr>
          <w:rFonts w:ascii="Arial" w:cs="Arial" w:eastAsia="Arial" w:hAnsi="Arial"/>
          <w:sz w:val="16"/>
          <w:szCs w:val="16"/>
          <w:color w:val="auto"/>
        </w:rPr>
        <w:t>In no circumstances whatsoever shall any person ceasing to hold the office or employment by virtue of which he is or may be eligible to participate in the Scheme or to exercise an Option granted hereunder be entitled to any compensation for any loss of any right or benefit or prospective right or benefit under the Scheme which he might otherwise have enjoyed whether such compensation is claimed by way of damages for wrongful dismissal or other breach of contract or by way of compensation for loss of office or otherwise howsoever.</w:t>
      </w:r>
    </w:p>
    <w:p>
      <w:pPr>
        <w:spacing w:after="0" w:line="299" w:lineRule="exact"/>
        <w:rPr>
          <w:sz w:val="20"/>
          <w:szCs w:val="20"/>
          <w:color w:val="auto"/>
        </w:rPr>
      </w:pPr>
    </w:p>
    <w:p>
      <w:pPr>
        <w:jc w:val="center"/>
        <w:ind w:right="-11"/>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62230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12"/>
          </w:cols>
          <w:pgMar w:left="248" w:top="341" w:right="239" w:bottom="1440" w:gutter="0" w:footer="0" w:header="0"/>
        </w:sectPr>
      </w:pPr>
    </w:p>
    <w:bookmarkStart w:id="42" w:name="page43"/>
    <w:bookmarkEnd w:id="42"/>
    <w:p>
      <w:pPr>
        <w:ind w:left="652" w:hanging="652"/>
        <w:spacing w:after="0"/>
        <w:tabs>
          <w:tab w:leader="none" w:pos="652"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TERMINATION</w:t>
      </w:r>
    </w:p>
    <w:p>
      <w:pPr>
        <w:spacing w:after="0" w:line="225" w:lineRule="exact"/>
        <w:rPr>
          <w:rFonts w:ascii="Arial" w:cs="Arial" w:eastAsia="Arial" w:hAnsi="Arial"/>
          <w:sz w:val="18"/>
          <w:szCs w:val="18"/>
          <w:color w:val="auto"/>
        </w:rPr>
      </w:pPr>
    </w:p>
    <w:p>
      <w:pPr>
        <w:ind w:left="652"/>
        <w:spacing w:after="0" w:line="277" w:lineRule="auto"/>
        <w:rPr>
          <w:rFonts w:ascii="Arial" w:cs="Arial" w:eastAsia="Arial" w:hAnsi="Arial"/>
          <w:sz w:val="18"/>
          <w:szCs w:val="18"/>
          <w:color w:val="auto"/>
        </w:rPr>
      </w:pPr>
      <w:r>
        <w:rPr>
          <w:rFonts w:ascii="Arial" w:cs="Arial" w:eastAsia="Arial" w:hAnsi="Arial"/>
          <w:sz w:val="18"/>
          <w:szCs w:val="18"/>
          <w:color w:val="auto"/>
        </w:rPr>
        <w:t>The Directors of the Company may terminate the Scheme at any time in which event no further Options shall be granted thereunder but the provisions of the Scheme shall in relation to Options then subsisting continue in full force and effect.</w:t>
      </w:r>
    </w:p>
    <w:p>
      <w:pPr>
        <w:spacing w:after="0" w:line="387" w:lineRule="exact"/>
        <w:rPr>
          <w:sz w:val="20"/>
          <w:szCs w:val="20"/>
          <w:color w:val="auto"/>
        </w:rPr>
      </w:pPr>
    </w:p>
    <w:p>
      <w:pPr>
        <w:ind w:left="5612"/>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672"/>
          </w:cols>
          <w:pgMar w:left="248" w:top="274" w:right="97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12.1</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REGARDING COMPUTATION</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RATIO OF EARNINGS TO FIXED CHARGES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MANPOWER INC.</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48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2010</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2008</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2006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Earnings: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220"/>
              <w:spacing w:after="0"/>
              <w:rPr>
                <w:sz w:val="20"/>
                <w:szCs w:val="20"/>
                <w:color w:val="auto"/>
              </w:rPr>
            </w:pPr>
            <w:r>
              <w:rPr>
                <w:rFonts w:ascii="Arial" w:cs="Arial" w:eastAsia="Arial" w:hAnsi="Arial"/>
                <w:sz w:val="18"/>
                <w:szCs w:val="18"/>
                <w:color w:val="auto"/>
              </w:rPr>
              <w:t>Earnings before income taxes from continuing operations</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(165.2)</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(22.9)</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442.6</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777.0</w:t>
            </w:r>
          </w:p>
        </w:tc>
        <w:tc>
          <w:tcPr>
            <w:tcW w:w="100" w:type="dxa"/>
            <w:vAlign w:val="bottom"/>
          </w:tcPr>
          <w:p>
            <w:pPr>
              <w:spacing w:after="0"/>
              <w:rPr>
                <w:sz w:val="18"/>
                <w:szCs w:val="18"/>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481.9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Fixed charges</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161.9</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183.9</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200.9</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8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40" w:type="dxa"/>
            <w:vAlign w:val="bottom"/>
            <w:tcBorders>
              <w:right w:val="single" w:sz="8" w:color="CCEEFF"/>
            </w:tcBorders>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(3.3)</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161.0</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643.5</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962.2</w:t>
            </w:r>
          </w:p>
        </w:tc>
        <w:tc>
          <w:tcPr>
            <w:tcW w:w="100" w:type="dxa"/>
            <w:vAlign w:val="bottom"/>
          </w:tcPr>
          <w:p>
            <w:pPr>
              <w:spacing w:after="0"/>
              <w:rPr>
                <w:sz w:val="18"/>
                <w:szCs w:val="18"/>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644.7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Fixed charges: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220"/>
              <w:spacing w:after="0"/>
              <w:rPr>
                <w:sz w:val="20"/>
                <w:szCs w:val="20"/>
                <w:color w:val="auto"/>
              </w:rPr>
            </w:pPr>
            <w:r>
              <w:rPr>
                <w:rFonts w:ascii="Arial" w:cs="Arial" w:eastAsia="Arial" w:hAnsi="Arial"/>
                <w:sz w:val="18"/>
                <w:szCs w:val="18"/>
                <w:color w:val="auto"/>
              </w:rPr>
              <w:t>Interest (expensed or capitalized)</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42.4</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61.7</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64.2</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65.0</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Estimated interest portion of rent expense</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119.5</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122.2</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136.7</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8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40" w:type="dxa"/>
            <w:vAlign w:val="bottom"/>
            <w:tcBorders>
              <w:right w:val="single" w:sz="8" w:color="CCEEFF"/>
            </w:tcBorders>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161.9</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183.9</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200.9</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185.2</w:t>
            </w:r>
          </w:p>
        </w:tc>
        <w:tc>
          <w:tcPr>
            <w:tcW w:w="100" w:type="dxa"/>
            <w:vAlign w:val="bottom"/>
          </w:tcPr>
          <w:p>
            <w:pPr>
              <w:spacing w:after="0"/>
              <w:rPr>
                <w:sz w:val="18"/>
                <w:szCs w:val="18"/>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162.8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Ratio of earnings to fixed charges</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0.9</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ind w:left="620" w:right="560" w:hanging="619"/>
        <w:spacing w:after="0" w:line="262" w:lineRule="auto"/>
        <w:tabs>
          <w:tab w:leader="none" w:pos="600" w:val="left"/>
        </w:tabs>
        <w:rPr>
          <w:sz w:val="20"/>
          <w:szCs w:val="20"/>
          <w:color w:val="auto"/>
        </w:rPr>
      </w:pPr>
      <w:r>
        <w:rPr>
          <w:rFonts w:ascii="Arial" w:cs="Arial" w:eastAsia="Arial" w:hAnsi="Arial"/>
          <w:sz w:val="18"/>
          <w:szCs w:val="18"/>
          <w:b w:val="1"/>
          <w:bCs w:val="1"/>
          <w:color w:val="auto"/>
        </w:rPr>
        <w:t>Note:</w:t>
      </w:r>
      <w:r>
        <w:rPr>
          <w:sz w:val="20"/>
          <w:szCs w:val="20"/>
          <w:color w:val="auto"/>
        </w:rPr>
        <w:tab/>
      </w:r>
      <w:r>
        <w:rPr>
          <w:rFonts w:ascii="Arial" w:cs="Arial" w:eastAsia="Arial" w:hAnsi="Arial"/>
          <w:sz w:val="18"/>
          <w:szCs w:val="18"/>
          <w:color w:val="auto"/>
        </w:rPr>
        <w:t>The calculation of ratio of earnings to fixed charges set forth above is in accordance with Regulation S-K, Item 601(b)(12). This calculation is different than the fixed charge ratio that is required by our various borrowing facilities.</w:t>
      </w:r>
    </w:p>
    <w:p>
      <w:pPr>
        <w:sectPr>
          <w:pgSz w:w="11900" w:h="16838" w:orient="portrait"/>
          <w:cols w:equalWidth="0" w:num="1">
            <w:col w:w="11420"/>
          </w:cols>
          <w:pgMar w:left="240" w:top="121" w:right="239" w:bottom="1440" w:gutter="0" w:footer="0" w:header="0"/>
        </w:sectPr>
      </w:pPr>
    </w:p>
    <w:bookmarkStart w:id="44" w:name="page45"/>
    <w:bookmarkEnd w:id="44"/>
    <w:p>
      <w:pPr>
        <w:spacing w:after="0"/>
        <w:rPr>
          <w:sz w:val="20"/>
          <w:szCs w:val="20"/>
          <w:color w:val="auto"/>
        </w:rPr>
      </w:pPr>
      <w:r>
        <w:rPr>
          <w:rFonts w:ascii="Arial" w:cs="Arial" w:eastAsia="Arial" w:hAnsi="Arial"/>
          <w:sz w:val="24"/>
          <w:szCs w:val="24"/>
          <w:b w:val="1"/>
          <w:bCs w:val="1"/>
          <w:color w:val="auto"/>
        </w:rPr>
        <w:t>AT A GLANCE</w:t>
      </w:r>
    </w:p>
    <w:p>
      <w:pPr>
        <w:spacing w:after="0" w:line="225"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2010 Segment Revenues</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in millions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293370</wp:posOffset>
            </wp:positionV>
            <wp:extent cx="1406525" cy="140652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406525" cy="1406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Stock Information</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SHARES OUTSTANDING</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color w:val="CA494E"/>
        </w:rPr>
        <w:t>81,759,501</w:t>
      </w:r>
    </w:p>
    <w:p>
      <w:pPr>
        <w:spacing w:after="0"/>
        <w:rPr>
          <w:sz w:val="20"/>
          <w:szCs w:val="20"/>
          <w:color w:val="auto"/>
        </w:rPr>
      </w:pPr>
      <w:r>
        <w:rPr>
          <w:rFonts w:ascii="Arial" w:cs="Arial" w:eastAsia="Arial" w:hAnsi="Arial"/>
          <w:sz w:val="18"/>
          <w:szCs w:val="18"/>
          <w:color w:val="CA494E"/>
        </w:rPr>
        <w:t>(as of Dec 31, 2010)</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color w:val="auto"/>
        </w:rPr>
        <w:t>AVG. DAILY VOLUME</w:t>
      </w:r>
    </w:p>
    <w:p>
      <w:pPr>
        <w:spacing w:after="0" w:line="6" w:lineRule="exact"/>
        <w:rPr>
          <w:sz w:val="20"/>
          <w:szCs w:val="20"/>
          <w:color w:val="auto"/>
        </w:rPr>
      </w:pPr>
    </w:p>
    <w:p>
      <w:pPr>
        <w:spacing w:after="0"/>
        <w:rPr>
          <w:sz w:val="20"/>
          <w:szCs w:val="20"/>
          <w:color w:val="auto"/>
        </w:rPr>
      </w:pPr>
      <w:r>
        <w:rPr>
          <w:rFonts w:ascii="Arial" w:cs="Arial" w:eastAsia="Arial" w:hAnsi="Arial"/>
          <w:sz w:val="22"/>
          <w:szCs w:val="22"/>
          <w:color w:val="86B6A5"/>
        </w:rPr>
        <w:t>900,000 +</w:t>
      </w:r>
    </w:p>
    <w:p>
      <w:pPr>
        <w:spacing w:after="0"/>
        <w:rPr>
          <w:sz w:val="20"/>
          <w:szCs w:val="20"/>
          <w:color w:val="auto"/>
        </w:rPr>
      </w:pPr>
      <w:r>
        <w:rPr>
          <w:rFonts w:ascii="Arial" w:cs="Arial" w:eastAsia="Arial" w:hAnsi="Arial"/>
          <w:sz w:val="18"/>
          <w:szCs w:val="18"/>
          <w:color w:val="86B6A5"/>
        </w:rPr>
        <w:t>shares per day in 2010</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Systemwide Offices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1" w:lineRule="exact"/>
        <w:rPr>
          <w:sz w:val="20"/>
          <w:szCs w:val="20"/>
          <w:color w:val="auto"/>
        </w:rPr>
      </w:pPr>
    </w:p>
    <w:p>
      <w:pPr>
        <w:ind w:left="2840"/>
        <w:spacing w:after="0"/>
        <w:rPr>
          <w:sz w:val="20"/>
          <w:szCs w:val="20"/>
          <w:color w:val="auto"/>
        </w:rPr>
      </w:pPr>
      <w:r>
        <w:rPr>
          <w:rFonts w:ascii="Arial" w:cs="Arial" w:eastAsia="Arial" w:hAnsi="Arial"/>
          <w:sz w:val="22"/>
          <w:szCs w:val="22"/>
          <w:b w:val="1"/>
          <w:bCs w:val="1"/>
          <w:color w:val="auto"/>
        </w:rPr>
        <w:t>2010 Segment</w:t>
      </w:r>
    </w:p>
    <w:p>
      <w:pPr>
        <w:spacing w:after="0" w:line="15" w:lineRule="exact"/>
        <w:rPr>
          <w:sz w:val="20"/>
          <w:szCs w:val="20"/>
          <w:color w:val="auto"/>
        </w:rPr>
      </w:pPr>
    </w:p>
    <w:p>
      <w:pPr>
        <w:ind w:left="2840"/>
        <w:spacing w:after="0"/>
        <w:rPr>
          <w:sz w:val="20"/>
          <w:szCs w:val="20"/>
          <w:color w:val="auto"/>
        </w:rPr>
      </w:pPr>
      <w:r>
        <w:rPr>
          <w:rFonts w:ascii="Arial" w:cs="Arial" w:eastAsia="Arial" w:hAnsi="Arial"/>
          <w:sz w:val="22"/>
          <w:szCs w:val="22"/>
          <w:b w:val="1"/>
          <w:bCs w:val="1"/>
          <w:color w:val="auto"/>
        </w:rPr>
        <w:t>Operating Unit Profit</w:t>
      </w:r>
    </w:p>
    <w:p>
      <w:pPr>
        <w:jc w:val="center"/>
        <w:ind w:right="1380"/>
        <w:spacing w:after="0"/>
        <w:rPr>
          <w:sz w:val="20"/>
          <w:szCs w:val="20"/>
          <w:color w:val="auto"/>
        </w:rPr>
      </w:pPr>
      <w:r>
        <w:rPr>
          <w:rFonts w:ascii="Arial" w:cs="Arial" w:eastAsia="Arial" w:hAnsi="Arial"/>
          <w:sz w:val="16"/>
          <w:szCs w:val="16"/>
          <w:color w:val="auto"/>
        </w:rPr>
        <w:t>in millions ($)</w:t>
      </w:r>
    </w:p>
    <w:p>
      <w:pPr>
        <w:spacing w:after="0" w:line="196" w:lineRule="exact"/>
        <w:rPr>
          <w:sz w:val="20"/>
          <w:szCs w:val="20"/>
          <w:color w:val="auto"/>
        </w:rPr>
      </w:pPr>
    </w:p>
    <w:p>
      <w:pPr>
        <w:spacing w:after="0"/>
        <w:tabs>
          <w:tab w:leader="none" w:pos="5680" w:val="left"/>
        </w:tabs>
        <w:rPr>
          <w:sz w:val="20"/>
          <w:szCs w:val="20"/>
          <w:color w:val="auto"/>
        </w:rPr>
      </w:pPr>
      <w:r>
        <w:rPr>
          <w:rFonts w:ascii="Arial" w:cs="Arial" w:eastAsia="Arial" w:hAnsi="Arial"/>
          <w:sz w:val="18"/>
          <w:szCs w:val="18"/>
          <w:b w:val="1"/>
          <w:bCs w:val="1"/>
          <w:color w:val="939598"/>
        </w:rPr>
        <w:t xml:space="preserve">Americas </w:t>
      </w:r>
      <w:r>
        <w:rPr>
          <w:rFonts w:ascii="Arial" w:cs="Arial" w:eastAsia="Arial" w:hAnsi="Arial"/>
          <w:sz w:val="18"/>
          <w:szCs w:val="18"/>
          <w:color w:val="939598"/>
        </w:rPr>
        <w:t>4,048.9</w:t>
      </w:r>
      <w:r>
        <w:rPr>
          <w:sz w:val="20"/>
          <w:szCs w:val="20"/>
          <w:color w:val="auto"/>
        </w:rPr>
        <w:tab/>
      </w:r>
      <w:r>
        <w:rPr>
          <w:rFonts w:ascii="Arial" w:cs="Arial" w:eastAsia="Arial" w:hAnsi="Arial"/>
          <w:sz w:val="17"/>
          <w:szCs w:val="17"/>
          <w:b w:val="1"/>
          <w:bCs w:val="1"/>
          <w:color w:val="939598"/>
        </w:rPr>
        <w:t xml:space="preserve">Americas </w:t>
      </w:r>
      <w:r>
        <w:rPr>
          <w:rFonts w:ascii="Arial" w:cs="Arial" w:eastAsia="Arial" w:hAnsi="Arial"/>
          <w:sz w:val="17"/>
          <w:szCs w:val="17"/>
          <w:color w:val="939598"/>
        </w:rPr>
        <w:t>79.3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1804035</wp:posOffset>
            </wp:positionH>
            <wp:positionV relativeFrom="paragraph">
              <wp:posOffset>-116205</wp:posOffset>
            </wp:positionV>
            <wp:extent cx="1346200" cy="13976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346200" cy="1397635"/>
                    </a:xfrm>
                    <a:prstGeom prst="rect">
                      <a:avLst/>
                    </a:prstGeom>
                    <a:noFill/>
                  </pic:spPr>
                </pic:pic>
              </a:graphicData>
            </a:graphic>
          </wp:anchor>
        </w:drawing>
      </w:r>
    </w:p>
    <w:p>
      <w:pPr>
        <w:spacing w:after="0"/>
        <w:tabs>
          <w:tab w:leader="none" w:pos="5680" w:val="left"/>
        </w:tabs>
        <w:rPr>
          <w:sz w:val="20"/>
          <w:szCs w:val="20"/>
          <w:color w:val="auto"/>
        </w:rPr>
      </w:pPr>
      <w:r>
        <w:rPr>
          <w:rFonts w:ascii="Arial" w:cs="Arial" w:eastAsia="Arial" w:hAnsi="Arial"/>
          <w:sz w:val="18"/>
          <w:szCs w:val="18"/>
          <w:b w:val="1"/>
          <w:bCs w:val="1"/>
          <w:color w:val="4D8ABE"/>
        </w:rPr>
        <w:t xml:space="preserve">France </w:t>
      </w:r>
      <w:r>
        <w:rPr>
          <w:rFonts w:ascii="Arial" w:cs="Arial" w:eastAsia="Arial" w:hAnsi="Arial"/>
          <w:sz w:val="18"/>
          <w:szCs w:val="18"/>
          <w:color w:val="4D8ABE"/>
        </w:rPr>
        <w:t>5,208.6</w:t>
      </w:r>
      <w:r>
        <w:rPr>
          <w:sz w:val="20"/>
          <w:szCs w:val="20"/>
          <w:color w:val="auto"/>
        </w:rPr>
        <w:tab/>
      </w:r>
      <w:r>
        <w:rPr>
          <w:rFonts w:ascii="Arial" w:cs="Arial" w:eastAsia="Arial" w:hAnsi="Arial"/>
          <w:sz w:val="17"/>
          <w:szCs w:val="17"/>
          <w:b w:val="1"/>
          <w:bCs w:val="1"/>
          <w:color w:val="4D8ABE"/>
        </w:rPr>
        <w:t xml:space="preserve">France </w:t>
      </w:r>
      <w:r>
        <w:rPr>
          <w:rFonts w:ascii="Arial" w:cs="Arial" w:eastAsia="Arial" w:hAnsi="Arial"/>
          <w:sz w:val="17"/>
          <w:szCs w:val="17"/>
          <w:color w:val="4D8ABE"/>
        </w:rPr>
        <w:t>47.1</w:t>
      </w:r>
    </w:p>
    <w:p>
      <w:pPr>
        <w:spacing w:after="0"/>
        <w:tabs>
          <w:tab w:leader="none" w:pos="5680" w:val="left"/>
        </w:tabs>
        <w:rPr>
          <w:sz w:val="20"/>
          <w:szCs w:val="20"/>
          <w:color w:val="auto"/>
        </w:rPr>
      </w:pPr>
      <w:r>
        <w:rPr>
          <w:rFonts w:ascii="Arial" w:cs="Arial" w:eastAsia="Arial" w:hAnsi="Arial"/>
          <w:sz w:val="18"/>
          <w:szCs w:val="18"/>
          <w:b w:val="1"/>
          <w:bCs w:val="1"/>
          <w:color w:val="86B6A5"/>
        </w:rPr>
        <w:t xml:space="preserve">EMEA </w:t>
      </w:r>
      <w:r>
        <w:rPr>
          <w:rFonts w:ascii="Arial" w:cs="Arial" w:eastAsia="Arial" w:hAnsi="Arial"/>
          <w:sz w:val="18"/>
          <w:szCs w:val="18"/>
          <w:color w:val="86B6A5"/>
        </w:rPr>
        <w:t>7,087.2</w:t>
      </w:r>
      <w:r>
        <w:rPr>
          <w:sz w:val="20"/>
          <w:szCs w:val="20"/>
          <w:color w:val="auto"/>
        </w:rPr>
        <w:tab/>
      </w:r>
      <w:r>
        <w:rPr>
          <w:rFonts w:ascii="Arial" w:cs="Arial" w:eastAsia="Arial" w:hAnsi="Arial"/>
          <w:sz w:val="17"/>
          <w:szCs w:val="17"/>
          <w:b w:val="1"/>
          <w:bCs w:val="1"/>
          <w:color w:val="86B6A5"/>
        </w:rPr>
        <w:t xml:space="preserve">EMEA </w:t>
      </w:r>
      <w:r>
        <w:rPr>
          <w:rFonts w:ascii="Arial" w:cs="Arial" w:eastAsia="Arial" w:hAnsi="Arial"/>
          <w:sz w:val="17"/>
          <w:szCs w:val="17"/>
          <w:color w:val="86B6A5"/>
        </w:rPr>
        <w:t>204.9</w:t>
      </w:r>
    </w:p>
    <w:p>
      <w:pPr>
        <w:spacing w:after="0"/>
        <w:tabs>
          <w:tab w:leader="none" w:pos="5680" w:val="left"/>
        </w:tabs>
        <w:rPr>
          <w:sz w:val="20"/>
          <w:szCs w:val="20"/>
          <w:color w:val="auto"/>
        </w:rPr>
      </w:pPr>
      <w:r>
        <w:rPr>
          <w:rFonts w:ascii="Arial" w:cs="Arial" w:eastAsia="Arial" w:hAnsi="Arial"/>
          <w:sz w:val="18"/>
          <w:szCs w:val="18"/>
          <w:b w:val="1"/>
          <w:bCs w:val="1"/>
          <w:color w:val="CA494E"/>
        </w:rPr>
        <w:t xml:space="preserve">Asia Pacific </w:t>
      </w:r>
      <w:r>
        <w:rPr>
          <w:rFonts w:ascii="Arial" w:cs="Arial" w:eastAsia="Arial" w:hAnsi="Arial"/>
          <w:sz w:val="18"/>
          <w:szCs w:val="18"/>
          <w:color w:val="CA494E"/>
        </w:rPr>
        <w:t>2,147.2</w:t>
      </w:r>
      <w:r>
        <w:rPr>
          <w:sz w:val="20"/>
          <w:szCs w:val="20"/>
          <w:color w:val="auto"/>
        </w:rPr>
        <w:tab/>
      </w:r>
      <w:r>
        <w:rPr>
          <w:rFonts w:ascii="Arial" w:cs="Arial" w:eastAsia="Arial" w:hAnsi="Arial"/>
          <w:sz w:val="17"/>
          <w:szCs w:val="17"/>
          <w:b w:val="1"/>
          <w:bCs w:val="1"/>
          <w:color w:val="CA494E"/>
        </w:rPr>
        <w:t xml:space="preserve">Asia Pacific </w:t>
      </w:r>
      <w:r>
        <w:rPr>
          <w:rFonts w:ascii="Arial" w:cs="Arial" w:eastAsia="Arial" w:hAnsi="Arial"/>
          <w:sz w:val="17"/>
          <w:szCs w:val="17"/>
          <w:color w:val="CA494E"/>
        </w:rPr>
        <w:t>47.2</w:t>
      </w:r>
    </w:p>
    <w:p>
      <w:pPr>
        <w:spacing w:after="0" w:line="1" w:lineRule="exact"/>
        <w:rPr>
          <w:sz w:val="20"/>
          <w:szCs w:val="20"/>
          <w:color w:val="auto"/>
        </w:rPr>
      </w:pPr>
    </w:p>
    <w:p>
      <w:pPr>
        <w:spacing w:after="0"/>
        <w:tabs>
          <w:tab w:leader="none" w:pos="5680" w:val="left"/>
        </w:tabs>
        <w:rPr>
          <w:sz w:val="20"/>
          <w:szCs w:val="20"/>
          <w:color w:val="auto"/>
        </w:rPr>
      </w:pPr>
      <w:r>
        <w:rPr>
          <w:rFonts w:ascii="Arial" w:cs="Arial" w:eastAsia="Arial" w:hAnsi="Arial"/>
          <w:sz w:val="18"/>
          <w:szCs w:val="18"/>
          <w:b w:val="1"/>
          <w:bCs w:val="1"/>
          <w:color w:val="E9830E"/>
        </w:rPr>
        <w:t xml:space="preserve">Right Management </w:t>
      </w:r>
      <w:r>
        <w:rPr>
          <w:rFonts w:ascii="Arial" w:cs="Arial" w:eastAsia="Arial" w:hAnsi="Arial"/>
          <w:sz w:val="18"/>
          <w:szCs w:val="18"/>
          <w:color w:val="E9830E"/>
        </w:rPr>
        <w:t>374.6</w:t>
      </w:r>
      <w:r>
        <w:rPr>
          <w:sz w:val="20"/>
          <w:szCs w:val="20"/>
          <w:color w:val="auto"/>
        </w:rPr>
        <w:tab/>
      </w:r>
      <w:r>
        <w:rPr>
          <w:rFonts w:ascii="Arial" w:cs="Arial" w:eastAsia="Arial" w:hAnsi="Arial"/>
          <w:sz w:val="17"/>
          <w:szCs w:val="17"/>
          <w:b w:val="1"/>
          <w:bCs w:val="1"/>
          <w:color w:val="E9830E"/>
        </w:rPr>
        <w:t xml:space="preserve">Right Management </w:t>
      </w:r>
      <w:r>
        <w:rPr>
          <w:rFonts w:ascii="Arial" w:cs="Arial" w:eastAsia="Arial" w:hAnsi="Arial"/>
          <w:sz w:val="17"/>
          <w:szCs w:val="17"/>
          <w:color w:val="E9830E"/>
        </w:rPr>
        <w:t>3.5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720" w:type="dxa"/>
            <w:vAlign w:val="bottom"/>
          </w:tcPr>
          <w:p>
            <w:pPr>
              <w:spacing w:after="0"/>
              <w:rPr>
                <w:sz w:val="20"/>
                <w:szCs w:val="20"/>
                <w:color w:val="auto"/>
              </w:rPr>
            </w:pPr>
            <w:r>
              <w:rPr>
                <w:rFonts w:ascii="Arial" w:cs="Arial" w:eastAsia="Arial" w:hAnsi="Arial"/>
                <w:sz w:val="18"/>
                <w:szCs w:val="18"/>
                <w:color w:val="auto"/>
              </w:rPr>
              <w:t>2010 SHARE PRICE HIGH AND</w:t>
            </w:r>
          </w:p>
        </w:tc>
        <w:tc>
          <w:tcPr>
            <w:tcW w:w="2600" w:type="dxa"/>
            <w:vAlign w:val="bottom"/>
          </w:tcPr>
          <w:p>
            <w:pPr>
              <w:ind w:left="120"/>
              <w:spacing w:after="0"/>
              <w:rPr>
                <w:sz w:val="20"/>
                <w:szCs w:val="20"/>
                <w:color w:val="auto"/>
              </w:rPr>
            </w:pPr>
            <w:r>
              <w:rPr>
                <w:rFonts w:ascii="Arial" w:cs="Arial" w:eastAsia="Arial" w:hAnsi="Arial"/>
                <w:sz w:val="18"/>
                <w:szCs w:val="18"/>
                <w:color w:val="auto"/>
              </w:rPr>
              <w:t>FISCAL YEAR END DATE</w:t>
            </w:r>
          </w:p>
        </w:tc>
        <w:tc>
          <w:tcPr>
            <w:tcW w:w="2700" w:type="dxa"/>
            <w:vAlign w:val="bottom"/>
          </w:tcPr>
          <w:p>
            <w:pPr>
              <w:ind w:left="380"/>
              <w:spacing w:after="0"/>
              <w:rPr>
                <w:sz w:val="20"/>
                <w:szCs w:val="20"/>
                <w:color w:val="auto"/>
              </w:rPr>
            </w:pPr>
            <w:r>
              <w:rPr>
                <w:rFonts w:ascii="Arial" w:cs="Arial" w:eastAsia="Arial" w:hAnsi="Arial"/>
                <w:sz w:val="16"/>
                <w:szCs w:val="16"/>
                <w:color w:val="auto"/>
                <w:w w:val="99"/>
              </w:rPr>
              <w:t>NUMBER OF SHARES ISSUED</w:t>
            </w:r>
          </w:p>
        </w:tc>
        <w:tc>
          <w:tcPr>
            <w:tcW w:w="0" w:type="dxa"/>
            <w:vAlign w:val="bottom"/>
          </w:tcPr>
          <w:p>
            <w:pPr>
              <w:spacing w:after="0"/>
              <w:rPr>
                <w:sz w:val="1"/>
                <w:szCs w:val="1"/>
                <w:color w:val="auto"/>
              </w:rPr>
            </w:pPr>
          </w:p>
        </w:tc>
      </w:tr>
      <w:tr>
        <w:trPr>
          <w:trHeight w:val="203"/>
        </w:trPr>
        <w:tc>
          <w:tcPr>
            <w:tcW w:w="2720" w:type="dxa"/>
            <w:vAlign w:val="bottom"/>
          </w:tcPr>
          <w:p>
            <w:pPr>
              <w:spacing w:after="0" w:line="202" w:lineRule="exact"/>
              <w:rPr>
                <w:sz w:val="20"/>
                <w:szCs w:val="20"/>
                <w:color w:val="auto"/>
              </w:rPr>
            </w:pPr>
            <w:r>
              <w:rPr>
                <w:rFonts w:ascii="Arial" w:cs="Arial" w:eastAsia="Arial" w:hAnsi="Arial"/>
                <w:sz w:val="18"/>
                <w:szCs w:val="18"/>
                <w:color w:val="auto"/>
              </w:rPr>
              <w:t>LOW</w:t>
            </w:r>
          </w:p>
        </w:tc>
        <w:tc>
          <w:tcPr>
            <w:tcW w:w="2600" w:type="dxa"/>
            <w:vAlign w:val="bottom"/>
          </w:tcPr>
          <w:p>
            <w:pPr>
              <w:spacing w:after="0"/>
              <w:rPr>
                <w:sz w:val="17"/>
                <w:szCs w:val="17"/>
                <w:color w:val="auto"/>
              </w:rPr>
            </w:pPr>
          </w:p>
        </w:tc>
        <w:tc>
          <w:tcPr>
            <w:tcW w:w="2700" w:type="dxa"/>
            <w:vAlign w:val="bottom"/>
            <w:vMerge w:val="restart"/>
          </w:tcPr>
          <w:p>
            <w:pPr>
              <w:ind w:left="380"/>
              <w:spacing w:after="0"/>
              <w:rPr>
                <w:sz w:val="20"/>
                <w:szCs w:val="20"/>
                <w:color w:val="auto"/>
              </w:rPr>
            </w:pPr>
            <w:r>
              <w:rPr>
                <w:rFonts w:ascii="Arial" w:cs="Arial" w:eastAsia="Arial" w:hAnsi="Arial"/>
                <w:sz w:val="22"/>
                <w:szCs w:val="22"/>
                <w:color w:val="E9830E"/>
              </w:rPr>
              <w:t>108,294.605</w:t>
            </w:r>
          </w:p>
        </w:tc>
        <w:tc>
          <w:tcPr>
            <w:tcW w:w="0" w:type="dxa"/>
            <w:vAlign w:val="bottom"/>
          </w:tcPr>
          <w:p>
            <w:pPr>
              <w:spacing w:after="0"/>
              <w:rPr>
                <w:sz w:val="1"/>
                <w:szCs w:val="1"/>
                <w:color w:val="auto"/>
              </w:rPr>
            </w:pPr>
          </w:p>
        </w:tc>
      </w:tr>
      <w:tr>
        <w:trPr>
          <w:trHeight w:val="243"/>
        </w:trPr>
        <w:tc>
          <w:tcPr>
            <w:tcW w:w="2720" w:type="dxa"/>
            <w:vAlign w:val="bottom"/>
          </w:tcPr>
          <w:p>
            <w:pPr>
              <w:spacing w:after="0"/>
              <w:rPr>
                <w:sz w:val="20"/>
                <w:szCs w:val="20"/>
                <w:color w:val="auto"/>
              </w:rPr>
            </w:pPr>
            <w:r>
              <w:rPr>
                <w:rFonts w:ascii="Arial" w:cs="Arial" w:eastAsia="Arial" w:hAnsi="Arial"/>
                <w:sz w:val="18"/>
                <w:szCs w:val="18"/>
                <w:color w:val="E9830E"/>
              </w:rPr>
              <w:t>$65.14/ $40.58</w:t>
            </w:r>
          </w:p>
        </w:tc>
        <w:tc>
          <w:tcPr>
            <w:tcW w:w="2600" w:type="dxa"/>
            <w:vAlign w:val="bottom"/>
          </w:tcPr>
          <w:p>
            <w:pPr>
              <w:ind w:left="120"/>
              <w:spacing w:after="0"/>
              <w:rPr>
                <w:sz w:val="20"/>
                <w:szCs w:val="20"/>
                <w:color w:val="auto"/>
              </w:rPr>
            </w:pPr>
            <w:r>
              <w:rPr>
                <w:rFonts w:ascii="Arial" w:cs="Arial" w:eastAsia="Arial" w:hAnsi="Arial"/>
                <w:sz w:val="18"/>
                <w:szCs w:val="18"/>
                <w:color w:val="86B6A5"/>
              </w:rPr>
              <w:t>December 31</w:t>
            </w:r>
          </w:p>
        </w:tc>
        <w:tc>
          <w:tcPr>
            <w:tcW w:w="27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272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2700" w:type="dxa"/>
            <w:vAlign w:val="bottom"/>
          </w:tcPr>
          <w:p>
            <w:pPr>
              <w:ind w:left="380"/>
              <w:spacing w:after="0"/>
              <w:rPr>
                <w:sz w:val="20"/>
                <w:szCs w:val="20"/>
                <w:color w:val="auto"/>
              </w:rPr>
            </w:pPr>
            <w:r>
              <w:rPr>
                <w:rFonts w:ascii="Arial" w:cs="Arial" w:eastAsia="Arial" w:hAnsi="Arial"/>
                <w:sz w:val="18"/>
                <w:szCs w:val="18"/>
                <w:color w:val="E9830E"/>
              </w:rPr>
              <w:t>(as of Dec 31, 2010)</w:t>
            </w:r>
          </w:p>
        </w:tc>
        <w:tc>
          <w:tcPr>
            <w:tcW w:w="0" w:type="dxa"/>
            <w:vAlign w:val="bottom"/>
          </w:tcPr>
          <w:p>
            <w:pPr>
              <w:spacing w:after="0"/>
              <w:rPr>
                <w:sz w:val="1"/>
                <w:szCs w:val="1"/>
                <w:color w:val="auto"/>
              </w:rPr>
            </w:pPr>
          </w:p>
        </w:tc>
      </w:tr>
      <w:tr>
        <w:trPr>
          <w:trHeight w:val="385"/>
        </w:trPr>
        <w:tc>
          <w:tcPr>
            <w:tcW w:w="2720" w:type="dxa"/>
            <w:vAlign w:val="bottom"/>
          </w:tcPr>
          <w:p>
            <w:pPr>
              <w:spacing w:after="0"/>
              <w:rPr>
                <w:sz w:val="20"/>
                <w:szCs w:val="20"/>
                <w:color w:val="auto"/>
              </w:rPr>
            </w:pPr>
            <w:r>
              <w:rPr>
                <w:rFonts w:ascii="Arial" w:cs="Arial" w:eastAsia="Arial" w:hAnsi="Arial"/>
                <w:sz w:val="18"/>
                <w:szCs w:val="18"/>
                <w:color w:val="auto"/>
              </w:rPr>
              <w:t>STOCK EXCHANGE</w:t>
            </w:r>
          </w:p>
        </w:tc>
        <w:tc>
          <w:tcPr>
            <w:tcW w:w="2600" w:type="dxa"/>
            <w:vAlign w:val="bottom"/>
          </w:tcPr>
          <w:p>
            <w:pPr>
              <w:ind w:left="120"/>
              <w:spacing w:after="0"/>
              <w:rPr>
                <w:sz w:val="20"/>
                <w:szCs w:val="20"/>
                <w:color w:val="auto"/>
              </w:rPr>
            </w:pPr>
            <w:r>
              <w:rPr>
                <w:rFonts w:ascii="Arial" w:cs="Arial" w:eastAsia="Arial" w:hAnsi="Arial"/>
                <w:sz w:val="16"/>
                <w:szCs w:val="16"/>
                <w:color w:val="auto"/>
              </w:rPr>
              <w:t>MARKET CAPITALIZATION</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2720" w:type="dxa"/>
            <w:vAlign w:val="bottom"/>
          </w:tcPr>
          <w:p>
            <w:pPr>
              <w:spacing w:after="0"/>
              <w:rPr>
                <w:sz w:val="20"/>
                <w:szCs w:val="20"/>
                <w:color w:val="auto"/>
              </w:rPr>
            </w:pPr>
            <w:r>
              <w:rPr>
                <w:rFonts w:ascii="Arial" w:cs="Arial" w:eastAsia="Arial" w:hAnsi="Arial"/>
                <w:sz w:val="18"/>
                <w:szCs w:val="18"/>
                <w:color w:val="CA494E"/>
              </w:rPr>
              <w:t>NYSE (Ticker: MAN)</w:t>
            </w:r>
          </w:p>
        </w:tc>
        <w:tc>
          <w:tcPr>
            <w:tcW w:w="2600" w:type="dxa"/>
            <w:vAlign w:val="bottom"/>
          </w:tcPr>
          <w:p>
            <w:pPr>
              <w:ind w:left="120"/>
              <w:spacing w:after="0" w:line="248" w:lineRule="exact"/>
              <w:rPr>
                <w:sz w:val="20"/>
                <w:szCs w:val="20"/>
                <w:color w:val="auto"/>
              </w:rPr>
            </w:pPr>
            <w:r>
              <w:rPr>
                <w:rFonts w:ascii="Arial" w:cs="Arial" w:eastAsia="Arial" w:hAnsi="Arial"/>
                <w:sz w:val="22"/>
                <w:szCs w:val="22"/>
                <w:color w:val="4D8ABE"/>
              </w:rPr>
              <w:t>$5.1 billion</w:t>
            </w:r>
          </w:p>
        </w:tc>
        <w:tc>
          <w:tcPr>
            <w:tcW w:w="2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2720" w:type="dxa"/>
            <w:vAlign w:val="bottom"/>
          </w:tcPr>
          <w:p>
            <w:pPr>
              <w:spacing w:after="0"/>
              <w:rPr>
                <w:sz w:val="18"/>
                <w:szCs w:val="18"/>
                <w:color w:val="auto"/>
              </w:rPr>
            </w:pPr>
          </w:p>
        </w:tc>
        <w:tc>
          <w:tcPr>
            <w:tcW w:w="2600" w:type="dxa"/>
            <w:vAlign w:val="bottom"/>
          </w:tcPr>
          <w:p>
            <w:pPr>
              <w:ind w:left="120"/>
              <w:spacing w:after="0"/>
              <w:rPr>
                <w:sz w:val="20"/>
                <w:szCs w:val="20"/>
                <w:color w:val="auto"/>
              </w:rPr>
            </w:pPr>
            <w:r>
              <w:rPr>
                <w:rFonts w:ascii="Arial" w:cs="Arial" w:eastAsia="Arial" w:hAnsi="Arial"/>
                <w:sz w:val="18"/>
                <w:szCs w:val="18"/>
                <w:color w:val="4D8ABE"/>
              </w:rPr>
              <w:t>(as of Dec 31, 2010)</w:t>
            </w:r>
          </w:p>
        </w:tc>
        <w:tc>
          <w:tcPr>
            <w:tcW w:w="2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6"/>
        </w:trPr>
        <w:tc>
          <w:tcPr>
            <w:tcW w:w="2720" w:type="dxa"/>
            <w:vAlign w:val="bottom"/>
          </w:tcPr>
          <w:p>
            <w:pPr>
              <w:spacing w:after="0"/>
              <w:rPr>
                <w:sz w:val="20"/>
                <w:szCs w:val="20"/>
                <w:color w:val="auto"/>
              </w:rPr>
            </w:pPr>
            <w:r>
              <w:rPr>
                <w:rFonts w:ascii="Arial" w:cs="Arial" w:eastAsia="Arial" w:hAnsi="Arial"/>
                <w:sz w:val="22"/>
                <w:szCs w:val="22"/>
                <w:b w:val="1"/>
                <w:bCs w:val="1"/>
                <w:color w:val="auto"/>
              </w:rPr>
              <w:t>People Placed in</w:t>
            </w:r>
          </w:p>
        </w:tc>
        <w:tc>
          <w:tcPr>
            <w:tcW w:w="5300" w:type="dxa"/>
            <w:vAlign w:val="bottom"/>
            <w:gridSpan w:val="2"/>
          </w:tcPr>
          <w:p>
            <w:pPr>
              <w:ind w:left="120"/>
              <w:spacing w:after="0"/>
              <w:rPr>
                <w:sz w:val="20"/>
                <w:szCs w:val="20"/>
                <w:color w:val="auto"/>
              </w:rPr>
            </w:pPr>
            <w:r>
              <w:rPr>
                <w:rFonts w:ascii="Arial" w:cs="Arial" w:eastAsia="Arial" w:hAnsi="Arial"/>
                <w:sz w:val="22"/>
                <w:szCs w:val="22"/>
                <w:b w:val="1"/>
                <w:bCs w:val="1"/>
                <w:color w:val="auto"/>
              </w:rPr>
              <w:t>Strong Record of Long-Term Revenue Growth</w:t>
            </w:r>
          </w:p>
        </w:tc>
        <w:tc>
          <w:tcPr>
            <w:tcW w:w="0" w:type="dxa"/>
            <w:vAlign w:val="bottom"/>
          </w:tcPr>
          <w:p>
            <w:pPr>
              <w:spacing w:after="0"/>
              <w:rPr>
                <w:sz w:val="1"/>
                <w:szCs w:val="1"/>
                <w:color w:val="auto"/>
              </w:rPr>
            </w:pPr>
          </w:p>
        </w:tc>
      </w:tr>
    </w:tbl>
    <w:p>
      <w:pPr>
        <w:spacing w:after="0" w:line="230" w:lineRule="auto"/>
        <w:rPr>
          <w:sz w:val="20"/>
          <w:szCs w:val="20"/>
          <w:color w:val="auto"/>
        </w:rPr>
      </w:pPr>
      <w:r>
        <w:rPr>
          <w:rFonts w:ascii="Arial" w:cs="Arial" w:eastAsia="Arial" w:hAnsi="Arial"/>
          <w:sz w:val="22"/>
          <w:szCs w:val="22"/>
          <w:b w:val="1"/>
          <w:bCs w:val="1"/>
          <w:color w:val="auto"/>
        </w:rPr>
        <w:t xml:space="preserve">Permanent, Temporary and </w:t>
      </w:r>
      <w:r>
        <w:rPr>
          <w:rFonts w:ascii="Arial" w:cs="Arial" w:eastAsia="Arial" w:hAnsi="Arial"/>
          <w:sz w:val="16"/>
          <w:szCs w:val="16"/>
          <w:color w:val="auto"/>
        </w:rPr>
        <w:t>in billions ($)</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Contract Positions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-1270</wp:posOffset>
            </wp:positionV>
            <wp:extent cx="6500495" cy="19640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500495" cy="19640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540" w:space="340"/>
            <w:col w:w="8020"/>
          </w:cols>
          <w:pgMar w:left="240" w:top="105" w:right="7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tabs>
          <w:tab w:leader="none" w:pos="680" w:val="left"/>
          <w:tab w:leader="none" w:pos="1360" w:val="left"/>
          <w:tab w:leader="none" w:pos="1720" w:val="left"/>
          <w:tab w:leader="none" w:pos="2580" w:val="left"/>
        </w:tabs>
        <w:rPr>
          <w:sz w:val="20"/>
          <w:szCs w:val="20"/>
          <w:color w:val="auto"/>
        </w:rPr>
      </w:pPr>
      <w:r>
        <w:rPr>
          <w:rFonts w:ascii="Arial" w:cs="Arial" w:eastAsia="Arial" w:hAnsi="Arial"/>
          <w:sz w:val="16"/>
          <w:szCs w:val="16"/>
          <w:color w:val="auto"/>
        </w:rPr>
        <w:t>Offices</w:t>
        <w:tab/>
        <w:t>across</w:t>
        <w:tab/>
        <w:t>82</w:t>
        <w:tab/>
        <w:t>countries</w:t>
      </w:r>
      <w:r>
        <w:rPr>
          <w:sz w:val="20"/>
          <w:szCs w:val="20"/>
          <w:color w:val="auto"/>
        </w:rPr>
        <w:tab/>
      </w:r>
      <w:r>
        <w:rPr>
          <w:rFonts w:ascii="Arial" w:cs="Arial" w:eastAsia="Arial" w:hAnsi="Arial"/>
          <w:sz w:val="15"/>
          <w:szCs w:val="15"/>
          <w:color w:val="auto"/>
        </w:rPr>
        <w:t>and</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territories allow us to meet the needs of</w:t>
      </w:r>
    </w:p>
    <w:p>
      <w:pPr>
        <w:spacing w:after="0" w:line="5" w:lineRule="exact"/>
        <w:rPr>
          <w:sz w:val="20"/>
          <w:szCs w:val="20"/>
          <w:color w:val="auto"/>
        </w:rPr>
      </w:pPr>
    </w:p>
    <w:p>
      <w:pPr>
        <w:spacing w:after="0"/>
        <w:tabs>
          <w:tab w:leader="none" w:pos="640" w:val="left"/>
          <w:tab w:leader="none" w:pos="960" w:val="left"/>
          <w:tab w:leader="none" w:pos="1320" w:val="left"/>
          <w:tab w:leader="none" w:pos="2100" w:val="left"/>
        </w:tabs>
        <w:rPr>
          <w:sz w:val="20"/>
          <w:szCs w:val="20"/>
          <w:color w:val="auto"/>
        </w:rPr>
      </w:pPr>
      <w:r>
        <w:rPr>
          <w:rFonts w:ascii="Arial" w:cs="Arial" w:eastAsia="Arial" w:hAnsi="Arial"/>
          <w:sz w:val="16"/>
          <w:szCs w:val="16"/>
          <w:color w:val="auto"/>
        </w:rPr>
        <w:t>clients</w:t>
        <w:tab/>
        <w:t>in</w:t>
        <w:tab/>
        <w:t>all</w:t>
        <w:tab/>
        <w:t>industry</w:t>
        <w:tab/>
        <w:t>segments.</w:t>
      </w:r>
    </w:p>
    <w:p>
      <w:pPr>
        <w:spacing w:after="0" w:line="5" w:lineRule="exact"/>
        <w:rPr>
          <w:sz w:val="20"/>
          <w:szCs w:val="20"/>
          <w:color w:val="auto"/>
        </w:rPr>
      </w:pPr>
    </w:p>
    <w:p>
      <w:pPr>
        <w:spacing w:after="0"/>
        <w:tabs>
          <w:tab w:leader="none" w:pos="1020" w:val="left"/>
          <w:tab w:leader="none" w:pos="1680" w:val="left"/>
          <w:tab w:leader="none" w:pos="2620" w:val="left"/>
        </w:tabs>
        <w:rPr>
          <w:sz w:val="20"/>
          <w:szCs w:val="20"/>
          <w:color w:val="auto"/>
        </w:rPr>
      </w:pPr>
      <w:r>
        <w:rPr>
          <w:rFonts w:ascii="Arial" w:cs="Arial" w:eastAsia="Arial" w:hAnsi="Arial"/>
          <w:sz w:val="16"/>
          <w:szCs w:val="16"/>
          <w:color w:val="auto"/>
        </w:rPr>
        <w:t>Systemwide</w:t>
        <w:tab/>
        <w:t>Offices</w:t>
        <w:tab/>
        <w:t>represents</w:t>
      </w:r>
      <w:r>
        <w:rPr>
          <w:sz w:val="20"/>
          <w:szCs w:val="20"/>
          <w:color w:val="auto"/>
        </w:rPr>
        <w:tab/>
      </w:r>
      <w:r>
        <w:rPr>
          <w:rFonts w:ascii="Arial" w:cs="Arial" w:eastAsia="Arial" w:hAnsi="Arial"/>
          <w:sz w:val="15"/>
          <w:szCs w:val="15"/>
          <w:color w:val="auto"/>
        </w:rPr>
        <w:t>our</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branch offices plus the offices operating</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under a franchise agreement with us.</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16 </w:t>
      </w:r>
      <w:r>
        <w:rPr>
          <w:rFonts w:ascii="Arial" w:cs="Arial" w:eastAsia="Arial" w:hAnsi="Arial"/>
          <w:sz w:val="16"/>
          <w:szCs w:val="16"/>
          <w:color w:val="auto"/>
        </w:rPr>
        <w:t>Manpower 2010 Annual Report</w:t>
      </w:r>
      <w:r>
        <w:rPr>
          <w:rFonts w:ascii="Arial" w:cs="Arial" w:eastAsia="Arial" w:hAnsi="Arial"/>
          <w:sz w:val="16"/>
          <w:szCs w:val="16"/>
          <w:b w:val="1"/>
          <w:bCs w:val="1"/>
          <w:color w:val="auto"/>
        </w:rPr>
        <w:t xml:space="preserve"> </w:t>
      </w:r>
      <w:r>
        <w:rPr>
          <w:rFonts w:ascii="Arial" w:cs="Arial" w:eastAsia="Arial" w:hAnsi="Arial"/>
          <w:sz w:val="16"/>
          <w:szCs w:val="16"/>
          <w:b w:val="1"/>
          <w:bCs w:val="1"/>
          <w:color w:val="939598"/>
        </w:rPr>
        <w:t>At a Glance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72390</wp:posOffset>
            </wp:positionV>
            <wp:extent cx="7267575" cy="469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ectPr>
          <w:pgSz w:w="11900" w:h="16838" w:orient="portrait"/>
          <w:cols w:equalWidth="0" w:num="1">
            <w:col w:w="10900"/>
          </w:cols>
          <w:pgMar w:left="240" w:top="105" w:right="759" w:bottom="1440" w:gutter="0" w:footer="0" w:header="0"/>
          <w:type w:val="continuous"/>
        </w:sectPr>
      </w:pPr>
    </w:p>
    <w:bookmarkStart w:id="45" w:name="page46"/>
    <w:bookmarkEnd w:id="45"/>
    <w:p>
      <w:pPr>
        <w:spacing w:after="0"/>
        <w:rPr>
          <w:sz w:val="20"/>
          <w:szCs w:val="20"/>
          <w:color w:val="auto"/>
        </w:rPr>
      </w:pPr>
      <w:r>
        <w:rPr>
          <w:rFonts w:ascii="Arial" w:cs="Arial" w:eastAsia="Arial" w:hAnsi="Arial"/>
          <w:sz w:val="24"/>
          <w:szCs w:val="24"/>
          <w:color w:val="auto"/>
        </w:rPr>
        <w:t>FINANCIAL HIGHLIGHTS</w:t>
      </w:r>
    </w:p>
    <w:p>
      <w:pPr>
        <w:spacing w:after="0" w:line="19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Revenues from Services</w:t>
      </w:r>
      <w:r>
        <w:rPr>
          <w:rFonts w:ascii="Arial" w:cs="Arial" w:eastAsia="Arial" w:hAnsi="Arial"/>
          <w:sz w:val="30"/>
          <w:szCs w:val="30"/>
          <w:b w:val="1"/>
          <w:bCs w:val="1"/>
          <w:color w:val="auto"/>
          <w:vertAlign w:val="superscript"/>
        </w:rPr>
        <w:t>(a)</w:t>
      </w:r>
      <w:r>
        <w:rPr>
          <w:rFonts w:ascii="Arial" w:cs="Arial" w:eastAsia="Arial" w:hAnsi="Arial"/>
          <w:sz w:val="22"/>
          <w:szCs w:val="22"/>
          <w:b w:val="1"/>
          <w:bCs w:val="1"/>
          <w:color w:val="auto"/>
        </w:rPr>
        <w:t xml:space="preserve">  Operating Profit</w:t>
      </w:r>
    </w:p>
    <w:p>
      <w:pPr>
        <w:spacing w:after="0"/>
        <w:tabs>
          <w:tab w:leader="none" w:pos="2860" w:val="left"/>
        </w:tabs>
        <w:rPr>
          <w:sz w:val="20"/>
          <w:szCs w:val="20"/>
          <w:color w:val="auto"/>
        </w:rPr>
      </w:pPr>
      <w:r>
        <w:rPr>
          <w:rFonts w:ascii="Arial" w:cs="Arial" w:eastAsia="Arial" w:hAnsi="Arial"/>
          <w:sz w:val="16"/>
          <w:szCs w:val="16"/>
          <w:color w:val="auto"/>
        </w:rPr>
        <w:t>in millions ($)</w:t>
      </w:r>
      <w:r>
        <w:rPr>
          <w:sz w:val="20"/>
          <w:szCs w:val="20"/>
          <w:color w:val="auto"/>
        </w:rPr>
        <w:tab/>
      </w:r>
      <w:r>
        <w:rPr>
          <w:rFonts w:ascii="Arial" w:cs="Arial" w:eastAsia="Arial" w:hAnsi="Arial"/>
          <w:sz w:val="15"/>
          <w:szCs w:val="15"/>
          <w:color w:val="auto"/>
        </w:rPr>
        <w:t>in millions ($)</w:t>
      </w:r>
    </w:p>
    <w:p>
      <w:pPr>
        <w:spacing w:after="0" w:line="262" w:lineRule="exact"/>
        <w:rPr>
          <w:sz w:val="20"/>
          <w:szCs w:val="20"/>
          <w:color w:val="auto"/>
        </w:rPr>
      </w:pPr>
    </w:p>
    <w:p>
      <w:pPr>
        <w:spacing w:after="0"/>
        <w:tabs>
          <w:tab w:leader="none" w:pos="2860" w:val="left"/>
        </w:tabs>
        <w:rPr>
          <w:sz w:val="20"/>
          <w:szCs w:val="20"/>
          <w:color w:val="auto"/>
        </w:rPr>
      </w:pPr>
      <w:r>
        <w:rPr>
          <w:rFonts w:ascii="Arial" w:cs="Arial" w:eastAsia="Arial" w:hAnsi="Arial"/>
          <w:sz w:val="16"/>
          <w:szCs w:val="16"/>
          <w:color w:val="auto"/>
        </w:rPr>
        <w:t>2010 was a successful year. We</w:t>
      </w:r>
      <w:r>
        <w:rPr>
          <w:sz w:val="20"/>
          <w:szCs w:val="20"/>
          <w:color w:val="auto"/>
        </w:rPr>
        <w:tab/>
      </w:r>
      <w:r>
        <w:rPr>
          <w:rFonts w:ascii="Arial" w:cs="Arial" w:eastAsia="Arial" w:hAnsi="Arial"/>
          <w:sz w:val="16"/>
          <w:szCs w:val="16"/>
          <w:color w:val="auto"/>
        </w:rPr>
        <w:t>Operating Profit decreased to a</w:t>
      </w:r>
    </w:p>
    <w:p>
      <w:pPr>
        <w:spacing w:after="0" w:line="5" w:lineRule="exact"/>
        <w:rPr>
          <w:sz w:val="20"/>
          <w:szCs w:val="20"/>
          <w:color w:val="auto"/>
        </w:rPr>
      </w:pPr>
    </w:p>
    <w:p>
      <w:pPr>
        <w:spacing w:after="0"/>
        <w:tabs>
          <w:tab w:leader="none" w:pos="2860" w:val="left"/>
        </w:tabs>
        <w:rPr>
          <w:sz w:val="20"/>
          <w:szCs w:val="20"/>
          <w:color w:val="auto"/>
        </w:rPr>
      </w:pPr>
      <w:r>
        <w:rPr>
          <w:rFonts w:ascii="Arial" w:cs="Arial" w:eastAsia="Arial" w:hAnsi="Arial"/>
          <w:sz w:val="16"/>
          <w:szCs w:val="16"/>
          <w:color w:val="auto"/>
        </w:rPr>
        <w:t>leveraged our footprint well,</w:t>
      </w:r>
      <w:r>
        <w:rPr>
          <w:sz w:val="20"/>
          <w:szCs w:val="20"/>
          <w:color w:val="auto"/>
        </w:rPr>
        <w:tab/>
      </w:r>
      <w:r>
        <w:rPr>
          <w:rFonts w:ascii="Arial" w:cs="Arial" w:eastAsia="Arial" w:hAnsi="Arial"/>
          <w:sz w:val="16"/>
          <w:szCs w:val="16"/>
          <w:color w:val="auto"/>
        </w:rPr>
        <w:t>loss of $122.0 million. Excluding</w:t>
      </w:r>
    </w:p>
    <w:p>
      <w:pPr>
        <w:spacing w:after="0" w:line="5" w:lineRule="exact"/>
        <w:rPr>
          <w:sz w:val="20"/>
          <w:szCs w:val="20"/>
          <w:color w:val="auto"/>
        </w:rPr>
      </w:pPr>
    </w:p>
    <w:p>
      <w:pPr>
        <w:spacing w:after="0"/>
        <w:tabs>
          <w:tab w:leader="none" w:pos="2860" w:val="left"/>
        </w:tabs>
        <w:rPr>
          <w:sz w:val="20"/>
          <w:szCs w:val="20"/>
          <w:color w:val="auto"/>
        </w:rPr>
      </w:pPr>
      <w:r>
        <w:rPr>
          <w:rFonts w:ascii="Arial" w:cs="Arial" w:eastAsia="Arial" w:hAnsi="Arial"/>
          <w:sz w:val="16"/>
          <w:szCs w:val="16"/>
          <w:color w:val="auto"/>
        </w:rPr>
        <w:t>increasing our revenues by nearly</w:t>
      </w:r>
      <w:r>
        <w:rPr>
          <w:sz w:val="20"/>
          <w:szCs w:val="20"/>
          <w:color w:val="auto"/>
        </w:rPr>
        <w:tab/>
      </w:r>
      <w:r>
        <w:rPr>
          <w:rFonts w:ascii="Arial" w:cs="Arial" w:eastAsia="Arial" w:hAnsi="Arial"/>
          <w:sz w:val="16"/>
          <w:szCs w:val="16"/>
          <w:color w:val="auto"/>
        </w:rPr>
        <w:t>the non-recurring items, Operating</w:t>
      </w:r>
    </w:p>
    <w:p>
      <w:pPr>
        <w:spacing w:after="0" w:line="5" w:lineRule="exact"/>
        <w:rPr>
          <w:sz w:val="20"/>
          <w:szCs w:val="20"/>
          <w:color w:val="auto"/>
        </w:rPr>
      </w:pPr>
    </w:p>
    <w:p>
      <w:pPr>
        <w:spacing w:after="0"/>
        <w:tabs>
          <w:tab w:leader="none" w:pos="2860" w:val="left"/>
        </w:tabs>
        <w:rPr>
          <w:sz w:val="20"/>
          <w:szCs w:val="20"/>
          <w:color w:val="auto"/>
        </w:rPr>
      </w:pPr>
      <w:r>
        <w:rPr>
          <w:rFonts w:ascii="Arial" w:cs="Arial" w:eastAsia="Arial" w:hAnsi="Arial"/>
          <w:sz w:val="16"/>
          <w:szCs w:val="16"/>
          <w:color w:val="auto"/>
        </w:rPr>
        <w:t>20% to $18.9 billion and exceeding</w:t>
      </w:r>
      <w:r>
        <w:rPr>
          <w:sz w:val="20"/>
          <w:szCs w:val="20"/>
          <w:color w:val="auto"/>
        </w:rPr>
        <w:tab/>
      </w:r>
      <w:r>
        <w:rPr>
          <w:rFonts w:ascii="Arial" w:cs="Arial" w:eastAsia="Arial" w:hAnsi="Arial"/>
          <w:sz w:val="16"/>
          <w:szCs w:val="16"/>
          <w:color w:val="auto"/>
        </w:rPr>
        <w:t>Profit increased 148% from 2009,</w:t>
      </w:r>
    </w:p>
    <w:p>
      <w:pPr>
        <w:spacing w:after="0" w:line="5" w:lineRule="exact"/>
        <w:rPr>
          <w:sz w:val="20"/>
          <w:szCs w:val="20"/>
          <w:color w:val="auto"/>
        </w:rPr>
      </w:pPr>
    </w:p>
    <w:p>
      <w:pPr>
        <w:spacing w:after="0"/>
        <w:tabs>
          <w:tab w:leader="none" w:pos="2860" w:val="left"/>
        </w:tabs>
        <w:rPr>
          <w:sz w:val="20"/>
          <w:szCs w:val="20"/>
          <w:color w:val="auto"/>
        </w:rPr>
      </w:pPr>
      <w:r>
        <w:rPr>
          <w:rFonts w:ascii="Arial" w:cs="Arial" w:eastAsia="Arial" w:hAnsi="Arial"/>
          <w:sz w:val="16"/>
          <w:szCs w:val="16"/>
          <w:color w:val="auto"/>
        </w:rPr>
        <w:t>profitability expectations.</w:t>
      </w:r>
      <w:r>
        <w:rPr>
          <w:sz w:val="20"/>
          <w:szCs w:val="20"/>
          <w:color w:val="auto"/>
        </w:rPr>
        <w:tab/>
      </w:r>
      <w:r>
        <w:rPr>
          <w:rFonts w:ascii="Arial" w:cs="Arial" w:eastAsia="Arial" w:hAnsi="Arial"/>
          <w:sz w:val="16"/>
          <w:szCs w:val="16"/>
          <w:color w:val="auto"/>
        </w:rPr>
        <w:t>to $337.3 million in 2010.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Operating Profit Margin</w:t>
      </w:r>
    </w:p>
    <w:p>
      <w:pPr>
        <w:spacing w:after="0" w:line="200" w:lineRule="exact"/>
        <w:rPr>
          <w:sz w:val="20"/>
          <w:szCs w:val="20"/>
          <w:color w:val="auto"/>
        </w:rPr>
      </w:pPr>
    </w:p>
    <w:p>
      <w:pPr>
        <w:spacing w:after="0" w:line="270"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Operating Profit Margin decreased to (0.7%). Excluding the non-recurring items, Operating Profit Margin increased to 1.8% in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-3626485</wp:posOffset>
            </wp:positionH>
            <wp:positionV relativeFrom="paragraph">
              <wp:posOffset>232410</wp:posOffset>
            </wp:positionV>
            <wp:extent cx="7246620" cy="25984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25984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9" w:lineRule="exact"/>
        <w:rPr>
          <w:sz w:val="20"/>
          <w:szCs w:val="20"/>
          <w:color w:val="auto"/>
        </w:rPr>
      </w:pPr>
    </w:p>
    <w:p>
      <w:pPr>
        <w:ind w:right="100"/>
        <w:spacing w:after="0" w:line="261" w:lineRule="auto"/>
        <w:rPr>
          <w:sz w:val="20"/>
          <w:szCs w:val="20"/>
          <w:color w:val="auto"/>
        </w:rPr>
      </w:pPr>
      <w:r>
        <w:rPr>
          <w:rFonts w:ascii="Arial" w:cs="Arial" w:eastAsia="Arial" w:hAnsi="Arial"/>
          <w:sz w:val="22"/>
          <w:szCs w:val="22"/>
          <w:b w:val="1"/>
          <w:bCs w:val="1"/>
          <w:color w:val="auto"/>
        </w:rPr>
        <w:t>Return on Invested Capital (ROIC)</w:t>
      </w:r>
    </w:p>
    <w:p>
      <w:pPr>
        <w:spacing w:after="0" w:line="173" w:lineRule="exact"/>
        <w:rPr>
          <w:sz w:val="20"/>
          <w:szCs w:val="20"/>
          <w:color w:val="auto"/>
        </w:rPr>
      </w:pPr>
    </w:p>
    <w:p>
      <w:pPr>
        <w:ind w:right="180"/>
        <w:spacing w:after="0" w:line="249" w:lineRule="auto"/>
        <w:rPr>
          <w:sz w:val="20"/>
          <w:szCs w:val="20"/>
          <w:color w:val="auto"/>
        </w:rPr>
      </w:pPr>
      <w:r>
        <w:rPr>
          <w:rFonts w:ascii="Arial" w:cs="Arial" w:eastAsia="Arial" w:hAnsi="Arial"/>
          <w:sz w:val="16"/>
          <w:szCs w:val="16"/>
          <w:color w:val="auto"/>
        </w:rPr>
        <w:t>Return on Invested Capital is defined as operating profit after tax divided by the average monthly total of net debt and equity for the year. Net debt is defined as total debt less cash and cash equivalents.</w:t>
      </w:r>
    </w:p>
    <w:p>
      <w:pPr>
        <w:spacing w:after="0" w:line="200" w:lineRule="exact"/>
        <w:rPr>
          <w:sz w:val="20"/>
          <w:szCs w:val="20"/>
          <w:color w:val="auto"/>
        </w:rPr>
      </w:pPr>
    </w:p>
    <w:p>
      <w:pPr>
        <w:sectPr>
          <w:pgSz w:w="11900" w:h="16838" w:orient="portrait"/>
          <w:cols w:equalWidth="0" w:num="3">
            <w:col w:w="5340" w:space="380"/>
            <w:col w:w="2480" w:space="380"/>
            <w:col w:w="2820"/>
          </w:cols>
          <w:pgMar w:left="240" w:top="419" w:right="25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Emerging Market Revenue</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in millions ($)</w:t>
      </w:r>
    </w:p>
    <w:p>
      <w:pPr>
        <w:spacing w:after="0" w:line="200" w:lineRule="exact"/>
        <w:rPr>
          <w:sz w:val="20"/>
          <w:szCs w:val="20"/>
          <w:color w:val="auto"/>
        </w:rPr>
      </w:pPr>
    </w:p>
    <w:p>
      <w:pPr>
        <w:spacing w:after="0" w:line="305" w:lineRule="exact"/>
        <w:rPr>
          <w:sz w:val="20"/>
          <w:szCs w:val="20"/>
          <w:color w:val="auto"/>
        </w:rPr>
      </w:pPr>
    </w:p>
    <w:p>
      <w:pPr>
        <w:ind w:right="320"/>
        <w:spacing w:after="0" w:line="250" w:lineRule="auto"/>
        <w:rPr>
          <w:sz w:val="20"/>
          <w:szCs w:val="20"/>
          <w:color w:val="auto"/>
        </w:rPr>
      </w:pPr>
      <w:r>
        <w:rPr>
          <w:rFonts w:ascii="Arial" w:cs="Arial" w:eastAsia="Arial" w:hAnsi="Arial"/>
          <w:sz w:val="16"/>
          <w:szCs w:val="16"/>
          <w:color w:val="auto"/>
        </w:rPr>
        <w:t>Emerging market revenue grew 30% in 2010. Key expansion markets grew: China (+80%), Russia (+36%), India (+35%) and Brazil (+25%).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right="200"/>
        <w:spacing w:after="0" w:line="258" w:lineRule="auto"/>
        <w:rPr>
          <w:sz w:val="20"/>
          <w:szCs w:val="20"/>
          <w:color w:val="auto"/>
        </w:rPr>
      </w:pPr>
      <w:r>
        <w:rPr>
          <w:rFonts w:ascii="Arial" w:cs="Arial" w:eastAsia="Arial" w:hAnsi="Arial"/>
          <w:sz w:val="21"/>
          <w:szCs w:val="21"/>
          <w:b w:val="1"/>
          <w:bCs w:val="1"/>
          <w:color w:val="auto"/>
        </w:rPr>
        <w:t>Net Earnings from Continuing Operations</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in millions ($)</w:t>
      </w:r>
    </w:p>
    <w:p>
      <w:pPr>
        <w:spacing w:after="0" w:line="262"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Net Earnings from Continuing Operations decreased to a loss of $263.6 million. Excluding non-recurring items, Net Earnings increased to $141.3 million in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2323465</wp:posOffset>
            </wp:positionV>
            <wp:extent cx="1226185" cy="75438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26185" cy="7543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Total Capitalization</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in millions ($)</w:t>
      </w:r>
    </w:p>
    <w:p>
      <w:pPr>
        <w:spacing w:after="0" w:line="200" w:lineRule="exact"/>
        <w:rPr>
          <w:sz w:val="20"/>
          <w:szCs w:val="20"/>
          <w:color w:val="auto"/>
        </w:rPr>
      </w:pPr>
    </w:p>
    <w:p>
      <w:pPr>
        <w:spacing w:after="0" w:line="305"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Debt as a percentage of total capitalization was 23% in both 2010 and 2009, compared to 28% in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-3626485</wp:posOffset>
            </wp:positionH>
            <wp:positionV relativeFrom="paragraph">
              <wp:posOffset>367665</wp:posOffset>
            </wp:positionV>
            <wp:extent cx="7246620" cy="22555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2255520"/>
                    </a:xfrm>
                    <a:prstGeom prst="rect">
                      <a:avLst/>
                    </a:prstGeom>
                    <a:noFill/>
                  </pic:spPr>
                </pic:pic>
              </a:graphicData>
            </a:graphic>
          </wp:anchor>
        </w:drawing>
        <w:drawing>
          <wp:anchor simplePos="0" relativeHeight="251657728" behindDoc="1" locked="0" layoutInCell="0" allowOverlap="1">
            <wp:simplePos x="0" y="0"/>
            <wp:positionH relativeFrom="column">
              <wp:posOffset>-3626485</wp:posOffset>
            </wp:positionH>
            <wp:positionV relativeFrom="paragraph">
              <wp:posOffset>367665</wp:posOffset>
            </wp:positionV>
            <wp:extent cx="7246620" cy="22555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22555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right="400"/>
        <w:spacing w:after="0" w:line="263" w:lineRule="auto"/>
        <w:rPr>
          <w:sz w:val="20"/>
          <w:szCs w:val="20"/>
          <w:color w:val="auto"/>
        </w:rPr>
      </w:pPr>
      <w:r>
        <w:rPr>
          <w:rFonts w:ascii="Arial" w:cs="Arial" w:eastAsia="Arial" w:hAnsi="Arial"/>
          <w:sz w:val="21"/>
          <w:szCs w:val="21"/>
          <w:b w:val="1"/>
          <w:bCs w:val="1"/>
          <w:color w:val="auto"/>
        </w:rPr>
        <w:t>Net Earnings Per Share from Continuing Operations – Diluted ($)</w:t>
      </w:r>
    </w:p>
    <w:p>
      <w:pPr>
        <w:spacing w:after="0" w:line="172" w:lineRule="exact"/>
        <w:rPr>
          <w:sz w:val="20"/>
          <w:szCs w:val="20"/>
          <w:color w:val="auto"/>
        </w:rPr>
      </w:pPr>
    </w:p>
    <w:p>
      <w:pPr>
        <w:ind w:right="520"/>
        <w:spacing w:after="0" w:line="249" w:lineRule="auto"/>
        <w:rPr>
          <w:sz w:val="20"/>
          <w:szCs w:val="20"/>
          <w:color w:val="auto"/>
        </w:rPr>
      </w:pPr>
      <w:r>
        <w:rPr>
          <w:rFonts w:ascii="Arial" w:cs="Arial" w:eastAsia="Arial" w:hAnsi="Arial"/>
          <w:sz w:val="16"/>
          <w:szCs w:val="16"/>
          <w:color w:val="auto"/>
        </w:rPr>
        <w:t>Net Earnings Per Share from Continuing Operations – Diluted decreased to a loss of $3.26. Excluding non-recurring items, it increased 56.8% from 2009, to earnings of $1.72.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276860</wp:posOffset>
            </wp:positionH>
            <wp:positionV relativeFrom="paragraph">
              <wp:posOffset>2204720</wp:posOffset>
            </wp:positionV>
            <wp:extent cx="1252220" cy="9093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clrChange>
                        <a:clrFrom>
                          <a:srgbClr val="000000"/>
                        </a:clrFrom>
                        <a:clrTo>
                          <a:srgbClr val="000000">
                            <a:alpha val="0"/>
                          </a:srgbClr>
                        </a:clrTo>
                      </a:clrChange>
                      <a:extLst>
                        <a:ext uri="{28A0092B-C50C-407E-A947-70E740481C1C}"/>
                      </a:extLst>
                    </a:blip>
                    <a:srcRect/>
                    <a:stretch>
                      <a:fillRect/>
                    </a:stretch>
                  </pic:blipFill>
                  <pic:spPr bwMode="auto">
                    <a:xfrm>
                      <a:off x="0" y="0"/>
                      <a:ext cx="1252220" cy="909320"/>
                    </a:xfrm>
                    <a:prstGeom prst="rect">
                      <a:avLst/>
                    </a:prstGeom>
                    <a:noFill/>
                  </pic:spPr>
                </pic:pic>
              </a:graphicData>
            </a:graphic>
          </wp:anchor>
        </w:drawing>
        <w:drawing>
          <wp:anchor simplePos="0" relativeHeight="251657728" behindDoc="1" locked="0" layoutInCell="0" allowOverlap="1">
            <wp:simplePos x="0" y="0"/>
            <wp:positionH relativeFrom="column">
              <wp:posOffset>276860</wp:posOffset>
            </wp:positionH>
            <wp:positionV relativeFrom="paragraph">
              <wp:posOffset>2204720</wp:posOffset>
            </wp:positionV>
            <wp:extent cx="1252220" cy="9093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clrChange>
                        <a:clrFrom>
                          <a:srgbClr val="FFFFFF"/>
                        </a:clrFrom>
                        <a:clrTo>
                          <a:srgbClr val="FFFFFF">
                            <a:alpha val="0"/>
                          </a:srgbClr>
                        </a:clrTo>
                      </a:clrChange>
                      <a:extLst>
                        <a:ext uri="{28A0092B-C50C-407E-A947-70E740481C1C}"/>
                      </a:extLst>
                    </a:blip>
                    <a:srcRect/>
                    <a:stretch>
                      <a:fillRect/>
                    </a:stretch>
                  </pic:blipFill>
                  <pic:spPr bwMode="auto">
                    <a:xfrm>
                      <a:off x="0" y="0"/>
                      <a:ext cx="1252220" cy="90932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4">
            <w:col w:w="2720" w:space="160"/>
            <w:col w:w="2540" w:space="300"/>
            <w:col w:w="2440" w:space="420"/>
            <w:col w:w="2820"/>
          </w:cols>
          <w:pgMar w:left="240" w:top="419" w:right="25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240" w:hanging="232"/>
        <w:spacing w:after="0" w:line="247" w:lineRule="auto"/>
        <w:tabs>
          <w:tab w:leader="none" w:pos="2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Revenues from Services includes fees received from our franchise offices of $35.7 million, $35.7 million, $30.9 million, $22.3 million and $23.6 million for 2006, 2007, 2008, 2009 and 2010, respectively. These fees are primarily based on revenues generated by the franchise offices, which were $1,497.0 million, $1,408.5 million, $1,148.1 million, $746.7 million and $968.0 million for 2006, 2007, 2008, 2009 and 2010, respectively. In the United States, where the majority of our franchises operate, Revenues from Services includes fees received from the related franchise operations of $24.4 million, $24.2 million, $17.7 million, $10.5 million and $13.7 million for 2006, 2007, 2008, 2009 and 2010, respectively. These fees are primarily based on revenues generated by the franchise operations, which were $1,146.1 million, $1,055.1 million,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239" w:hanging="239"/>
        <w:spacing w:after="0" w:line="250" w:lineRule="auto"/>
        <w:tabs>
          <w:tab w:leader="none" w:pos="239" w:val="left"/>
        </w:tabs>
        <w:numPr>
          <w:ilvl w:val="0"/>
          <w:numId w:val="40"/>
        </w:numPr>
        <w:rPr>
          <w:rFonts w:ascii="Arial" w:cs="Arial" w:eastAsia="Arial" w:hAnsi="Arial"/>
          <w:sz w:val="16"/>
          <w:szCs w:val="16"/>
          <w:color w:val="auto"/>
        </w:rPr>
      </w:pPr>
      <w:r>
        <w:rPr>
          <w:rFonts w:ascii="Arial" w:cs="Arial" w:eastAsia="Arial" w:hAnsi="Arial"/>
          <w:sz w:val="16"/>
          <w:szCs w:val="16"/>
          <w:color w:val="auto"/>
        </w:rPr>
        <w:t>Amounts exclude the impact of the goodwill and intangible asset impairment charge related to our investment in Right Management, French business tax refund, French payroll tax modification, French competition investigation and global reorganization charges. (See Note 1 to the Consolidated Financial Statements for further information.)</w:t>
      </w:r>
    </w:p>
    <w:p>
      <w:pPr>
        <w:sectPr>
          <w:pgSz w:w="11900" w:h="16838" w:orient="portrait"/>
          <w:cols w:equalWidth="0" w:num="2">
            <w:col w:w="5480" w:space="241"/>
            <w:col w:w="5679"/>
          </w:cols>
          <w:pgMar w:left="240" w:top="419" w:right="259" w:bottom="0" w:gutter="0" w:footer="0" w:header="0"/>
          <w:type w:val="continuous"/>
        </w:sectPr>
      </w:pPr>
    </w:p>
    <w:bookmarkStart w:id="46" w:name="page47"/>
    <w:bookmarkEnd w:id="46"/>
    <w:p>
      <w:pPr>
        <w:ind w:left="232" w:right="200"/>
        <w:spacing w:after="0" w:line="260" w:lineRule="auto"/>
        <w:rPr>
          <w:sz w:val="20"/>
          <w:szCs w:val="20"/>
          <w:color w:val="auto"/>
        </w:rPr>
      </w:pPr>
      <w:r>
        <w:rPr>
          <w:rFonts w:ascii="Arial" w:cs="Arial" w:eastAsia="Arial" w:hAnsi="Arial"/>
          <w:sz w:val="16"/>
          <w:szCs w:val="16"/>
          <w:color w:val="auto"/>
        </w:rPr>
        <w:t>$746.2 million, $459.3 million and $622.0 million for 2006, 2007, 2008, 2009 and 2010, respec tively.</w:t>
      </w:r>
    </w:p>
    <w:p>
      <w:pPr>
        <w:spacing w:after="0" w:line="169" w:lineRule="exact"/>
        <w:rPr>
          <w:sz w:val="20"/>
          <w:szCs w:val="20"/>
          <w:color w:val="auto"/>
        </w:rPr>
      </w:pPr>
    </w:p>
    <w:p>
      <w:pPr>
        <w:ind w:left="232" w:hanging="232"/>
        <w:spacing w:after="0" w:line="251" w:lineRule="auto"/>
        <w:tabs>
          <w:tab w:leader="none" w:pos="232" w:val="left"/>
        </w:tabs>
        <w:numPr>
          <w:ilvl w:val="0"/>
          <w:numId w:val="41"/>
        </w:numPr>
        <w:rPr>
          <w:rFonts w:ascii="Arial" w:cs="Arial" w:eastAsia="Arial" w:hAnsi="Arial"/>
          <w:sz w:val="16"/>
          <w:szCs w:val="16"/>
          <w:color w:val="auto"/>
        </w:rPr>
      </w:pPr>
      <w:r>
        <w:rPr>
          <w:rFonts w:ascii="Arial" w:cs="Arial" w:eastAsia="Arial" w:hAnsi="Arial"/>
          <w:sz w:val="16"/>
          <w:szCs w:val="16"/>
          <w:color w:val="auto"/>
        </w:rPr>
        <w:t>Amounts exclude the impact of the goodwill and intangible asset impairment charges related to our investments in Right Management and Jefferson Wells, and global reorganization charges. (See Note 1 to the Consolidated Financial Statements for further information.)</w:t>
      </w:r>
    </w:p>
    <w:p>
      <w:pPr>
        <w:spacing w:after="0" w:line="175" w:lineRule="exact"/>
        <w:rPr>
          <w:rFonts w:ascii="Arial" w:cs="Arial" w:eastAsia="Arial" w:hAnsi="Arial"/>
          <w:sz w:val="16"/>
          <w:szCs w:val="16"/>
          <w:color w:val="auto"/>
        </w:rPr>
      </w:pPr>
    </w:p>
    <w:p>
      <w:pPr>
        <w:ind w:left="232" w:right="140" w:hanging="232"/>
        <w:spacing w:after="0" w:line="249" w:lineRule="auto"/>
        <w:tabs>
          <w:tab w:leader="none" w:pos="232" w:val="left"/>
        </w:tabs>
        <w:numPr>
          <w:ilvl w:val="0"/>
          <w:numId w:val="41"/>
        </w:numPr>
        <w:rPr>
          <w:rFonts w:ascii="Arial" w:cs="Arial" w:eastAsia="Arial" w:hAnsi="Arial"/>
          <w:sz w:val="16"/>
          <w:szCs w:val="16"/>
          <w:color w:val="auto"/>
        </w:rPr>
      </w:pPr>
      <w:r>
        <w:rPr>
          <w:rFonts w:ascii="Arial" w:cs="Arial" w:eastAsia="Arial" w:hAnsi="Arial"/>
          <w:sz w:val="16"/>
          <w:szCs w:val="16"/>
          <w:color w:val="auto"/>
        </w:rPr>
        <w:t>Amounts exclude the impact for the goodwill impairment charge related to our investment in Jefferson Wells, loss on the sale of an equity investment, charge related to the extinguishment of our interest rate swap agreements and amended revolving credit facility, and global reorganization charges (See Note 1 to the Consolidated Financial Statements for further information.)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7" w:lineRule="exact"/>
        <w:rPr>
          <w:sz w:val="20"/>
          <w:szCs w:val="20"/>
          <w:color w:val="auto"/>
        </w:rPr>
      </w:pPr>
    </w:p>
    <w:p>
      <w:pPr>
        <w:ind w:left="240" w:hanging="239"/>
        <w:spacing w:after="0" w:line="253" w:lineRule="auto"/>
        <w:tabs>
          <w:tab w:leader="none" w:pos="240" w:val="left"/>
        </w:tabs>
        <w:numPr>
          <w:ilvl w:val="0"/>
          <w:numId w:val="42"/>
        </w:numPr>
        <w:rPr>
          <w:rFonts w:ascii="Arial" w:cs="Arial" w:eastAsia="Arial" w:hAnsi="Arial"/>
          <w:sz w:val="16"/>
          <w:szCs w:val="16"/>
          <w:color w:val="auto"/>
        </w:rPr>
      </w:pPr>
      <w:r>
        <w:rPr>
          <w:rFonts w:ascii="Arial" w:cs="Arial" w:eastAsia="Arial" w:hAnsi="Arial"/>
          <w:sz w:val="16"/>
          <w:szCs w:val="16"/>
          <w:color w:val="auto"/>
        </w:rPr>
        <w:t>Amounts exclude the impact of the payroll tax modification in France, French competition investigation and reorganization charges. (See Note 1 to the Consolidated Financial Statements for further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939598"/>
        </w:rPr>
        <w:t xml:space="preserve">Financial Highlights </w:t>
      </w:r>
      <w:r>
        <w:rPr>
          <w:rFonts w:ascii="Arial" w:cs="Arial" w:eastAsia="Arial" w:hAnsi="Arial"/>
          <w:sz w:val="16"/>
          <w:szCs w:val="16"/>
          <w:color w:val="000000"/>
        </w:rPr>
        <w:t>Manpower 2010 Annual Report</w:t>
      </w:r>
      <w:r>
        <w:rPr>
          <w:rFonts w:ascii="Arial" w:cs="Arial" w:eastAsia="Arial" w:hAnsi="Arial"/>
          <w:sz w:val="16"/>
          <w:szCs w:val="16"/>
          <w:b w:val="1"/>
          <w:bCs w:val="1"/>
          <w:color w:val="939598"/>
        </w:rPr>
        <w:t xml:space="preserve"> </w:t>
      </w:r>
      <w:r>
        <w:rPr>
          <w:rFonts w:ascii="Arial" w:cs="Arial" w:eastAsia="Arial" w:hAnsi="Arial"/>
          <w:sz w:val="16"/>
          <w:szCs w:val="16"/>
          <w:b w:val="1"/>
          <w:bCs w:val="1"/>
          <w:color w:val="000000"/>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-3628390</wp:posOffset>
            </wp:positionH>
            <wp:positionV relativeFrom="paragraph">
              <wp:posOffset>72390</wp:posOffset>
            </wp:positionV>
            <wp:extent cx="7267575" cy="469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ectPr>
          <w:pgSz w:w="11900" w:h="16838" w:orient="portrait"/>
          <w:cols w:equalWidth="0" w:num="2">
            <w:col w:w="5472" w:space="240"/>
            <w:col w:w="5700"/>
          </w:cols>
          <w:pgMar w:left="248" w:top="141" w:right="239" w:bottom="1440" w:gutter="0" w:footer="0" w:header="0"/>
        </w:sectPr>
      </w:pPr>
    </w:p>
    <w:bookmarkStart w:id="47" w:name="page48"/>
    <w:bookmarkEnd w:id="47"/>
    <w:p>
      <w:pPr>
        <w:spacing w:after="0"/>
        <w:rPr>
          <w:sz w:val="20"/>
          <w:szCs w:val="20"/>
          <w:color w:val="auto"/>
        </w:rPr>
      </w:pPr>
      <w:r>
        <w:rPr>
          <w:rFonts w:ascii="Arial" w:cs="Arial" w:eastAsia="Arial" w:hAnsi="Arial"/>
          <w:sz w:val="24"/>
          <w:szCs w:val="24"/>
          <w:color w:val="4D8ABE"/>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46824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4682490"/>
                    </a:xfrm>
                    <a:prstGeom prst="rect">
                      <a:avLst/>
                    </a:prstGeom>
                    <a:noFill/>
                  </pic:spPr>
                </pic:pic>
              </a:graphicData>
            </a:graphic>
          </wp:anchor>
        </w:drawing>
        <w:t>Table of Contents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FFFFFF"/>
        </w:rPr>
        <w:t>19 Management’s Discussion &amp; Analysis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FFFFFF"/>
        </w:rPr>
        <w:t>21 Financial Measures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FFFFFF"/>
        </w:rPr>
        <w:t>41 Management Report on Internal Control Over Financial Reporting</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FFFFFF"/>
        </w:rPr>
        <w:t>42 Report of Independent Registered Public Accounting Firm</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FFFFFF"/>
        </w:rPr>
        <w:t>44 Consolidated Statements of Operations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FFFFFF"/>
        </w:rPr>
        <w:t>45 Consolidated Balance Sheets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FFFFFF"/>
        </w:rPr>
        <w:t>46 Consolidated Statements of Cash Flows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FFFFFF"/>
        </w:rPr>
        <w:t>47 Consolidated Statements of Shareholders’ Equity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FFFFFF"/>
        </w:rPr>
        <w:t>48 Notes to Consolidated Financial Statements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FFFFFF"/>
        </w:rPr>
        <w:t>78 Selected Financial Data</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FFFFFF"/>
        </w:rPr>
        <w:t>78 Performance Graph</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FFFFFF"/>
        </w:rPr>
        <w:t>79 Principle Operating Units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FFFFFF"/>
        </w:rPr>
        <w:t>80 Corporate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-351790</wp:posOffset>
            </wp:positionH>
            <wp:positionV relativeFrom="paragraph">
              <wp:posOffset>956310</wp:posOffset>
            </wp:positionV>
            <wp:extent cx="7267575" cy="469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ectPr>
          <w:pgSz w:w="11900" w:h="16838" w:orient="portrait"/>
          <w:cols w:equalWidth="0" w:num="1">
            <w:col w:w="9659"/>
          </w:cols>
          <w:pgMar w:left="800" w:top="541" w:right="1440" w:bottom="1440" w:gutter="0" w:footer="0" w:header="0"/>
        </w:sectPr>
      </w:pPr>
    </w:p>
    <w:bookmarkStart w:id="48" w:name="page49"/>
    <w:bookmarkEnd w:id="48"/>
    <w:p>
      <w:pPr>
        <w:spacing w:after="0"/>
        <w:rPr>
          <w:sz w:val="20"/>
          <w:szCs w:val="20"/>
          <w:color w:val="auto"/>
        </w:rPr>
      </w:pPr>
      <w:r>
        <w:rPr>
          <w:rFonts w:ascii="Arial" w:cs="Arial" w:eastAsia="Arial" w:hAnsi="Arial"/>
          <w:sz w:val="22"/>
          <w:szCs w:val="22"/>
          <w:color w:val="4D8ABE"/>
        </w:rPr>
        <w:t>Management’s Discussion &amp; Analysis</w:t>
      </w:r>
    </w:p>
    <w:p>
      <w:pPr>
        <w:spacing w:after="0"/>
        <w:rPr>
          <w:sz w:val="20"/>
          <w:szCs w:val="20"/>
          <w:color w:val="auto"/>
        </w:rPr>
      </w:pPr>
      <w:r>
        <w:rPr>
          <w:rFonts w:ascii="Arial" w:cs="Arial" w:eastAsia="Arial" w:hAnsi="Arial"/>
          <w:sz w:val="18"/>
          <w:szCs w:val="18"/>
          <w:color w:val="4D8ABE"/>
        </w:rPr>
        <w:t>of financial condition and results of operations</w:t>
      </w:r>
    </w:p>
    <w:p>
      <w:pPr>
        <w:spacing w:after="0" w:line="272" w:lineRule="exact"/>
        <w:rPr>
          <w:sz w:val="20"/>
          <w:szCs w:val="20"/>
          <w:color w:val="auto"/>
        </w:rPr>
      </w:pPr>
    </w:p>
    <w:p>
      <w:pPr>
        <w:spacing w:after="0"/>
        <w:rPr>
          <w:sz w:val="20"/>
          <w:szCs w:val="20"/>
          <w:color w:val="auto"/>
        </w:rPr>
      </w:pPr>
      <w:r>
        <w:rPr>
          <w:rFonts w:ascii="Arial" w:cs="Arial" w:eastAsia="Arial" w:hAnsi="Arial"/>
          <w:sz w:val="24"/>
          <w:szCs w:val="24"/>
          <w:color w:val="86B6A5"/>
        </w:rPr>
        <w:t>Business Overview</w:t>
      </w:r>
    </w:p>
    <w:p>
      <w:pPr>
        <w:spacing w:after="0" w:line="294" w:lineRule="exact"/>
        <w:rPr>
          <w:sz w:val="20"/>
          <w:szCs w:val="20"/>
          <w:color w:val="auto"/>
        </w:rPr>
      </w:pPr>
    </w:p>
    <w:p>
      <w:pPr>
        <w:jc w:val="both"/>
        <w:ind w:right="3660"/>
        <w:spacing w:after="0" w:line="234" w:lineRule="auto"/>
        <w:rPr>
          <w:sz w:val="20"/>
          <w:szCs w:val="20"/>
          <w:color w:val="auto"/>
        </w:rPr>
      </w:pPr>
      <w:r>
        <w:rPr>
          <w:rFonts w:ascii="Arial" w:cs="Arial" w:eastAsia="Arial" w:hAnsi="Arial"/>
          <w:sz w:val="18"/>
          <w:szCs w:val="18"/>
          <w:color w:val="auto"/>
        </w:rPr>
        <w:t>Manpower Inc. is the world leader in innovative workforce solutions and services. Our global network of nearly 3,900 offices in 82 countries and territories allows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4936490</wp:posOffset>
            </wp:positionH>
            <wp:positionV relativeFrom="paragraph">
              <wp:posOffset>-255270</wp:posOffset>
            </wp:positionV>
            <wp:extent cx="1955165" cy="121793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955165" cy="1217930"/>
                    </a:xfrm>
                    <a:prstGeom prst="rect">
                      <a:avLst/>
                    </a:prstGeom>
                    <a:noFill/>
                  </pic:spPr>
                </pic:pic>
              </a:graphicData>
            </a:graphic>
          </wp:anchor>
        </w:drawing>
      </w:r>
    </w:p>
    <w:p>
      <w:pPr>
        <w:jc w:val="both"/>
        <w:ind w:right="3660"/>
        <w:spacing w:after="0"/>
        <w:rPr>
          <w:sz w:val="20"/>
          <w:szCs w:val="20"/>
          <w:color w:val="auto"/>
        </w:rPr>
      </w:pPr>
      <w:r>
        <w:rPr>
          <w:rFonts w:ascii="Arial" w:cs="Arial" w:eastAsia="Arial" w:hAnsi="Arial"/>
          <w:sz w:val="18"/>
          <w:szCs w:val="18"/>
          <w:color w:val="auto"/>
        </w:rPr>
        <w:t>to meet the needs of our clients in all industry segments, whether they are global, multinational or local companies. We create power that drives organizations forward, accelerates personal success and builds more sustainable communities. We power the world of work.</w:t>
      </w:r>
    </w:p>
    <w:p>
      <w:pPr>
        <w:spacing w:after="0" w:line="189" w:lineRule="exact"/>
        <w:rPr>
          <w:sz w:val="20"/>
          <w:szCs w:val="20"/>
          <w:color w:val="auto"/>
        </w:rPr>
      </w:pPr>
    </w:p>
    <w:p>
      <w:pPr>
        <w:jc w:val="both"/>
        <w:ind w:right="3660"/>
        <w:spacing w:after="0" w:line="238" w:lineRule="auto"/>
        <w:rPr>
          <w:sz w:val="20"/>
          <w:szCs w:val="20"/>
          <w:color w:val="auto"/>
        </w:rPr>
      </w:pPr>
      <w:r>
        <w:rPr>
          <w:rFonts w:ascii="Arial" w:cs="Arial" w:eastAsia="Arial" w:hAnsi="Arial"/>
          <w:sz w:val="18"/>
          <w:szCs w:val="18"/>
          <w:color w:val="auto"/>
        </w:rPr>
        <w:t>By offering a complete range of workforce solutions and services, we can help any company – no matter where they are in their business evolution – raise productivity, improve strategy, quality, efficiency and cost reduction across their total workforce to achieve their business goals. Manpower Inc. provides a comprehensive suite of high-impact innovative workforce solutions and services for the entire business cycle including:</w:t>
      </w:r>
    </w:p>
    <w:p>
      <w:pPr>
        <w:spacing w:after="0" w:line="162" w:lineRule="exact"/>
        <w:rPr>
          <w:sz w:val="20"/>
          <w:szCs w:val="20"/>
          <w:color w:val="auto"/>
        </w:rPr>
      </w:pPr>
    </w:p>
    <w:p>
      <w:pPr>
        <w:jc w:val="both"/>
        <w:ind w:left="220" w:right="3640"/>
        <w:spacing w:after="0" w:line="238" w:lineRule="auto"/>
        <w:rPr>
          <w:sz w:val="20"/>
          <w:szCs w:val="20"/>
          <w:color w:val="auto"/>
        </w:rPr>
      </w:pPr>
      <w:r>
        <w:rPr>
          <w:rFonts w:ascii="Arial" w:cs="Arial" w:eastAsia="Arial" w:hAnsi="Arial"/>
          <w:sz w:val="18"/>
          <w:szCs w:val="18"/>
          <w:color w:val="auto"/>
        </w:rPr>
        <w:t>Recruitment and Assessment – By leveraging our trusted brand, vertical knowledge and expertise, we know what talent looks like and where to find it; and we have built a deeper talent pool to provide our clients access to the people they need faster. Through our world-leading assessments, we gain a deeper understanding of the people we serve, allowing us to truly identify a candidate's potential, resulting in a better cultural match.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-611505</wp:posOffset>
            </wp:positionV>
            <wp:extent cx="59690" cy="596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9690" cy="59690"/>
                    </a:xfrm>
                    <a:prstGeom prst="rect">
                      <a:avLst/>
                    </a:prstGeom>
                    <a:noFill/>
                  </pic:spPr>
                </pic:pic>
              </a:graphicData>
            </a:graphic>
          </wp:anchor>
        </w:drawing>
        <w:drawing>
          <wp:anchor simplePos="0" relativeHeight="251657728" behindDoc="1" locked="0" layoutInCell="0" allowOverlap="1">
            <wp:simplePos x="0" y="0"/>
            <wp:positionH relativeFrom="column">
              <wp:posOffset>4936490</wp:posOffset>
            </wp:positionH>
            <wp:positionV relativeFrom="paragraph">
              <wp:posOffset>-375920</wp:posOffset>
            </wp:positionV>
            <wp:extent cx="1920875" cy="125222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920875" cy="1252220"/>
                    </a:xfrm>
                    <a:prstGeom prst="rect">
                      <a:avLst/>
                    </a:prstGeom>
                    <a:noFill/>
                  </pic:spPr>
                </pic:pic>
              </a:graphicData>
            </a:graphic>
          </wp:anchor>
        </w:drawing>
      </w:r>
    </w:p>
    <w:p>
      <w:pPr>
        <w:spacing w:after="0" w:line="129" w:lineRule="exact"/>
        <w:rPr>
          <w:sz w:val="20"/>
          <w:szCs w:val="20"/>
          <w:color w:val="auto"/>
        </w:rPr>
      </w:pPr>
    </w:p>
    <w:p>
      <w:pPr>
        <w:jc w:val="both"/>
        <w:ind w:left="220" w:right="3640"/>
        <w:spacing w:after="0" w:line="239" w:lineRule="auto"/>
        <w:rPr>
          <w:sz w:val="20"/>
          <w:szCs w:val="20"/>
          <w:color w:val="auto"/>
        </w:rPr>
      </w:pPr>
      <w:r>
        <w:rPr>
          <w:rFonts w:ascii="Arial" w:cs="Arial" w:eastAsia="Arial" w:hAnsi="Arial"/>
          <w:sz w:val="18"/>
          <w:szCs w:val="18"/>
          <w:color w:val="auto"/>
        </w:rPr>
        <w:t>Training and Development – We effectively and efficiently assess and develop skills, keeping our associates ahead of the curve so they can get the job done each time every time. We offer extensive training courses and leader development solutions for clients to maximize talent and optimize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-483870</wp:posOffset>
            </wp:positionV>
            <wp:extent cx="59690" cy="596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28" w:lineRule="exact"/>
        <w:rPr>
          <w:sz w:val="20"/>
          <w:szCs w:val="20"/>
          <w:color w:val="auto"/>
        </w:rPr>
      </w:pPr>
    </w:p>
    <w:p>
      <w:pPr>
        <w:jc w:val="both"/>
        <w:ind w:left="220" w:right="3640"/>
        <w:spacing w:after="0" w:line="238" w:lineRule="auto"/>
        <w:rPr>
          <w:sz w:val="20"/>
          <w:szCs w:val="20"/>
          <w:color w:val="auto"/>
        </w:rPr>
      </w:pPr>
      <w:r>
        <w:rPr>
          <w:rFonts w:ascii="Arial" w:cs="Arial" w:eastAsia="Arial" w:hAnsi="Arial"/>
          <w:sz w:val="18"/>
          <w:szCs w:val="18"/>
          <w:color w:val="auto"/>
        </w:rPr>
        <w:t>Career Management – Right Management, the global leader in Talent and Career Management workforce solutions, engages consultants that value and understand the human side of business, making meaningful impact on both the people and organizations we serve. The countercyclical nature of the career transition industry helps strengthen our portfolio during down economic cycles.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-611505</wp:posOffset>
            </wp:positionV>
            <wp:extent cx="59690" cy="596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69" w:lineRule="exact"/>
        <w:rPr>
          <w:sz w:val="20"/>
          <w:szCs w:val="20"/>
          <w:color w:val="auto"/>
        </w:rPr>
      </w:pPr>
    </w:p>
    <w:p>
      <w:pPr>
        <w:jc w:val="both"/>
        <w:ind w:left="220"/>
        <w:spacing w:after="0" w:line="241" w:lineRule="auto"/>
        <w:rPr>
          <w:sz w:val="20"/>
          <w:szCs w:val="20"/>
          <w:color w:val="auto"/>
        </w:rPr>
      </w:pPr>
      <w:r>
        <w:rPr>
          <w:rFonts w:ascii="Arial" w:cs="Arial" w:eastAsia="Arial" w:hAnsi="Arial"/>
          <w:sz w:val="18"/>
          <w:szCs w:val="18"/>
          <w:color w:val="auto"/>
        </w:rPr>
        <w:t>Outsourcing – Manpower Business Solutions (MBS) provides clients with outsourcing services related to human resources functions primarily in the areas of large-scale recruiting and workforce-intensive initiatives that are outcome-based, thereby sharing in the risk and reward with our clients. MBS includes Talent Based Outsourcing (TBO), Managed Service Programs (MSP), Borderless Talent Solutions (BTS) and Recruitment Process Outsourcing (RPO), where we are one of the largest providers of permanent and contingent recruitment in the world.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-619760</wp:posOffset>
            </wp:positionV>
            <wp:extent cx="59690" cy="596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224" w:lineRule="exact"/>
        <w:rPr>
          <w:sz w:val="20"/>
          <w:szCs w:val="20"/>
          <w:color w:val="auto"/>
        </w:rPr>
      </w:pPr>
    </w:p>
    <w:p>
      <w:pPr>
        <w:jc w:val="both"/>
        <w:ind w:left="220"/>
        <w:spacing w:after="0" w:line="262" w:lineRule="auto"/>
        <w:rPr>
          <w:sz w:val="20"/>
          <w:szCs w:val="20"/>
          <w:color w:val="auto"/>
        </w:rPr>
      </w:pPr>
      <w:r>
        <w:rPr>
          <w:rFonts w:ascii="Arial" w:cs="Arial" w:eastAsia="Arial" w:hAnsi="Arial"/>
          <w:sz w:val="18"/>
          <w:szCs w:val="18"/>
          <w:color w:val="auto"/>
        </w:rPr>
        <w:t>Workforce Consulting – We are the global leader in innovative workforce solutions. We help clients create and align their workforce strategy to achieve their business strategy, increasing business agility and personal flexibility and accelerating personal and business success.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-247015</wp:posOffset>
            </wp:positionV>
            <wp:extent cx="59690" cy="596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color w:val="auto"/>
        </w:rPr>
        <w:t>This comprehensive and diverse business mix allows us to mitigate the cyclical effects of the national economies in which we operate.</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leadership position also allows us to be a center for quality employment opportunities for people at all points in their career paths. In 2010, we connected 3.5 million people to opportunities and purpose, who worked to help our more than 400,000 clients meet their business objectives. Seasoned professionals, temporary to permanent, skilled laborers, mothers returning to work, elderly persons wanting to supplement pensions and disabled individuals – all turn to the Manpower group of companies for employment possibilities. Similarly, governments of the nations in which we operate look to us to help reduce unemployment and train the unemployed with the skills they need to enter the workforce. We provide a bridge to employment, building more sustainable communities. We have a unique ability to connect our deep understanding of human potential to the ambition of business so that organizations and individuals can capitaliz e on unseen opportunities and achieve more than they imagined.</w:t>
      </w:r>
    </w:p>
    <w:p>
      <w:pPr>
        <w:spacing w:after="0" w:line="191" w:lineRule="exact"/>
        <w:rPr>
          <w:sz w:val="20"/>
          <w:szCs w:val="20"/>
          <w:color w:val="auto"/>
        </w:rPr>
      </w:pPr>
    </w:p>
    <w:p>
      <w:pPr>
        <w:jc w:val="both"/>
        <w:spacing w:after="0"/>
        <w:rPr>
          <w:sz w:val="20"/>
          <w:szCs w:val="20"/>
          <w:color w:val="auto"/>
        </w:rPr>
      </w:pPr>
      <w:r>
        <w:rPr>
          <w:rFonts w:ascii="Arial" w:cs="Arial" w:eastAsia="Arial" w:hAnsi="Arial"/>
          <w:sz w:val="18"/>
          <w:szCs w:val="18"/>
          <w:color w:val="auto"/>
        </w:rPr>
        <w:t>Our industry is large and fragmented, comprised of thousands of firms employing millions of people and generating billions of U.S. Dollars in annual revenues. It is also a highly competitive industry, reflecting several trends in the global marketplace, notably increasing demand for skilled people and consolidation among clients in the employment services industry itself.</w:t>
      </w:r>
    </w:p>
    <w:p>
      <w:pPr>
        <w:spacing w:after="0" w:line="203"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We manage these trends by leveraging established strengths, including one of the employment services industry’s most recognized and respected brands; geographic diversification; size and service scope; an innovative product mix; and a strong client base. While staffing is an important aspect of our business, our strategy is focused on providing both the skilled employees our clients need and high-value workforce management, outsourcing and consulting solutions.</w:t>
      </w:r>
    </w:p>
    <w:p>
      <w:pPr>
        <w:spacing w:after="0" w:line="185"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939598"/>
        </w:rPr>
        <w:t xml:space="preserve">Management’s Discussion &amp; Analysis </w:t>
      </w:r>
      <w:r>
        <w:rPr>
          <w:rFonts w:ascii="Arial" w:cs="Arial" w:eastAsia="Arial" w:hAnsi="Arial"/>
          <w:sz w:val="16"/>
          <w:szCs w:val="16"/>
          <w:color w:val="000000"/>
        </w:rPr>
        <w:t>Manpower 2010 Annual Report</w:t>
      </w:r>
      <w:r>
        <w:rPr>
          <w:rFonts w:ascii="Arial" w:cs="Arial" w:eastAsia="Arial" w:hAnsi="Arial"/>
          <w:sz w:val="16"/>
          <w:szCs w:val="16"/>
          <w:b w:val="1"/>
          <w:bCs w:val="1"/>
          <w:color w:val="939598"/>
        </w:rPr>
        <w:t xml:space="preserve"> </w:t>
      </w:r>
      <w:r>
        <w:rPr>
          <w:rFonts w:ascii="Arial" w:cs="Arial" w:eastAsia="Arial" w:hAnsi="Arial"/>
          <w:sz w:val="16"/>
          <w:szCs w:val="16"/>
          <w:b w:val="1"/>
          <w:bCs w:val="1"/>
          <w:color w:val="000000"/>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72390</wp:posOffset>
            </wp:positionV>
            <wp:extent cx="7267575" cy="469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ectPr>
          <w:pgSz w:w="11900" w:h="16838" w:orient="portrait"/>
          <w:cols w:equalWidth="0" w:num="1">
            <w:col w:w="11420"/>
          </w:cols>
          <w:pgMar w:left="240" w:top="376" w:right="239" w:bottom="1440" w:gutter="0" w:footer="0" w:header="0"/>
        </w:sectPr>
      </w:pPr>
    </w:p>
    <w:bookmarkStart w:id="49" w:name="page50"/>
    <w:bookmarkEnd w:id="49"/>
    <w:p>
      <w:pPr>
        <w:spacing w:after="0"/>
        <w:rPr>
          <w:sz w:val="20"/>
          <w:szCs w:val="20"/>
          <w:color w:val="auto"/>
        </w:rPr>
      </w:pPr>
      <w:r>
        <w:rPr>
          <w:rFonts w:ascii="Arial" w:cs="Arial" w:eastAsia="Arial" w:hAnsi="Arial"/>
          <w:sz w:val="22"/>
          <w:szCs w:val="22"/>
          <w:color w:val="4D8ABE"/>
        </w:rPr>
        <w:t>Management’s Discussion &amp; Analysis</w:t>
      </w:r>
    </w:p>
    <w:p>
      <w:pPr>
        <w:spacing w:after="0"/>
        <w:rPr>
          <w:sz w:val="20"/>
          <w:szCs w:val="20"/>
          <w:color w:val="auto"/>
        </w:rPr>
      </w:pPr>
      <w:r>
        <w:rPr>
          <w:rFonts w:ascii="Arial" w:cs="Arial" w:eastAsia="Arial" w:hAnsi="Arial"/>
          <w:sz w:val="18"/>
          <w:szCs w:val="18"/>
          <w:color w:val="4D8ABE"/>
        </w:rPr>
        <w:t>of financial condition and results of operations</w:t>
      </w:r>
    </w:p>
    <w:p>
      <w:pPr>
        <w:spacing w:after="0" w:line="20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Client demand for workforce solutions and services is dependent on the overall strength of the labor market and secular trends toward greater workforce flexibility within each of the countries in which we operate. Improving economic growth typically results in increasing demand for labor, resulting in greater demand for our staffing services. During periods of increasing demand as we experienced in 2010, we are able to improve our profitability and operating leverage as our current cost base can support some increase in business without a similar increase in selling and administrative expenses. During these periods, we generally see an increase in our working capital needs, resulting from an increase in our accounts receivable balance in-line with the revenue growth, which may result in a decline in operating cash flows.</w:t>
      </w:r>
    </w:p>
    <w:p>
      <w:pPr>
        <w:spacing w:after="0" w:line="192"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Correspondingly, during periods of weak economic growth or economic contraction, the demand for our staffing services typically declines. When demand drops, our operating profit is typically impacted unfavorably as we experience a deleveraging of our selling and administrative expense base as expenses may not decline at the same pace as revenues. In periods of economic contraction, we will have more significant expense deleveraging, as we can only reduce selling and administrative expenses to a certain level without negatively impacting the long-term potential of our branch network and brands.</w:t>
      </w:r>
    </w:p>
    <w:p>
      <w:pPr>
        <w:spacing w:after="0" w:line="186"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nature of our operations is such that our most significant current asset is accounts receivable, with an average days sales outstanding of approximately 60 days based on the markets where we do business. Our most significant current liabilities are payroll related costs, which are paid either weekly or monthly. As the demand for our services increases, we generally see an increase in our working capital needs, as we continue to pay our associates on a weekly or monthly basis, while the related accounts receivable are outstanding for much longer. Conversely, as the demand for our services declines, we generally see a decrease in our working capital needs, as the existing accounts receivable are collected and not replaced at the same level, resulting in a decline of our accounts receivable balance, with less of an effect on cur rent liabilities due to the shorter cycle time of the payroll related items. This may result in an increase in our operating cash flows, however any such increase would not be sustainable in the event that the economic downturn continued for an extended period.</w:t>
      </w:r>
    </w:p>
    <w:p>
      <w:pPr>
        <w:spacing w:after="0" w:line="195"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Our career management services are counter-cyclical to our staffing services, which helps to minimize the impact of an economic downturn on our overall financial results.</w:t>
      </w:r>
    </w:p>
    <w:p>
      <w:pPr>
        <w:spacing w:after="0" w:line="197"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Due to our industry’s sensitivity to economic factors, the inherent difficulty in forecasting the direction and strength of the economy and the short-term nature of staffing assignments, it is difficult to forecast future demand for our services with any reasonable certainty. As a result, we monitor a number of economic indicators, as well as recent business trends, to predict future revenue trends for each of our reportable segments. Based upon these anticipated trends, we determine what level of personnel and office investments are necessary to take full advantage of growth opportunities.</w:t>
      </w:r>
    </w:p>
    <w:p>
      <w:pPr>
        <w:spacing w:after="0" w:line="203"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Our staffing business is organized and managed primarily on a geographic basis, with the exception of Right Management, which operates as a separate global business unit. Each country and business unit generally has its own distinct operations, and is managed locally by its own management team. Each operation reports directly or indirectly through a regional manager, to a member of executive management. Given this reporting structure, all of our operations have been segregated into the following reporting segments: Americas, which includes United States and Other Americas; France; EMEA (Europe, Middle East and Africa, excluding France), which includes Italy and Other EMEA; Asia Pacific; and Right Management.</w:t>
      </w:r>
    </w:p>
    <w:p>
      <w:pPr>
        <w:spacing w:after="0" w:line="205"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Americas, France, EMEA, and Asia Pacific segments derive a significant majority of their revenues from the placement of contingent workers. The remaining revenues within these segments are derived from other workforce solutions and services, including recruitment and assessment, training and development, and MBS. MBS includes TBO, MSP, BTS and RPO. Right Management’s revenues are derived from career management and workforce consulting services. Segment revenues represent sales to external clients. Due to the nature of our business, we generally do not have export or intersegment sales. We provide services to a wide variety of clients, none of which individually comprises a significant portion of revenue for us as a whole or for any segment.</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20 </w:t>
      </w:r>
      <w:r>
        <w:rPr>
          <w:rFonts w:ascii="Arial" w:cs="Arial" w:eastAsia="Arial" w:hAnsi="Arial"/>
          <w:sz w:val="16"/>
          <w:szCs w:val="16"/>
          <w:color w:val="auto"/>
        </w:rPr>
        <w:t>Manpower 2010 Annual Report</w:t>
      </w:r>
      <w:r>
        <w:rPr>
          <w:rFonts w:ascii="Arial" w:cs="Arial" w:eastAsia="Arial" w:hAnsi="Arial"/>
          <w:sz w:val="16"/>
          <w:szCs w:val="16"/>
          <w:b w:val="1"/>
          <w:bCs w:val="1"/>
          <w:color w:val="auto"/>
        </w:rPr>
        <w:t xml:space="preserve"> </w:t>
      </w:r>
      <w:r>
        <w:rPr>
          <w:rFonts w:ascii="Arial" w:cs="Arial" w:eastAsia="Arial" w:hAnsi="Arial"/>
          <w:sz w:val="16"/>
          <w:szCs w:val="16"/>
          <w:b w:val="1"/>
          <w:bCs w:val="1"/>
          <w:color w:val="939598"/>
        </w:rPr>
        <w:t>Management’s Discussion &amp;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72390</wp:posOffset>
            </wp:positionV>
            <wp:extent cx="7267575" cy="469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ectPr>
          <w:pgSz w:w="11900" w:h="16838" w:orient="portrait"/>
          <w:cols w:equalWidth="0" w:num="1">
            <w:col w:w="11420"/>
          </w:cols>
          <w:pgMar w:left="240" w:top="376" w:right="239" w:bottom="1440" w:gutter="0" w:footer="0" w:header="0"/>
        </w:sectPr>
      </w:pPr>
    </w:p>
    <w:bookmarkStart w:id="50" w:name="page51"/>
    <w:bookmarkEnd w:id="50"/>
    <w:p>
      <w:pPr>
        <w:spacing w:after="0"/>
        <w:rPr>
          <w:sz w:val="20"/>
          <w:szCs w:val="20"/>
          <w:color w:val="auto"/>
        </w:rPr>
      </w:pPr>
      <w:r>
        <w:rPr>
          <w:rFonts w:ascii="Arial" w:cs="Arial" w:eastAsia="Arial" w:hAnsi="Arial"/>
          <w:sz w:val="24"/>
          <w:szCs w:val="24"/>
          <w:color w:val="86B6A5"/>
        </w:rPr>
        <w:t>Financial Measures – Constant Currency And Organic Constant Currency</w:t>
      </w:r>
    </w:p>
    <w:p>
      <w:pPr>
        <w:spacing w:after="0" w:line="227" w:lineRule="exact"/>
        <w:rPr>
          <w:sz w:val="20"/>
          <w:szCs w:val="20"/>
          <w:color w:val="auto"/>
        </w:rPr>
      </w:pPr>
    </w:p>
    <w:p>
      <w:pPr>
        <w:jc w:val="both"/>
        <w:spacing w:after="0"/>
        <w:rPr>
          <w:sz w:val="20"/>
          <w:szCs w:val="20"/>
          <w:color w:val="auto"/>
        </w:rPr>
      </w:pPr>
      <w:r>
        <w:rPr>
          <w:rFonts w:ascii="Arial" w:cs="Arial" w:eastAsia="Arial" w:hAnsi="Arial"/>
          <w:sz w:val="18"/>
          <w:szCs w:val="18"/>
          <w:color w:val="auto"/>
        </w:rPr>
        <w:t>Changes in our financial results include the impact of changes in foreign currency exchange rates and acquisitions. We provide “constant currency” and “organic constant currency” calculations in this report to remove the impact of these items. We express year-over-year variances that are calculated in constant currency and organic constant currency as a percentage.</w:t>
      </w:r>
    </w:p>
    <w:p>
      <w:pPr>
        <w:spacing w:after="0" w:line="203"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When we use the term “constant currency,” it means that we have translated financial data for a period into U.S. Dollars using the same foreign currency exchange rates that we used to translate financial data for the previous period. We believe that this calculation is a useful measure, indicating the actual growth of our operations. We use constant currency results in our analysis of subsidiary or segment performance. We also use constant currency when analyzing our performance against that of our competitors. Substantially all of our subsidiaries derive revenues and incur expenses within a single country and, consequently, do not generally incur currency risks in connection with the conduct of their normal business operations. Changes in foreign currency exchange rates primarily impact reported earnings and not our actual cash flow unless earnings are repatriated.</w:t>
      </w:r>
    </w:p>
    <w:p>
      <w:pPr>
        <w:spacing w:after="0" w:line="203" w:lineRule="exact"/>
        <w:rPr>
          <w:sz w:val="20"/>
          <w:szCs w:val="20"/>
          <w:color w:val="auto"/>
        </w:rPr>
      </w:pPr>
    </w:p>
    <w:p>
      <w:pPr>
        <w:jc w:val="both"/>
        <w:spacing w:after="0"/>
        <w:rPr>
          <w:sz w:val="20"/>
          <w:szCs w:val="20"/>
          <w:color w:val="auto"/>
        </w:rPr>
      </w:pPr>
      <w:r>
        <w:rPr>
          <w:rFonts w:ascii="Arial" w:cs="Arial" w:eastAsia="Arial" w:hAnsi="Arial"/>
          <w:sz w:val="18"/>
          <w:szCs w:val="18"/>
          <w:color w:val="auto"/>
        </w:rPr>
        <w:t>When we use the term “organic constant currency,” it means that we have further removed the impact of acquisitions in the current period from our constant currency calculation. We believe that this calculation is useful because it allows us to show the actual growth of our pre-existing business.</w:t>
      </w:r>
    </w:p>
    <w:p>
      <w:pPr>
        <w:spacing w:after="0" w:line="203"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Constant currency and organic constant currency percent variances, along with a reconciliation of these amounts to certain of our reported results, are included on pages 29 and 30.</w:t>
      </w:r>
    </w:p>
    <w:p>
      <w:pPr>
        <w:spacing w:after="0" w:line="194" w:lineRule="exact"/>
        <w:rPr>
          <w:sz w:val="20"/>
          <w:szCs w:val="20"/>
          <w:color w:val="auto"/>
        </w:rPr>
      </w:pPr>
    </w:p>
    <w:p>
      <w:pPr>
        <w:spacing w:after="0"/>
        <w:rPr>
          <w:sz w:val="20"/>
          <w:szCs w:val="20"/>
          <w:color w:val="auto"/>
        </w:rPr>
      </w:pPr>
      <w:r>
        <w:rPr>
          <w:rFonts w:ascii="Arial" w:cs="Arial" w:eastAsia="Arial" w:hAnsi="Arial"/>
          <w:sz w:val="24"/>
          <w:szCs w:val="24"/>
          <w:color w:val="86B6A5"/>
        </w:rPr>
        <w:t>Results Of Operations – Years Ended December 31, 2010, 2009 and 2008</w:t>
      </w:r>
    </w:p>
    <w:p>
      <w:pPr>
        <w:spacing w:after="0" w:line="227"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During 2010, we saw improvement in most of our markets from that experienced in 2009 and the end of 2008. This allowed us to utilize our operating leverage and improve our operating results over the prior year. The improved operating leverage resulted from being able to utilize excess capacity in the network to support the revenue growth without a similar increase in our expenses. This leverage was possible as we made strategic cost reductions during the economic downturn, which reduced the adverse impact of the economy during the period yet preserved capacity within our network to handle the increased demand that we experienced during 2010. As expected, we also experienced a decline in our operating cash flows as our working capital needs increased with our revenue growth.</w:t>
      </w:r>
    </w:p>
    <w:p>
      <w:pPr>
        <w:spacing w:after="0" w:line="205"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Client demand for workforce solutions and services is dependent on the overall strength of the labor market and secular trends towards greater workforce flexibility within each of the countries in which we operate. Improving economic growth typically results in increasing demand for labor, resulting in greater demand for our staffing services. During periods of increasing demand, we are generally able to improve operating profitability and operating leverage as our current cost base can support some increase in business without a similar increase in selling and administrative expenses. During these periods, we also see an increase in our working capital needs, resulting from an increase in our accounts receivable balance in-line with the revenue growth, which may result in a decline in operating cash flows.</w:t>
      </w:r>
    </w:p>
    <w:p>
      <w:pPr>
        <w:spacing w:after="0" w:line="205" w:lineRule="exact"/>
        <w:rPr>
          <w:sz w:val="20"/>
          <w:szCs w:val="20"/>
          <w:color w:val="auto"/>
        </w:rPr>
      </w:pPr>
    </w:p>
    <w:p>
      <w:pPr>
        <w:jc w:val="both"/>
        <w:spacing w:after="0"/>
        <w:rPr>
          <w:sz w:val="20"/>
          <w:szCs w:val="20"/>
          <w:color w:val="auto"/>
        </w:rPr>
      </w:pPr>
      <w:r>
        <w:rPr>
          <w:rFonts w:ascii="Arial" w:cs="Arial" w:eastAsia="Arial" w:hAnsi="Arial"/>
          <w:sz w:val="18"/>
          <w:szCs w:val="18"/>
          <w:color w:val="auto"/>
        </w:rPr>
        <w:t>While we experienced growth in our businesses in 2010, the strength or duration of this growth will be dependent on whether the underlying economies continue to improve. Given the uncertainties of predicting economic trends, however, it is not possible to predict when we will return to prior revenue and earnings levels</w:t>
      </w:r>
    </w:p>
    <w:p>
      <w:pPr>
        <w:spacing w:after="0" w:line="20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On April 5, 2010, we completed our acquisition of COMSYS IT Partners, Inc. (“COMSYS”) from its existing shareholders. The value of the consideration for each outstanding share of COMSYS common stock was approximately $17.65, for a total enterprise value of $427.0 million, including debt of $47.1 million, which we repaid upon closing. The consideration was approximately 50% Manpower common stock (3.2 million shares at a fair value of $ 188.5 million) upon closing and approximately 50% cash (consideration of $191.4 million). COMSYS’s operating results have been included within our consolidated results from April 5, 2010 forward.</w:t>
      </w:r>
    </w:p>
    <w:p>
      <w:pPr>
        <w:spacing w:after="0" w:line="185"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939598"/>
        </w:rPr>
        <w:t xml:space="preserve">Management’s Discussion &amp; Analysis </w:t>
      </w:r>
      <w:r>
        <w:rPr>
          <w:rFonts w:ascii="Arial" w:cs="Arial" w:eastAsia="Arial" w:hAnsi="Arial"/>
          <w:sz w:val="16"/>
          <w:szCs w:val="16"/>
          <w:color w:val="000000"/>
        </w:rPr>
        <w:t>Manpower 2010 Annual Report</w:t>
      </w:r>
      <w:r>
        <w:rPr>
          <w:rFonts w:ascii="Arial" w:cs="Arial" w:eastAsia="Arial" w:hAnsi="Arial"/>
          <w:sz w:val="16"/>
          <w:szCs w:val="16"/>
          <w:b w:val="1"/>
          <w:bCs w:val="1"/>
          <w:color w:val="939598"/>
        </w:rPr>
        <w:t xml:space="preserve"> </w:t>
      </w:r>
      <w:r>
        <w:rPr>
          <w:rFonts w:ascii="Arial" w:cs="Arial" w:eastAsia="Arial" w:hAnsi="Arial"/>
          <w:sz w:val="16"/>
          <w:szCs w:val="16"/>
          <w:b w:val="1"/>
          <w:bCs w:val="1"/>
          <w:color w:val="000000"/>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72390</wp:posOffset>
            </wp:positionV>
            <wp:extent cx="7267575" cy="469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1" w:name="page52"/>
    <w:bookmarkEnd w:id="51"/>
    <w:p>
      <w:pPr>
        <w:spacing w:after="0"/>
        <w:rPr>
          <w:sz w:val="20"/>
          <w:szCs w:val="20"/>
          <w:color w:val="auto"/>
        </w:rPr>
      </w:pPr>
      <w:r>
        <w:rPr>
          <w:rFonts w:ascii="Arial" w:cs="Arial" w:eastAsia="Arial" w:hAnsi="Arial"/>
          <w:sz w:val="22"/>
          <w:szCs w:val="22"/>
          <w:color w:val="4D8ABE"/>
        </w:rPr>
        <w:t>Management’s Discussion &amp; Analysis</w:t>
      </w:r>
    </w:p>
    <w:p>
      <w:pPr>
        <w:spacing w:after="0"/>
        <w:rPr>
          <w:sz w:val="20"/>
          <w:szCs w:val="20"/>
          <w:color w:val="auto"/>
        </w:rPr>
      </w:pPr>
      <w:r>
        <w:rPr>
          <w:rFonts w:ascii="Arial" w:cs="Arial" w:eastAsia="Arial" w:hAnsi="Arial"/>
          <w:sz w:val="18"/>
          <w:szCs w:val="18"/>
          <w:color w:val="4D8ABE"/>
        </w:rPr>
        <w:t>of financial condition and results of operations</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color w:val="4D8ABE"/>
        </w:rPr>
        <w:t>CONSOLIDATED RESULTS – 2010 COMPARED TO 2009</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selected consolidated financial data for 2010 as compared to 2009.</w:t>
      </w:r>
    </w:p>
    <w:tbl>
      <w:tblPr>
        <w:tblLayout w:type="fixed"/>
        <w:tblInd w:w="0" w:type="dxa"/>
        <w:tblCellMar>
          <w:top w:w="0" w:type="dxa"/>
          <w:left w:w="0" w:type="dxa"/>
          <w:bottom w:w="0" w:type="dxa"/>
          <w:right w:w="0" w:type="dxa"/>
        </w:tblCellMar>
      </w:tblPr>
      <w:tr>
        <w:trPr>
          <w:trHeight w:val="183"/>
        </w:trPr>
        <w:tc>
          <w:tcPr>
            <w:tcW w:w="20" w:type="dxa"/>
            <w:vAlign w:val="bottom"/>
          </w:tcPr>
          <w:p>
            <w:pPr>
              <w:spacing w:after="0"/>
              <w:rPr>
                <w:sz w:val="15"/>
                <w:szCs w:val="15"/>
                <w:color w:val="auto"/>
              </w:rPr>
            </w:pPr>
          </w:p>
        </w:tc>
        <w:tc>
          <w:tcPr>
            <w:tcW w:w="5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00" w:type="dxa"/>
            <w:vAlign w:val="bottom"/>
            <w:gridSpan w:val="2"/>
          </w:tcPr>
          <w:p>
            <w:pPr>
              <w:jc w:val="right"/>
              <w:ind w:right="160"/>
              <w:spacing w:after="0" w:line="183" w:lineRule="exact"/>
              <w:rPr>
                <w:sz w:val="20"/>
                <w:szCs w:val="20"/>
                <w:color w:val="auto"/>
              </w:rPr>
            </w:pPr>
            <w:r>
              <w:rPr>
                <w:rFonts w:ascii="Arial" w:cs="Arial" w:eastAsia="Arial" w:hAnsi="Arial"/>
                <w:sz w:val="16"/>
                <w:szCs w:val="16"/>
                <w:b w:val="1"/>
                <w:bCs w:val="1"/>
                <w:color w:val="86B6A5"/>
              </w:rPr>
              <w:t>Variance in</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80" w:type="dxa"/>
            <w:vAlign w:val="bottom"/>
          </w:tcPr>
          <w:p>
            <w:pPr>
              <w:jc w:val="right"/>
              <w:ind w:right="154"/>
              <w:spacing w:after="0"/>
              <w:rPr>
                <w:sz w:val="20"/>
                <w:szCs w:val="20"/>
                <w:color w:val="auto"/>
              </w:rPr>
            </w:pPr>
            <w:r>
              <w:rPr>
                <w:rFonts w:ascii="Arial" w:cs="Arial" w:eastAsia="Arial" w:hAnsi="Arial"/>
                <w:sz w:val="16"/>
                <w:szCs w:val="16"/>
                <w:b w:val="1"/>
                <w:bCs w:val="1"/>
                <w:color w:val="86B6A5"/>
              </w:rPr>
              <w:t>Variance in</w:t>
            </w:r>
          </w:p>
        </w:tc>
        <w:tc>
          <w:tcPr>
            <w:tcW w:w="110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86B6A5"/>
              </w:rPr>
              <w:t>Organic</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60" w:type="dxa"/>
            <w:vAlign w:val="bottom"/>
          </w:tcPr>
          <w:p>
            <w:pPr>
              <w:jc w:val="right"/>
              <w:ind w:right="172"/>
              <w:spacing w:after="0"/>
              <w:rPr>
                <w:sz w:val="20"/>
                <w:szCs w:val="20"/>
                <w:color w:val="auto"/>
              </w:rPr>
            </w:pPr>
            <w:r>
              <w:rPr>
                <w:rFonts w:ascii="Arial" w:cs="Arial" w:eastAsia="Arial" w:hAnsi="Arial"/>
                <w:sz w:val="16"/>
                <w:szCs w:val="16"/>
                <w:b w:val="1"/>
                <w:bCs w:val="1"/>
                <w:color w:val="86B6A5"/>
              </w:rPr>
              <w:t>Reported</w:t>
            </w:r>
          </w:p>
        </w:tc>
        <w:tc>
          <w:tcPr>
            <w:tcW w:w="1180" w:type="dxa"/>
            <w:vAlign w:val="bottom"/>
          </w:tcPr>
          <w:p>
            <w:pPr>
              <w:jc w:val="right"/>
              <w:ind w:right="154"/>
              <w:spacing w:after="0"/>
              <w:rPr>
                <w:sz w:val="20"/>
                <w:szCs w:val="20"/>
                <w:color w:val="auto"/>
              </w:rPr>
            </w:pPr>
            <w:r>
              <w:rPr>
                <w:rFonts w:ascii="Arial" w:cs="Arial" w:eastAsia="Arial" w:hAnsi="Arial"/>
                <w:sz w:val="16"/>
                <w:szCs w:val="16"/>
                <w:b w:val="1"/>
                <w:bCs w:val="1"/>
                <w:color w:val="86B6A5"/>
              </w:rPr>
              <w:t>Constant</w:t>
            </w:r>
          </w:p>
        </w:tc>
        <w:tc>
          <w:tcPr>
            <w:tcW w:w="110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86B6A5"/>
              </w:rPr>
              <w:t>Constant</w:t>
            </w:r>
          </w:p>
        </w:tc>
        <w:tc>
          <w:tcPr>
            <w:tcW w:w="0" w:type="dxa"/>
            <w:vAlign w:val="bottom"/>
          </w:tcPr>
          <w:p>
            <w:pPr>
              <w:spacing w:after="0"/>
              <w:rPr>
                <w:sz w:val="1"/>
                <w:szCs w:val="1"/>
                <w:color w:val="auto"/>
              </w:rPr>
            </w:pPr>
          </w:p>
        </w:tc>
      </w:tr>
      <w:tr>
        <w:trPr>
          <w:trHeight w:val="209"/>
        </w:trPr>
        <w:tc>
          <w:tcPr>
            <w:tcW w:w="5660" w:type="dxa"/>
            <w:vAlign w:val="bottom"/>
            <w:gridSpan w:val="2"/>
          </w:tcPr>
          <w:p>
            <w:pPr>
              <w:spacing w:after="0"/>
              <w:rPr>
                <w:sz w:val="20"/>
                <w:szCs w:val="20"/>
                <w:color w:val="auto"/>
              </w:rPr>
            </w:pPr>
            <w:r>
              <w:rPr>
                <w:rFonts w:ascii="Arial" w:cs="Arial" w:eastAsia="Arial" w:hAnsi="Arial"/>
                <w:sz w:val="16"/>
                <w:szCs w:val="16"/>
                <w:b w:val="1"/>
                <w:bCs w:val="1"/>
                <w:color w:val="86B6A5"/>
              </w:rPr>
              <w:t>(in millions, except per share data)</w:t>
            </w:r>
          </w:p>
        </w:tc>
        <w:tc>
          <w:tcPr>
            <w:tcW w:w="100" w:type="dxa"/>
            <w:vAlign w:val="bottom"/>
            <w:shd w:val="clear" w:color="auto" w:fill="86B6A5"/>
          </w:tcPr>
          <w:p>
            <w:pPr>
              <w:spacing w:after="0"/>
              <w:rPr>
                <w:sz w:val="18"/>
                <w:szCs w:val="18"/>
                <w:color w:val="auto"/>
              </w:rPr>
            </w:pPr>
          </w:p>
        </w:tc>
        <w:tc>
          <w:tcPr>
            <w:tcW w:w="800" w:type="dxa"/>
            <w:vAlign w:val="bottom"/>
            <w:shd w:val="clear" w:color="auto" w:fill="86B6A5"/>
          </w:tcPr>
          <w:p>
            <w:pPr>
              <w:jc w:val="right"/>
              <w:spacing w:after="0"/>
              <w:rPr>
                <w:sz w:val="20"/>
                <w:szCs w:val="20"/>
                <w:color w:val="auto"/>
              </w:rPr>
            </w:pPr>
            <w:r>
              <w:rPr>
                <w:rFonts w:ascii="Arial" w:cs="Arial" w:eastAsia="Arial" w:hAnsi="Arial"/>
                <w:sz w:val="16"/>
                <w:szCs w:val="16"/>
                <w:b w:val="1"/>
                <w:bCs w:val="1"/>
                <w:color w:val="FFFFFF"/>
              </w:rPr>
              <w:t>2010</w:t>
            </w:r>
          </w:p>
        </w:tc>
        <w:tc>
          <w:tcPr>
            <w:tcW w:w="220" w:type="dxa"/>
            <w:vAlign w:val="bottom"/>
            <w:shd w:val="clear" w:color="auto" w:fill="86B6A5"/>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230"/>
              <w:spacing w:after="0"/>
              <w:rPr>
                <w:sz w:val="20"/>
                <w:szCs w:val="20"/>
                <w:color w:val="auto"/>
              </w:rPr>
            </w:pPr>
            <w:r>
              <w:rPr>
                <w:rFonts w:ascii="Arial" w:cs="Arial" w:eastAsia="Arial" w:hAnsi="Arial"/>
                <w:sz w:val="16"/>
                <w:szCs w:val="16"/>
                <w:b w:val="1"/>
                <w:bCs w:val="1"/>
                <w:color w:val="86B6A5"/>
              </w:rPr>
              <w:t>2009</w:t>
            </w:r>
          </w:p>
        </w:tc>
        <w:tc>
          <w:tcPr>
            <w:tcW w:w="1060" w:type="dxa"/>
            <w:vAlign w:val="bottom"/>
          </w:tcPr>
          <w:p>
            <w:pPr>
              <w:jc w:val="right"/>
              <w:ind w:right="172"/>
              <w:spacing w:after="0"/>
              <w:rPr>
                <w:sz w:val="20"/>
                <w:szCs w:val="20"/>
                <w:color w:val="auto"/>
              </w:rPr>
            </w:pPr>
            <w:r>
              <w:rPr>
                <w:rFonts w:ascii="Arial" w:cs="Arial" w:eastAsia="Arial" w:hAnsi="Arial"/>
                <w:sz w:val="16"/>
                <w:szCs w:val="16"/>
                <w:b w:val="1"/>
                <w:bCs w:val="1"/>
                <w:color w:val="86B6A5"/>
              </w:rPr>
              <w:t>Variance</w:t>
            </w:r>
          </w:p>
        </w:tc>
        <w:tc>
          <w:tcPr>
            <w:tcW w:w="1180" w:type="dxa"/>
            <w:vAlign w:val="bottom"/>
          </w:tcPr>
          <w:p>
            <w:pPr>
              <w:jc w:val="right"/>
              <w:ind w:right="154"/>
              <w:spacing w:after="0"/>
              <w:rPr>
                <w:sz w:val="20"/>
                <w:szCs w:val="20"/>
                <w:color w:val="auto"/>
              </w:rPr>
            </w:pPr>
            <w:r>
              <w:rPr>
                <w:rFonts w:ascii="Arial" w:cs="Arial" w:eastAsia="Arial" w:hAnsi="Arial"/>
                <w:sz w:val="16"/>
                <w:szCs w:val="16"/>
                <w:b w:val="1"/>
                <w:bCs w:val="1"/>
                <w:color w:val="86B6A5"/>
              </w:rPr>
              <w:t>Currency</w:t>
            </w:r>
          </w:p>
        </w:tc>
        <w:tc>
          <w:tcPr>
            <w:tcW w:w="110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86B6A5"/>
              </w:rPr>
              <w:t>Currency</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40" w:type="dxa"/>
            <w:vAlign w:val="bottom"/>
            <w:shd w:val="clear" w:color="auto" w:fill="86B6A5"/>
          </w:tcPr>
          <w:p>
            <w:pPr>
              <w:spacing w:after="0"/>
              <w:rPr>
                <w:sz w:val="2"/>
                <w:szCs w:val="2"/>
                <w:color w:val="auto"/>
              </w:rPr>
            </w:pPr>
          </w:p>
        </w:tc>
        <w:tc>
          <w:tcPr>
            <w:tcW w:w="100" w:type="dxa"/>
            <w:vAlign w:val="bottom"/>
            <w:shd w:val="clear" w:color="auto" w:fill="86B6A5"/>
          </w:tcPr>
          <w:p>
            <w:pPr>
              <w:spacing w:after="0"/>
              <w:rPr>
                <w:sz w:val="2"/>
                <w:szCs w:val="2"/>
                <w:color w:val="auto"/>
              </w:rPr>
            </w:pPr>
          </w:p>
        </w:tc>
        <w:tc>
          <w:tcPr>
            <w:tcW w:w="1020" w:type="dxa"/>
            <w:vAlign w:val="bottom"/>
            <w:gridSpan w:val="2"/>
            <w:shd w:val="clear" w:color="auto" w:fill="86B6A5"/>
          </w:tcPr>
          <w:p>
            <w:pPr>
              <w:spacing w:after="0"/>
              <w:rPr>
                <w:sz w:val="2"/>
                <w:szCs w:val="2"/>
                <w:color w:val="auto"/>
              </w:rPr>
            </w:pPr>
          </w:p>
        </w:tc>
        <w:tc>
          <w:tcPr>
            <w:tcW w:w="160" w:type="dxa"/>
            <w:vAlign w:val="bottom"/>
            <w:shd w:val="clear" w:color="auto" w:fill="86B6A5"/>
          </w:tcPr>
          <w:p>
            <w:pPr>
              <w:spacing w:after="0"/>
              <w:rPr>
                <w:sz w:val="2"/>
                <w:szCs w:val="2"/>
                <w:color w:val="auto"/>
              </w:rPr>
            </w:pPr>
          </w:p>
        </w:tc>
        <w:tc>
          <w:tcPr>
            <w:tcW w:w="1080" w:type="dxa"/>
            <w:vAlign w:val="bottom"/>
            <w:shd w:val="clear" w:color="auto" w:fill="86B6A5"/>
          </w:tcPr>
          <w:p>
            <w:pPr>
              <w:spacing w:after="0"/>
              <w:rPr>
                <w:sz w:val="2"/>
                <w:szCs w:val="2"/>
                <w:color w:val="auto"/>
              </w:rPr>
            </w:pPr>
          </w:p>
        </w:tc>
        <w:tc>
          <w:tcPr>
            <w:tcW w:w="1060" w:type="dxa"/>
            <w:vAlign w:val="bottom"/>
            <w:shd w:val="clear" w:color="auto" w:fill="86B6A5"/>
          </w:tcPr>
          <w:p>
            <w:pPr>
              <w:spacing w:after="0"/>
              <w:rPr>
                <w:sz w:val="2"/>
                <w:szCs w:val="2"/>
                <w:color w:val="auto"/>
              </w:rPr>
            </w:pPr>
          </w:p>
        </w:tc>
        <w:tc>
          <w:tcPr>
            <w:tcW w:w="1180" w:type="dxa"/>
            <w:vAlign w:val="bottom"/>
            <w:shd w:val="clear" w:color="auto" w:fill="86B6A5"/>
          </w:tcPr>
          <w:p>
            <w:pPr>
              <w:spacing w:after="0"/>
              <w:rPr>
                <w:sz w:val="2"/>
                <w:szCs w:val="2"/>
                <w:color w:val="auto"/>
              </w:rPr>
            </w:pPr>
          </w:p>
        </w:tc>
        <w:tc>
          <w:tcPr>
            <w:tcW w:w="940" w:type="dxa"/>
            <w:vAlign w:val="bottom"/>
            <w:shd w:val="clear" w:color="auto" w:fill="86B6A5"/>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vMerge w:val="continue"/>
          </w:tcPr>
          <w:p>
            <w:pPr>
              <w:spacing w:after="0"/>
              <w:rPr>
                <w:sz w:val="17"/>
                <w:szCs w:val="17"/>
                <w:color w:val="auto"/>
              </w:rPr>
            </w:pPr>
          </w:p>
        </w:tc>
        <w:tc>
          <w:tcPr>
            <w:tcW w:w="5640" w:type="dxa"/>
            <w:vAlign w:val="bottom"/>
          </w:tcPr>
          <w:p>
            <w:pPr>
              <w:spacing w:after="0" w:line="201" w:lineRule="exact"/>
              <w:rPr>
                <w:sz w:val="20"/>
                <w:szCs w:val="20"/>
                <w:color w:val="auto"/>
              </w:rPr>
            </w:pPr>
            <w:r>
              <w:rPr>
                <w:rFonts w:ascii="Arial" w:cs="Arial" w:eastAsia="Arial" w:hAnsi="Arial"/>
                <w:sz w:val="18"/>
                <w:szCs w:val="18"/>
                <w:color w:val="auto"/>
              </w:rPr>
              <w:t>Revenues from services</w:t>
            </w:r>
          </w:p>
        </w:tc>
        <w:tc>
          <w:tcPr>
            <w:tcW w:w="100" w:type="dxa"/>
            <w:vAlign w:val="bottom"/>
            <w:shd w:val="clear" w:color="auto" w:fill="E3F1DA"/>
          </w:tcPr>
          <w:p>
            <w:pPr>
              <w:jc w:val="right"/>
              <w:spacing w:after="0" w:line="201" w:lineRule="exact"/>
              <w:rPr>
                <w:sz w:val="20"/>
                <w:szCs w:val="20"/>
                <w:color w:val="auto"/>
              </w:rPr>
            </w:pPr>
            <w:r>
              <w:rPr>
                <w:rFonts w:ascii="Arial" w:cs="Arial" w:eastAsia="Arial" w:hAnsi="Arial"/>
                <w:sz w:val="18"/>
                <w:szCs w:val="18"/>
                <w:color w:val="86B6A5"/>
                <w:w w:val="79"/>
              </w:rPr>
              <w:t>$</w:t>
            </w:r>
          </w:p>
        </w:tc>
        <w:tc>
          <w:tcPr>
            <w:tcW w:w="1020" w:type="dxa"/>
            <w:vAlign w:val="bottom"/>
            <w:gridSpan w:val="2"/>
            <w:shd w:val="clear" w:color="auto" w:fill="E3F1DA"/>
          </w:tcPr>
          <w:p>
            <w:pPr>
              <w:jc w:val="right"/>
              <w:ind w:right="130"/>
              <w:spacing w:after="0" w:line="201" w:lineRule="exact"/>
              <w:rPr>
                <w:sz w:val="20"/>
                <w:szCs w:val="20"/>
                <w:color w:val="auto"/>
              </w:rPr>
            </w:pPr>
            <w:r>
              <w:rPr>
                <w:rFonts w:ascii="Arial" w:cs="Arial" w:eastAsia="Arial" w:hAnsi="Arial"/>
                <w:sz w:val="18"/>
                <w:szCs w:val="18"/>
                <w:color w:val="86B6A5"/>
              </w:rPr>
              <w:t>18,866.5</w:t>
            </w:r>
          </w:p>
        </w:tc>
        <w:tc>
          <w:tcPr>
            <w:tcW w:w="160" w:type="dxa"/>
            <w:vAlign w:val="bottom"/>
          </w:tcPr>
          <w:p>
            <w:pPr>
              <w:jc w:val="right"/>
              <w:spacing w:after="0" w:line="201" w:lineRule="exact"/>
              <w:rPr>
                <w:sz w:val="20"/>
                <w:szCs w:val="20"/>
                <w:color w:val="auto"/>
              </w:rPr>
            </w:pPr>
            <w:r>
              <w:rPr>
                <w:rFonts w:ascii="Arial" w:cs="Arial" w:eastAsia="Arial" w:hAnsi="Arial"/>
                <w:sz w:val="18"/>
                <w:szCs w:val="18"/>
                <w:color w:val="auto"/>
                <w:w w:val="79"/>
              </w:rPr>
              <w:t>$</w:t>
            </w:r>
          </w:p>
        </w:tc>
        <w:tc>
          <w:tcPr>
            <w:tcW w:w="1080" w:type="dxa"/>
            <w:vAlign w:val="bottom"/>
          </w:tcPr>
          <w:p>
            <w:pPr>
              <w:jc w:val="right"/>
              <w:ind w:right="230"/>
              <w:spacing w:after="0" w:line="201" w:lineRule="exact"/>
              <w:rPr>
                <w:sz w:val="20"/>
                <w:szCs w:val="20"/>
                <w:color w:val="auto"/>
              </w:rPr>
            </w:pPr>
            <w:r>
              <w:rPr>
                <w:rFonts w:ascii="Arial" w:cs="Arial" w:eastAsia="Arial" w:hAnsi="Arial"/>
                <w:sz w:val="18"/>
                <w:szCs w:val="18"/>
                <w:color w:val="auto"/>
              </w:rPr>
              <w:t>16,038.7</w:t>
            </w:r>
          </w:p>
        </w:tc>
        <w:tc>
          <w:tcPr>
            <w:tcW w:w="1060" w:type="dxa"/>
            <w:vAlign w:val="bottom"/>
          </w:tcPr>
          <w:p>
            <w:pPr>
              <w:jc w:val="right"/>
              <w:ind w:right="12"/>
              <w:spacing w:after="0" w:line="201" w:lineRule="exact"/>
              <w:rPr>
                <w:sz w:val="20"/>
                <w:szCs w:val="20"/>
                <w:color w:val="auto"/>
              </w:rPr>
            </w:pPr>
            <w:r>
              <w:rPr>
                <w:rFonts w:ascii="Arial" w:cs="Arial" w:eastAsia="Arial" w:hAnsi="Arial"/>
                <w:sz w:val="18"/>
                <w:szCs w:val="18"/>
                <w:color w:val="auto"/>
              </w:rPr>
              <w:t>17.6%</w:t>
            </w:r>
          </w:p>
        </w:tc>
        <w:tc>
          <w:tcPr>
            <w:tcW w:w="1180" w:type="dxa"/>
            <w:vAlign w:val="bottom"/>
          </w:tcPr>
          <w:p>
            <w:pPr>
              <w:jc w:val="right"/>
              <w:spacing w:after="0" w:line="201" w:lineRule="exact"/>
              <w:rPr>
                <w:sz w:val="20"/>
                <w:szCs w:val="20"/>
                <w:color w:val="auto"/>
              </w:rPr>
            </w:pPr>
            <w:r>
              <w:rPr>
                <w:rFonts w:ascii="Arial" w:cs="Arial" w:eastAsia="Arial" w:hAnsi="Arial"/>
                <w:sz w:val="18"/>
                <w:szCs w:val="18"/>
                <w:color w:val="auto"/>
              </w:rPr>
              <w:t>19.2%</w:t>
            </w:r>
          </w:p>
        </w:tc>
        <w:tc>
          <w:tcPr>
            <w:tcW w:w="110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40" w:type="dxa"/>
            <w:vAlign w:val="bottom"/>
            <w:tcBorders>
              <w:bottom w:val="single" w:sz="8" w:color="939598"/>
            </w:tcBorders>
          </w:tcPr>
          <w:p>
            <w:pPr>
              <w:ind w:left="260"/>
              <w:spacing w:after="0" w:line="203" w:lineRule="exact"/>
              <w:rPr>
                <w:sz w:val="20"/>
                <w:szCs w:val="20"/>
                <w:color w:val="auto"/>
              </w:rPr>
            </w:pPr>
            <w:r>
              <w:rPr>
                <w:rFonts w:ascii="Arial" w:cs="Arial" w:eastAsia="Arial" w:hAnsi="Arial"/>
                <w:sz w:val="18"/>
                <w:szCs w:val="18"/>
                <w:color w:val="auto"/>
              </w:rPr>
              <w:t>Cost of services</w:t>
            </w:r>
          </w:p>
        </w:tc>
        <w:tc>
          <w:tcPr>
            <w:tcW w:w="100" w:type="dxa"/>
            <w:vAlign w:val="bottom"/>
            <w:tcBorders>
              <w:bottom w:val="single" w:sz="8" w:color="939598"/>
            </w:tcBorders>
            <w:shd w:val="clear" w:color="auto" w:fill="E3F1DA"/>
          </w:tcPr>
          <w:p>
            <w:pPr>
              <w:spacing w:after="0"/>
              <w:rPr>
                <w:sz w:val="17"/>
                <w:szCs w:val="17"/>
                <w:color w:val="auto"/>
              </w:rPr>
            </w:pPr>
          </w:p>
        </w:tc>
        <w:tc>
          <w:tcPr>
            <w:tcW w:w="800" w:type="dxa"/>
            <w:vAlign w:val="bottom"/>
            <w:tcBorders>
              <w:bottom w:val="single" w:sz="8" w:color="939598"/>
            </w:tcBorders>
            <w:shd w:val="clear" w:color="auto" w:fill="E3F1DA"/>
          </w:tcPr>
          <w:p>
            <w:pPr>
              <w:jc w:val="right"/>
              <w:spacing w:after="0" w:line="203" w:lineRule="exact"/>
              <w:rPr>
                <w:sz w:val="20"/>
                <w:szCs w:val="20"/>
                <w:color w:val="auto"/>
              </w:rPr>
            </w:pPr>
            <w:r>
              <w:rPr>
                <w:rFonts w:ascii="Arial" w:cs="Arial" w:eastAsia="Arial" w:hAnsi="Arial"/>
                <w:sz w:val="18"/>
                <w:szCs w:val="18"/>
                <w:color w:val="86B6A5"/>
              </w:rPr>
              <w:t>15,621.1</w:t>
            </w:r>
          </w:p>
        </w:tc>
        <w:tc>
          <w:tcPr>
            <w:tcW w:w="220" w:type="dxa"/>
            <w:vAlign w:val="bottom"/>
            <w:tcBorders>
              <w:bottom w:val="single" w:sz="8" w:color="939598"/>
            </w:tcBorders>
            <w:shd w:val="clear" w:color="auto" w:fill="E3F1DA"/>
          </w:tcPr>
          <w:p>
            <w:pPr>
              <w:spacing w:after="0"/>
              <w:rPr>
                <w:sz w:val="17"/>
                <w:szCs w:val="17"/>
                <w:color w:val="auto"/>
              </w:rPr>
            </w:pPr>
          </w:p>
        </w:tc>
        <w:tc>
          <w:tcPr>
            <w:tcW w:w="160" w:type="dxa"/>
            <w:vAlign w:val="bottom"/>
            <w:tcBorders>
              <w:bottom w:val="single" w:sz="8" w:color="939598"/>
            </w:tcBorders>
          </w:tcPr>
          <w:p>
            <w:pPr>
              <w:spacing w:after="0"/>
              <w:rPr>
                <w:sz w:val="17"/>
                <w:szCs w:val="17"/>
                <w:color w:val="auto"/>
              </w:rPr>
            </w:pPr>
          </w:p>
        </w:tc>
        <w:tc>
          <w:tcPr>
            <w:tcW w:w="1080" w:type="dxa"/>
            <w:vAlign w:val="bottom"/>
            <w:tcBorders>
              <w:bottom w:val="single" w:sz="8" w:color="939598"/>
            </w:tcBorders>
          </w:tcPr>
          <w:p>
            <w:pPr>
              <w:jc w:val="right"/>
              <w:ind w:right="230"/>
              <w:spacing w:after="0" w:line="203" w:lineRule="exact"/>
              <w:rPr>
                <w:sz w:val="20"/>
                <w:szCs w:val="20"/>
                <w:color w:val="auto"/>
              </w:rPr>
            </w:pPr>
            <w:r>
              <w:rPr>
                <w:rFonts w:ascii="Arial" w:cs="Arial" w:eastAsia="Arial" w:hAnsi="Arial"/>
                <w:sz w:val="18"/>
                <w:szCs w:val="18"/>
                <w:color w:val="auto"/>
              </w:rPr>
              <w:t>13,220.5</w:t>
            </w:r>
          </w:p>
        </w:tc>
        <w:tc>
          <w:tcPr>
            <w:tcW w:w="1060" w:type="dxa"/>
            <w:vAlign w:val="bottom"/>
            <w:tcBorders>
              <w:bottom w:val="single" w:sz="8" w:color="939598"/>
            </w:tcBorders>
          </w:tcPr>
          <w:p>
            <w:pPr>
              <w:jc w:val="right"/>
              <w:ind w:right="172"/>
              <w:spacing w:after="0" w:line="203" w:lineRule="exact"/>
              <w:rPr>
                <w:sz w:val="20"/>
                <w:szCs w:val="20"/>
                <w:color w:val="auto"/>
              </w:rPr>
            </w:pPr>
            <w:r>
              <w:rPr>
                <w:rFonts w:ascii="Arial" w:cs="Arial" w:eastAsia="Arial" w:hAnsi="Arial"/>
                <w:sz w:val="18"/>
                <w:szCs w:val="18"/>
                <w:color w:val="auto"/>
              </w:rPr>
              <w:t>18.2</w:t>
            </w:r>
          </w:p>
        </w:tc>
        <w:tc>
          <w:tcPr>
            <w:tcW w:w="1180" w:type="dxa"/>
            <w:vAlign w:val="bottom"/>
            <w:tcBorders>
              <w:bottom w:val="single" w:sz="8" w:color="939598"/>
            </w:tcBorders>
          </w:tcPr>
          <w:p>
            <w:pPr>
              <w:spacing w:after="0"/>
              <w:rPr>
                <w:sz w:val="17"/>
                <w:szCs w:val="17"/>
                <w:color w:val="auto"/>
              </w:rPr>
            </w:pPr>
          </w:p>
        </w:tc>
        <w:tc>
          <w:tcPr>
            <w:tcW w:w="940" w:type="dxa"/>
            <w:vAlign w:val="bottom"/>
            <w:tcBorders>
              <w:bottom w:val="single" w:sz="8" w:color="939598"/>
            </w:tcBorders>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5640" w:type="dxa"/>
            <w:vAlign w:val="bottom"/>
          </w:tcPr>
          <w:p>
            <w:pPr>
              <w:spacing w:after="0" w:line="177" w:lineRule="exact"/>
              <w:rPr>
                <w:sz w:val="20"/>
                <w:szCs w:val="20"/>
                <w:color w:val="auto"/>
              </w:rPr>
            </w:pPr>
            <w:r>
              <w:rPr>
                <w:rFonts w:ascii="Arial" w:cs="Arial" w:eastAsia="Arial" w:hAnsi="Arial"/>
                <w:sz w:val="18"/>
                <w:szCs w:val="18"/>
                <w:color w:val="auto"/>
              </w:rPr>
              <w:t>Gross profit</w:t>
            </w:r>
          </w:p>
        </w:tc>
        <w:tc>
          <w:tcPr>
            <w:tcW w:w="100" w:type="dxa"/>
            <w:vAlign w:val="bottom"/>
            <w:shd w:val="clear" w:color="auto" w:fill="E3F1DA"/>
          </w:tcPr>
          <w:p>
            <w:pPr>
              <w:spacing w:after="0"/>
              <w:rPr>
                <w:sz w:val="15"/>
                <w:szCs w:val="15"/>
                <w:color w:val="auto"/>
              </w:rPr>
            </w:pPr>
          </w:p>
        </w:tc>
        <w:tc>
          <w:tcPr>
            <w:tcW w:w="800" w:type="dxa"/>
            <w:vAlign w:val="bottom"/>
          </w:tcPr>
          <w:p>
            <w:pPr>
              <w:jc w:val="right"/>
              <w:spacing w:after="0" w:line="177" w:lineRule="exact"/>
              <w:rPr>
                <w:sz w:val="20"/>
                <w:szCs w:val="20"/>
                <w:color w:val="auto"/>
              </w:rPr>
            </w:pPr>
            <w:r>
              <w:rPr>
                <w:rFonts w:ascii="Arial" w:cs="Arial" w:eastAsia="Arial" w:hAnsi="Arial"/>
                <w:sz w:val="18"/>
                <w:szCs w:val="18"/>
                <w:color w:val="86B6A5"/>
              </w:rPr>
              <w:t>3,245.4</w:t>
            </w:r>
          </w:p>
        </w:tc>
        <w:tc>
          <w:tcPr>
            <w:tcW w:w="220" w:type="dxa"/>
            <w:vAlign w:val="bottom"/>
            <w:vMerge w:val="restart"/>
          </w:tcPr>
          <w:p>
            <w:pPr>
              <w:jc w:val="right"/>
              <w:spacing w:after="0"/>
              <w:rPr>
                <w:sz w:val="20"/>
                <w:szCs w:val="20"/>
                <w:color w:val="auto"/>
              </w:rPr>
            </w:pPr>
            <w:r>
              <w:rPr>
                <w:rFonts w:ascii="Arial" w:cs="Arial" w:eastAsia="Arial" w:hAnsi="Arial"/>
                <w:sz w:val="18"/>
                <w:szCs w:val="18"/>
                <w:b w:val="1"/>
                <w:bCs w:val="1"/>
                <w:i w:val="1"/>
                <w:iCs w:val="1"/>
                <w:color w:val="86B6A5"/>
                <w:w w:val="87"/>
              </w:rPr>
              <w:t>%</w:t>
            </w:r>
          </w:p>
        </w:tc>
        <w:tc>
          <w:tcPr>
            <w:tcW w:w="160" w:type="dxa"/>
            <w:vAlign w:val="bottom"/>
          </w:tcPr>
          <w:p>
            <w:pPr>
              <w:spacing w:after="0"/>
              <w:rPr>
                <w:sz w:val="15"/>
                <w:szCs w:val="15"/>
                <w:color w:val="auto"/>
              </w:rPr>
            </w:pPr>
          </w:p>
        </w:tc>
        <w:tc>
          <w:tcPr>
            <w:tcW w:w="1080" w:type="dxa"/>
            <w:vAlign w:val="bottom"/>
          </w:tcPr>
          <w:p>
            <w:pPr>
              <w:jc w:val="right"/>
              <w:ind w:right="230"/>
              <w:spacing w:after="0" w:line="177" w:lineRule="exact"/>
              <w:rPr>
                <w:sz w:val="20"/>
                <w:szCs w:val="20"/>
                <w:color w:val="auto"/>
              </w:rPr>
            </w:pPr>
            <w:r>
              <w:rPr>
                <w:rFonts w:ascii="Arial" w:cs="Arial" w:eastAsia="Arial" w:hAnsi="Arial"/>
                <w:sz w:val="18"/>
                <w:szCs w:val="18"/>
                <w:color w:val="auto"/>
              </w:rPr>
              <w:t>2,818.2</w:t>
            </w:r>
          </w:p>
        </w:tc>
        <w:tc>
          <w:tcPr>
            <w:tcW w:w="1060" w:type="dxa"/>
            <w:vAlign w:val="bottom"/>
          </w:tcPr>
          <w:p>
            <w:pPr>
              <w:jc w:val="right"/>
              <w:ind w:right="172"/>
              <w:spacing w:after="0" w:line="177" w:lineRule="exact"/>
              <w:rPr>
                <w:sz w:val="20"/>
                <w:szCs w:val="20"/>
                <w:color w:val="auto"/>
              </w:rPr>
            </w:pPr>
            <w:r>
              <w:rPr>
                <w:rFonts w:ascii="Arial" w:cs="Arial" w:eastAsia="Arial" w:hAnsi="Arial"/>
                <w:sz w:val="18"/>
                <w:szCs w:val="18"/>
                <w:color w:val="auto"/>
              </w:rPr>
              <w:t>15.2</w:t>
            </w:r>
          </w:p>
        </w:tc>
        <w:tc>
          <w:tcPr>
            <w:tcW w:w="1180" w:type="dxa"/>
            <w:vAlign w:val="bottom"/>
          </w:tcPr>
          <w:p>
            <w:pPr>
              <w:jc w:val="right"/>
              <w:ind w:right="154"/>
              <w:spacing w:after="0" w:line="177" w:lineRule="exact"/>
              <w:rPr>
                <w:sz w:val="20"/>
                <w:szCs w:val="20"/>
                <w:color w:val="auto"/>
              </w:rPr>
            </w:pPr>
            <w:r>
              <w:rPr>
                <w:rFonts w:ascii="Arial" w:cs="Arial" w:eastAsia="Arial" w:hAnsi="Arial"/>
                <w:sz w:val="18"/>
                <w:szCs w:val="18"/>
                <w:color w:val="auto"/>
              </w:rPr>
              <w:t>16.4</w:t>
            </w:r>
          </w:p>
        </w:tc>
        <w:tc>
          <w:tcPr>
            <w:tcW w:w="940" w:type="dxa"/>
            <w:vAlign w:val="bottom"/>
          </w:tcPr>
          <w:p>
            <w:pPr>
              <w:jc w:val="right"/>
              <w:spacing w:after="0" w:line="177" w:lineRule="exact"/>
              <w:rPr>
                <w:sz w:val="20"/>
                <w:szCs w:val="20"/>
                <w:color w:val="auto"/>
              </w:rPr>
            </w:pPr>
            <w:r>
              <w:rPr>
                <w:rFonts w:ascii="Arial" w:cs="Arial" w:eastAsia="Arial" w:hAnsi="Arial"/>
                <w:sz w:val="18"/>
                <w:szCs w:val="18"/>
                <w:color w:val="auto"/>
              </w:rPr>
              <w:t>11.1</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5660" w:type="dxa"/>
            <w:vAlign w:val="bottom"/>
            <w:gridSpan w:val="2"/>
          </w:tcPr>
          <w:p>
            <w:pPr>
              <w:spacing w:after="0"/>
              <w:rPr>
                <w:sz w:val="20"/>
                <w:szCs w:val="20"/>
                <w:color w:val="auto"/>
              </w:rPr>
            </w:pPr>
            <w:r>
              <w:rPr>
                <w:rFonts w:ascii="Arial" w:cs="Arial" w:eastAsia="Arial" w:hAnsi="Arial"/>
                <w:sz w:val="18"/>
                <w:szCs w:val="18"/>
                <w:i w:val="1"/>
                <w:iCs w:val="1"/>
                <w:color w:val="auto"/>
              </w:rPr>
              <w:t>Gross Profit Margin</w:t>
            </w:r>
          </w:p>
        </w:tc>
        <w:tc>
          <w:tcPr>
            <w:tcW w:w="100" w:type="dxa"/>
            <w:vAlign w:val="bottom"/>
            <w:shd w:val="clear" w:color="auto" w:fill="E3F1DA"/>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i w:val="1"/>
                <w:iCs w:val="1"/>
                <w:color w:val="86B6A5"/>
              </w:rPr>
              <w:t>17.2</w:t>
            </w:r>
          </w:p>
        </w:tc>
        <w:tc>
          <w:tcPr>
            <w:tcW w:w="22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i w:val="1"/>
                <w:iCs w:val="1"/>
                <w:color w:val="auto"/>
              </w:rPr>
              <w:t>17.6%</w:t>
            </w:r>
          </w:p>
        </w:tc>
        <w:tc>
          <w:tcPr>
            <w:tcW w:w="10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40" w:type="dxa"/>
            <w:vAlign w:val="bottom"/>
          </w:tcPr>
          <w:p>
            <w:pPr>
              <w:ind w:left="260"/>
              <w:spacing w:after="0" w:line="202" w:lineRule="exact"/>
              <w:rPr>
                <w:sz w:val="20"/>
                <w:szCs w:val="20"/>
                <w:color w:val="auto"/>
              </w:rPr>
            </w:pPr>
            <w:r>
              <w:rPr>
                <w:rFonts w:ascii="Arial" w:cs="Arial" w:eastAsia="Arial" w:hAnsi="Arial"/>
                <w:sz w:val="18"/>
                <w:szCs w:val="18"/>
                <w:color w:val="auto"/>
              </w:rPr>
              <w:t>Selling and administrative expenses, excluding impairment</w:t>
            </w:r>
          </w:p>
        </w:tc>
        <w:tc>
          <w:tcPr>
            <w:tcW w:w="100" w:type="dxa"/>
            <w:vAlign w:val="bottom"/>
            <w:shd w:val="clear" w:color="auto" w:fill="E3F1DA"/>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40" w:type="dxa"/>
            <w:vAlign w:val="bottom"/>
          </w:tcPr>
          <w:p>
            <w:pPr>
              <w:ind w:left="520"/>
              <w:spacing w:after="0" w:line="202" w:lineRule="exact"/>
              <w:rPr>
                <w:sz w:val="20"/>
                <w:szCs w:val="20"/>
                <w:color w:val="auto"/>
              </w:rPr>
            </w:pPr>
            <w:r>
              <w:rPr>
                <w:rFonts w:ascii="Arial" w:cs="Arial" w:eastAsia="Arial" w:hAnsi="Arial"/>
                <w:sz w:val="18"/>
                <w:szCs w:val="18"/>
                <w:color w:val="auto"/>
              </w:rPr>
              <w:t>charges</w:t>
            </w:r>
          </w:p>
        </w:tc>
        <w:tc>
          <w:tcPr>
            <w:tcW w:w="100" w:type="dxa"/>
            <w:vAlign w:val="bottom"/>
            <w:shd w:val="clear" w:color="auto" w:fill="E3F1DA"/>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86B6A5"/>
              </w:rPr>
              <w:t>2,938.6</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2,715.5</w:t>
            </w:r>
          </w:p>
        </w:tc>
        <w:tc>
          <w:tcPr>
            <w:tcW w:w="10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40" w:type="dxa"/>
            <w:vAlign w:val="bottom"/>
            <w:tcBorders>
              <w:bottom w:val="single" w:sz="8" w:color="939598"/>
            </w:tcBorders>
          </w:tcPr>
          <w:p>
            <w:pPr>
              <w:ind w:left="260"/>
              <w:spacing w:after="0" w:line="203" w:lineRule="exact"/>
              <w:rPr>
                <w:sz w:val="20"/>
                <w:szCs w:val="20"/>
                <w:color w:val="auto"/>
              </w:rPr>
            </w:pPr>
            <w:r>
              <w:rPr>
                <w:rFonts w:ascii="Arial" w:cs="Arial" w:eastAsia="Arial" w:hAnsi="Arial"/>
                <w:sz w:val="18"/>
                <w:szCs w:val="18"/>
                <w:color w:val="auto"/>
              </w:rPr>
              <w:t>Goodwill and intangible asset impairment charges</w:t>
            </w:r>
          </w:p>
        </w:tc>
        <w:tc>
          <w:tcPr>
            <w:tcW w:w="100" w:type="dxa"/>
            <w:vAlign w:val="bottom"/>
            <w:tcBorders>
              <w:bottom w:val="single" w:sz="8" w:color="939598"/>
            </w:tcBorders>
            <w:shd w:val="clear" w:color="auto" w:fill="E3F1DA"/>
          </w:tcPr>
          <w:p>
            <w:pPr>
              <w:spacing w:after="0"/>
              <w:rPr>
                <w:sz w:val="17"/>
                <w:szCs w:val="17"/>
                <w:color w:val="auto"/>
              </w:rPr>
            </w:pPr>
          </w:p>
        </w:tc>
        <w:tc>
          <w:tcPr>
            <w:tcW w:w="800" w:type="dxa"/>
            <w:vAlign w:val="bottom"/>
            <w:tcBorders>
              <w:bottom w:val="single" w:sz="8" w:color="939598"/>
            </w:tcBorders>
          </w:tcPr>
          <w:p>
            <w:pPr>
              <w:jc w:val="right"/>
              <w:spacing w:after="0" w:line="203" w:lineRule="exact"/>
              <w:rPr>
                <w:sz w:val="20"/>
                <w:szCs w:val="20"/>
                <w:color w:val="auto"/>
              </w:rPr>
            </w:pPr>
            <w:r>
              <w:rPr>
                <w:rFonts w:ascii="Arial" w:cs="Arial" w:eastAsia="Arial" w:hAnsi="Arial"/>
                <w:sz w:val="18"/>
                <w:szCs w:val="18"/>
                <w:color w:val="86B6A5"/>
              </w:rPr>
              <w:t>428.8</w:t>
            </w:r>
          </w:p>
        </w:tc>
        <w:tc>
          <w:tcPr>
            <w:tcW w:w="220" w:type="dxa"/>
            <w:vAlign w:val="bottom"/>
            <w:tcBorders>
              <w:bottom w:val="single" w:sz="8" w:color="939598"/>
            </w:tcBorders>
          </w:tcPr>
          <w:p>
            <w:pPr>
              <w:spacing w:after="0"/>
              <w:rPr>
                <w:sz w:val="17"/>
                <w:szCs w:val="17"/>
                <w:color w:val="auto"/>
              </w:rPr>
            </w:pPr>
          </w:p>
        </w:tc>
        <w:tc>
          <w:tcPr>
            <w:tcW w:w="160" w:type="dxa"/>
            <w:vAlign w:val="bottom"/>
            <w:tcBorders>
              <w:bottom w:val="single" w:sz="8" w:color="939598"/>
            </w:tcBorders>
          </w:tcPr>
          <w:p>
            <w:pPr>
              <w:spacing w:after="0"/>
              <w:rPr>
                <w:sz w:val="17"/>
                <w:szCs w:val="17"/>
                <w:color w:val="auto"/>
              </w:rPr>
            </w:pPr>
          </w:p>
        </w:tc>
        <w:tc>
          <w:tcPr>
            <w:tcW w:w="1080" w:type="dxa"/>
            <w:vAlign w:val="bottom"/>
            <w:tcBorders>
              <w:bottom w:val="single" w:sz="8" w:color="939598"/>
            </w:tcBorders>
          </w:tcPr>
          <w:p>
            <w:pPr>
              <w:jc w:val="right"/>
              <w:ind w:right="230"/>
              <w:spacing w:after="0" w:line="203" w:lineRule="exact"/>
              <w:rPr>
                <w:sz w:val="20"/>
                <w:szCs w:val="20"/>
                <w:color w:val="auto"/>
              </w:rPr>
            </w:pPr>
            <w:r>
              <w:rPr>
                <w:rFonts w:ascii="Arial" w:cs="Arial" w:eastAsia="Arial" w:hAnsi="Arial"/>
                <w:sz w:val="18"/>
                <w:szCs w:val="18"/>
                <w:color w:val="auto"/>
              </w:rPr>
              <w:t>61.0</w:t>
            </w:r>
          </w:p>
        </w:tc>
        <w:tc>
          <w:tcPr>
            <w:tcW w:w="1060" w:type="dxa"/>
            <w:vAlign w:val="bottom"/>
            <w:tcBorders>
              <w:bottom w:val="single" w:sz="8" w:color="939598"/>
            </w:tcBorders>
          </w:tcPr>
          <w:p>
            <w:pPr>
              <w:spacing w:after="0"/>
              <w:rPr>
                <w:sz w:val="17"/>
                <w:szCs w:val="17"/>
                <w:color w:val="auto"/>
              </w:rPr>
            </w:pPr>
          </w:p>
        </w:tc>
        <w:tc>
          <w:tcPr>
            <w:tcW w:w="1180" w:type="dxa"/>
            <w:vAlign w:val="bottom"/>
            <w:tcBorders>
              <w:bottom w:val="single" w:sz="8" w:color="939598"/>
            </w:tcBorders>
          </w:tcPr>
          <w:p>
            <w:pPr>
              <w:spacing w:after="0"/>
              <w:rPr>
                <w:sz w:val="17"/>
                <w:szCs w:val="17"/>
                <w:color w:val="auto"/>
              </w:rPr>
            </w:pPr>
          </w:p>
        </w:tc>
        <w:tc>
          <w:tcPr>
            <w:tcW w:w="940" w:type="dxa"/>
            <w:vAlign w:val="bottom"/>
            <w:tcBorders>
              <w:bottom w:val="single" w:sz="8" w:color="939598"/>
            </w:tcBorders>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5640" w:type="dxa"/>
            <w:vAlign w:val="bottom"/>
          </w:tcPr>
          <w:p>
            <w:pPr>
              <w:spacing w:after="0" w:line="177" w:lineRule="exact"/>
              <w:rPr>
                <w:sz w:val="20"/>
                <w:szCs w:val="20"/>
                <w:color w:val="auto"/>
              </w:rPr>
            </w:pPr>
            <w:r>
              <w:rPr>
                <w:rFonts w:ascii="Arial" w:cs="Arial" w:eastAsia="Arial" w:hAnsi="Arial"/>
                <w:sz w:val="18"/>
                <w:szCs w:val="18"/>
                <w:color w:val="auto"/>
              </w:rPr>
              <w:t>Selling and administrative expenses</w:t>
            </w:r>
          </w:p>
        </w:tc>
        <w:tc>
          <w:tcPr>
            <w:tcW w:w="100" w:type="dxa"/>
            <w:vAlign w:val="bottom"/>
            <w:shd w:val="clear" w:color="auto" w:fill="E3F1DA"/>
          </w:tcPr>
          <w:p>
            <w:pPr>
              <w:spacing w:after="0"/>
              <w:rPr>
                <w:sz w:val="15"/>
                <w:szCs w:val="15"/>
                <w:color w:val="auto"/>
              </w:rPr>
            </w:pPr>
          </w:p>
        </w:tc>
        <w:tc>
          <w:tcPr>
            <w:tcW w:w="800" w:type="dxa"/>
            <w:vAlign w:val="bottom"/>
          </w:tcPr>
          <w:p>
            <w:pPr>
              <w:jc w:val="right"/>
              <w:spacing w:after="0" w:line="177" w:lineRule="exact"/>
              <w:rPr>
                <w:sz w:val="20"/>
                <w:szCs w:val="20"/>
                <w:color w:val="auto"/>
              </w:rPr>
            </w:pPr>
            <w:r>
              <w:rPr>
                <w:rFonts w:ascii="Arial" w:cs="Arial" w:eastAsia="Arial" w:hAnsi="Arial"/>
                <w:sz w:val="18"/>
                <w:szCs w:val="18"/>
                <w:color w:val="86B6A5"/>
              </w:rPr>
              <w:t>3,367.4</w:t>
            </w:r>
          </w:p>
        </w:tc>
        <w:tc>
          <w:tcPr>
            <w:tcW w:w="220" w:type="dxa"/>
            <w:vAlign w:val="bottom"/>
            <w:vMerge w:val="restart"/>
          </w:tcPr>
          <w:p>
            <w:pPr>
              <w:jc w:val="right"/>
              <w:spacing w:after="0"/>
              <w:rPr>
                <w:sz w:val="20"/>
                <w:szCs w:val="20"/>
                <w:color w:val="auto"/>
              </w:rPr>
            </w:pPr>
            <w:r>
              <w:rPr>
                <w:rFonts w:ascii="Arial" w:cs="Arial" w:eastAsia="Arial" w:hAnsi="Arial"/>
                <w:sz w:val="18"/>
                <w:szCs w:val="18"/>
                <w:b w:val="1"/>
                <w:bCs w:val="1"/>
                <w:i w:val="1"/>
                <w:iCs w:val="1"/>
                <w:color w:val="86B6A5"/>
                <w:w w:val="87"/>
              </w:rPr>
              <w:t>%</w:t>
            </w:r>
          </w:p>
        </w:tc>
        <w:tc>
          <w:tcPr>
            <w:tcW w:w="160" w:type="dxa"/>
            <w:vAlign w:val="bottom"/>
          </w:tcPr>
          <w:p>
            <w:pPr>
              <w:spacing w:after="0"/>
              <w:rPr>
                <w:sz w:val="15"/>
                <w:szCs w:val="15"/>
                <w:color w:val="auto"/>
              </w:rPr>
            </w:pPr>
          </w:p>
        </w:tc>
        <w:tc>
          <w:tcPr>
            <w:tcW w:w="1080" w:type="dxa"/>
            <w:vAlign w:val="bottom"/>
          </w:tcPr>
          <w:p>
            <w:pPr>
              <w:jc w:val="right"/>
              <w:ind w:right="230"/>
              <w:spacing w:after="0" w:line="177" w:lineRule="exact"/>
              <w:rPr>
                <w:sz w:val="20"/>
                <w:szCs w:val="20"/>
                <w:color w:val="auto"/>
              </w:rPr>
            </w:pPr>
            <w:r>
              <w:rPr>
                <w:rFonts w:ascii="Arial" w:cs="Arial" w:eastAsia="Arial" w:hAnsi="Arial"/>
                <w:sz w:val="18"/>
                <w:szCs w:val="18"/>
                <w:color w:val="auto"/>
              </w:rPr>
              <w:t>2,776.5</w:t>
            </w:r>
          </w:p>
        </w:tc>
        <w:tc>
          <w:tcPr>
            <w:tcW w:w="1060" w:type="dxa"/>
            <w:vAlign w:val="bottom"/>
          </w:tcPr>
          <w:p>
            <w:pPr>
              <w:jc w:val="right"/>
              <w:ind w:right="172"/>
              <w:spacing w:after="0" w:line="177" w:lineRule="exact"/>
              <w:rPr>
                <w:sz w:val="20"/>
                <w:szCs w:val="20"/>
                <w:color w:val="auto"/>
              </w:rPr>
            </w:pPr>
            <w:r>
              <w:rPr>
                <w:rFonts w:ascii="Arial" w:cs="Arial" w:eastAsia="Arial" w:hAnsi="Arial"/>
                <w:sz w:val="18"/>
                <w:szCs w:val="18"/>
                <w:color w:val="auto"/>
              </w:rPr>
              <w:t>21.3</w:t>
            </w:r>
          </w:p>
        </w:tc>
        <w:tc>
          <w:tcPr>
            <w:tcW w:w="1180" w:type="dxa"/>
            <w:vAlign w:val="bottom"/>
          </w:tcPr>
          <w:p>
            <w:pPr>
              <w:jc w:val="right"/>
              <w:ind w:right="154"/>
              <w:spacing w:after="0" w:line="177" w:lineRule="exact"/>
              <w:rPr>
                <w:sz w:val="20"/>
                <w:szCs w:val="20"/>
                <w:color w:val="auto"/>
              </w:rPr>
            </w:pPr>
            <w:r>
              <w:rPr>
                <w:rFonts w:ascii="Arial" w:cs="Arial" w:eastAsia="Arial" w:hAnsi="Arial"/>
                <w:sz w:val="18"/>
                <w:szCs w:val="18"/>
                <w:color w:val="auto"/>
              </w:rPr>
              <w:t>22.1</w:t>
            </w:r>
          </w:p>
        </w:tc>
        <w:tc>
          <w:tcPr>
            <w:tcW w:w="940" w:type="dxa"/>
            <w:vAlign w:val="bottom"/>
          </w:tcPr>
          <w:p>
            <w:pPr>
              <w:jc w:val="right"/>
              <w:spacing w:after="0" w:line="177" w:lineRule="exact"/>
              <w:rPr>
                <w:sz w:val="20"/>
                <w:szCs w:val="20"/>
                <w:color w:val="auto"/>
              </w:rPr>
            </w:pPr>
            <w:r>
              <w:rPr>
                <w:rFonts w:ascii="Arial" w:cs="Arial" w:eastAsia="Arial" w:hAnsi="Arial"/>
                <w:sz w:val="18"/>
                <w:szCs w:val="18"/>
                <w:color w:val="auto"/>
              </w:rPr>
              <w:t>16.9</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640" w:type="dxa"/>
            <w:vAlign w:val="bottom"/>
          </w:tcPr>
          <w:p>
            <w:pPr>
              <w:ind w:left="260"/>
              <w:spacing w:after="0"/>
              <w:rPr>
                <w:sz w:val="20"/>
                <w:szCs w:val="20"/>
                <w:color w:val="auto"/>
              </w:rPr>
            </w:pPr>
            <w:r>
              <w:rPr>
                <w:rFonts w:ascii="Arial" w:cs="Arial" w:eastAsia="Arial" w:hAnsi="Arial"/>
                <w:sz w:val="18"/>
                <w:szCs w:val="18"/>
                <w:i w:val="1"/>
                <w:iCs w:val="1"/>
                <w:color w:val="auto"/>
              </w:rPr>
              <w:t>Selling and administrative expenses as a % of revenues</w:t>
            </w:r>
          </w:p>
        </w:tc>
        <w:tc>
          <w:tcPr>
            <w:tcW w:w="100" w:type="dxa"/>
            <w:vAlign w:val="bottom"/>
            <w:shd w:val="clear" w:color="auto" w:fill="E3F1DA"/>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i w:val="1"/>
                <w:iCs w:val="1"/>
                <w:color w:val="86B6A5"/>
              </w:rPr>
              <w:t>17.8</w:t>
            </w:r>
          </w:p>
        </w:tc>
        <w:tc>
          <w:tcPr>
            <w:tcW w:w="22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i w:val="1"/>
                <w:iCs w:val="1"/>
                <w:color w:val="auto"/>
              </w:rPr>
              <w:t>17.3%</w:t>
            </w:r>
          </w:p>
        </w:tc>
        <w:tc>
          <w:tcPr>
            <w:tcW w:w="10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5"/>
        </w:trPr>
        <w:tc>
          <w:tcPr>
            <w:tcW w:w="5660" w:type="dxa"/>
            <w:vAlign w:val="bottom"/>
            <w:gridSpan w:val="2"/>
          </w:tcPr>
          <w:p>
            <w:pPr>
              <w:spacing w:after="0" w:line="185" w:lineRule="exact"/>
              <w:rPr>
                <w:sz w:val="20"/>
                <w:szCs w:val="20"/>
                <w:color w:val="auto"/>
              </w:rPr>
            </w:pPr>
            <w:r>
              <w:rPr>
                <w:rFonts w:ascii="Arial" w:cs="Arial" w:eastAsia="Arial" w:hAnsi="Arial"/>
                <w:sz w:val="18"/>
                <w:szCs w:val="18"/>
                <w:color w:val="auto"/>
              </w:rPr>
              <w:t>Operating (loss) profit</w:t>
            </w:r>
          </w:p>
        </w:tc>
        <w:tc>
          <w:tcPr>
            <w:tcW w:w="100" w:type="dxa"/>
            <w:vAlign w:val="bottom"/>
            <w:shd w:val="clear" w:color="auto" w:fill="E3F1DA"/>
          </w:tcPr>
          <w:p>
            <w:pPr>
              <w:spacing w:after="0"/>
              <w:rPr>
                <w:sz w:val="16"/>
                <w:szCs w:val="16"/>
                <w:color w:val="auto"/>
              </w:rPr>
            </w:pPr>
          </w:p>
        </w:tc>
        <w:tc>
          <w:tcPr>
            <w:tcW w:w="1020" w:type="dxa"/>
            <w:vAlign w:val="bottom"/>
            <w:gridSpan w:val="2"/>
          </w:tcPr>
          <w:p>
            <w:pPr>
              <w:jc w:val="right"/>
              <w:ind w:right="70"/>
              <w:spacing w:after="0" w:line="185" w:lineRule="exact"/>
              <w:rPr>
                <w:sz w:val="20"/>
                <w:szCs w:val="20"/>
                <w:color w:val="auto"/>
              </w:rPr>
            </w:pPr>
            <w:r>
              <w:rPr>
                <w:rFonts w:ascii="Arial" w:cs="Arial" w:eastAsia="Arial" w:hAnsi="Arial"/>
                <w:sz w:val="18"/>
                <w:szCs w:val="18"/>
                <w:color w:val="86B6A5"/>
              </w:rPr>
              <w:t>(122.0)</w:t>
            </w:r>
          </w:p>
        </w:tc>
        <w:tc>
          <w:tcPr>
            <w:tcW w:w="160" w:type="dxa"/>
            <w:vAlign w:val="bottom"/>
          </w:tcPr>
          <w:p>
            <w:pPr>
              <w:spacing w:after="0"/>
              <w:rPr>
                <w:sz w:val="16"/>
                <w:szCs w:val="16"/>
                <w:color w:val="auto"/>
              </w:rPr>
            </w:pPr>
          </w:p>
        </w:tc>
        <w:tc>
          <w:tcPr>
            <w:tcW w:w="1080" w:type="dxa"/>
            <w:vAlign w:val="bottom"/>
          </w:tcPr>
          <w:p>
            <w:pPr>
              <w:jc w:val="right"/>
              <w:ind w:right="230"/>
              <w:spacing w:after="0" w:line="185" w:lineRule="exact"/>
              <w:rPr>
                <w:sz w:val="20"/>
                <w:szCs w:val="20"/>
                <w:color w:val="auto"/>
              </w:rPr>
            </w:pPr>
            <w:r>
              <w:rPr>
                <w:rFonts w:ascii="Arial" w:cs="Arial" w:eastAsia="Arial" w:hAnsi="Arial"/>
                <w:sz w:val="18"/>
                <w:szCs w:val="18"/>
                <w:color w:val="auto"/>
              </w:rPr>
              <w:t>41.7</w:t>
            </w:r>
          </w:p>
        </w:tc>
        <w:tc>
          <w:tcPr>
            <w:tcW w:w="1060" w:type="dxa"/>
            <w:vAlign w:val="bottom"/>
          </w:tcPr>
          <w:p>
            <w:pPr>
              <w:jc w:val="right"/>
              <w:ind w:right="112"/>
              <w:spacing w:after="0" w:line="185" w:lineRule="exact"/>
              <w:rPr>
                <w:sz w:val="20"/>
                <w:szCs w:val="20"/>
                <w:color w:val="auto"/>
              </w:rPr>
            </w:pPr>
            <w:r>
              <w:rPr>
                <w:rFonts w:ascii="Arial" w:cs="Arial" w:eastAsia="Arial" w:hAnsi="Arial"/>
                <w:sz w:val="18"/>
                <w:szCs w:val="18"/>
                <w:color w:val="auto"/>
              </w:rPr>
              <w:t>(392.6)</w:t>
            </w:r>
          </w:p>
        </w:tc>
        <w:tc>
          <w:tcPr>
            <w:tcW w:w="1180" w:type="dxa"/>
            <w:vAlign w:val="bottom"/>
          </w:tcPr>
          <w:p>
            <w:pPr>
              <w:jc w:val="right"/>
              <w:ind w:right="94"/>
              <w:spacing w:after="0" w:line="185" w:lineRule="exact"/>
              <w:rPr>
                <w:sz w:val="20"/>
                <w:szCs w:val="20"/>
                <w:color w:val="auto"/>
              </w:rPr>
            </w:pPr>
            <w:r>
              <w:rPr>
                <w:rFonts w:ascii="Arial" w:cs="Arial" w:eastAsia="Arial" w:hAnsi="Arial"/>
                <w:sz w:val="18"/>
                <w:szCs w:val="18"/>
                <w:color w:val="auto"/>
              </w:rPr>
              <w:t>(366.9)</w:t>
            </w:r>
          </w:p>
        </w:tc>
        <w:tc>
          <w:tcPr>
            <w:tcW w:w="1100" w:type="dxa"/>
            <w:vAlign w:val="bottom"/>
            <w:gridSpan w:val="2"/>
          </w:tcPr>
          <w:p>
            <w:pPr>
              <w:jc w:val="right"/>
              <w:ind w:right="100"/>
              <w:spacing w:after="0" w:line="185" w:lineRule="exact"/>
              <w:rPr>
                <w:sz w:val="20"/>
                <w:szCs w:val="20"/>
                <w:color w:val="auto"/>
              </w:rPr>
            </w:pPr>
            <w:r>
              <w:rPr>
                <w:rFonts w:ascii="Arial" w:cs="Arial" w:eastAsia="Arial" w:hAnsi="Arial"/>
                <w:sz w:val="18"/>
                <w:szCs w:val="18"/>
                <w:color w:val="auto"/>
              </w:rPr>
              <w:t>(377.2)</w:t>
            </w:r>
          </w:p>
        </w:tc>
        <w:tc>
          <w:tcPr>
            <w:tcW w:w="0" w:type="dxa"/>
            <w:vAlign w:val="bottom"/>
          </w:tcPr>
          <w:p>
            <w:pPr>
              <w:spacing w:after="0"/>
              <w:rPr>
                <w:sz w:val="1"/>
                <w:szCs w:val="1"/>
                <w:color w:val="auto"/>
              </w:rPr>
            </w:pPr>
          </w:p>
        </w:tc>
      </w:tr>
      <w:tr>
        <w:trPr>
          <w:trHeight w:val="221"/>
        </w:trPr>
        <w:tc>
          <w:tcPr>
            <w:tcW w:w="5660" w:type="dxa"/>
            <w:vAlign w:val="bottom"/>
            <w:gridSpan w:val="2"/>
          </w:tcPr>
          <w:p>
            <w:pPr>
              <w:spacing w:after="0"/>
              <w:rPr>
                <w:sz w:val="20"/>
                <w:szCs w:val="20"/>
                <w:color w:val="auto"/>
              </w:rPr>
            </w:pPr>
            <w:r>
              <w:rPr>
                <w:rFonts w:ascii="Arial" w:cs="Arial" w:eastAsia="Arial" w:hAnsi="Arial"/>
                <w:sz w:val="18"/>
                <w:szCs w:val="18"/>
                <w:i w:val="1"/>
                <w:iCs w:val="1"/>
                <w:color w:val="auto"/>
              </w:rPr>
              <w:t>Operating Profit Margin</w:t>
            </w:r>
          </w:p>
        </w:tc>
        <w:tc>
          <w:tcPr>
            <w:tcW w:w="100" w:type="dxa"/>
            <w:vAlign w:val="bottom"/>
            <w:shd w:val="clear" w:color="auto" w:fill="E3F1DA"/>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i w:val="1"/>
                <w:iCs w:val="1"/>
                <w:color w:val="86B6A5"/>
              </w:rPr>
              <w:t>(0.6)%</w:t>
            </w:r>
          </w:p>
        </w:tc>
        <w:tc>
          <w:tcPr>
            <w:tcW w:w="160" w:type="dxa"/>
            <w:vAlign w:val="bottom"/>
          </w:tcPr>
          <w:p>
            <w:pPr>
              <w:spacing w:after="0"/>
              <w:rPr>
                <w:sz w:val="19"/>
                <w:szCs w:val="19"/>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i w:val="1"/>
                <w:iCs w:val="1"/>
                <w:color w:val="auto"/>
              </w:rPr>
              <w:t>0.3%</w:t>
            </w:r>
          </w:p>
        </w:tc>
        <w:tc>
          <w:tcPr>
            <w:tcW w:w="10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40" w:type="dxa"/>
            <w:vAlign w:val="bottom"/>
          </w:tcPr>
          <w:p>
            <w:pPr>
              <w:ind w:left="260"/>
              <w:spacing w:after="0" w:line="202" w:lineRule="exact"/>
              <w:rPr>
                <w:sz w:val="20"/>
                <w:szCs w:val="20"/>
                <w:color w:val="auto"/>
              </w:rPr>
            </w:pPr>
            <w:r>
              <w:rPr>
                <w:rFonts w:ascii="Arial" w:cs="Arial" w:eastAsia="Arial" w:hAnsi="Arial"/>
                <w:sz w:val="18"/>
                <w:szCs w:val="18"/>
                <w:color w:val="auto"/>
              </w:rPr>
              <w:t>Net Interest expense</w:t>
            </w:r>
          </w:p>
        </w:tc>
        <w:tc>
          <w:tcPr>
            <w:tcW w:w="100" w:type="dxa"/>
            <w:vAlign w:val="bottom"/>
            <w:shd w:val="clear" w:color="auto" w:fill="E3F1DA"/>
          </w:tcPr>
          <w:p>
            <w:pPr>
              <w:spacing w:after="0"/>
              <w:rPr>
                <w:sz w:val="17"/>
                <w:szCs w:val="17"/>
                <w:color w:val="auto"/>
              </w:rPr>
            </w:pPr>
          </w:p>
        </w:tc>
        <w:tc>
          <w:tcPr>
            <w:tcW w:w="1020" w:type="dxa"/>
            <w:vAlign w:val="bottom"/>
            <w:gridSpan w:val="2"/>
          </w:tcPr>
          <w:p>
            <w:pPr>
              <w:jc w:val="right"/>
              <w:ind w:right="130"/>
              <w:spacing w:after="0" w:line="202" w:lineRule="exact"/>
              <w:rPr>
                <w:sz w:val="20"/>
                <w:szCs w:val="20"/>
                <w:color w:val="auto"/>
              </w:rPr>
            </w:pPr>
            <w:r>
              <w:rPr>
                <w:rFonts w:ascii="Arial" w:cs="Arial" w:eastAsia="Arial" w:hAnsi="Arial"/>
                <w:sz w:val="18"/>
                <w:szCs w:val="18"/>
                <w:color w:val="86B6A5"/>
              </w:rPr>
              <w:t>37.5</w:t>
            </w:r>
          </w:p>
        </w:tc>
        <w:tc>
          <w:tcPr>
            <w:tcW w:w="160" w:type="dxa"/>
            <w:vAlign w:val="bottom"/>
          </w:tcPr>
          <w:p>
            <w:pPr>
              <w:spacing w:after="0"/>
              <w:rPr>
                <w:sz w:val="17"/>
                <w:szCs w:val="17"/>
                <w:color w:val="auto"/>
              </w:rPr>
            </w:pPr>
          </w:p>
        </w:tc>
        <w:tc>
          <w:tcPr>
            <w:tcW w:w="108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50.0</w:t>
            </w:r>
          </w:p>
        </w:tc>
        <w:tc>
          <w:tcPr>
            <w:tcW w:w="106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(25.0)</w:t>
            </w:r>
          </w:p>
        </w:tc>
        <w:tc>
          <w:tcPr>
            <w:tcW w:w="1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40" w:type="dxa"/>
            <w:vAlign w:val="bottom"/>
            <w:tcBorders>
              <w:bottom w:val="single" w:sz="8" w:color="939598"/>
            </w:tcBorders>
          </w:tcPr>
          <w:p>
            <w:pPr>
              <w:ind w:left="260"/>
              <w:spacing w:after="0" w:line="203" w:lineRule="exact"/>
              <w:rPr>
                <w:sz w:val="20"/>
                <w:szCs w:val="20"/>
                <w:color w:val="auto"/>
              </w:rPr>
            </w:pPr>
            <w:r>
              <w:rPr>
                <w:rFonts w:ascii="Arial" w:cs="Arial" w:eastAsia="Arial" w:hAnsi="Arial"/>
                <w:sz w:val="18"/>
                <w:szCs w:val="18"/>
                <w:color w:val="auto"/>
              </w:rPr>
              <w:t>Other expenses</w:t>
            </w:r>
          </w:p>
        </w:tc>
        <w:tc>
          <w:tcPr>
            <w:tcW w:w="100" w:type="dxa"/>
            <w:vAlign w:val="bottom"/>
            <w:tcBorders>
              <w:bottom w:val="single" w:sz="8" w:color="939598"/>
            </w:tcBorders>
            <w:shd w:val="clear" w:color="auto" w:fill="E3F1DA"/>
          </w:tcPr>
          <w:p>
            <w:pPr>
              <w:spacing w:after="0"/>
              <w:rPr>
                <w:sz w:val="17"/>
                <w:szCs w:val="17"/>
                <w:color w:val="auto"/>
              </w:rPr>
            </w:pPr>
          </w:p>
        </w:tc>
        <w:tc>
          <w:tcPr>
            <w:tcW w:w="1020" w:type="dxa"/>
            <w:vAlign w:val="bottom"/>
            <w:tcBorders>
              <w:bottom w:val="single" w:sz="8" w:color="939598"/>
            </w:tcBorders>
            <w:gridSpan w:val="2"/>
          </w:tcPr>
          <w:p>
            <w:pPr>
              <w:jc w:val="right"/>
              <w:ind w:right="130"/>
              <w:spacing w:after="0" w:line="203" w:lineRule="exact"/>
              <w:rPr>
                <w:sz w:val="20"/>
                <w:szCs w:val="20"/>
                <w:color w:val="auto"/>
              </w:rPr>
            </w:pPr>
            <w:r>
              <w:rPr>
                <w:rFonts w:ascii="Arial" w:cs="Arial" w:eastAsia="Arial" w:hAnsi="Arial"/>
                <w:sz w:val="18"/>
                <w:szCs w:val="18"/>
                <w:color w:val="86B6A5"/>
              </w:rPr>
              <w:t>5.7</w:t>
            </w:r>
          </w:p>
        </w:tc>
        <w:tc>
          <w:tcPr>
            <w:tcW w:w="160" w:type="dxa"/>
            <w:vAlign w:val="bottom"/>
            <w:tcBorders>
              <w:bottom w:val="single" w:sz="8" w:color="939598"/>
            </w:tcBorders>
          </w:tcPr>
          <w:p>
            <w:pPr>
              <w:spacing w:after="0"/>
              <w:rPr>
                <w:sz w:val="17"/>
                <w:szCs w:val="17"/>
                <w:color w:val="auto"/>
              </w:rPr>
            </w:pPr>
          </w:p>
        </w:tc>
        <w:tc>
          <w:tcPr>
            <w:tcW w:w="1080" w:type="dxa"/>
            <w:vAlign w:val="bottom"/>
            <w:tcBorders>
              <w:bottom w:val="single" w:sz="8" w:color="939598"/>
            </w:tcBorders>
          </w:tcPr>
          <w:p>
            <w:pPr>
              <w:jc w:val="right"/>
              <w:ind w:right="230"/>
              <w:spacing w:after="0" w:line="203" w:lineRule="exact"/>
              <w:rPr>
                <w:sz w:val="20"/>
                <w:szCs w:val="20"/>
                <w:color w:val="auto"/>
              </w:rPr>
            </w:pPr>
            <w:r>
              <w:rPr>
                <w:rFonts w:ascii="Arial" w:cs="Arial" w:eastAsia="Arial" w:hAnsi="Arial"/>
                <w:sz w:val="18"/>
                <w:szCs w:val="18"/>
                <w:color w:val="auto"/>
              </w:rPr>
              <w:t>14.6</w:t>
            </w:r>
          </w:p>
        </w:tc>
        <w:tc>
          <w:tcPr>
            <w:tcW w:w="1060" w:type="dxa"/>
            <w:vAlign w:val="bottom"/>
            <w:tcBorders>
              <w:bottom w:val="single" w:sz="8" w:color="939598"/>
            </w:tcBorders>
          </w:tcPr>
          <w:p>
            <w:pPr>
              <w:jc w:val="right"/>
              <w:ind w:right="112"/>
              <w:spacing w:after="0" w:line="203" w:lineRule="exact"/>
              <w:rPr>
                <w:sz w:val="20"/>
                <w:szCs w:val="20"/>
                <w:color w:val="auto"/>
              </w:rPr>
            </w:pPr>
            <w:r>
              <w:rPr>
                <w:rFonts w:ascii="Arial" w:cs="Arial" w:eastAsia="Arial" w:hAnsi="Arial"/>
                <w:sz w:val="18"/>
                <w:szCs w:val="18"/>
                <w:color w:val="auto"/>
              </w:rPr>
              <w:t>(61.0)</w:t>
            </w:r>
          </w:p>
        </w:tc>
        <w:tc>
          <w:tcPr>
            <w:tcW w:w="1180" w:type="dxa"/>
            <w:vAlign w:val="bottom"/>
            <w:tcBorders>
              <w:bottom w:val="single" w:sz="8" w:color="939598"/>
            </w:tcBorders>
          </w:tcPr>
          <w:p>
            <w:pPr>
              <w:spacing w:after="0"/>
              <w:rPr>
                <w:sz w:val="17"/>
                <w:szCs w:val="17"/>
                <w:color w:val="auto"/>
              </w:rPr>
            </w:pPr>
          </w:p>
        </w:tc>
        <w:tc>
          <w:tcPr>
            <w:tcW w:w="940" w:type="dxa"/>
            <w:vAlign w:val="bottom"/>
            <w:tcBorders>
              <w:bottom w:val="single" w:sz="8" w:color="939598"/>
            </w:tcBorders>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640" w:type="dxa"/>
            <w:vAlign w:val="bottom"/>
          </w:tcPr>
          <w:p>
            <w:pPr>
              <w:spacing w:after="0" w:line="195" w:lineRule="exact"/>
              <w:rPr>
                <w:sz w:val="20"/>
                <w:szCs w:val="20"/>
                <w:color w:val="auto"/>
              </w:rPr>
            </w:pPr>
            <w:r>
              <w:rPr>
                <w:rFonts w:ascii="Arial" w:cs="Arial" w:eastAsia="Arial" w:hAnsi="Arial"/>
                <w:sz w:val="18"/>
                <w:szCs w:val="18"/>
                <w:color w:val="auto"/>
              </w:rPr>
              <w:t>Loss before income taxes</w:t>
            </w:r>
          </w:p>
        </w:tc>
        <w:tc>
          <w:tcPr>
            <w:tcW w:w="100" w:type="dxa"/>
            <w:vAlign w:val="bottom"/>
            <w:shd w:val="clear" w:color="auto" w:fill="E3F1DA"/>
          </w:tcPr>
          <w:p>
            <w:pPr>
              <w:spacing w:after="0"/>
              <w:rPr>
                <w:sz w:val="16"/>
                <w:szCs w:val="16"/>
                <w:color w:val="auto"/>
              </w:rPr>
            </w:pPr>
          </w:p>
        </w:tc>
        <w:tc>
          <w:tcPr>
            <w:tcW w:w="1020" w:type="dxa"/>
            <w:vAlign w:val="bottom"/>
            <w:gridSpan w:val="2"/>
          </w:tcPr>
          <w:p>
            <w:pPr>
              <w:jc w:val="right"/>
              <w:ind w:right="70"/>
              <w:spacing w:after="0" w:line="195" w:lineRule="exact"/>
              <w:rPr>
                <w:sz w:val="20"/>
                <w:szCs w:val="20"/>
                <w:color w:val="auto"/>
              </w:rPr>
            </w:pPr>
            <w:r>
              <w:rPr>
                <w:rFonts w:ascii="Arial" w:cs="Arial" w:eastAsia="Arial" w:hAnsi="Arial"/>
                <w:sz w:val="18"/>
                <w:szCs w:val="18"/>
                <w:color w:val="86B6A5"/>
              </w:rPr>
              <w:t>(165.2)</w:t>
            </w:r>
          </w:p>
        </w:tc>
        <w:tc>
          <w:tcPr>
            <w:tcW w:w="160" w:type="dxa"/>
            <w:vAlign w:val="bottom"/>
          </w:tcPr>
          <w:p>
            <w:pPr>
              <w:spacing w:after="0"/>
              <w:rPr>
                <w:sz w:val="16"/>
                <w:szCs w:val="16"/>
                <w:color w:val="auto"/>
              </w:rPr>
            </w:pPr>
          </w:p>
        </w:tc>
        <w:tc>
          <w:tcPr>
            <w:tcW w:w="1080" w:type="dxa"/>
            <w:vAlign w:val="bottom"/>
          </w:tcPr>
          <w:p>
            <w:pPr>
              <w:jc w:val="right"/>
              <w:ind w:right="170"/>
              <w:spacing w:after="0" w:line="195" w:lineRule="exact"/>
              <w:rPr>
                <w:sz w:val="20"/>
                <w:szCs w:val="20"/>
                <w:color w:val="auto"/>
              </w:rPr>
            </w:pPr>
            <w:r>
              <w:rPr>
                <w:rFonts w:ascii="Arial" w:cs="Arial" w:eastAsia="Arial" w:hAnsi="Arial"/>
                <w:sz w:val="18"/>
                <w:szCs w:val="18"/>
                <w:color w:val="auto"/>
              </w:rPr>
              <w:t>(22.9)</w:t>
            </w:r>
          </w:p>
        </w:tc>
        <w:tc>
          <w:tcPr>
            <w:tcW w:w="10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640" w:type="dxa"/>
            <w:vAlign w:val="bottom"/>
          </w:tcPr>
          <w:p>
            <w:pPr>
              <w:ind w:left="260"/>
              <w:spacing w:after="0" w:line="181" w:lineRule="exact"/>
              <w:rPr>
                <w:sz w:val="20"/>
                <w:szCs w:val="20"/>
                <w:color w:val="auto"/>
              </w:rPr>
            </w:pPr>
            <w:r>
              <w:rPr>
                <w:rFonts w:ascii="Arial" w:cs="Arial" w:eastAsia="Arial" w:hAnsi="Arial"/>
                <w:sz w:val="18"/>
                <w:szCs w:val="18"/>
                <w:color w:val="auto"/>
              </w:rPr>
              <w:t>Provision for income taxes</w:t>
            </w:r>
          </w:p>
        </w:tc>
        <w:tc>
          <w:tcPr>
            <w:tcW w:w="100" w:type="dxa"/>
            <w:vAlign w:val="bottom"/>
            <w:shd w:val="clear" w:color="auto" w:fill="E3F1DA"/>
          </w:tcPr>
          <w:p>
            <w:pPr>
              <w:spacing w:after="0"/>
              <w:rPr>
                <w:sz w:val="15"/>
                <w:szCs w:val="15"/>
                <w:color w:val="auto"/>
              </w:rPr>
            </w:pPr>
          </w:p>
        </w:tc>
        <w:tc>
          <w:tcPr>
            <w:tcW w:w="1020" w:type="dxa"/>
            <w:vAlign w:val="bottom"/>
            <w:gridSpan w:val="2"/>
          </w:tcPr>
          <w:p>
            <w:pPr>
              <w:jc w:val="right"/>
              <w:ind w:right="130"/>
              <w:spacing w:after="0" w:line="181" w:lineRule="exact"/>
              <w:rPr>
                <w:sz w:val="20"/>
                <w:szCs w:val="20"/>
                <w:color w:val="auto"/>
              </w:rPr>
            </w:pPr>
            <w:r>
              <w:rPr>
                <w:rFonts w:ascii="Arial" w:cs="Arial" w:eastAsia="Arial" w:hAnsi="Arial"/>
                <w:sz w:val="18"/>
                <w:szCs w:val="18"/>
                <w:color w:val="86B6A5"/>
              </w:rPr>
              <w:t>98.4</w:t>
            </w:r>
          </w:p>
        </w:tc>
        <w:tc>
          <w:tcPr>
            <w:tcW w:w="160" w:type="dxa"/>
            <w:vAlign w:val="bottom"/>
          </w:tcPr>
          <w:p>
            <w:pPr>
              <w:spacing w:after="0"/>
              <w:rPr>
                <w:sz w:val="15"/>
                <w:szCs w:val="15"/>
                <w:color w:val="auto"/>
              </w:rPr>
            </w:pPr>
          </w:p>
        </w:tc>
        <w:tc>
          <w:tcPr>
            <w:tcW w:w="1080" w:type="dxa"/>
            <w:vAlign w:val="bottom"/>
          </w:tcPr>
          <w:p>
            <w:pPr>
              <w:jc w:val="right"/>
              <w:ind w:right="170"/>
              <w:spacing w:after="0" w:line="181" w:lineRule="exact"/>
              <w:rPr>
                <w:sz w:val="20"/>
                <w:szCs w:val="20"/>
                <w:color w:val="auto"/>
              </w:rPr>
            </w:pPr>
            <w:r>
              <w:rPr>
                <w:rFonts w:ascii="Arial" w:cs="Arial" w:eastAsia="Arial" w:hAnsi="Arial"/>
                <w:sz w:val="18"/>
                <w:szCs w:val="18"/>
                <w:color w:val="auto"/>
              </w:rPr>
              <w:t>(13.7)</w:t>
            </w:r>
          </w:p>
        </w:tc>
        <w:tc>
          <w:tcPr>
            <w:tcW w:w="10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640" w:type="dxa"/>
            <w:vAlign w:val="bottom"/>
            <w:tcBorders>
              <w:bottom w:val="single" w:sz="8" w:color="939598"/>
            </w:tcBorders>
          </w:tcPr>
          <w:p>
            <w:pPr>
              <w:ind w:left="260"/>
              <w:spacing w:after="0"/>
              <w:rPr>
                <w:sz w:val="20"/>
                <w:szCs w:val="20"/>
                <w:color w:val="auto"/>
              </w:rPr>
            </w:pPr>
            <w:r>
              <w:rPr>
                <w:rFonts w:ascii="Arial" w:cs="Arial" w:eastAsia="Arial" w:hAnsi="Arial"/>
                <w:sz w:val="18"/>
                <w:szCs w:val="18"/>
                <w:i w:val="1"/>
                <w:iCs w:val="1"/>
                <w:color w:val="auto"/>
              </w:rPr>
              <w:t>Effective income tax rate</w:t>
            </w:r>
          </w:p>
        </w:tc>
        <w:tc>
          <w:tcPr>
            <w:tcW w:w="100" w:type="dxa"/>
            <w:vAlign w:val="bottom"/>
            <w:tcBorders>
              <w:bottom w:val="single" w:sz="8" w:color="939598"/>
            </w:tcBorders>
            <w:shd w:val="clear" w:color="auto" w:fill="E3F1DA"/>
          </w:tcPr>
          <w:p>
            <w:pPr>
              <w:spacing w:after="0"/>
              <w:rPr>
                <w:sz w:val="19"/>
                <w:szCs w:val="19"/>
                <w:color w:val="auto"/>
              </w:rPr>
            </w:pPr>
          </w:p>
        </w:tc>
        <w:tc>
          <w:tcPr>
            <w:tcW w:w="1020" w:type="dxa"/>
            <w:vAlign w:val="bottom"/>
            <w:tcBorders>
              <w:bottom w:val="single" w:sz="8" w:color="939598"/>
            </w:tcBorders>
            <w:gridSpan w:val="2"/>
          </w:tcPr>
          <w:p>
            <w:pPr>
              <w:jc w:val="right"/>
              <w:spacing w:after="0"/>
              <w:rPr>
                <w:sz w:val="20"/>
                <w:szCs w:val="20"/>
                <w:color w:val="auto"/>
              </w:rPr>
            </w:pPr>
            <w:r>
              <w:rPr>
                <w:rFonts w:ascii="Arial" w:cs="Arial" w:eastAsia="Arial" w:hAnsi="Arial"/>
                <w:sz w:val="18"/>
                <w:szCs w:val="18"/>
                <w:i w:val="1"/>
                <w:iCs w:val="1"/>
                <w:color w:val="86B6A5"/>
              </w:rPr>
              <w:t>59.5</w:t>
            </w:r>
            <w:r>
              <w:rPr>
                <w:rFonts w:ascii="Arial" w:cs="Arial" w:eastAsia="Arial" w:hAnsi="Arial"/>
                <w:sz w:val="18"/>
                <w:szCs w:val="18"/>
                <w:b w:val="1"/>
                <w:bCs w:val="1"/>
                <w:i w:val="1"/>
                <w:iCs w:val="1"/>
                <w:color w:val="86B6A5"/>
              </w:rPr>
              <w:t>%</w:t>
            </w:r>
          </w:p>
        </w:tc>
        <w:tc>
          <w:tcPr>
            <w:tcW w:w="160" w:type="dxa"/>
            <w:vAlign w:val="bottom"/>
            <w:tcBorders>
              <w:bottom w:val="single" w:sz="8" w:color="939598"/>
            </w:tcBorders>
          </w:tcPr>
          <w:p>
            <w:pPr>
              <w:spacing w:after="0"/>
              <w:rPr>
                <w:sz w:val="19"/>
                <w:szCs w:val="19"/>
                <w:color w:val="auto"/>
              </w:rPr>
            </w:pPr>
          </w:p>
        </w:tc>
        <w:tc>
          <w:tcPr>
            <w:tcW w:w="1080" w:type="dxa"/>
            <w:vAlign w:val="bottom"/>
            <w:tcBorders>
              <w:bottom w:val="single" w:sz="8" w:color="939598"/>
            </w:tcBorders>
          </w:tcPr>
          <w:p>
            <w:pPr>
              <w:jc w:val="right"/>
              <w:ind w:right="10"/>
              <w:spacing w:after="0"/>
              <w:rPr>
                <w:sz w:val="20"/>
                <w:szCs w:val="20"/>
                <w:color w:val="auto"/>
              </w:rPr>
            </w:pPr>
            <w:r>
              <w:rPr>
                <w:rFonts w:ascii="Arial" w:cs="Arial" w:eastAsia="Arial" w:hAnsi="Arial"/>
                <w:sz w:val="18"/>
                <w:szCs w:val="18"/>
                <w:i w:val="1"/>
                <w:iCs w:val="1"/>
                <w:color w:val="auto"/>
              </w:rPr>
              <w:t>(59.9)%</w:t>
            </w:r>
          </w:p>
        </w:tc>
        <w:tc>
          <w:tcPr>
            <w:tcW w:w="1060" w:type="dxa"/>
            <w:vAlign w:val="bottom"/>
            <w:tcBorders>
              <w:bottom w:val="single" w:sz="8" w:color="939598"/>
            </w:tcBorders>
          </w:tcPr>
          <w:p>
            <w:pPr>
              <w:spacing w:after="0"/>
              <w:rPr>
                <w:sz w:val="19"/>
                <w:szCs w:val="19"/>
                <w:color w:val="auto"/>
              </w:rPr>
            </w:pPr>
          </w:p>
        </w:tc>
        <w:tc>
          <w:tcPr>
            <w:tcW w:w="1180" w:type="dxa"/>
            <w:vAlign w:val="bottom"/>
            <w:tcBorders>
              <w:bottom w:val="single" w:sz="8" w:color="939598"/>
            </w:tcBorders>
          </w:tcPr>
          <w:p>
            <w:pPr>
              <w:spacing w:after="0"/>
              <w:rPr>
                <w:sz w:val="19"/>
                <w:szCs w:val="19"/>
                <w:color w:val="auto"/>
              </w:rPr>
            </w:pPr>
          </w:p>
        </w:tc>
        <w:tc>
          <w:tcPr>
            <w:tcW w:w="940" w:type="dxa"/>
            <w:vAlign w:val="bottom"/>
            <w:tcBorders>
              <w:bottom w:val="single" w:sz="8" w:color="939598"/>
            </w:tcBorders>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0" w:type="dxa"/>
            <w:vAlign w:val="bottom"/>
            <w:tcBorders>
              <w:bottom w:val="single" w:sz="8" w:color="939598"/>
            </w:tcBorders>
          </w:tcPr>
          <w:p>
            <w:pPr>
              <w:spacing w:after="0"/>
              <w:rPr>
                <w:sz w:val="17"/>
                <w:szCs w:val="17"/>
                <w:color w:val="auto"/>
              </w:rPr>
            </w:pPr>
          </w:p>
        </w:tc>
        <w:tc>
          <w:tcPr>
            <w:tcW w:w="5640" w:type="dxa"/>
            <w:vAlign w:val="bottom"/>
            <w:tcBorders>
              <w:bottom w:val="single" w:sz="8" w:color="939598"/>
            </w:tcBorders>
          </w:tcPr>
          <w:p>
            <w:pPr>
              <w:spacing w:after="0" w:line="196" w:lineRule="exact"/>
              <w:rPr>
                <w:sz w:val="20"/>
                <w:szCs w:val="20"/>
                <w:color w:val="auto"/>
              </w:rPr>
            </w:pPr>
            <w:r>
              <w:rPr>
                <w:rFonts w:ascii="Arial" w:cs="Arial" w:eastAsia="Arial" w:hAnsi="Arial"/>
                <w:sz w:val="18"/>
                <w:szCs w:val="18"/>
                <w:color w:val="auto"/>
              </w:rPr>
              <w:t>Net loss</w:t>
            </w:r>
          </w:p>
        </w:tc>
        <w:tc>
          <w:tcPr>
            <w:tcW w:w="100" w:type="dxa"/>
            <w:vAlign w:val="bottom"/>
            <w:tcBorders>
              <w:bottom w:val="single" w:sz="8" w:color="939598"/>
            </w:tcBorders>
            <w:shd w:val="clear" w:color="auto" w:fill="E3F1DA"/>
          </w:tcPr>
          <w:p>
            <w:pPr>
              <w:jc w:val="right"/>
              <w:spacing w:after="0" w:line="196" w:lineRule="exact"/>
              <w:rPr>
                <w:sz w:val="20"/>
                <w:szCs w:val="20"/>
                <w:color w:val="auto"/>
              </w:rPr>
            </w:pPr>
            <w:r>
              <w:rPr>
                <w:rFonts w:ascii="Arial" w:cs="Arial" w:eastAsia="Arial" w:hAnsi="Arial"/>
                <w:sz w:val="18"/>
                <w:szCs w:val="18"/>
                <w:color w:val="86B6A5"/>
                <w:w w:val="79"/>
              </w:rPr>
              <w:t>$</w:t>
            </w:r>
          </w:p>
        </w:tc>
        <w:tc>
          <w:tcPr>
            <w:tcW w:w="1020" w:type="dxa"/>
            <w:vAlign w:val="bottom"/>
            <w:tcBorders>
              <w:bottom w:val="single" w:sz="8" w:color="939598"/>
            </w:tcBorders>
            <w:gridSpan w:val="2"/>
          </w:tcPr>
          <w:p>
            <w:pPr>
              <w:jc w:val="right"/>
              <w:ind w:right="70"/>
              <w:spacing w:after="0" w:line="196" w:lineRule="exact"/>
              <w:rPr>
                <w:sz w:val="20"/>
                <w:szCs w:val="20"/>
                <w:color w:val="auto"/>
              </w:rPr>
            </w:pPr>
            <w:r>
              <w:rPr>
                <w:rFonts w:ascii="Arial" w:cs="Arial" w:eastAsia="Arial" w:hAnsi="Arial"/>
                <w:sz w:val="18"/>
                <w:szCs w:val="18"/>
                <w:color w:val="86B6A5"/>
              </w:rPr>
              <w:t>(263.6)</w:t>
            </w:r>
          </w:p>
        </w:tc>
        <w:tc>
          <w:tcPr>
            <w:tcW w:w="160" w:type="dxa"/>
            <w:vAlign w:val="bottom"/>
            <w:tcBorders>
              <w:bottom w:val="single" w:sz="8" w:color="939598"/>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939598"/>
            </w:tcBorders>
          </w:tcPr>
          <w:p>
            <w:pPr>
              <w:jc w:val="right"/>
              <w:ind w:right="170"/>
              <w:spacing w:after="0" w:line="196" w:lineRule="exact"/>
              <w:rPr>
                <w:sz w:val="20"/>
                <w:szCs w:val="20"/>
                <w:color w:val="auto"/>
              </w:rPr>
            </w:pPr>
            <w:r>
              <w:rPr>
                <w:rFonts w:ascii="Arial" w:cs="Arial" w:eastAsia="Arial" w:hAnsi="Arial"/>
                <w:sz w:val="18"/>
                <w:szCs w:val="18"/>
                <w:color w:val="auto"/>
              </w:rPr>
              <w:t>(9.2)</w:t>
            </w:r>
          </w:p>
        </w:tc>
        <w:tc>
          <w:tcPr>
            <w:tcW w:w="1060" w:type="dxa"/>
            <w:vAlign w:val="bottom"/>
            <w:tcBorders>
              <w:bottom w:val="single" w:sz="8" w:color="939598"/>
            </w:tcBorders>
          </w:tcPr>
          <w:p>
            <w:pPr>
              <w:spacing w:after="0"/>
              <w:rPr>
                <w:sz w:val="17"/>
                <w:szCs w:val="17"/>
                <w:color w:val="auto"/>
              </w:rPr>
            </w:pPr>
          </w:p>
        </w:tc>
        <w:tc>
          <w:tcPr>
            <w:tcW w:w="1180" w:type="dxa"/>
            <w:vAlign w:val="bottom"/>
            <w:tcBorders>
              <w:bottom w:val="single" w:sz="8" w:color="939598"/>
            </w:tcBorders>
          </w:tcPr>
          <w:p>
            <w:pPr>
              <w:spacing w:after="0"/>
              <w:rPr>
                <w:sz w:val="17"/>
                <w:szCs w:val="17"/>
                <w:color w:val="auto"/>
              </w:rPr>
            </w:pPr>
          </w:p>
        </w:tc>
        <w:tc>
          <w:tcPr>
            <w:tcW w:w="940" w:type="dxa"/>
            <w:vAlign w:val="bottom"/>
            <w:tcBorders>
              <w:bottom w:val="single" w:sz="8" w:color="939598"/>
            </w:tcBorders>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660" w:type="dxa"/>
            <w:vAlign w:val="bottom"/>
            <w:tcBorders>
              <w:bottom w:val="single" w:sz="8" w:color="939598"/>
            </w:tcBorders>
            <w:gridSpan w:val="2"/>
          </w:tcPr>
          <w:p>
            <w:pPr>
              <w:spacing w:after="0" w:line="196" w:lineRule="exact"/>
              <w:rPr>
                <w:sz w:val="20"/>
                <w:szCs w:val="20"/>
                <w:color w:val="auto"/>
              </w:rPr>
            </w:pPr>
            <w:r>
              <w:rPr>
                <w:rFonts w:ascii="Arial" w:cs="Arial" w:eastAsia="Arial" w:hAnsi="Arial"/>
                <w:sz w:val="18"/>
                <w:szCs w:val="18"/>
                <w:color w:val="auto"/>
              </w:rPr>
              <w:t>Net loss per share – diluted</w:t>
            </w:r>
          </w:p>
        </w:tc>
        <w:tc>
          <w:tcPr>
            <w:tcW w:w="100" w:type="dxa"/>
            <w:vAlign w:val="bottom"/>
            <w:tcBorders>
              <w:bottom w:val="single" w:sz="8" w:color="939598"/>
            </w:tcBorders>
            <w:shd w:val="clear" w:color="auto" w:fill="E3F1DA"/>
          </w:tcPr>
          <w:p>
            <w:pPr>
              <w:jc w:val="right"/>
              <w:spacing w:after="0" w:line="196" w:lineRule="exact"/>
              <w:rPr>
                <w:sz w:val="20"/>
                <w:szCs w:val="20"/>
                <w:color w:val="auto"/>
              </w:rPr>
            </w:pPr>
            <w:r>
              <w:rPr>
                <w:rFonts w:ascii="Arial" w:cs="Arial" w:eastAsia="Arial" w:hAnsi="Arial"/>
                <w:sz w:val="18"/>
                <w:szCs w:val="18"/>
                <w:color w:val="86B6A5"/>
                <w:w w:val="79"/>
              </w:rPr>
              <w:t>$</w:t>
            </w:r>
          </w:p>
        </w:tc>
        <w:tc>
          <w:tcPr>
            <w:tcW w:w="1020" w:type="dxa"/>
            <w:vAlign w:val="bottom"/>
            <w:tcBorders>
              <w:bottom w:val="single" w:sz="8" w:color="939598"/>
            </w:tcBorders>
            <w:gridSpan w:val="2"/>
          </w:tcPr>
          <w:p>
            <w:pPr>
              <w:jc w:val="right"/>
              <w:ind w:right="70"/>
              <w:spacing w:after="0" w:line="196" w:lineRule="exact"/>
              <w:rPr>
                <w:sz w:val="20"/>
                <w:szCs w:val="20"/>
                <w:color w:val="auto"/>
              </w:rPr>
            </w:pPr>
            <w:r>
              <w:rPr>
                <w:rFonts w:ascii="Arial" w:cs="Arial" w:eastAsia="Arial" w:hAnsi="Arial"/>
                <w:sz w:val="18"/>
                <w:szCs w:val="18"/>
                <w:color w:val="86B6A5"/>
              </w:rPr>
              <w:t>(3.26)</w:t>
            </w:r>
          </w:p>
        </w:tc>
        <w:tc>
          <w:tcPr>
            <w:tcW w:w="160" w:type="dxa"/>
            <w:vAlign w:val="bottom"/>
            <w:tcBorders>
              <w:bottom w:val="single" w:sz="8" w:color="939598"/>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939598"/>
            </w:tcBorders>
          </w:tcPr>
          <w:p>
            <w:pPr>
              <w:jc w:val="right"/>
              <w:ind w:right="170"/>
              <w:spacing w:after="0" w:line="196" w:lineRule="exact"/>
              <w:rPr>
                <w:sz w:val="20"/>
                <w:szCs w:val="20"/>
                <w:color w:val="auto"/>
              </w:rPr>
            </w:pPr>
            <w:r>
              <w:rPr>
                <w:rFonts w:ascii="Arial" w:cs="Arial" w:eastAsia="Arial" w:hAnsi="Arial"/>
                <w:sz w:val="18"/>
                <w:szCs w:val="18"/>
                <w:color w:val="auto"/>
              </w:rPr>
              <w:t>(0.12)</w:t>
            </w:r>
          </w:p>
        </w:tc>
        <w:tc>
          <w:tcPr>
            <w:tcW w:w="1060" w:type="dxa"/>
            <w:vAlign w:val="bottom"/>
            <w:tcBorders>
              <w:bottom w:val="single" w:sz="8" w:color="939598"/>
            </w:tcBorders>
          </w:tcPr>
          <w:p>
            <w:pPr>
              <w:spacing w:after="0"/>
              <w:rPr>
                <w:sz w:val="17"/>
                <w:szCs w:val="17"/>
                <w:color w:val="auto"/>
              </w:rPr>
            </w:pPr>
          </w:p>
        </w:tc>
        <w:tc>
          <w:tcPr>
            <w:tcW w:w="1180" w:type="dxa"/>
            <w:vAlign w:val="bottom"/>
            <w:tcBorders>
              <w:bottom w:val="single" w:sz="8" w:color="939598"/>
            </w:tcBorders>
          </w:tcPr>
          <w:p>
            <w:pPr>
              <w:spacing w:after="0"/>
              <w:rPr>
                <w:sz w:val="17"/>
                <w:szCs w:val="17"/>
                <w:color w:val="auto"/>
              </w:rPr>
            </w:pPr>
          </w:p>
        </w:tc>
        <w:tc>
          <w:tcPr>
            <w:tcW w:w="940" w:type="dxa"/>
            <w:vAlign w:val="bottom"/>
            <w:tcBorders>
              <w:bottom w:val="single" w:sz="8" w:color="939598"/>
            </w:tcBorders>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660" w:type="dxa"/>
            <w:vAlign w:val="bottom"/>
            <w:gridSpan w:val="2"/>
          </w:tcPr>
          <w:p>
            <w:pPr>
              <w:spacing w:after="0" w:line="196" w:lineRule="exact"/>
              <w:rPr>
                <w:sz w:val="20"/>
                <w:szCs w:val="20"/>
                <w:color w:val="auto"/>
              </w:rPr>
            </w:pPr>
            <w:r>
              <w:rPr>
                <w:rFonts w:ascii="Arial" w:cs="Arial" w:eastAsia="Arial" w:hAnsi="Arial"/>
                <w:sz w:val="18"/>
                <w:szCs w:val="18"/>
                <w:color w:val="auto"/>
              </w:rPr>
              <w:t>Weighted average shares – diluted</w:t>
            </w:r>
          </w:p>
        </w:tc>
        <w:tc>
          <w:tcPr>
            <w:tcW w:w="100" w:type="dxa"/>
            <w:vAlign w:val="bottom"/>
            <w:shd w:val="clear" w:color="auto" w:fill="E3F1DA"/>
          </w:tcPr>
          <w:p>
            <w:pPr>
              <w:spacing w:after="0"/>
              <w:rPr>
                <w:sz w:val="17"/>
                <w:szCs w:val="17"/>
                <w:color w:val="auto"/>
              </w:rPr>
            </w:pPr>
          </w:p>
        </w:tc>
        <w:tc>
          <w:tcPr>
            <w:tcW w:w="1020" w:type="dxa"/>
            <w:vAlign w:val="bottom"/>
            <w:gridSpan w:val="2"/>
          </w:tcPr>
          <w:p>
            <w:pPr>
              <w:jc w:val="right"/>
              <w:ind w:right="130"/>
              <w:spacing w:after="0" w:line="196" w:lineRule="exact"/>
              <w:rPr>
                <w:sz w:val="20"/>
                <w:szCs w:val="20"/>
                <w:color w:val="auto"/>
              </w:rPr>
            </w:pPr>
            <w:r>
              <w:rPr>
                <w:rFonts w:ascii="Arial" w:cs="Arial" w:eastAsia="Arial" w:hAnsi="Arial"/>
                <w:sz w:val="18"/>
                <w:szCs w:val="18"/>
                <w:color w:val="86B6A5"/>
              </w:rPr>
              <w:t>81.0</w:t>
            </w:r>
          </w:p>
        </w:tc>
        <w:tc>
          <w:tcPr>
            <w:tcW w:w="160" w:type="dxa"/>
            <w:vAlign w:val="bottom"/>
          </w:tcPr>
          <w:p>
            <w:pPr>
              <w:spacing w:after="0"/>
              <w:rPr>
                <w:sz w:val="17"/>
                <w:szCs w:val="17"/>
                <w:color w:val="auto"/>
              </w:rPr>
            </w:pPr>
          </w:p>
        </w:tc>
        <w:tc>
          <w:tcPr>
            <w:tcW w:w="1080" w:type="dxa"/>
            <w:vAlign w:val="bottom"/>
          </w:tcPr>
          <w:p>
            <w:pPr>
              <w:jc w:val="right"/>
              <w:ind w:right="230"/>
              <w:spacing w:after="0" w:line="196" w:lineRule="exact"/>
              <w:rPr>
                <w:sz w:val="20"/>
                <w:szCs w:val="20"/>
                <w:color w:val="auto"/>
              </w:rPr>
            </w:pPr>
            <w:r>
              <w:rPr>
                <w:rFonts w:ascii="Arial" w:cs="Arial" w:eastAsia="Arial" w:hAnsi="Arial"/>
                <w:sz w:val="18"/>
                <w:szCs w:val="18"/>
                <w:color w:val="auto"/>
              </w:rPr>
              <w:t>78.3</w:t>
            </w:r>
          </w:p>
        </w:tc>
        <w:tc>
          <w:tcPr>
            <w:tcW w:w="1060" w:type="dxa"/>
            <w:vAlign w:val="bottom"/>
          </w:tcPr>
          <w:p>
            <w:pPr>
              <w:jc w:val="right"/>
              <w:ind w:right="12"/>
              <w:spacing w:after="0" w:line="196" w:lineRule="exact"/>
              <w:rPr>
                <w:sz w:val="20"/>
                <w:szCs w:val="20"/>
                <w:color w:val="auto"/>
              </w:rPr>
            </w:pPr>
            <w:r>
              <w:rPr>
                <w:rFonts w:ascii="Arial" w:cs="Arial" w:eastAsia="Arial" w:hAnsi="Arial"/>
                <w:sz w:val="18"/>
                <w:szCs w:val="18"/>
                <w:color w:val="auto"/>
              </w:rPr>
              <w:t>3.4%</w:t>
            </w:r>
          </w:p>
        </w:tc>
        <w:tc>
          <w:tcPr>
            <w:tcW w:w="1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640" w:type="dxa"/>
            <w:vAlign w:val="bottom"/>
            <w:shd w:val="clear" w:color="auto" w:fill="939598"/>
          </w:tcPr>
          <w:p>
            <w:pPr>
              <w:spacing w:after="0"/>
              <w:rPr>
                <w:sz w:val="2"/>
                <w:szCs w:val="2"/>
                <w:color w:val="auto"/>
              </w:rPr>
            </w:pPr>
          </w:p>
        </w:tc>
        <w:tc>
          <w:tcPr>
            <w:tcW w:w="100" w:type="dxa"/>
            <w:vAlign w:val="bottom"/>
            <w:shd w:val="clear" w:color="auto" w:fill="939598"/>
          </w:tcPr>
          <w:p>
            <w:pPr>
              <w:spacing w:after="0"/>
              <w:rPr>
                <w:sz w:val="2"/>
                <w:szCs w:val="2"/>
                <w:color w:val="auto"/>
              </w:rPr>
            </w:pPr>
          </w:p>
        </w:tc>
        <w:tc>
          <w:tcPr>
            <w:tcW w:w="800" w:type="dxa"/>
            <w:vAlign w:val="bottom"/>
            <w:shd w:val="clear" w:color="auto" w:fill="939598"/>
          </w:tcPr>
          <w:p>
            <w:pPr>
              <w:spacing w:after="0"/>
              <w:rPr>
                <w:sz w:val="2"/>
                <w:szCs w:val="2"/>
                <w:color w:val="auto"/>
              </w:rPr>
            </w:pPr>
          </w:p>
        </w:tc>
        <w:tc>
          <w:tcPr>
            <w:tcW w:w="220" w:type="dxa"/>
            <w:vAlign w:val="bottom"/>
            <w:shd w:val="clear" w:color="auto" w:fill="939598"/>
          </w:tcPr>
          <w:p>
            <w:pPr>
              <w:spacing w:after="0"/>
              <w:rPr>
                <w:sz w:val="2"/>
                <w:szCs w:val="2"/>
                <w:color w:val="auto"/>
              </w:rPr>
            </w:pPr>
          </w:p>
        </w:tc>
        <w:tc>
          <w:tcPr>
            <w:tcW w:w="160" w:type="dxa"/>
            <w:vAlign w:val="bottom"/>
            <w:shd w:val="clear" w:color="auto" w:fill="939598"/>
          </w:tcPr>
          <w:p>
            <w:pPr>
              <w:spacing w:after="0"/>
              <w:rPr>
                <w:sz w:val="2"/>
                <w:szCs w:val="2"/>
                <w:color w:val="auto"/>
              </w:rPr>
            </w:pPr>
          </w:p>
        </w:tc>
        <w:tc>
          <w:tcPr>
            <w:tcW w:w="1080" w:type="dxa"/>
            <w:vAlign w:val="bottom"/>
            <w:shd w:val="clear" w:color="auto" w:fill="939598"/>
          </w:tcPr>
          <w:p>
            <w:pPr>
              <w:spacing w:after="0"/>
              <w:rPr>
                <w:sz w:val="2"/>
                <w:szCs w:val="2"/>
                <w:color w:val="auto"/>
              </w:rPr>
            </w:pPr>
          </w:p>
        </w:tc>
        <w:tc>
          <w:tcPr>
            <w:tcW w:w="1060" w:type="dxa"/>
            <w:vAlign w:val="bottom"/>
            <w:shd w:val="clear" w:color="auto" w:fill="939598"/>
          </w:tcPr>
          <w:p>
            <w:pPr>
              <w:spacing w:after="0"/>
              <w:rPr>
                <w:sz w:val="2"/>
                <w:szCs w:val="2"/>
                <w:color w:val="auto"/>
              </w:rPr>
            </w:pPr>
          </w:p>
        </w:tc>
        <w:tc>
          <w:tcPr>
            <w:tcW w:w="1180" w:type="dxa"/>
            <w:vAlign w:val="bottom"/>
            <w:shd w:val="clear" w:color="auto" w:fill="939598"/>
          </w:tcPr>
          <w:p>
            <w:pPr>
              <w:spacing w:after="0"/>
              <w:rPr>
                <w:sz w:val="2"/>
                <w:szCs w:val="2"/>
                <w:color w:val="auto"/>
              </w:rPr>
            </w:pPr>
          </w:p>
        </w:tc>
        <w:tc>
          <w:tcPr>
            <w:tcW w:w="940" w:type="dxa"/>
            <w:vAlign w:val="bottom"/>
            <w:shd w:val="clear" w:color="auto" w:fill="939598"/>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3658235</wp:posOffset>
            </wp:positionH>
            <wp:positionV relativeFrom="paragraph">
              <wp:posOffset>-2383155</wp:posOffset>
            </wp:positionV>
            <wp:extent cx="651510" cy="23755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51510" cy="2375535"/>
                    </a:xfrm>
                    <a:prstGeom prst="rect">
                      <a:avLst/>
                    </a:prstGeom>
                    <a:noFill/>
                  </pic:spPr>
                </pic:pic>
              </a:graphicData>
            </a:graphic>
          </wp:anchor>
        </w:drawing>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The year-over-year increase in Revenues from Services is primarily attributable to:</w:t>
      </w:r>
    </w:p>
    <w:p>
      <w:pPr>
        <w:spacing w:after="0" w:line="9" w:lineRule="exact"/>
        <w:rPr>
          <w:sz w:val="20"/>
          <w:szCs w:val="20"/>
          <w:color w:val="auto"/>
        </w:rPr>
      </w:pPr>
    </w:p>
    <w:p>
      <w:pPr>
        <w:jc w:val="both"/>
        <w:ind w:left="220"/>
        <w:spacing w:after="0" w:line="238" w:lineRule="auto"/>
        <w:rPr>
          <w:sz w:val="20"/>
          <w:szCs w:val="20"/>
          <w:color w:val="auto"/>
        </w:rPr>
      </w:pPr>
      <w:r>
        <w:rPr>
          <w:rFonts w:ascii="Arial" w:cs="Arial" w:eastAsia="Arial" w:hAnsi="Arial"/>
          <w:sz w:val="18"/>
          <w:szCs w:val="18"/>
          <w:color w:val="auto"/>
        </w:rPr>
        <w:t>increased demand for services in most of our markets, including the Americas, France, EMEA, and Asia Pacific, where revenues increased 44.8%, 18.0%, 14.8% and 14.5%, respectively, on a constant currency basis. Included in the Americas’ results for 2010 were revenues of $582.7 million associated with our acquisition of COMSYS. Excluding COMSYS and other acquisitions, the Americas’ revenues and our consolidated revenues increased 23.1% and 15.5%, respectively, on an organic constant currency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-481330</wp:posOffset>
            </wp:positionV>
            <wp:extent cx="59690" cy="596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220" w:right="740"/>
        <w:spacing w:after="0" w:line="258" w:lineRule="auto"/>
        <w:rPr>
          <w:sz w:val="20"/>
          <w:szCs w:val="20"/>
          <w:color w:val="auto"/>
        </w:rPr>
      </w:pPr>
      <w:r>
        <w:rPr>
          <w:rFonts w:ascii="Arial" w:cs="Arial" w:eastAsia="Arial" w:hAnsi="Arial"/>
          <w:sz w:val="18"/>
          <w:szCs w:val="18"/>
          <w:color w:val="auto"/>
        </w:rPr>
        <w:t>offset by decreased demand for Right Management’s services where revenues decreased 33.8% on a constant currency basis; and a 1.6% decrease due to the impact of currency exchange 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-242570</wp:posOffset>
            </wp:positionV>
            <wp:extent cx="59690" cy="596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9690" cy="59690"/>
                    </a:xfrm>
                    <a:prstGeom prst="rect">
                      <a:avLst/>
                    </a:prstGeom>
                    <a:noFill/>
                  </pic:spPr>
                </pic:pic>
              </a:graphicData>
            </a:graphic>
          </wp:anchor>
        </w:drawing>
        <w:drawing>
          <wp:anchor simplePos="0" relativeHeight="251657728" behindDoc="1" locked="0" layoutInCell="0" allowOverlap="1">
            <wp:simplePos x="0" y="0"/>
            <wp:positionH relativeFrom="column">
              <wp:posOffset>207010</wp:posOffset>
            </wp:positionH>
            <wp:positionV relativeFrom="paragraph">
              <wp:posOffset>-105410</wp:posOffset>
            </wp:positionV>
            <wp:extent cx="59690" cy="596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jc w:val="both"/>
        <w:ind w:right="20"/>
        <w:spacing w:after="0" w:line="264" w:lineRule="auto"/>
        <w:rPr>
          <w:sz w:val="20"/>
          <w:szCs w:val="20"/>
          <w:color w:val="auto"/>
        </w:rPr>
      </w:pPr>
      <w:r>
        <w:rPr>
          <w:rFonts w:ascii="Arial" w:cs="Arial" w:eastAsia="Arial" w:hAnsi="Arial"/>
          <w:sz w:val="18"/>
          <w:szCs w:val="18"/>
          <w:color w:val="auto"/>
        </w:rPr>
        <w:t>We continued to see an improvement in year-over-year revenue trends in the fourth quarter of 2010 in most of our major markets. The demand for our services depends heavily on the economy and the labor markets in the various countries where we operate, so it is difficult for us to predict the duration of these current trends.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The overall 40 basis point (-0.40%) decrease in Gross Profit Margin is attributed to:</w:t>
      </w:r>
    </w:p>
    <w:p>
      <w:pPr>
        <w:spacing w:after="0" w:line="9" w:lineRule="exact"/>
        <w:rPr>
          <w:sz w:val="20"/>
          <w:szCs w:val="20"/>
          <w:color w:val="auto"/>
        </w:rPr>
      </w:pPr>
    </w:p>
    <w:p>
      <w:pPr>
        <w:ind w:left="220"/>
        <w:spacing w:after="0" w:line="242" w:lineRule="auto"/>
        <w:rPr>
          <w:sz w:val="20"/>
          <w:szCs w:val="20"/>
          <w:color w:val="auto"/>
        </w:rPr>
      </w:pPr>
      <w:r>
        <w:rPr>
          <w:rFonts w:ascii="Arial" w:cs="Arial" w:eastAsia="Arial" w:hAnsi="Arial"/>
          <w:sz w:val="18"/>
          <w:szCs w:val="18"/>
          <w:color w:val="auto"/>
        </w:rPr>
        <w:t>a 101 basis point (-1.01%) decline resulting from our outplacement revenue decline at Right Management, where the gross profit margin is higher than our Company average;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-225425</wp:posOffset>
            </wp:positionV>
            <wp:extent cx="59690" cy="596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220"/>
        <w:spacing w:after="0" w:line="242" w:lineRule="auto"/>
        <w:rPr>
          <w:sz w:val="20"/>
          <w:szCs w:val="20"/>
          <w:color w:val="auto"/>
        </w:rPr>
      </w:pPr>
      <w:r>
        <w:rPr>
          <w:rFonts w:ascii="Arial" w:cs="Arial" w:eastAsia="Arial" w:hAnsi="Arial"/>
          <w:sz w:val="18"/>
          <w:szCs w:val="18"/>
          <w:color w:val="auto"/>
        </w:rPr>
        <w:t>a 30 basis point (-0.30%) decline from our organic temporary staffing business, because of pricing pressures in most of our markets during the latter part of 2009 and the beginning of 2010 due to the economic environment;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-225425</wp:posOffset>
            </wp:positionV>
            <wp:extent cx="59690" cy="596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220" w:right="20"/>
        <w:spacing w:after="0" w:line="242" w:lineRule="auto"/>
        <w:rPr>
          <w:sz w:val="20"/>
          <w:szCs w:val="20"/>
          <w:color w:val="auto"/>
        </w:rPr>
      </w:pPr>
      <w:r>
        <w:rPr>
          <w:rFonts w:ascii="Arial" w:cs="Arial" w:eastAsia="Arial" w:hAnsi="Arial"/>
          <w:sz w:val="18"/>
          <w:szCs w:val="18"/>
          <w:color w:val="auto"/>
        </w:rPr>
        <w:t>offset by a 36 basis point (0.36%) impact due to a change in French law resulting in a reclassification of the French Business Tax from Cost of Services to the Provision for Income Taxes, effective January 1,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-225425</wp:posOffset>
            </wp:positionV>
            <wp:extent cx="59690" cy="596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220" w:right="20"/>
        <w:spacing w:after="0" w:line="242" w:lineRule="auto"/>
        <w:rPr>
          <w:sz w:val="20"/>
          <w:szCs w:val="20"/>
          <w:color w:val="auto"/>
        </w:rPr>
      </w:pPr>
      <w:r>
        <w:rPr>
          <w:rFonts w:ascii="Arial" w:cs="Arial" w:eastAsia="Arial" w:hAnsi="Arial"/>
          <w:sz w:val="18"/>
          <w:szCs w:val="18"/>
          <w:color w:val="auto"/>
        </w:rPr>
        <w:t>a</w:t>
      </w:r>
      <w:r>
        <w:rPr>
          <w:sz w:val="1"/>
          <w:szCs w:val="1"/>
          <w:color w:val="auto"/>
        </w:rPr>
        <w:drawing>
          <wp:inline distT="0" distB="0" distL="0" distR="0">
            <wp:extent cx="59690" cy="59690"/>
            <wp:effectExtent l="0" t="0" r="0" b="0"/>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9690" cy="59690"/>
                    </a:xfrm>
                    <a:prstGeom prst="rect">
                      <a:avLst/>
                    </a:prstGeom>
                    <a:noFill/>
                    <a:ln>
                      <a:noFill/>
                    </a:ln>
                  </pic:spPr>
                </pic:pic>
              </a:graphicData>
            </a:graphic>
          </wp:inline>
        </w:drawing>
      </w:r>
      <w:r>
        <w:rPr>
          <w:rFonts w:ascii="Arial" w:cs="Arial" w:eastAsia="Arial" w:hAnsi="Arial"/>
          <w:sz w:val="18"/>
          <w:szCs w:val="18"/>
          <w:color w:val="auto"/>
        </w:rPr>
        <w:t>26 basis point (0.26%) impact due to an increase in our temporary staffing and permanent recruitment gross margins resulting from the acquisition of COMSYS;</w:t>
      </w:r>
    </w:p>
    <w:p>
      <w:pPr>
        <w:spacing w:after="0" w:line="1" w:lineRule="exact"/>
        <w:rPr>
          <w:sz w:val="20"/>
          <w:szCs w:val="20"/>
          <w:color w:val="auto"/>
        </w:rPr>
      </w:pPr>
    </w:p>
    <w:p>
      <w:pPr>
        <w:ind w:left="220" w:right="3640"/>
        <w:spacing w:after="0" w:line="262" w:lineRule="auto"/>
        <w:rPr>
          <w:sz w:val="20"/>
          <w:szCs w:val="20"/>
          <w:color w:val="auto"/>
        </w:rPr>
      </w:pPr>
      <w:r>
        <w:rPr>
          <w:rFonts w:ascii="Arial" w:cs="Arial" w:eastAsia="Arial" w:hAnsi="Arial"/>
          <w:sz w:val="18"/>
          <w:szCs w:val="18"/>
          <w:color w:val="auto"/>
        </w:rPr>
        <w:t>a 15 basis point (0.15%) impact due to an increase in the permanent recruitment business; and a 14 basis point (0.14%) impact due to a change in the mix of our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-247015</wp:posOffset>
            </wp:positionV>
            <wp:extent cx="59690" cy="596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9690" cy="59690"/>
                    </a:xfrm>
                    <a:prstGeom prst="rect">
                      <a:avLst/>
                    </a:prstGeom>
                    <a:noFill/>
                  </pic:spPr>
                </pic:pic>
              </a:graphicData>
            </a:graphic>
          </wp:anchor>
        </w:drawing>
        <w:drawing>
          <wp:anchor simplePos="0" relativeHeight="251657728" behindDoc="1" locked="0" layoutInCell="0" allowOverlap="1">
            <wp:simplePos x="0" y="0"/>
            <wp:positionH relativeFrom="column">
              <wp:posOffset>207010</wp:posOffset>
            </wp:positionH>
            <wp:positionV relativeFrom="paragraph">
              <wp:posOffset>-109855</wp:posOffset>
            </wp:positionV>
            <wp:extent cx="59690" cy="596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22 </w:t>
      </w:r>
      <w:r>
        <w:rPr>
          <w:rFonts w:ascii="Arial" w:cs="Arial" w:eastAsia="Arial" w:hAnsi="Arial"/>
          <w:sz w:val="18"/>
          <w:szCs w:val="18"/>
          <w:color w:val="auto"/>
        </w:rPr>
        <w:t>Manpower 2010 Annual Report</w:t>
      </w:r>
      <w:r>
        <w:rPr>
          <w:rFonts w:ascii="Arial" w:cs="Arial" w:eastAsia="Arial" w:hAnsi="Arial"/>
          <w:sz w:val="18"/>
          <w:szCs w:val="18"/>
          <w:b w:val="1"/>
          <w:bCs w:val="1"/>
          <w:color w:val="auto"/>
        </w:rPr>
        <w:t xml:space="preserve"> </w:t>
      </w:r>
      <w:r>
        <w:rPr>
          <w:rFonts w:ascii="Arial" w:cs="Arial" w:eastAsia="Arial" w:hAnsi="Arial"/>
          <w:sz w:val="18"/>
          <w:szCs w:val="18"/>
          <w:b w:val="1"/>
          <w:bCs w:val="1"/>
          <w:color w:val="939598"/>
        </w:rPr>
        <w:t>Management’s Discussion &amp;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267575" cy="469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ectPr>
          <w:pgSz w:w="11900" w:h="16838" w:orient="portrait"/>
          <w:cols w:equalWidth="0" w:num="1">
            <w:col w:w="11420"/>
          </w:cols>
          <w:pgMar w:left="240" w:top="376" w:right="239" w:bottom="1440" w:gutter="0" w:footer="0" w:header="0"/>
        </w:sectPr>
      </w:pPr>
    </w:p>
    <w:bookmarkStart w:id="52" w:name="page53"/>
    <w:bookmarkEnd w:id="52"/>
    <w:p>
      <w:pPr>
        <w:spacing w:after="0"/>
        <w:rPr>
          <w:sz w:val="20"/>
          <w:szCs w:val="20"/>
          <w:color w:val="auto"/>
        </w:rPr>
      </w:pPr>
      <w:r>
        <w:rPr>
          <w:rFonts w:ascii="Arial" w:cs="Arial" w:eastAsia="Arial" w:hAnsi="Arial"/>
          <w:sz w:val="18"/>
          <w:szCs w:val="18"/>
          <w:color w:val="auto"/>
        </w:rPr>
        <w:t>The 21.3% increase in Selling and Administrative Expenses in 2010, or 22.1% increase in constant currency, was due to:</w:t>
      </w:r>
    </w:p>
    <w:p>
      <w:pPr>
        <w:spacing w:after="0" w:line="9" w:lineRule="exact"/>
        <w:rPr>
          <w:sz w:val="20"/>
          <w:szCs w:val="20"/>
          <w:color w:val="auto"/>
        </w:rPr>
      </w:pPr>
    </w:p>
    <w:p>
      <w:pPr>
        <w:jc w:val="both"/>
        <w:ind w:left="220"/>
        <w:spacing w:after="0"/>
        <w:rPr>
          <w:sz w:val="20"/>
          <w:szCs w:val="20"/>
          <w:color w:val="auto"/>
        </w:rPr>
      </w:pPr>
      <w:r>
        <w:rPr>
          <w:rFonts w:ascii="Arial" w:cs="Arial" w:eastAsia="Arial" w:hAnsi="Arial"/>
          <w:sz w:val="18"/>
          <w:szCs w:val="18"/>
          <w:color w:val="auto"/>
        </w:rPr>
        <w:t>a</w:t>
      </w:r>
      <w:r>
        <w:rPr>
          <w:sz w:val="1"/>
          <w:szCs w:val="1"/>
          <w:color w:val="auto"/>
        </w:rPr>
        <w:drawing>
          <wp:inline distT="0" distB="0" distL="0" distR="0">
            <wp:extent cx="59690" cy="59690"/>
            <wp:effectExtent l="0" t="0" r="0" b="0"/>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9690" cy="59690"/>
                    </a:xfrm>
                    <a:prstGeom prst="rect">
                      <a:avLst/>
                    </a:prstGeom>
                    <a:noFill/>
                    <a:ln>
                      <a:noFill/>
                    </a:ln>
                  </pic:spPr>
                </pic:pic>
              </a:graphicData>
            </a:graphic>
          </wp:inline>
        </w:drawing>
      </w:r>
      <w:r>
        <w:rPr>
          <w:rFonts w:ascii="Arial" w:cs="Arial" w:eastAsia="Arial" w:hAnsi="Arial"/>
          <w:sz w:val="18"/>
          <w:szCs w:val="18"/>
          <w:color w:val="auto"/>
        </w:rPr>
        <w:t>$428.8 million goodwill and intangible asset impairment charge in the fourth quarter of 2010 related to Right Management and Jefferson Wells as compared to a $61.0 million goodwill impairment charge recorded in the third quarter of 2009 related to Jefferson Wells. (see Note 1 to the Consolidated Financial Statements for further information);</w:t>
      </w:r>
    </w:p>
    <w:p>
      <w:pPr>
        <w:jc w:val="both"/>
        <w:ind w:left="220"/>
        <w:spacing w:after="0" w:line="242" w:lineRule="auto"/>
        <w:rPr>
          <w:sz w:val="20"/>
          <w:szCs w:val="20"/>
          <w:color w:val="auto"/>
        </w:rPr>
      </w:pPr>
      <w:r>
        <w:rPr>
          <w:rFonts w:ascii="Arial" w:cs="Arial" w:eastAsia="Arial" w:hAnsi="Arial"/>
          <w:sz w:val="18"/>
          <w:szCs w:val="18"/>
          <w:color w:val="auto"/>
        </w:rPr>
        <w:t>the addition of COMSYS’s recurring selling and administrative costs subsequent to April 5, 2010 as well as $10.8 million of transaction costs and $20.8 million of amortization expense as a result of the acquisition;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-225425</wp:posOffset>
            </wp:positionV>
            <wp:extent cx="59690" cy="596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jc w:val="both"/>
        <w:ind w:left="220" w:right="20"/>
        <w:spacing w:after="0" w:line="251" w:lineRule="auto"/>
        <w:rPr>
          <w:sz w:val="20"/>
          <w:szCs w:val="20"/>
          <w:color w:val="auto"/>
        </w:rPr>
      </w:pPr>
      <w:r>
        <w:rPr>
          <w:rFonts w:ascii="Arial" w:cs="Arial" w:eastAsia="Arial" w:hAnsi="Arial"/>
          <w:sz w:val="18"/>
          <w:szCs w:val="18"/>
          <w:color w:val="auto"/>
        </w:rPr>
        <w:t>an increase in organic salary-related costs due to an increase in headcount (to meet client demand in certain markets), as well as an increase in our variable incentive-based costs due to improved operating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-234950</wp:posOffset>
            </wp:positionV>
            <wp:extent cx="59690" cy="596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Selling and Administrative Expenses as a percent of revenue increased 0.5% (+50 basis points) in 2010 compared to 2009. The change in Selling and</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Administrative Expenses as a percent of revenue consists of:</w:t>
      </w:r>
    </w:p>
    <w:p>
      <w:pPr>
        <w:spacing w:after="0" w:line="22" w:lineRule="exact"/>
        <w:rPr>
          <w:sz w:val="20"/>
          <w:szCs w:val="20"/>
          <w:color w:val="auto"/>
        </w:rPr>
      </w:pPr>
    </w:p>
    <w:p>
      <w:pPr>
        <w:ind w:left="220"/>
        <w:spacing w:after="0" w:line="242" w:lineRule="auto"/>
        <w:rPr>
          <w:sz w:val="20"/>
          <w:szCs w:val="20"/>
          <w:color w:val="auto"/>
        </w:rPr>
      </w:pPr>
      <w:r>
        <w:rPr>
          <w:rFonts w:ascii="Arial" w:cs="Arial" w:eastAsia="Arial" w:hAnsi="Arial"/>
          <w:sz w:val="18"/>
          <w:szCs w:val="18"/>
          <w:color w:val="auto"/>
        </w:rPr>
        <w:t>a</w:t>
      </w:r>
      <w:r>
        <w:rPr>
          <w:sz w:val="1"/>
          <w:szCs w:val="1"/>
          <w:color w:val="auto"/>
        </w:rPr>
        <w:drawing>
          <wp:inline distT="0" distB="0" distL="0" distR="0">
            <wp:extent cx="59690" cy="59690"/>
            <wp:effectExtent l="0" t="0" r="0" b="0"/>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9690" cy="59690"/>
                    </a:xfrm>
                    <a:prstGeom prst="rect">
                      <a:avLst/>
                    </a:prstGeom>
                    <a:noFill/>
                    <a:ln>
                      <a:noFill/>
                    </a:ln>
                  </pic:spPr>
                </pic:pic>
              </a:graphicData>
            </a:graphic>
          </wp:inline>
        </w:drawing>
      </w:r>
      <w:r>
        <w:rPr>
          <w:rFonts w:ascii="Arial" w:cs="Arial" w:eastAsia="Arial" w:hAnsi="Arial"/>
          <w:sz w:val="18"/>
          <w:szCs w:val="18"/>
          <w:color w:val="auto"/>
        </w:rPr>
        <w:t>180 basis point (+1.80%) increase due to an increase in the goodwill and intangible asset impairment charge recorded in 2010 as compared to 2009;</w:t>
      </w:r>
    </w:p>
    <w:p>
      <w:pPr>
        <w:spacing w:after="0" w:line="1" w:lineRule="exact"/>
        <w:rPr>
          <w:sz w:val="20"/>
          <w:szCs w:val="20"/>
          <w:color w:val="auto"/>
        </w:rPr>
      </w:pPr>
    </w:p>
    <w:p>
      <w:pPr>
        <w:ind w:left="220"/>
        <w:spacing w:after="0" w:line="262" w:lineRule="auto"/>
        <w:rPr>
          <w:sz w:val="20"/>
          <w:szCs w:val="20"/>
          <w:color w:val="auto"/>
        </w:rPr>
      </w:pPr>
      <w:r>
        <w:rPr>
          <w:rFonts w:ascii="Arial" w:cs="Arial" w:eastAsia="Arial" w:hAnsi="Arial"/>
          <w:sz w:val="18"/>
          <w:szCs w:val="18"/>
          <w:color w:val="auto"/>
        </w:rPr>
        <w:t>offset by a 130 basis point (-1.30%) decrease due primarily to the leveraging of expenses, as we experienced an increase in revenues of 17.6% (or 19.2% in constant currency) without a commensurate increase in expenses during 2010 as compared to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-247015</wp:posOffset>
            </wp:positionV>
            <wp:extent cx="59690" cy="596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6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Interest and Other Expenses is comprised of interest, foreign exchange gains and losses and other miscellaneous non-operating income and expenses. Interest and Other Expenses were $43.2 million in 2010 compared to $64.6 million in 2009. Net Interest Expense decreased $12.5 million in 2010 to $37.5 million from $50.0 million in 2009 due primarily to the $7.5 million of interest expense we incurred in 2009 related to the early extinguishment of our interest rate swap agreements and the amendment of our revolving credit facility. Translation losses in 2010 were $3.3 million compared to $0.8 million in 2009. This increase was primarily related to the translation loss of $1.2 million for Venezuela, resulting from our Venezuelan reporting unit’s currency (Bolivar Fuerte) being devalued in January 2010 and the changing of its functional currency to the U.S. Dollar as its economy was deemed hyperinflationary effective January 1, 2010. In 2009, we also incurred a $10.3 million loss related to a sale of an equity investment in Japan.</w:t>
      </w:r>
    </w:p>
    <w:p>
      <w:pPr>
        <w:spacing w:after="0" w:line="191"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recorded an income tax expense at an effective rate of 59.5% for 2010 compared to an income tax benefit at an effective rate of 59.9% for 2009. The change in rate was due to the non-deductibility of the goodwill impairment charges in 2010 related to Right Management and Jefferson Wells as well as a significant change in the amount and mix of non-U.S. earnings and related cash repatriations and other permanent items. The 2010 rate was also negatively impacted by $ 42.8 million, net of a U.S. Federal tax benefit of $22.5 million, related to a French Business Tax, which has been classified as a component of income tax beginning in January 2010, in accordance with the current accounting guidance on income taxes. Prior to January 2010, the French Business Tax had been presented as a component of Cost of Services. The French government changed the business tax from an asset-based tax to a profit-based tax, thereby requiring the class ification of this tax as an income tax effective January 1, 2010.</w:t>
      </w:r>
    </w:p>
    <w:p>
      <w:pPr>
        <w:spacing w:after="0" w:line="208"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2010 rate is higher than the U.S. Federal statutory rate of 35% due primarily to the non-deductible goodwill impairment charges related to Right Management and Jefferson Wells, the impact of non-U.S. income taxes, the impact of valuation allowances recorded for non-U.S. net operating losses, and the amount and mix of non-U.S. earnings and related cash repatriations and other permanent items.</w:t>
      </w:r>
    </w:p>
    <w:p>
      <w:pPr>
        <w:spacing w:after="0" w:line="203" w:lineRule="exact"/>
        <w:rPr>
          <w:sz w:val="20"/>
          <w:szCs w:val="20"/>
          <w:color w:val="auto"/>
        </w:rPr>
      </w:pPr>
    </w:p>
    <w:p>
      <w:pPr>
        <w:jc w:val="both"/>
        <w:spacing w:after="0"/>
        <w:rPr>
          <w:sz w:val="20"/>
          <w:szCs w:val="20"/>
          <w:color w:val="auto"/>
        </w:rPr>
      </w:pPr>
      <w:r>
        <w:rPr>
          <w:rFonts w:ascii="Arial" w:cs="Arial" w:eastAsia="Arial" w:hAnsi="Arial"/>
          <w:sz w:val="18"/>
          <w:szCs w:val="18"/>
          <w:color w:val="auto"/>
        </w:rPr>
        <w:t>Net Loss Per Share – Diluted was a loss of $3.26 compared to a loss of $0.12 in 2009. This decrease was primarily related to a greater impact from the goodwill and intangible asset impairment charge ($384.3 million, net of tax, or $4.73 per diluted share) in 2010 compared to the goodwill impairment charge ($61.0 million, net of tax, or $0.78 per diluted share) in 2009.</w:t>
      </w:r>
    </w:p>
    <w:p>
      <w:pPr>
        <w:spacing w:after="0" w:line="203"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Weighted Average Shares – Diluted increased 3.4% to 81.0 million in 2010 from 78.3 million in 2009. This increase was primarily a result of the issuance of 3.2 million shares as part of the COMSYS acquisition on April 5, 2010. Due to the net loss in both 2010 and 2009, all of the stock-based awards were antidilutive and therefore were excluded from the Weighted Average Shares – Diluted calculation for the years ended December 31, 2010 and 2009.</w:t>
      </w:r>
    </w:p>
    <w:p>
      <w:pPr>
        <w:spacing w:after="0" w:line="347" w:lineRule="exact"/>
        <w:rPr>
          <w:sz w:val="20"/>
          <w:szCs w:val="20"/>
          <w:color w:val="auto"/>
        </w:rPr>
      </w:pPr>
    </w:p>
    <w:p>
      <w:pPr>
        <w:ind w:left="6000"/>
        <w:spacing w:after="0"/>
        <w:rPr>
          <w:sz w:val="20"/>
          <w:szCs w:val="20"/>
          <w:color w:val="auto"/>
        </w:rPr>
      </w:pPr>
      <w:r>
        <w:rPr>
          <w:rFonts w:ascii="Arial" w:cs="Arial" w:eastAsia="Arial" w:hAnsi="Arial"/>
          <w:sz w:val="16"/>
          <w:szCs w:val="16"/>
          <w:b w:val="1"/>
          <w:bCs w:val="1"/>
          <w:color w:val="939598"/>
        </w:rPr>
        <w:t xml:space="preserve">Management’s Discussion &amp; Analysis </w:t>
      </w:r>
      <w:r>
        <w:rPr>
          <w:rFonts w:ascii="Arial" w:cs="Arial" w:eastAsia="Arial" w:hAnsi="Arial"/>
          <w:sz w:val="16"/>
          <w:szCs w:val="16"/>
          <w:color w:val="000000"/>
        </w:rPr>
        <w:t>Manpower 2010 Annual Report</w:t>
      </w:r>
      <w:r>
        <w:rPr>
          <w:rFonts w:ascii="Arial" w:cs="Arial" w:eastAsia="Arial" w:hAnsi="Arial"/>
          <w:sz w:val="16"/>
          <w:szCs w:val="16"/>
          <w:b w:val="1"/>
          <w:bCs w:val="1"/>
          <w:color w:val="939598"/>
        </w:rPr>
        <w:t xml:space="preserve"> </w:t>
      </w:r>
      <w:r>
        <w:rPr>
          <w:rFonts w:ascii="Arial" w:cs="Arial" w:eastAsia="Arial" w:hAnsi="Arial"/>
          <w:sz w:val="16"/>
          <w:szCs w:val="16"/>
          <w:b w:val="1"/>
          <w:bCs w:val="1"/>
          <w:color w:val="000000"/>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72390</wp:posOffset>
            </wp:positionV>
            <wp:extent cx="7267575" cy="469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3" w:name="page54"/>
    <w:bookmarkEnd w:id="53"/>
    <w:p>
      <w:pPr>
        <w:spacing w:after="0"/>
        <w:rPr>
          <w:sz w:val="20"/>
          <w:szCs w:val="20"/>
          <w:color w:val="auto"/>
        </w:rPr>
      </w:pPr>
      <w:r>
        <w:rPr>
          <w:rFonts w:ascii="Arial" w:cs="Arial" w:eastAsia="Arial" w:hAnsi="Arial"/>
          <w:sz w:val="22"/>
          <w:szCs w:val="22"/>
          <w:color w:val="4D8ABE"/>
        </w:rPr>
        <w:t>Management’s Discussion &amp; Analysis</w:t>
      </w:r>
    </w:p>
    <w:p>
      <w:pPr>
        <w:spacing w:after="0"/>
        <w:rPr>
          <w:sz w:val="20"/>
          <w:szCs w:val="20"/>
          <w:color w:val="auto"/>
        </w:rPr>
      </w:pPr>
      <w:r>
        <w:rPr>
          <w:rFonts w:ascii="Arial" w:cs="Arial" w:eastAsia="Arial" w:hAnsi="Arial"/>
          <w:sz w:val="18"/>
          <w:szCs w:val="18"/>
          <w:color w:val="4D8ABE"/>
        </w:rPr>
        <w:t>of financial condition and results of operations</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color w:val="4D8ABE"/>
        </w:rPr>
        <w:t>CONSOLIDATED RESULTS – 2009 COMPARED TO 2008</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selected consolidated financial data for 2009 as compared to 2008.</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5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86B6A5"/>
              </w:rPr>
              <w:t>Variance in</w:t>
            </w:r>
          </w:p>
        </w:tc>
      </w:tr>
      <w:tr>
        <w:trPr>
          <w:trHeight w:val="203"/>
        </w:trPr>
        <w:tc>
          <w:tcPr>
            <w:tcW w:w="20" w:type="dxa"/>
            <w:vAlign w:val="bottom"/>
          </w:tcPr>
          <w:p>
            <w:pPr>
              <w:spacing w:after="0"/>
              <w:rPr>
                <w:sz w:val="17"/>
                <w:szCs w:val="17"/>
                <w:color w:val="auto"/>
              </w:rPr>
            </w:pPr>
          </w:p>
        </w:tc>
        <w:tc>
          <w:tcPr>
            <w:tcW w:w="5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4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86B6A5"/>
              </w:rPr>
              <w:t>Variance in</w:t>
            </w:r>
          </w:p>
        </w:tc>
        <w:tc>
          <w:tcPr>
            <w:tcW w:w="114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86B6A5"/>
              </w:rPr>
              <w:t>Organic</w:t>
            </w:r>
          </w:p>
        </w:tc>
      </w:tr>
      <w:tr>
        <w:trPr>
          <w:trHeight w:val="203"/>
        </w:trPr>
        <w:tc>
          <w:tcPr>
            <w:tcW w:w="20" w:type="dxa"/>
            <w:vAlign w:val="bottom"/>
          </w:tcPr>
          <w:p>
            <w:pPr>
              <w:spacing w:after="0"/>
              <w:rPr>
                <w:sz w:val="17"/>
                <w:szCs w:val="17"/>
                <w:color w:val="auto"/>
              </w:rPr>
            </w:pPr>
          </w:p>
        </w:tc>
        <w:tc>
          <w:tcPr>
            <w:tcW w:w="5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340" w:type="dxa"/>
            <w:vAlign w:val="bottom"/>
          </w:tcPr>
          <w:p>
            <w:pPr>
              <w:jc w:val="right"/>
              <w:ind w:right="432"/>
              <w:spacing w:after="0"/>
              <w:rPr>
                <w:sz w:val="20"/>
                <w:szCs w:val="20"/>
                <w:color w:val="auto"/>
              </w:rPr>
            </w:pPr>
            <w:r>
              <w:rPr>
                <w:rFonts w:ascii="Arial" w:cs="Arial" w:eastAsia="Arial" w:hAnsi="Arial"/>
                <w:sz w:val="16"/>
                <w:szCs w:val="16"/>
                <w:b w:val="1"/>
                <w:bCs w:val="1"/>
                <w:color w:val="86B6A5"/>
              </w:rPr>
              <w:t>Reported</w:t>
            </w:r>
          </w:p>
        </w:tc>
        <w:tc>
          <w:tcPr>
            <w:tcW w:w="144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86B6A5"/>
              </w:rPr>
              <w:t>Constant</w:t>
            </w:r>
          </w:p>
        </w:tc>
        <w:tc>
          <w:tcPr>
            <w:tcW w:w="114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86B6A5"/>
              </w:rPr>
              <w:t>Constant</w:t>
            </w:r>
          </w:p>
        </w:tc>
      </w:tr>
      <w:tr>
        <w:trPr>
          <w:trHeight w:val="228"/>
        </w:trPr>
        <w:tc>
          <w:tcPr>
            <w:tcW w:w="5020" w:type="dxa"/>
            <w:vAlign w:val="bottom"/>
            <w:tcBorders>
              <w:bottom w:val="single" w:sz="8" w:color="86B6A5"/>
            </w:tcBorders>
            <w:gridSpan w:val="2"/>
          </w:tcPr>
          <w:p>
            <w:pPr>
              <w:spacing w:after="0"/>
              <w:rPr>
                <w:sz w:val="20"/>
                <w:szCs w:val="20"/>
                <w:color w:val="auto"/>
              </w:rPr>
            </w:pPr>
            <w:r>
              <w:rPr>
                <w:rFonts w:ascii="Arial" w:cs="Arial" w:eastAsia="Arial" w:hAnsi="Arial"/>
                <w:sz w:val="16"/>
                <w:szCs w:val="16"/>
                <w:b w:val="1"/>
                <w:bCs w:val="1"/>
                <w:color w:val="86B6A5"/>
              </w:rPr>
              <w:t>(in millions, except per share data)</w:t>
            </w:r>
          </w:p>
        </w:tc>
        <w:tc>
          <w:tcPr>
            <w:tcW w:w="300" w:type="dxa"/>
            <w:vAlign w:val="bottom"/>
            <w:tcBorders>
              <w:bottom w:val="single" w:sz="8" w:color="86B6A5"/>
            </w:tcBorders>
          </w:tcPr>
          <w:p>
            <w:pPr>
              <w:spacing w:after="0"/>
              <w:rPr>
                <w:sz w:val="19"/>
                <w:szCs w:val="19"/>
                <w:color w:val="auto"/>
              </w:rPr>
            </w:pPr>
          </w:p>
        </w:tc>
        <w:tc>
          <w:tcPr>
            <w:tcW w:w="980" w:type="dxa"/>
            <w:vAlign w:val="bottom"/>
            <w:tcBorders>
              <w:bottom w:val="single" w:sz="8" w:color="86B6A5"/>
            </w:tcBorders>
          </w:tcPr>
          <w:p>
            <w:pPr>
              <w:jc w:val="right"/>
              <w:ind w:right="130"/>
              <w:spacing w:after="0"/>
              <w:rPr>
                <w:sz w:val="20"/>
                <w:szCs w:val="20"/>
                <w:color w:val="auto"/>
              </w:rPr>
            </w:pPr>
            <w:r>
              <w:rPr>
                <w:rFonts w:ascii="Arial" w:cs="Arial" w:eastAsia="Arial" w:hAnsi="Arial"/>
                <w:sz w:val="16"/>
                <w:szCs w:val="16"/>
                <w:b w:val="1"/>
                <w:bCs w:val="1"/>
                <w:color w:val="86B6A5"/>
              </w:rPr>
              <w:t>2009</w:t>
            </w:r>
          </w:p>
        </w:tc>
        <w:tc>
          <w:tcPr>
            <w:tcW w:w="160" w:type="dxa"/>
            <w:vAlign w:val="bottom"/>
            <w:tcBorders>
              <w:bottom w:val="single" w:sz="8" w:color="86B6A5"/>
            </w:tcBorders>
          </w:tcPr>
          <w:p>
            <w:pPr>
              <w:spacing w:after="0"/>
              <w:rPr>
                <w:sz w:val="19"/>
                <w:szCs w:val="19"/>
                <w:color w:val="auto"/>
              </w:rPr>
            </w:pPr>
          </w:p>
        </w:tc>
        <w:tc>
          <w:tcPr>
            <w:tcW w:w="1040" w:type="dxa"/>
            <w:vAlign w:val="bottom"/>
            <w:tcBorders>
              <w:bottom w:val="single" w:sz="8" w:color="86B6A5"/>
            </w:tcBorders>
          </w:tcPr>
          <w:p>
            <w:pPr>
              <w:jc w:val="right"/>
              <w:ind w:right="210"/>
              <w:spacing w:after="0"/>
              <w:rPr>
                <w:sz w:val="20"/>
                <w:szCs w:val="20"/>
                <w:color w:val="auto"/>
              </w:rPr>
            </w:pPr>
            <w:r>
              <w:rPr>
                <w:rFonts w:ascii="Arial" w:cs="Arial" w:eastAsia="Arial" w:hAnsi="Arial"/>
                <w:sz w:val="16"/>
                <w:szCs w:val="16"/>
                <w:b w:val="1"/>
                <w:bCs w:val="1"/>
                <w:color w:val="86B6A5"/>
              </w:rPr>
              <w:t>2008</w:t>
            </w:r>
          </w:p>
        </w:tc>
        <w:tc>
          <w:tcPr>
            <w:tcW w:w="1340" w:type="dxa"/>
            <w:vAlign w:val="bottom"/>
            <w:tcBorders>
              <w:bottom w:val="single" w:sz="8" w:color="86B6A5"/>
            </w:tcBorders>
          </w:tcPr>
          <w:p>
            <w:pPr>
              <w:jc w:val="right"/>
              <w:ind w:right="432"/>
              <w:spacing w:after="0"/>
              <w:rPr>
                <w:sz w:val="20"/>
                <w:szCs w:val="20"/>
                <w:color w:val="auto"/>
              </w:rPr>
            </w:pPr>
            <w:r>
              <w:rPr>
                <w:rFonts w:ascii="Arial" w:cs="Arial" w:eastAsia="Arial" w:hAnsi="Arial"/>
                <w:sz w:val="16"/>
                <w:szCs w:val="16"/>
                <w:b w:val="1"/>
                <w:bCs w:val="1"/>
                <w:color w:val="86B6A5"/>
              </w:rPr>
              <w:t>Variance</w:t>
            </w:r>
          </w:p>
        </w:tc>
        <w:tc>
          <w:tcPr>
            <w:tcW w:w="1440" w:type="dxa"/>
            <w:vAlign w:val="bottom"/>
            <w:tcBorders>
              <w:bottom w:val="single" w:sz="8" w:color="86B6A5"/>
            </w:tcBorders>
            <w:gridSpan w:val="2"/>
          </w:tcPr>
          <w:p>
            <w:pPr>
              <w:jc w:val="right"/>
              <w:ind w:right="300"/>
              <w:spacing w:after="0"/>
              <w:rPr>
                <w:sz w:val="20"/>
                <w:szCs w:val="20"/>
                <w:color w:val="auto"/>
              </w:rPr>
            </w:pPr>
            <w:r>
              <w:rPr>
                <w:rFonts w:ascii="Arial" w:cs="Arial" w:eastAsia="Arial" w:hAnsi="Arial"/>
                <w:sz w:val="16"/>
                <w:szCs w:val="16"/>
                <w:b w:val="1"/>
                <w:bCs w:val="1"/>
                <w:color w:val="86B6A5"/>
              </w:rPr>
              <w:t>Currency</w:t>
            </w:r>
          </w:p>
        </w:tc>
        <w:tc>
          <w:tcPr>
            <w:tcW w:w="920" w:type="dxa"/>
            <w:vAlign w:val="bottom"/>
            <w:tcBorders>
              <w:bottom w:val="single" w:sz="8" w:color="86B6A5"/>
            </w:tcBorders>
          </w:tcPr>
          <w:p>
            <w:pPr>
              <w:jc w:val="right"/>
              <w:spacing w:after="0"/>
              <w:rPr>
                <w:sz w:val="20"/>
                <w:szCs w:val="20"/>
                <w:color w:val="auto"/>
              </w:rPr>
            </w:pPr>
            <w:r>
              <w:rPr>
                <w:rFonts w:ascii="Arial" w:cs="Arial" w:eastAsia="Arial" w:hAnsi="Arial"/>
                <w:sz w:val="16"/>
                <w:szCs w:val="16"/>
                <w:b w:val="1"/>
                <w:bCs w:val="1"/>
                <w:color w:val="86B6A5"/>
              </w:rPr>
              <w:t>Currency</w:t>
            </w:r>
          </w:p>
        </w:tc>
        <w:tc>
          <w:tcPr>
            <w:tcW w:w="220" w:type="dxa"/>
            <w:vAlign w:val="bottom"/>
          </w:tcPr>
          <w:p>
            <w:pPr>
              <w:spacing w:after="0"/>
              <w:rPr>
                <w:sz w:val="19"/>
                <w:szCs w:val="19"/>
                <w:color w:val="auto"/>
              </w:rPr>
            </w:pPr>
          </w:p>
        </w:tc>
      </w:tr>
      <w:tr>
        <w:trPr>
          <w:trHeight w:val="202"/>
        </w:trPr>
        <w:tc>
          <w:tcPr>
            <w:tcW w:w="5020" w:type="dxa"/>
            <w:vAlign w:val="bottom"/>
            <w:gridSpan w:val="2"/>
          </w:tcPr>
          <w:p>
            <w:pPr>
              <w:spacing w:after="0" w:line="201" w:lineRule="exact"/>
              <w:rPr>
                <w:sz w:val="20"/>
                <w:szCs w:val="20"/>
                <w:color w:val="auto"/>
              </w:rPr>
            </w:pPr>
            <w:r>
              <w:rPr>
                <w:rFonts w:ascii="Arial" w:cs="Arial" w:eastAsia="Arial" w:hAnsi="Arial"/>
                <w:sz w:val="18"/>
                <w:szCs w:val="18"/>
                <w:color w:val="auto"/>
              </w:rPr>
              <w:t>Revenues from services</w:t>
            </w:r>
          </w:p>
        </w:tc>
        <w:tc>
          <w:tcPr>
            <w:tcW w:w="30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980" w:type="dxa"/>
            <w:vAlign w:val="bottom"/>
          </w:tcPr>
          <w:p>
            <w:pPr>
              <w:jc w:val="right"/>
              <w:ind w:right="130"/>
              <w:spacing w:after="0" w:line="201" w:lineRule="exact"/>
              <w:rPr>
                <w:sz w:val="20"/>
                <w:szCs w:val="20"/>
                <w:color w:val="auto"/>
              </w:rPr>
            </w:pPr>
            <w:r>
              <w:rPr>
                <w:rFonts w:ascii="Arial" w:cs="Arial" w:eastAsia="Arial" w:hAnsi="Arial"/>
                <w:sz w:val="18"/>
                <w:szCs w:val="18"/>
                <w:color w:val="auto"/>
              </w:rPr>
              <w:t>16,038.7</w:t>
            </w:r>
          </w:p>
        </w:tc>
        <w:tc>
          <w:tcPr>
            <w:tcW w:w="160" w:type="dxa"/>
            <w:vAlign w:val="bottom"/>
          </w:tcPr>
          <w:p>
            <w:pPr>
              <w:jc w:val="right"/>
              <w:spacing w:after="0" w:line="201" w:lineRule="exact"/>
              <w:rPr>
                <w:sz w:val="20"/>
                <w:szCs w:val="20"/>
                <w:color w:val="auto"/>
              </w:rPr>
            </w:pPr>
            <w:r>
              <w:rPr>
                <w:rFonts w:ascii="Arial" w:cs="Arial" w:eastAsia="Arial" w:hAnsi="Arial"/>
                <w:sz w:val="18"/>
                <w:szCs w:val="18"/>
                <w:color w:val="auto"/>
                <w:w w:val="79"/>
              </w:rPr>
              <w:t>$</w:t>
            </w:r>
          </w:p>
        </w:tc>
        <w:tc>
          <w:tcPr>
            <w:tcW w:w="1040" w:type="dxa"/>
            <w:vAlign w:val="bottom"/>
          </w:tcPr>
          <w:p>
            <w:pPr>
              <w:jc w:val="right"/>
              <w:ind w:right="210"/>
              <w:spacing w:after="0" w:line="201" w:lineRule="exact"/>
              <w:rPr>
                <w:sz w:val="20"/>
                <w:szCs w:val="20"/>
                <w:color w:val="auto"/>
              </w:rPr>
            </w:pPr>
            <w:r>
              <w:rPr>
                <w:rFonts w:ascii="Arial" w:cs="Arial" w:eastAsia="Arial" w:hAnsi="Arial"/>
                <w:sz w:val="18"/>
                <w:szCs w:val="18"/>
                <w:color w:val="auto"/>
              </w:rPr>
              <w:t>21,537.1</w:t>
            </w:r>
          </w:p>
        </w:tc>
        <w:tc>
          <w:tcPr>
            <w:tcW w:w="1340" w:type="dxa"/>
            <w:vAlign w:val="bottom"/>
          </w:tcPr>
          <w:p>
            <w:pPr>
              <w:jc w:val="right"/>
              <w:ind w:right="212"/>
              <w:spacing w:after="0" w:line="201" w:lineRule="exact"/>
              <w:rPr>
                <w:sz w:val="20"/>
                <w:szCs w:val="20"/>
                <w:color w:val="auto"/>
              </w:rPr>
            </w:pPr>
            <w:r>
              <w:rPr>
                <w:rFonts w:ascii="Arial" w:cs="Arial" w:eastAsia="Arial" w:hAnsi="Arial"/>
                <w:sz w:val="18"/>
                <w:szCs w:val="18"/>
                <w:color w:val="auto"/>
              </w:rPr>
              <w:t>(25.5)%</w:t>
            </w:r>
          </w:p>
        </w:tc>
        <w:tc>
          <w:tcPr>
            <w:tcW w:w="1440" w:type="dxa"/>
            <w:vAlign w:val="bottom"/>
            <w:gridSpan w:val="2"/>
          </w:tcPr>
          <w:p>
            <w:pPr>
              <w:ind w:left="740"/>
              <w:spacing w:after="0" w:line="201" w:lineRule="exact"/>
              <w:rPr>
                <w:sz w:val="20"/>
                <w:szCs w:val="20"/>
                <w:color w:val="auto"/>
              </w:rPr>
            </w:pPr>
            <w:r>
              <w:rPr>
                <w:rFonts w:ascii="Arial" w:cs="Arial" w:eastAsia="Arial" w:hAnsi="Arial"/>
                <w:sz w:val="18"/>
                <w:szCs w:val="18"/>
                <w:color w:val="auto"/>
              </w:rPr>
              <w:t>(20.9)%</w:t>
            </w:r>
          </w:p>
        </w:tc>
        <w:tc>
          <w:tcPr>
            <w:tcW w:w="1140" w:type="dxa"/>
            <w:vAlign w:val="bottom"/>
            <w:gridSpan w:val="2"/>
          </w:tcPr>
          <w:p>
            <w:pPr>
              <w:ind w:left="500"/>
              <w:spacing w:after="0" w:line="201" w:lineRule="exact"/>
              <w:rPr>
                <w:sz w:val="20"/>
                <w:szCs w:val="20"/>
                <w:color w:val="auto"/>
              </w:rPr>
            </w:pPr>
            <w:r>
              <w:rPr>
                <w:rFonts w:ascii="Arial" w:cs="Arial" w:eastAsia="Arial" w:hAnsi="Arial"/>
                <w:sz w:val="18"/>
                <w:szCs w:val="18"/>
                <w:color w:val="auto"/>
                <w:w w:val="98"/>
              </w:rPr>
              <w:t>(21.5)%</w:t>
            </w:r>
          </w:p>
        </w:tc>
      </w:tr>
      <w:tr>
        <w:trPr>
          <w:trHeight w:val="203"/>
        </w:trPr>
        <w:tc>
          <w:tcPr>
            <w:tcW w:w="20" w:type="dxa"/>
            <w:vAlign w:val="bottom"/>
          </w:tcPr>
          <w:p>
            <w:pPr>
              <w:spacing w:after="0"/>
              <w:rPr>
                <w:sz w:val="17"/>
                <w:szCs w:val="17"/>
                <w:color w:val="auto"/>
              </w:rPr>
            </w:pPr>
          </w:p>
        </w:tc>
        <w:tc>
          <w:tcPr>
            <w:tcW w:w="5000" w:type="dxa"/>
            <w:vAlign w:val="bottom"/>
            <w:tcBorders>
              <w:bottom w:val="single" w:sz="8" w:color="939598"/>
            </w:tcBorders>
          </w:tcPr>
          <w:p>
            <w:pPr>
              <w:ind w:left="180"/>
              <w:spacing w:after="0" w:line="203" w:lineRule="exact"/>
              <w:rPr>
                <w:sz w:val="20"/>
                <w:szCs w:val="20"/>
                <w:color w:val="auto"/>
              </w:rPr>
            </w:pPr>
            <w:r>
              <w:rPr>
                <w:rFonts w:ascii="Arial" w:cs="Arial" w:eastAsia="Arial" w:hAnsi="Arial"/>
                <w:sz w:val="18"/>
                <w:szCs w:val="18"/>
                <w:color w:val="auto"/>
              </w:rPr>
              <w:t>Cost of services</w:t>
            </w:r>
          </w:p>
        </w:tc>
        <w:tc>
          <w:tcPr>
            <w:tcW w:w="300" w:type="dxa"/>
            <w:vAlign w:val="bottom"/>
            <w:tcBorders>
              <w:bottom w:val="single" w:sz="8" w:color="939598"/>
            </w:tcBorders>
          </w:tcPr>
          <w:p>
            <w:pPr>
              <w:spacing w:after="0"/>
              <w:rPr>
                <w:sz w:val="17"/>
                <w:szCs w:val="17"/>
                <w:color w:val="auto"/>
              </w:rPr>
            </w:pPr>
          </w:p>
        </w:tc>
        <w:tc>
          <w:tcPr>
            <w:tcW w:w="980" w:type="dxa"/>
            <w:vAlign w:val="bottom"/>
            <w:tcBorders>
              <w:bottom w:val="single" w:sz="8" w:color="939598"/>
            </w:tcBorders>
          </w:tcPr>
          <w:p>
            <w:pPr>
              <w:jc w:val="right"/>
              <w:ind w:right="130"/>
              <w:spacing w:after="0" w:line="203" w:lineRule="exact"/>
              <w:rPr>
                <w:sz w:val="20"/>
                <w:szCs w:val="20"/>
                <w:color w:val="auto"/>
              </w:rPr>
            </w:pPr>
            <w:r>
              <w:rPr>
                <w:rFonts w:ascii="Arial" w:cs="Arial" w:eastAsia="Arial" w:hAnsi="Arial"/>
                <w:sz w:val="18"/>
                <w:szCs w:val="18"/>
                <w:color w:val="auto"/>
              </w:rPr>
              <w:t>13,220.5</w:t>
            </w:r>
          </w:p>
        </w:tc>
        <w:tc>
          <w:tcPr>
            <w:tcW w:w="160" w:type="dxa"/>
            <w:vAlign w:val="bottom"/>
            <w:tcBorders>
              <w:bottom w:val="single" w:sz="8" w:color="939598"/>
            </w:tcBorders>
          </w:tcPr>
          <w:p>
            <w:pPr>
              <w:spacing w:after="0"/>
              <w:rPr>
                <w:sz w:val="17"/>
                <w:szCs w:val="17"/>
                <w:color w:val="auto"/>
              </w:rPr>
            </w:pPr>
          </w:p>
        </w:tc>
        <w:tc>
          <w:tcPr>
            <w:tcW w:w="1040" w:type="dxa"/>
            <w:vAlign w:val="bottom"/>
            <w:tcBorders>
              <w:bottom w:val="single" w:sz="8" w:color="939598"/>
            </w:tcBorders>
          </w:tcPr>
          <w:p>
            <w:pPr>
              <w:jc w:val="right"/>
              <w:ind w:right="210"/>
              <w:spacing w:after="0" w:line="203" w:lineRule="exact"/>
              <w:rPr>
                <w:sz w:val="20"/>
                <w:szCs w:val="20"/>
                <w:color w:val="auto"/>
              </w:rPr>
            </w:pPr>
            <w:r>
              <w:rPr>
                <w:rFonts w:ascii="Arial" w:cs="Arial" w:eastAsia="Arial" w:hAnsi="Arial"/>
                <w:sz w:val="18"/>
                <w:szCs w:val="18"/>
                <w:color w:val="auto"/>
              </w:rPr>
              <w:t>17,450.2</w:t>
            </w:r>
          </w:p>
        </w:tc>
        <w:tc>
          <w:tcPr>
            <w:tcW w:w="1340" w:type="dxa"/>
            <w:vAlign w:val="bottom"/>
            <w:tcBorders>
              <w:bottom w:val="single" w:sz="8" w:color="939598"/>
            </w:tcBorders>
          </w:tcPr>
          <w:p>
            <w:pPr>
              <w:jc w:val="right"/>
              <w:ind w:right="372"/>
              <w:spacing w:after="0" w:line="203" w:lineRule="exact"/>
              <w:rPr>
                <w:sz w:val="20"/>
                <w:szCs w:val="20"/>
                <w:color w:val="auto"/>
              </w:rPr>
            </w:pPr>
            <w:r>
              <w:rPr>
                <w:rFonts w:ascii="Arial" w:cs="Arial" w:eastAsia="Arial" w:hAnsi="Arial"/>
                <w:sz w:val="18"/>
                <w:szCs w:val="18"/>
                <w:color w:val="auto"/>
              </w:rPr>
              <w:t>(24.2)</w:t>
            </w:r>
          </w:p>
        </w:tc>
        <w:tc>
          <w:tcPr>
            <w:tcW w:w="1140" w:type="dxa"/>
            <w:vAlign w:val="bottom"/>
            <w:tcBorders>
              <w:bottom w:val="single" w:sz="8" w:color="939598"/>
            </w:tcBorders>
          </w:tcPr>
          <w:p>
            <w:pPr>
              <w:spacing w:after="0"/>
              <w:rPr>
                <w:sz w:val="17"/>
                <w:szCs w:val="17"/>
                <w:color w:val="auto"/>
              </w:rPr>
            </w:pPr>
          </w:p>
        </w:tc>
        <w:tc>
          <w:tcPr>
            <w:tcW w:w="300" w:type="dxa"/>
            <w:vAlign w:val="bottom"/>
            <w:tcBorders>
              <w:bottom w:val="single" w:sz="8" w:color="939598"/>
            </w:tcBorders>
          </w:tcPr>
          <w:p>
            <w:pPr>
              <w:spacing w:after="0"/>
              <w:rPr>
                <w:sz w:val="17"/>
                <w:szCs w:val="17"/>
                <w:color w:val="auto"/>
              </w:rPr>
            </w:pPr>
          </w:p>
        </w:tc>
        <w:tc>
          <w:tcPr>
            <w:tcW w:w="920" w:type="dxa"/>
            <w:vAlign w:val="bottom"/>
            <w:tcBorders>
              <w:bottom w:val="single" w:sz="8" w:color="939598"/>
            </w:tcBorders>
          </w:tcPr>
          <w:p>
            <w:pPr>
              <w:spacing w:after="0"/>
              <w:rPr>
                <w:sz w:val="17"/>
                <w:szCs w:val="17"/>
                <w:color w:val="auto"/>
              </w:rPr>
            </w:pPr>
          </w:p>
        </w:tc>
        <w:tc>
          <w:tcPr>
            <w:tcW w:w="220" w:type="dxa"/>
            <w:vAlign w:val="bottom"/>
          </w:tcPr>
          <w:p>
            <w:pPr>
              <w:spacing w:after="0"/>
              <w:rPr>
                <w:sz w:val="17"/>
                <w:szCs w:val="17"/>
                <w:color w:val="auto"/>
              </w:rPr>
            </w:pPr>
          </w:p>
        </w:tc>
      </w:tr>
      <w:tr>
        <w:trPr>
          <w:trHeight w:val="177"/>
        </w:trPr>
        <w:tc>
          <w:tcPr>
            <w:tcW w:w="20" w:type="dxa"/>
            <w:vAlign w:val="bottom"/>
          </w:tcPr>
          <w:p>
            <w:pPr>
              <w:spacing w:after="0"/>
              <w:rPr>
                <w:sz w:val="15"/>
                <w:szCs w:val="15"/>
                <w:color w:val="auto"/>
              </w:rPr>
            </w:pPr>
          </w:p>
        </w:tc>
        <w:tc>
          <w:tcPr>
            <w:tcW w:w="5000" w:type="dxa"/>
            <w:vAlign w:val="bottom"/>
          </w:tcPr>
          <w:p>
            <w:pPr>
              <w:spacing w:after="0" w:line="177" w:lineRule="exact"/>
              <w:rPr>
                <w:sz w:val="20"/>
                <w:szCs w:val="20"/>
                <w:color w:val="auto"/>
              </w:rPr>
            </w:pPr>
            <w:r>
              <w:rPr>
                <w:rFonts w:ascii="Arial" w:cs="Arial" w:eastAsia="Arial" w:hAnsi="Arial"/>
                <w:sz w:val="18"/>
                <w:szCs w:val="18"/>
                <w:color w:val="auto"/>
              </w:rPr>
              <w:t>Gross profit</w:t>
            </w:r>
          </w:p>
        </w:tc>
        <w:tc>
          <w:tcPr>
            <w:tcW w:w="300" w:type="dxa"/>
            <w:vAlign w:val="bottom"/>
          </w:tcPr>
          <w:p>
            <w:pPr>
              <w:spacing w:after="0"/>
              <w:rPr>
                <w:sz w:val="15"/>
                <w:szCs w:val="15"/>
                <w:color w:val="auto"/>
              </w:rPr>
            </w:pPr>
          </w:p>
        </w:tc>
        <w:tc>
          <w:tcPr>
            <w:tcW w:w="980" w:type="dxa"/>
            <w:vAlign w:val="bottom"/>
          </w:tcPr>
          <w:p>
            <w:pPr>
              <w:jc w:val="right"/>
              <w:ind w:right="130"/>
              <w:spacing w:after="0" w:line="177" w:lineRule="exact"/>
              <w:rPr>
                <w:sz w:val="20"/>
                <w:szCs w:val="20"/>
                <w:color w:val="auto"/>
              </w:rPr>
            </w:pPr>
            <w:r>
              <w:rPr>
                <w:rFonts w:ascii="Arial" w:cs="Arial" w:eastAsia="Arial" w:hAnsi="Arial"/>
                <w:sz w:val="18"/>
                <w:szCs w:val="18"/>
                <w:color w:val="auto"/>
              </w:rPr>
              <w:t>2,818.2</w:t>
            </w:r>
          </w:p>
        </w:tc>
        <w:tc>
          <w:tcPr>
            <w:tcW w:w="160" w:type="dxa"/>
            <w:vAlign w:val="bottom"/>
          </w:tcPr>
          <w:p>
            <w:pPr>
              <w:spacing w:after="0"/>
              <w:rPr>
                <w:sz w:val="15"/>
                <w:szCs w:val="15"/>
                <w:color w:val="auto"/>
              </w:rPr>
            </w:pPr>
          </w:p>
        </w:tc>
        <w:tc>
          <w:tcPr>
            <w:tcW w:w="1040" w:type="dxa"/>
            <w:vAlign w:val="bottom"/>
          </w:tcPr>
          <w:p>
            <w:pPr>
              <w:jc w:val="right"/>
              <w:ind w:right="210"/>
              <w:spacing w:after="0" w:line="177" w:lineRule="exact"/>
              <w:rPr>
                <w:sz w:val="20"/>
                <w:szCs w:val="20"/>
                <w:color w:val="auto"/>
              </w:rPr>
            </w:pPr>
            <w:r>
              <w:rPr>
                <w:rFonts w:ascii="Arial" w:cs="Arial" w:eastAsia="Arial" w:hAnsi="Arial"/>
                <w:sz w:val="18"/>
                <w:szCs w:val="18"/>
                <w:color w:val="auto"/>
              </w:rPr>
              <w:t>4,086.9</w:t>
            </w:r>
          </w:p>
        </w:tc>
        <w:tc>
          <w:tcPr>
            <w:tcW w:w="1340" w:type="dxa"/>
            <w:vAlign w:val="bottom"/>
          </w:tcPr>
          <w:p>
            <w:pPr>
              <w:jc w:val="right"/>
              <w:ind w:right="372"/>
              <w:spacing w:after="0" w:line="177" w:lineRule="exact"/>
              <w:rPr>
                <w:sz w:val="20"/>
                <w:szCs w:val="20"/>
                <w:color w:val="auto"/>
              </w:rPr>
            </w:pPr>
            <w:r>
              <w:rPr>
                <w:rFonts w:ascii="Arial" w:cs="Arial" w:eastAsia="Arial" w:hAnsi="Arial"/>
                <w:sz w:val="18"/>
                <w:szCs w:val="18"/>
                <w:color w:val="auto"/>
              </w:rPr>
              <w:t>(31.0)</w:t>
            </w:r>
          </w:p>
        </w:tc>
        <w:tc>
          <w:tcPr>
            <w:tcW w:w="1440" w:type="dxa"/>
            <w:vAlign w:val="bottom"/>
            <w:gridSpan w:val="2"/>
          </w:tcPr>
          <w:p>
            <w:pPr>
              <w:ind w:left="740"/>
              <w:spacing w:after="0" w:line="177" w:lineRule="exact"/>
              <w:rPr>
                <w:sz w:val="20"/>
                <w:szCs w:val="20"/>
                <w:color w:val="auto"/>
              </w:rPr>
            </w:pPr>
            <w:r>
              <w:rPr>
                <w:rFonts w:ascii="Arial" w:cs="Arial" w:eastAsia="Arial" w:hAnsi="Arial"/>
                <w:sz w:val="18"/>
                <w:szCs w:val="18"/>
                <w:color w:val="auto"/>
              </w:rPr>
              <w:t>(27.0)</w:t>
            </w:r>
          </w:p>
        </w:tc>
        <w:tc>
          <w:tcPr>
            <w:tcW w:w="1140" w:type="dxa"/>
            <w:vAlign w:val="bottom"/>
            <w:gridSpan w:val="2"/>
          </w:tcPr>
          <w:p>
            <w:pPr>
              <w:ind w:left="500"/>
              <w:spacing w:after="0" w:line="177" w:lineRule="exact"/>
              <w:rPr>
                <w:sz w:val="20"/>
                <w:szCs w:val="20"/>
                <w:color w:val="auto"/>
              </w:rPr>
            </w:pPr>
            <w:r>
              <w:rPr>
                <w:rFonts w:ascii="Arial" w:cs="Arial" w:eastAsia="Arial" w:hAnsi="Arial"/>
                <w:sz w:val="18"/>
                <w:szCs w:val="18"/>
                <w:color w:val="auto"/>
              </w:rPr>
              <w:t>(27.7)</w:t>
            </w:r>
          </w:p>
        </w:tc>
      </w:tr>
      <w:tr>
        <w:trPr>
          <w:trHeight w:val="221"/>
        </w:trPr>
        <w:tc>
          <w:tcPr>
            <w:tcW w:w="5020" w:type="dxa"/>
            <w:vAlign w:val="bottom"/>
            <w:gridSpan w:val="2"/>
          </w:tcPr>
          <w:p>
            <w:pPr>
              <w:spacing w:after="0"/>
              <w:rPr>
                <w:sz w:val="20"/>
                <w:szCs w:val="20"/>
                <w:color w:val="auto"/>
              </w:rPr>
            </w:pPr>
            <w:r>
              <w:rPr>
                <w:rFonts w:ascii="Arial" w:cs="Arial" w:eastAsia="Arial" w:hAnsi="Arial"/>
                <w:sz w:val="18"/>
                <w:szCs w:val="18"/>
                <w:i w:val="1"/>
                <w:iCs w:val="1"/>
                <w:color w:val="auto"/>
              </w:rPr>
              <w:t>Gross Profit Margin</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i w:val="1"/>
                <w:iCs w:val="1"/>
                <w:color w:val="auto"/>
              </w:rPr>
              <w:t>17.6%</w:t>
            </w:r>
          </w:p>
        </w:tc>
        <w:tc>
          <w:tcPr>
            <w:tcW w:w="160" w:type="dxa"/>
            <w:vAlign w:val="bottom"/>
          </w:tcPr>
          <w:p>
            <w:pPr>
              <w:spacing w:after="0"/>
              <w:rPr>
                <w:sz w:val="19"/>
                <w:szCs w:val="19"/>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i w:val="1"/>
                <w:iCs w:val="1"/>
                <w:color w:val="auto"/>
              </w:rPr>
              <w:t>19.0%</w:t>
            </w:r>
          </w:p>
        </w:tc>
        <w:tc>
          <w:tcPr>
            <w:tcW w:w="1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203"/>
        </w:trPr>
        <w:tc>
          <w:tcPr>
            <w:tcW w:w="20" w:type="dxa"/>
            <w:vAlign w:val="bottom"/>
          </w:tcPr>
          <w:p>
            <w:pPr>
              <w:spacing w:after="0"/>
              <w:rPr>
                <w:sz w:val="17"/>
                <w:szCs w:val="17"/>
                <w:color w:val="auto"/>
              </w:rPr>
            </w:pPr>
          </w:p>
        </w:tc>
        <w:tc>
          <w:tcPr>
            <w:tcW w:w="5000" w:type="dxa"/>
            <w:vAlign w:val="bottom"/>
          </w:tcPr>
          <w:p>
            <w:pPr>
              <w:ind w:left="180"/>
              <w:spacing w:after="0" w:line="202" w:lineRule="exact"/>
              <w:rPr>
                <w:sz w:val="20"/>
                <w:szCs w:val="20"/>
                <w:color w:val="auto"/>
              </w:rPr>
            </w:pPr>
            <w:r>
              <w:rPr>
                <w:rFonts w:ascii="Arial" w:cs="Arial" w:eastAsia="Arial" w:hAnsi="Arial"/>
                <w:sz w:val="18"/>
                <w:szCs w:val="18"/>
                <w:color w:val="auto"/>
              </w:rPr>
              <w:t>Selling and administrative expenses, excluding impairment</w:t>
            </w: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000" w:type="dxa"/>
            <w:vAlign w:val="bottom"/>
          </w:tcPr>
          <w:p>
            <w:pPr>
              <w:ind w:left="260"/>
              <w:spacing w:after="0" w:line="202" w:lineRule="exact"/>
              <w:rPr>
                <w:sz w:val="20"/>
                <w:szCs w:val="20"/>
                <w:color w:val="auto"/>
              </w:rPr>
            </w:pPr>
            <w:r>
              <w:rPr>
                <w:rFonts w:ascii="Arial" w:cs="Arial" w:eastAsia="Arial" w:hAnsi="Arial"/>
                <w:sz w:val="18"/>
                <w:szCs w:val="18"/>
                <w:color w:val="auto"/>
              </w:rPr>
              <w:t>charges</w:t>
            </w:r>
          </w:p>
        </w:tc>
        <w:tc>
          <w:tcPr>
            <w:tcW w:w="300" w:type="dxa"/>
            <w:vAlign w:val="bottom"/>
          </w:tcPr>
          <w:p>
            <w:pPr>
              <w:spacing w:after="0"/>
              <w:rPr>
                <w:sz w:val="17"/>
                <w:szCs w:val="17"/>
                <w:color w:val="auto"/>
              </w:rPr>
            </w:pPr>
          </w:p>
        </w:tc>
        <w:tc>
          <w:tcPr>
            <w:tcW w:w="98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2,715.5</w:t>
            </w:r>
          </w:p>
        </w:tc>
        <w:tc>
          <w:tcPr>
            <w:tcW w:w="160" w:type="dxa"/>
            <w:vAlign w:val="bottom"/>
          </w:tcPr>
          <w:p>
            <w:pPr>
              <w:spacing w:after="0"/>
              <w:rPr>
                <w:sz w:val="17"/>
                <w:szCs w:val="17"/>
                <w:color w:val="auto"/>
              </w:rPr>
            </w:pPr>
          </w:p>
        </w:tc>
        <w:tc>
          <w:tcPr>
            <w:tcW w:w="104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3,430.3</w:t>
            </w:r>
          </w:p>
        </w:tc>
        <w:tc>
          <w:tcPr>
            <w:tcW w:w="1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000" w:type="dxa"/>
            <w:vAlign w:val="bottom"/>
            <w:tcBorders>
              <w:bottom w:val="single" w:sz="8" w:color="939598"/>
            </w:tcBorders>
          </w:tcPr>
          <w:p>
            <w:pPr>
              <w:ind w:left="180"/>
              <w:spacing w:after="0" w:line="203" w:lineRule="exact"/>
              <w:rPr>
                <w:sz w:val="20"/>
                <w:szCs w:val="20"/>
                <w:color w:val="auto"/>
              </w:rPr>
            </w:pPr>
            <w:r>
              <w:rPr>
                <w:rFonts w:ascii="Arial" w:cs="Arial" w:eastAsia="Arial" w:hAnsi="Arial"/>
                <w:sz w:val="18"/>
                <w:szCs w:val="18"/>
                <w:color w:val="auto"/>
              </w:rPr>
              <w:t>Goodwill and intangible asset impairment charges</w:t>
            </w:r>
          </w:p>
        </w:tc>
        <w:tc>
          <w:tcPr>
            <w:tcW w:w="300" w:type="dxa"/>
            <w:vAlign w:val="bottom"/>
            <w:tcBorders>
              <w:bottom w:val="single" w:sz="8" w:color="939598"/>
            </w:tcBorders>
          </w:tcPr>
          <w:p>
            <w:pPr>
              <w:spacing w:after="0"/>
              <w:rPr>
                <w:sz w:val="17"/>
                <w:szCs w:val="17"/>
                <w:color w:val="auto"/>
              </w:rPr>
            </w:pPr>
          </w:p>
        </w:tc>
        <w:tc>
          <w:tcPr>
            <w:tcW w:w="980" w:type="dxa"/>
            <w:vAlign w:val="bottom"/>
            <w:tcBorders>
              <w:bottom w:val="single" w:sz="8" w:color="939598"/>
            </w:tcBorders>
          </w:tcPr>
          <w:p>
            <w:pPr>
              <w:jc w:val="right"/>
              <w:ind w:right="130"/>
              <w:spacing w:after="0" w:line="203" w:lineRule="exact"/>
              <w:rPr>
                <w:sz w:val="20"/>
                <w:szCs w:val="20"/>
                <w:color w:val="auto"/>
              </w:rPr>
            </w:pPr>
            <w:r>
              <w:rPr>
                <w:rFonts w:ascii="Arial" w:cs="Arial" w:eastAsia="Arial" w:hAnsi="Arial"/>
                <w:sz w:val="18"/>
                <w:szCs w:val="18"/>
                <w:color w:val="auto"/>
              </w:rPr>
              <w:t>61.0</w:t>
            </w:r>
          </w:p>
        </w:tc>
        <w:tc>
          <w:tcPr>
            <w:tcW w:w="160" w:type="dxa"/>
            <w:vAlign w:val="bottom"/>
            <w:tcBorders>
              <w:bottom w:val="single" w:sz="8" w:color="939598"/>
            </w:tcBorders>
          </w:tcPr>
          <w:p>
            <w:pPr>
              <w:spacing w:after="0"/>
              <w:rPr>
                <w:sz w:val="17"/>
                <w:szCs w:val="17"/>
                <w:color w:val="auto"/>
              </w:rPr>
            </w:pPr>
          </w:p>
        </w:tc>
        <w:tc>
          <w:tcPr>
            <w:tcW w:w="1040" w:type="dxa"/>
            <w:vAlign w:val="bottom"/>
            <w:tcBorders>
              <w:bottom w:val="single" w:sz="8" w:color="939598"/>
            </w:tcBorders>
          </w:tcPr>
          <w:p>
            <w:pPr>
              <w:jc w:val="right"/>
              <w:ind w:right="210"/>
              <w:spacing w:after="0" w:line="203" w:lineRule="exact"/>
              <w:rPr>
                <w:sz w:val="20"/>
                <w:szCs w:val="20"/>
                <w:color w:val="auto"/>
              </w:rPr>
            </w:pPr>
            <w:r>
              <w:rPr>
                <w:rFonts w:ascii="Arial" w:cs="Arial" w:eastAsia="Arial" w:hAnsi="Arial"/>
                <w:sz w:val="18"/>
                <w:szCs w:val="18"/>
                <w:color w:val="auto"/>
              </w:rPr>
              <w:t>163.1</w:t>
            </w:r>
          </w:p>
        </w:tc>
        <w:tc>
          <w:tcPr>
            <w:tcW w:w="1340" w:type="dxa"/>
            <w:vAlign w:val="bottom"/>
            <w:tcBorders>
              <w:bottom w:val="single" w:sz="8" w:color="939598"/>
            </w:tcBorders>
          </w:tcPr>
          <w:p>
            <w:pPr>
              <w:spacing w:after="0"/>
              <w:rPr>
                <w:sz w:val="17"/>
                <w:szCs w:val="17"/>
                <w:color w:val="auto"/>
              </w:rPr>
            </w:pPr>
          </w:p>
        </w:tc>
        <w:tc>
          <w:tcPr>
            <w:tcW w:w="1140" w:type="dxa"/>
            <w:vAlign w:val="bottom"/>
            <w:tcBorders>
              <w:bottom w:val="single" w:sz="8" w:color="939598"/>
            </w:tcBorders>
          </w:tcPr>
          <w:p>
            <w:pPr>
              <w:spacing w:after="0"/>
              <w:rPr>
                <w:sz w:val="17"/>
                <w:szCs w:val="17"/>
                <w:color w:val="auto"/>
              </w:rPr>
            </w:pPr>
          </w:p>
        </w:tc>
        <w:tc>
          <w:tcPr>
            <w:tcW w:w="300" w:type="dxa"/>
            <w:vAlign w:val="bottom"/>
            <w:tcBorders>
              <w:bottom w:val="single" w:sz="8" w:color="939598"/>
            </w:tcBorders>
          </w:tcPr>
          <w:p>
            <w:pPr>
              <w:spacing w:after="0"/>
              <w:rPr>
                <w:sz w:val="17"/>
                <w:szCs w:val="17"/>
                <w:color w:val="auto"/>
              </w:rPr>
            </w:pPr>
          </w:p>
        </w:tc>
        <w:tc>
          <w:tcPr>
            <w:tcW w:w="920" w:type="dxa"/>
            <w:vAlign w:val="bottom"/>
            <w:tcBorders>
              <w:bottom w:val="single" w:sz="8" w:color="939598"/>
            </w:tcBorders>
          </w:tcPr>
          <w:p>
            <w:pPr>
              <w:spacing w:after="0"/>
              <w:rPr>
                <w:sz w:val="17"/>
                <w:szCs w:val="17"/>
                <w:color w:val="auto"/>
              </w:rPr>
            </w:pPr>
          </w:p>
        </w:tc>
        <w:tc>
          <w:tcPr>
            <w:tcW w:w="220" w:type="dxa"/>
            <w:vAlign w:val="bottom"/>
          </w:tcPr>
          <w:p>
            <w:pPr>
              <w:spacing w:after="0"/>
              <w:rPr>
                <w:sz w:val="17"/>
                <w:szCs w:val="17"/>
                <w:color w:val="auto"/>
              </w:rPr>
            </w:pPr>
          </w:p>
        </w:tc>
      </w:tr>
      <w:tr>
        <w:trPr>
          <w:trHeight w:val="177"/>
        </w:trPr>
        <w:tc>
          <w:tcPr>
            <w:tcW w:w="20" w:type="dxa"/>
            <w:vAlign w:val="bottom"/>
          </w:tcPr>
          <w:p>
            <w:pPr>
              <w:spacing w:after="0"/>
              <w:rPr>
                <w:sz w:val="15"/>
                <w:szCs w:val="15"/>
                <w:color w:val="auto"/>
              </w:rPr>
            </w:pPr>
          </w:p>
        </w:tc>
        <w:tc>
          <w:tcPr>
            <w:tcW w:w="5000" w:type="dxa"/>
            <w:vAlign w:val="bottom"/>
          </w:tcPr>
          <w:p>
            <w:pPr>
              <w:spacing w:after="0" w:line="177" w:lineRule="exact"/>
              <w:rPr>
                <w:sz w:val="20"/>
                <w:szCs w:val="20"/>
                <w:color w:val="auto"/>
              </w:rPr>
            </w:pPr>
            <w:r>
              <w:rPr>
                <w:rFonts w:ascii="Arial" w:cs="Arial" w:eastAsia="Arial" w:hAnsi="Arial"/>
                <w:sz w:val="18"/>
                <w:szCs w:val="18"/>
                <w:color w:val="auto"/>
              </w:rPr>
              <w:t>Selling and administrative expenses</w:t>
            </w:r>
          </w:p>
        </w:tc>
        <w:tc>
          <w:tcPr>
            <w:tcW w:w="300" w:type="dxa"/>
            <w:vAlign w:val="bottom"/>
          </w:tcPr>
          <w:p>
            <w:pPr>
              <w:spacing w:after="0"/>
              <w:rPr>
                <w:sz w:val="15"/>
                <w:szCs w:val="15"/>
                <w:color w:val="auto"/>
              </w:rPr>
            </w:pPr>
          </w:p>
        </w:tc>
        <w:tc>
          <w:tcPr>
            <w:tcW w:w="980" w:type="dxa"/>
            <w:vAlign w:val="bottom"/>
          </w:tcPr>
          <w:p>
            <w:pPr>
              <w:jc w:val="right"/>
              <w:ind w:right="130"/>
              <w:spacing w:after="0" w:line="177" w:lineRule="exact"/>
              <w:rPr>
                <w:sz w:val="20"/>
                <w:szCs w:val="20"/>
                <w:color w:val="auto"/>
              </w:rPr>
            </w:pPr>
            <w:r>
              <w:rPr>
                <w:rFonts w:ascii="Arial" w:cs="Arial" w:eastAsia="Arial" w:hAnsi="Arial"/>
                <w:sz w:val="18"/>
                <w:szCs w:val="18"/>
                <w:color w:val="auto"/>
              </w:rPr>
              <w:t>2,776.5</w:t>
            </w:r>
          </w:p>
        </w:tc>
        <w:tc>
          <w:tcPr>
            <w:tcW w:w="160" w:type="dxa"/>
            <w:vAlign w:val="bottom"/>
          </w:tcPr>
          <w:p>
            <w:pPr>
              <w:spacing w:after="0"/>
              <w:rPr>
                <w:sz w:val="15"/>
                <w:szCs w:val="15"/>
                <w:color w:val="auto"/>
              </w:rPr>
            </w:pPr>
          </w:p>
        </w:tc>
        <w:tc>
          <w:tcPr>
            <w:tcW w:w="1040" w:type="dxa"/>
            <w:vAlign w:val="bottom"/>
          </w:tcPr>
          <w:p>
            <w:pPr>
              <w:jc w:val="right"/>
              <w:ind w:right="210"/>
              <w:spacing w:after="0" w:line="177" w:lineRule="exact"/>
              <w:rPr>
                <w:sz w:val="20"/>
                <w:szCs w:val="20"/>
                <w:color w:val="auto"/>
              </w:rPr>
            </w:pPr>
            <w:r>
              <w:rPr>
                <w:rFonts w:ascii="Arial" w:cs="Arial" w:eastAsia="Arial" w:hAnsi="Arial"/>
                <w:sz w:val="18"/>
                <w:szCs w:val="18"/>
                <w:color w:val="auto"/>
              </w:rPr>
              <w:t>3,593.4</w:t>
            </w:r>
          </w:p>
        </w:tc>
        <w:tc>
          <w:tcPr>
            <w:tcW w:w="1340" w:type="dxa"/>
            <w:vAlign w:val="bottom"/>
          </w:tcPr>
          <w:p>
            <w:pPr>
              <w:jc w:val="right"/>
              <w:ind w:right="372"/>
              <w:spacing w:after="0" w:line="177" w:lineRule="exact"/>
              <w:rPr>
                <w:sz w:val="20"/>
                <w:szCs w:val="20"/>
                <w:color w:val="auto"/>
              </w:rPr>
            </w:pPr>
            <w:r>
              <w:rPr>
                <w:rFonts w:ascii="Arial" w:cs="Arial" w:eastAsia="Arial" w:hAnsi="Arial"/>
                <w:sz w:val="18"/>
                <w:szCs w:val="18"/>
                <w:color w:val="auto"/>
              </w:rPr>
              <w:t>(22.7)</w:t>
            </w:r>
          </w:p>
        </w:tc>
        <w:tc>
          <w:tcPr>
            <w:tcW w:w="1440" w:type="dxa"/>
            <w:vAlign w:val="bottom"/>
            <w:gridSpan w:val="2"/>
          </w:tcPr>
          <w:p>
            <w:pPr>
              <w:ind w:left="740"/>
              <w:spacing w:after="0" w:line="177" w:lineRule="exact"/>
              <w:rPr>
                <w:sz w:val="20"/>
                <w:szCs w:val="20"/>
                <w:color w:val="auto"/>
              </w:rPr>
            </w:pPr>
            <w:r>
              <w:rPr>
                <w:rFonts w:ascii="Arial" w:cs="Arial" w:eastAsia="Arial" w:hAnsi="Arial"/>
                <w:sz w:val="18"/>
                <w:szCs w:val="18"/>
                <w:color w:val="auto"/>
              </w:rPr>
              <w:t>(18.2)</w:t>
            </w:r>
          </w:p>
        </w:tc>
        <w:tc>
          <w:tcPr>
            <w:tcW w:w="1140" w:type="dxa"/>
            <w:vAlign w:val="bottom"/>
            <w:gridSpan w:val="2"/>
          </w:tcPr>
          <w:p>
            <w:pPr>
              <w:ind w:left="500"/>
              <w:spacing w:after="0" w:line="177" w:lineRule="exact"/>
              <w:rPr>
                <w:sz w:val="20"/>
                <w:szCs w:val="20"/>
                <w:color w:val="auto"/>
              </w:rPr>
            </w:pPr>
            <w:r>
              <w:rPr>
                <w:rFonts w:ascii="Arial" w:cs="Arial" w:eastAsia="Arial" w:hAnsi="Arial"/>
                <w:sz w:val="18"/>
                <w:szCs w:val="18"/>
                <w:color w:val="auto"/>
              </w:rPr>
              <w:t>(18.9)</w:t>
            </w:r>
          </w:p>
        </w:tc>
      </w:tr>
      <w:tr>
        <w:trPr>
          <w:trHeight w:val="221"/>
        </w:trPr>
        <w:tc>
          <w:tcPr>
            <w:tcW w:w="20" w:type="dxa"/>
            <w:vAlign w:val="bottom"/>
          </w:tcPr>
          <w:p>
            <w:pPr>
              <w:spacing w:after="0"/>
              <w:rPr>
                <w:sz w:val="19"/>
                <w:szCs w:val="19"/>
                <w:color w:val="auto"/>
              </w:rPr>
            </w:pPr>
          </w:p>
        </w:tc>
        <w:tc>
          <w:tcPr>
            <w:tcW w:w="5000" w:type="dxa"/>
            <w:vAlign w:val="bottom"/>
          </w:tcPr>
          <w:p>
            <w:pPr>
              <w:ind w:left="180"/>
              <w:spacing w:after="0"/>
              <w:rPr>
                <w:sz w:val="20"/>
                <w:szCs w:val="20"/>
                <w:color w:val="auto"/>
              </w:rPr>
            </w:pPr>
            <w:r>
              <w:rPr>
                <w:rFonts w:ascii="Arial" w:cs="Arial" w:eastAsia="Arial" w:hAnsi="Arial"/>
                <w:sz w:val="18"/>
                <w:szCs w:val="18"/>
                <w:i w:val="1"/>
                <w:iCs w:val="1"/>
                <w:color w:val="auto"/>
              </w:rPr>
              <w:t>Selling and administrative expenses as a % of revenues</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i w:val="1"/>
                <w:iCs w:val="1"/>
                <w:color w:val="auto"/>
              </w:rPr>
              <w:t>17.3%</w:t>
            </w:r>
          </w:p>
        </w:tc>
        <w:tc>
          <w:tcPr>
            <w:tcW w:w="160" w:type="dxa"/>
            <w:vAlign w:val="bottom"/>
          </w:tcPr>
          <w:p>
            <w:pPr>
              <w:spacing w:after="0"/>
              <w:rPr>
                <w:sz w:val="19"/>
                <w:szCs w:val="19"/>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i w:val="1"/>
                <w:iCs w:val="1"/>
                <w:color w:val="auto"/>
              </w:rPr>
              <w:t>16.7</w:t>
            </w:r>
            <w:r>
              <w:rPr>
                <w:rFonts w:ascii="Arial" w:cs="Arial" w:eastAsia="Arial" w:hAnsi="Arial"/>
                <w:sz w:val="18"/>
                <w:szCs w:val="18"/>
                <w:color w:val="auto"/>
              </w:rPr>
              <w:t>%</w:t>
            </w:r>
          </w:p>
        </w:tc>
        <w:tc>
          <w:tcPr>
            <w:tcW w:w="1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185"/>
        </w:trPr>
        <w:tc>
          <w:tcPr>
            <w:tcW w:w="5020" w:type="dxa"/>
            <w:vAlign w:val="bottom"/>
            <w:gridSpan w:val="2"/>
          </w:tcPr>
          <w:p>
            <w:pPr>
              <w:spacing w:after="0" w:line="185" w:lineRule="exact"/>
              <w:rPr>
                <w:sz w:val="20"/>
                <w:szCs w:val="20"/>
                <w:color w:val="auto"/>
              </w:rPr>
            </w:pPr>
            <w:r>
              <w:rPr>
                <w:rFonts w:ascii="Arial" w:cs="Arial" w:eastAsia="Arial" w:hAnsi="Arial"/>
                <w:sz w:val="18"/>
                <w:szCs w:val="18"/>
                <w:color w:val="auto"/>
              </w:rPr>
              <w:t>Operating profit</w:t>
            </w:r>
          </w:p>
        </w:tc>
        <w:tc>
          <w:tcPr>
            <w:tcW w:w="300" w:type="dxa"/>
            <w:vAlign w:val="bottom"/>
          </w:tcPr>
          <w:p>
            <w:pPr>
              <w:spacing w:after="0"/>
              <w:rPr>
                <w:sz w:val="16"/>
                <w:szCs w:val="16"/>
                <w:color w:val="auto"/>
              </w:rPr>
            </w:pPr>
          </w:p>
        </w:tc>
        <w:tc>
          <w:tcPr>
            <w:tcW w:w="980" w:type="dxa"/>
            <w:vAlign w:val="bottom"/>
          </w:tcPr>
          <w:p>
            <w:pPr>
              <w:jc w:val="right"/>
              <w:ind w:right="130"/>
              <w:spacing w:after="0" w:line="185" w:lineRule="exact"/>
              <w:rPr>
                <w:sz w:val="20"/>
                <w:szCs w:val="20"/>
                <w:color w:val="auto"/>
              </w:rPr>
            </w:pPr>
            <w:r>
              <w:rPr>
                <w:rFonts w:ascii="Arial" w:cs="Arial" w:eastAsia="Arial" w:hAnsi="Arial"/>
                <w:sz w:val="18"/>
                <w:szCs w:val="18"/>
                <w:color w:val="auto"/>
              </w:rPr>
              <w:t>41.7</w:t>
            </w:r>
          </w:p>
        </w:tc>
        <w:tc>
          <w:tcPr>
            <w:tcW w:w="160" w:type="dxa"/>
            <w:vAlign w:val="bottom"/>
          </w:tcPr>
          <w:p>
            <w:pPr>
              <w:spacing w:after="0"/>
              <w:rPr>
                <w:sz w:val="16"/>
                <w:szCs w:val="16"/>
                <w:color w:val="auto"/>
              </w:rPr>
            </w:pPr>
          </w:p>
        </w:tc>
        <w:tc>
          <w:tcPr>
            <w:tcW w:w="1040" w:type="dxa"/>
            <w:vAlign w:val="bottom"/>
          </w:tcPr>
          <w:p>
            <w:pPr>
              <w:jc w:val="right"/>
              <w:ind w:right="210"/>
              <w:spacing w:after="0" w:line="185" w:lineRule="exact"/>
              <w:rPr>
                <w:sz w:val="20"/>
                <w:szCs w:val="20"/>
                <w:color w:val="auto"/>
              </w:rPr>
            </w:pPr>
            <w:r>
              <w:rPr>
                <w:rFonts w:ascii="Arial" w:cs="Arial" w:eastAsia="Arial" w:hAnsi="Arial"/>
                <w:sz w:val="18"/>
                <w:szCs w:val="18"/>
                <w:color w:val="auto"/>
              </w:rPr>
              <w:t>493.5</w:t>
            </w:r>
          </w:p>
        </w:tc>
        <w:tc>
          <w:tcPr>
            <w:tcW w:w="1340" w:type="dxa"/>
            <w:vAlign w:val="bottom"/>
          </w:tcPr>
          <w:p>
            <w:pPr>
              <w:jc w:val="right"/>
              <w:ind w:right="372"/>
              <w:spacing w:after="0" w:line="185" w:lineRule="exact"/>
              <w:rPr>
                <w:sz w:val="20"/>
                <w:szCs w:val="20"/>
                <w:color w:val="auto"/>
              </w:rPr>
            </w:pPr>
            <w:r>
              <w:rPr>
                <w:rFonts w:ascii="Arial" w:cs="Arial" w:eastAsia="Arial" w:hAnsi="Arial"/>
                <w:sz w:val="18"/>
                <w:szCs w:val="18"/>
                <w:color w:val="auto"/>
              </w:rPr>
              <w:t>(91.5)</w:t>
            </w:r>
          </w:p>
        </w:tc>
        <w:tc>
          <w:tcPr>
            <w:tcW w:w="1440" w:type="dxa"/>
            <w:vAlign w:val="bottom"/>
            <w:gridSpan w:val="2"/>
          </w:tcPr>
          <w:p>
            <w:pPr>
              <w:ind w:left="740"/>
              <w:spacing w:after="0" w:line="185" w:lineRule="exact"/>
              <w:rPr>
                <w:sz w:val="20"/>
                <w:szCs w:val="20"/>
                <w:color w:val="auto"/>
              </w:rPr>
            </w:pPr>
            <w:r>
              <w:rPr>
                <w:rFonts w:ascii="Arial" w:cs="Arial" w:eastAsia="Arial" w:hAnsi="Arial"/>
                <w:sz w:val="18"/>
                <w:szCs w:val="18"/>
                <w:color w:val="auto"/>
              </w:rPr>
              <w:t>(91.3)</w:t>
            </w:r>
          </w:p>
        </w:tc>
        <w:tc>
          <w:tcPr>
            <w:tcW w:w="1140" w:type="dxa"/>
            <w:vAlign w:val="bottom"/>
            <w:gridSpan w:val="2"/>
          </w:tcPr>
          <w:p>
            <w:pPr>
              <w:ind w:left="500"/>
              <w:spacing w:after="0" w:line="185" w:lineRule="exact"/>
              <w:rPr>
                <w:sz w:val="20"/>
                <w:szCs w:val="20"/>
                <w:color w:val="auto"/>
              </w:rPr>
            </w:pPr>
            <w:r>
              <w:rPr>
                <w:rFonts w:ascii="Arial" w:cs="Arial" w:eastAsia="Arial" w:hAnsi="Arial"/>
                <w:sz w:val="18"/>
                <w:szCs w:val="18"/>
                <w:color w:val="auto"/>
              </w:rPr>
              <w:t>(91.9)</w:t>
            </w:r>
          </w:p>
        </w:tc>
      </w:tr>
      <w:tr>
        <w:trPr>
          <w:trHeight w:val="221"/>
        </w:trPr>
        <w:tc>
          <w:tcPr>
            <w:tcW w:w="5020" w:type="dxa"/>
            <w:vAlign w:val="bottom"/>
            <w:gridSpan w:val="2"/>
          </w:tcPr>
          <w:p>
            <w:pPr>
              <w:spacing w:after="0"/>
              <w:rPr>
                <w:sz w:val="20"/>
                <w:szCs w:val="20"/>
                <w:color w:val="auto"/>
              </w:rPr>
            </w:pPr>
            <w:r>
              <w:rPr>
                <w:rFonts w:ascii="Arial" w:cs="Arial" w:eastAsia="Arial" w:hAnsi="Arial"/>
                <w:sz w:val="18"/>
                <w:szCs w:val="18"/>
                <w:i w:val="1"/>
                <w:iCs w:val="1"/>
                <w:color w:val="auto"/>
              </w:rPr>
              <w:t>Operating Profit Margin</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i w:val="1"/>
                <w:iCs w:val="1"/>
                <w:color w:val="auto"/>
              </w:rPr>
              <w:t>0.3%</w:t>
            </w:r>
          </w:p>
        </w:tc>
        <w:tc>
          <w:tcPr>
            <w:tcW w:w="160" w:type="dxa"/>
            <w:vAlign w:val="bottom"/>
          </w:tcPr>
          <w:p>
            <w:pPr>
              <w:spacing w:after="0"/>
              <w:rPr>
                <w:sz w:val="19"/>
                <w:szCs w:val="19"/>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i w:val="1"/>
                <w:iCs w:val="1"/>
                <w:color w:val="auto"/>
              </w:rPr>
              <w:t>2.3%</w:t>
            </w:r>
          </w:p>
        </w:tc>
        <w:tc>
          <w:tcPr>
            <w:tcW w:w="1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203"/>
        </w:trPr>
        <w:tc>
          <w:tcPr>
            <w:tcW w:w="20" w:type="dxa"/>
            <w:vAlign w:val="bottom"/>
          </w:tcPr>
          <w:p>
            <w:pPr>
              <w:spacing w:after="0"/>
              <w:rPr>
                <w:sz w:val="17"/>
                <w:szCs w:val="17"/>
                <w:color w:val="auto"/>
              </w:rPr>
            </w:pPr>
          </w:p>
        </w:tc>
        <w:tc>
          <w:tcPr>
            <w:tcW w:w="5000" w:type="dxa"/>
            <w:vAlign w:val="bottom"/>
          </w:tcPr>
          <w:p>
            <w:pPr>
              <w:ind w:left="180"/>
              <w:spacing w:after="0" w:line="202" w:lineRule="exact"/>
              <w:rPr>
                <w:sz w:val="20"/>
                <w:szCs w:val="20"/>
                <w:color w:val="auto"/>
              </w:rPr>
            </w:pPr>
            <w:r>
              <w:rPr>
                <w:rFonts w:ascii="Arial" w:cs="Arial" w:eastAsia="Arial" w:hAnsi="Arial"/>
                <w:sz w:val="18"/>
                <w:szCs w:val="18"/>
                <w:color w:val="auto"/>
              </w:rPr>
              <w:t>Net Interest expense</w:t>
            </w:r>
          </w:p>
        </w:tc>
        <w:tc>
          <w:tcPr>
            <w:tcW w:w="300" w:type="dxa"/>
            <w:vAlign w:val="bottom"/>
          </w:tcPr>
          <w:p>
            <w:pPr>
              <w:spacing w:after="0"/>
              <w:rPr>
                <w:sz w:val="17"/>
                <w:szCs w:val="17"/>
                <w:color w:val="auto"/>
              </w:rPr>
            </w:pPr>
          </w:p>
        </w:tc>
        <w:tc>
          <w:tcPr>
            <w:tcW w:w="98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50.0</w:t>
            </w:r>
          </w:p>
        </w:tc>
        <w:tc>
          <w:tcPr>
            <w:tcW w:w="160" w:type="dxa"/>
            <w:vAlign w:val="bottom"/>
          </w:tcPr>
          <w:p>
            <w:pPr>
              <w:spacing w:after="0"/>
              <w:rPr>
                <w:sz w:val="17"/>
                <w:szCs w:val="17"/>
                <w:color w:val="auto"/>
              </w:rPr>
            </w:pPr>
          </w:p>
        </w:tc>
        <w:tc>
          <w:tcPr>
            <w:tcW w:w="104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41.8</w:t>
            </w:r>
          </w:p>
        </w:tc>
        <w:tc>
          <w:tcPr>
            <w:tcW w:w="1340" w:type="dxa"/>
            <w:vAlign w:val="bottom"/>
          </w:tcPr>
          <w:p>
            <w:pPr>
              <w:jc w:val="right"/>
              <w:ind w:right="432"/>
              <w:spacing w:after="0" w:line="202" w:lineRule="exact"/>
              <w:rPr>
                <w:sz w:val="20"/>
                <w:szCs w:val="20"/>
                <w:color w:val="auto"/>
              </w:rPr>
            </w:pPr>
            <w:r>
              <w:rPr>
                <w:rFonts w:ascii="Arial" w:cs="Arial" w:eastAsia="Arial" w:hAnsi="Arial"/>
                <w:sz w:val="18"/>
                <w:szCs w:val="18"/>
                <w:color w:val="auto"/>
              </w:rPr>
              <w:t>19.6</w:t>
            </w:r>
          </w:p>
        </w:tc>
        <w:tc>
          <w:tcPr>
            <w:tcW w:w="1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000" w:type="dxa"/>
            <w:vAlign w:val="bottom"/>
            <w:tcBorders>
              <w:bottom w:val="single" w:sz="8" w:color="939598"/>
            </w:tcBorders>
          </w:tcPr>
          <w:p>
            <w:pPr>
              <w:ind w:left="180"/>
              <w:spacing w:after="0" w:line="203" w:lineRule="exact"/>
              <w:rPr>
                <w:sz w:val="20"/>
                <w:szCs w:val="20"/>
                <w:color w:val="auto"/>
              </w:rPr>
            </w:pPr>
            <w:r>
              <w:rPr>
                <w:rFonts w:ascii="Arial" w:cs="Arial" w:eastAsia="Arial" w:hAnsi="Arial"/>
                <w:sz w:val="18"/>
                <w:szCs w:val="18"/>
                <w:color w:val="auto"/>
              </w:rPr>
              <w:t>Other expenses</w:t>
            </w:r>
          </w:p>
        </w:tc>
        <w:tc>
          <w:tcPr>
            <w:tcW w:w="300" w:type="dxa"/>
            <w:vAlign w:val="bottom"/>
            <w:tcBorders>
              <w:bottom w:val="single" w:sz="8" w:color="939598"/>
            </w:tcBorders>
          </w:tcPr>
          <w:p>
            <w:pPr>
              <w:spacing w:after="0"/>
              <w:rPr>
                <w:sz w:val="17"/>
                <w:szCs w:val="17"/>
                <w:color w:val="auto"/>
              </w:rPr>
            </w:pPr>
          </w:p>
        </w:tc>
        <w:tc>
          <w:tcPr>
            <w:tcW w:w="980" w:type="dxa"/>
            <w:vAlign w:val="bottom"/>
            <w:tcBorders>
              <w:bottom w:val="single" w:sz="8" w:color="939598"/>
            </w:tcBorders>
          </w:tcPr>
          <w:p>
            <w:pPr>
              <w:jc w:val="right"/>
              <w:ind w:right="130"/>
              <w:spacing w:after="0" w:line="203" w:lineRule="exact"/>
              <w:rPr>
                <w:sz w:val="20"/>
                <w:szCs w:val="20"/>
                <w:color w:val="auto"/>
              </w:rPr>
            </w:pPr>
            <w:r>
              <w:rPr>
                <w:rFonts w:ascii="Arial" w:cs="Arial" w:eastAsia="Arial" w:hAnsi="Arial"/>
                <w:sz w:val="18"/>
                <w:szCs w:val="18"/>
                <w:color w:val="auto"/>
              </w:rPr>
              <w:t>14.6</w:t>
            </w:r>
          </w:p>
        </w:tc>
        <w:tc>
          <w:tcPr>
            <w:tcW w:w="160" w:type="dxa"/>
            <w:vAlign w:val="bottom"/>
            <w:tcBorders>
              <w:bottom w:val="single" w:sz="8" w:color="939598"/>
            </w:tcBorders>
          </w:tcPr>
          <w:p>
            <w:pPr>
              <w:spacing w:after="0"/>
              <w:rPr>
                <w:sz w:val="17"/>
                <w:szCs w:val="17"/>
                <w:color w:val="auto"/>
              </w:rPr>
            </w:pPr>
          </w:p>
        </w:tc>
        <w:tc>
          <w:tcPr>
            <w:tcW w:w="1040" w:type="dxa"/>
            <w:vAlign w:val="bottom"/>
            <w:tcBorders>
              <w:bottom w:val="single" w:sz="8" w:color="939598"/>
            </w:tcBorders>
          </w:tcPr>
          <w:p>
            <w:pPr>
              <w:jc w:val="right"/>
              <w:ind w:right="210"/>
              <w:spacing w:after="0" w:line="203" w:lineRule="exact"/>
              <w:rPr>
                <w:sz w:val="20"/>
                <w:szCs w:val="20"/>
                <w:color w:val="auto"/>
              </w:rPr>
            </w:pPr>
            <w:r>
              <w:rPr>
                <w:rFonts w:ascii="Arial" w:cs="Arial" w:eastAsia="Arial" w:hAnsi="Arial"/>
                <w:sz w:val="18"/>
                <w:szCs w:val="18"/>
                <w:color w:val="auto"/>
              </w:rPr>
              <w:t>9.1</w:t>
            </w:r>
          </w:p>
        </w:tc>
        <w:tc>
          <w:tcPr>
            <w:tcW w:w="1340" w:type="dxa"/>
            <w:vAlign w:val="bottom"/>
            <w:tcBorders>
              <w:bottom w:val="single" w:sz="8" w:color="939598"/>
            </w:tcBorders>
          </w:tcPr>
          <w:p>
            <w:pPr>
              <w:jc w:val="right"/>
              <w:ind w:right="432"/>
              <w:spacing w:after="0" w:line="203" w:lineRule="exact"/>
              <w:rPr>
                <w:sz w:val="20"/>
                <w:szCs w:val="20"/>
                <w:color w:val="auto"/>
              </w:rPr>
            </w:pPr>
            <w:r>
              <w:rPr>
                <w:rFonts w:ascii="Arial" w:cs="Arial" w:eastAsia="Arial" w:hAnsi="Arial"/>
                <w:sz w:val="18"/>
                <w:szCs w:val="18"/>
                <w:color w:val="auto"/>
              </w:rPr>
              <w:t>60.4</w:t>
            </w:r>
          </w:p>
        </w:tc>
        <w:tc>
          <w:tcPr>
            <w:tcW w:w="1140" w:type="dxa"/>
            <w:vAlign w:val="bottom"/>
            <w:tcBorders>
              <w:bottom w:val="single" w:sz="8" w:color="939598"/>
            </w:tcBorders>
          </w:tcPr>
          <w:p>
            <w:pPr>
              <w:spacing w:after="0"/>
              <w:rPr>
                <w:sz w:val="17"/>
                <w:szCs w:val="17"/>
                <w:color w:val="auto"/>
              </w:rPr>
            </w:pPr>
          </w:p>
        </w:tc>
        <w:tc>
          <w:tcPr>
            <w:tcW w:w="300" w:type="dxa"/>
            <w:vAlign w:val="bottom"/>
            <w:tcBorders>
              <w:bottom w:val="single" w:sz="8" w:color="939598"/>
            </w:tcBorders>
          </w:tcPr>
          <w:p>
            <w:pPr>
              <w:spacing w:after="0"/>
              <w:rPr>
                <w:sz w:val="17"/>
                <w:szCs w:val="17"/>
                <w:color w:val="auto"/>
              </w:rPr>
            </w:pPr>
          </w:p>
        </w:tc>
        <w:tc>
          <w:tcPr>
            <w:tcW w:w="920" w:type="dxa"/>
            <w:vAlign w:val="bottom"/>
            <w:tcBorders>
              <w:bottom w:val="single" w:sz="8" w:color="939598"/>
            </w:tcBorders>
          </w:tcPr>
          <w:p>
            <w:pPr>
              <w:spacing w:after="0"/>
              <w:rPr>
                <w:sz w:val="17"/>
                <w:szCs w:val="17"/>
                <w:color w:val="auto"/>
              </w:rPr>
            </w:pPr>
          </w:p>
        </w:tc>
        <w:tc>
          <w:tcPr>
            <w:tcW w:w="220" w:type="dxa"/>
            <w:vAlign w:val="bottom"/>
          </w:tcPr>
          <w:p>
            <w:pPr>
              <w:spacing w:after="0"/>
              <w:rPr>
                <w:sz w:val="17"/>
                <w:szCs w:val="17"/>
                <w:color w:val="auto"/>
              </w:rPr>
            </w:pPr>
          </w:p>
        </w:tc>
      </w:tr>
      <w:tr>
        <w:trPr>
          <w:trHeight w:val="195"/>
        </w:trPr>
        <w:tc>
          <w:tcPr>
            <w:tcW w:w="20" w:type="dxa"/>
            <w:vAlign w:val="bottom"/>
          </w:tcPr>
          <w:p>
            <w:pPr>
              <w:spacing w:after="0"/>
              <w:rPr>
                <w:sz w:val="16"/>
                <w:szCs w:val="16"/>
                <w:color w:val="auto"/>
              </w:rPr>
            </w:pPr>
          </w:p>
        </w:tc>
        <w:tc>
          <w:tcPr>
            <w:tcW w:w="5000" w:type="dxa"/>
            <w:vAlign w:val="bottom"/>
          </w:tcPr>
          <w:p>
            <w:pPr>
              <w:spacing w:after="0" w:line="195" w:lineRule="exact"/>
              <w:rPr>
                <w:sz w:val="20"/>
                <w:szCs w:val="20"/>
                <w:color w:val="auto"/>
              </w:rPr>
            </w:pPr>
            <w:r>
              <w:rPr>
                <w:rFonts w:ascii="Arial" w:cs="Arial" w:eastAsia="Arial" w:hAnsi="Arial"/>
                <w:sz w:val="18"/>
                <w:szCs w:val="18"/>
                <w:color w:val="auto"/>
              </w:rPr>
              <w:t>(Loss) earnings before income taxes</w:t>
            </w:r>
          </w:p>
        </w:tc>
        <w:tc>
          <w:tcPr>
            <w:tcW w:w="300" w:type="dxa"/>
            <w:vAlign w:val="bottom"/>
          </w:tcPr>
          <w:p>
            <w:pPr>
              <w:spacing w:after="0"/>
              <w:rPr>
                <w:sz w:val="16"/>
                <w:szCs w:val="16"/>
                <w:color w:val="auto"/>
              </w:rPr>
            </w:pPr>
          </w:p>
        </w:tc>
        <w:tc>
          <w:tcPr>
            <w:tcW w:w="980" w:type="dxa"/>
            <w:vAlign w:val="bottom"/>
          </w:tcPr>
          <w:p>
            <w:pPr>
              <w:jc w:val="right"/>
              <w:ind w:right="70"/>
              <w:spacing w:after="0" w:line="195" w:lineRule="exact"/>
              <w:rPr>
                <w:sz w:val="20"/>
                <w:szCs w:val="20"/>
                <w:color w:val="auto"/>
              </w:rPr>
            </w:pPr>
            <w:r>
              <w:rPr>
                <w:rFonts w:ascii="Arial" w:cs="Arial" w:eastAsia="Arial" w:hAnsi="Arial"/>
                <w:sz w:val="18"/>
                <w:szCs w:val="18"/>
                <w:color w:val="auto"/>
              </w:rPr>
              <w:t>(22.9)</w:t>
            </w:r>
          </w:p>
        </w:tc>
        <w:tc>
          <w:tcPr>
            <w:tcW w:w="160" w:type="dxa"/>
            <w:vAlign w:val="bottom"/>
          </w:tcPr>
          <w:p>
            <w:pPr>
              <w:spacing w:after="0"/>
              <w:rPr>
                <w:sz w:val="16"/>
                <w:szCs w:val="16"/>
                <w:color w:val="auto"/>
              </w:rPr>
            </w:pPr>
          </w:p>
        </w:tc>
        <w:tc>
          <w:tcPr>
            <w:tcW w:w="1040" w:type="dxa"/>
            <w:vAlign w:val="bottom"/>
          </w:tcPr>
          <w:p>
            <w:pPr>
              <w:jc w:val="right"/>
              <w:ind w:right="210"/>
              <w:spacing w:after="0" w:line="195" w:lineRule="exact"/>
              <w:rPr>
                <w:sz w:val="20"/>
                <w:szCs w:val="20"/>
                <w:color w:val="auto"/>
              </w:rPr>
            </w:pPr>
            <w:r>
              <w:rPr>
                <w:rFonts w:ascii="Arial" w:cs="Arial" w:eastAsia="Arial" w:hAnsi="Arial"/>
                <w:sz w:val="18"/>
                <w:szCs w:val="18"/>
                <w:color w:val="auto"/>
              </w:rPr>
              <w:t>442.6</w:t>
            </w:r>
          </w:p>
        </w:tc>
        <w:tc>
          <w:tcPr>
            <w:tcW w:w="1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r>
      <w:tr>
        <w:trPr>
          <w:trHeight w:val="185"/>
        </w:trPr>
        <w:tc>
          <w:tcPr>
            <w:tcW w:w="20" w:type="dxa"/>
            <w:vAlign w:val="bottom"/>
          </w:tcPr>
          <w:p>
            <w:pPr>
              <w:spacing w:after="0"/>
              <w:rPr>
                <w:sz w:val="16"/>
                <w:szCs w:val="16"/>
                <w:color w:val="auto"/>
              </w:rPr>
            </w:pPr>
          </w:p>
        </w:tc>
        <w:tc>
          <w:tcPr>
            <w:tcW w:w="5000" w:type="dxa"/>
            <w:vAlign w:val="bottom"/>
          </w:tcPr>
          <w:p>
            <w:pPr>
              <w:ind w:left="180"/>
              <w:spacing w:after="0" w:line="185" w:lineRule="exact"/>
              <w:rPr>
                <w:sz w:val="20"/>
                <w:szCs w:val="20"/>
                <w:color w:val="auto"/>
              </w:rPr>
            </w:pPr>
            <w:r>
              <w:rPr>
                <w:rFonts w:ascii="Arial" w:cs="Arial" w:eastAsia="Arial" w:hAnsi="Arial"/>
                <w:sz w:val="18"/>
                <w:szCs w:val="18"/>
                <w:color w:val="auto"/>
              </w:rPr>
              <w:t>Provision for income taxes</w:t>
            </w:r>
          </w:p>
        </w:tc>
        <w:tc>
          <w:tcPr>
            <w:tcW w:w="300" w:type="dxa"/>
            <w:vAlign w:val="bottom"/>
          </w:tcPr>
          <w:p>
            <w:pPr>
              <w:spacing w:after="0"/>
              <w:rPr>
                <w:sz w:val="16"/>
                <w:szCs w:val="16"/>
                <w:color w:val="auto"/>
              </w:rPr>
            </w:pPr>
          </w:p>
        </w:tc>
        <w:tc>
          <w:tcPr>
            <w:tcW w:w="980" w:type="dxa"/>
            <w:vAlign w:val="bottom"/>
          </w:tcPr>
          <w:p>
            <w:pPr>
              <w:jc w:val="right"/>
              <w:ind w:right="70"/>
              <w:spacing w:after="0" w:line="185" w:lineRule="exact"/>
              <w:rPr>
                <w:sz w:val="20"/>
                <w:szCs w:val="20"/>
                <w:color w:val="auto"/>
              </w:rPr>
            </w:pPr>
            <w:r>
              <w:rPr>
                <w:rFonts w:ascii="Arial" w:cs="Arial" w:eastAsia="Arial" w:hAnsi="Arial"/>
                <w:sz w:val="18"/>
                <w:szCs w:val="18"/>
                <w:color w:val="auto"/>
              </w:rPr>
              <w:t>(13.7)</w:t>
            </w:r>
          </w:p>
        </w:tc>
        <w:tc>
          <w:tcPr>
            <w:tcW w:w="160" w:type="dxa"/>
            <w:vAlign w:val="bottom"/>
          </w:tcPr>
          <w:p>
            <w:pPr>
              <w:spacing w:after="0"/>
              <w:rPr>
                <w:sz w:val="16"/>
                <w:szCs w:val="16"/>
                <w:color w:val="auto"/>
              </w:rPr>
            </w:pPr>
          </w:p>
        </w:tc>
        <w:tc>
          <w:tcPr>
            <w:tcW w:w="1040" w:type="dxa"/>
            <w:vAlign w:val="bottom"/>
          </w:tcPr>
          <w:p>
            <w:pPr>
              <w:jc w:val="right"/>
              <w:ind w:right="210"/>
              <w:spacing w:after="0" w:line="185" w:lineRule="exact"/>
              <w:rPr>
                <w:sz w:val="20"/>
                <w:szCs w:val="20"/>
                <w:color w:val="auto"/>
              </w:rPr>
            </w:pPr>
            <w:r>
              <w:rPr>
                <w:rFonts w:ascii="Arial" w:cs="Arial" w:eastAsia="Arial" w:hAnsi="Arial"/>
                <w:sz w:val="18"/>
                <w:szCs w:val="18"/>
                <w:color w:val="auto"/>
              </w:rPr>
              <w:t>237.1</w:t>
            </w:r>
          </w:p>
        </w:tc>
        <w:tc>
          <w:tcPr>
            <w:tcW w:w="1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r>
      <w:tr>
        <w:trPr>
          <w:trHeight w:val="221"/>
        </w:trPr>
        <w:tc>
          <w:tcPr>
            <w:tcW w:w="20" w:type="dxa"/>
            <w:vAlign w:val="bottom"/>
          </w:tcPr>
          <w:p>
            <w:pPr>
              <w:spacing w:after="0"/>
              <w:rPr>
                <w:sz w:val="19"/>
                <w:szCs w:val="19"/>
                <w:color w:val="auto"/>
              </w:rPr>
            </w:pPr>
          </w:p>
        </w:tc>
        <w:tc>
          <w:tcPr>
            <w:tcW w:w="5000" w:type="dxa"/>
            <w:vAlign w:val="bottom"/>
            <w:tcBorders>
              <w:bottom w:val="single" w:sz="8" w:color="939598"/>
            </w:tcBorders>
          </w:tcPr>
          <w:p>
            <w:pPr>
              <w:ind w:left="180"/>
              <w:spacing w:after="0"/>
              <w:rPr>
                <w:sz w:val="20"/>
                <w:szCs w:val="20"/>
                <w:color w:val="auto"/>
              </w:rPr>
            </w:pPr>
            <w:r>
              <w:rPr>
                <w:rFonts w:ascii="Arial" w:cs="Arial" w:eastAsia="Arial" w:hAnsi="Arial"/>
                <w:sz w:val="18"/>
                <w:szCs w:val="18"/>
                <w:i w:val="1"/>
                <w:iCs w:val="1"/>
                <w:color w:val="auto"/>
              </w:rPr>
              <w:t>Effective income tax rate</w:t>
            </w:r>
          </w:p>
        </w:tc>
        <w:tc>
          <w:tcPr>
            <w:tcW w:w="300" w:type="dxa"/>
            <w:vAlign w:val="bottom"/>
            <w:tcBorders>
              <w:bottom w:val="single" w:sz="8" w:color="939598"/>
            </w:tcBorders>
          </w:tcPr>
          <w:p>
            <w:pPr>
              <w:spacing w:after="0"/>
              <w:rPr>
                <w:sz w:val="19"/>
                <w:szCs w:val="19"/>
                <w:color w:val="auto"/>
              </w:rPr>
            </w:pPr>
          </w:p>
        </w:tc>
        <w:tc>
          <w:tcPr>
            <w:tcW w:w="980" w:type="dxa"/>
            <w:vAlign w:val="bottom"/>
            <w:tcBorders>
              <w:bottom w:val="single" w:sz="8" w:color="939598"/>
            </w:tcBorders>
          </w:tcPr>
          <w:p>
            <w:pPr>
              <w:jc w:val="right"/>
              <w:spacing w:after="0"/>
              <w:rPr>
                <w:sz w:val="20"/>
                <w:szCs w:val="20"/>
                <w:color w:val="auto"/>
              </w:rPr>
            </w:pPr>
            <w:r>
              <w:rPr>
                <w:rFonts w:ascii="Arial" w:cs="Arial" w:eastAsia="Arial" w:hAnsi="Arial"/>
                <w:sz w:val="18"/>
                <w:szCs w:val="18"/>
                <w:i w:val="1"/>
                <w:iCs w:val="1"/>
                <w:color w:val="auto"/>
              </w:rPr>
              <w:t>(59.9)%</w:t>
            </w:r>
          </w:p>
        </w:tc>
        <w:tc>
          <w:tcPr>
            <w:tcW w:w="160" w:type="dxa"/>
            <w:vAlign w:val="bottom"/>
            <w:tcBorders>
              <w:bottom w:val="single" w:sz="8" w:color="939598"/>
            </w:tcBorders>
          </w:tcPr>
          <w:p>
            <w:pPr>
              <w:spacing w:after="0"/>
              <w:rPr>
                <w:sz w:val="19"/>
                <w:szCs w:val="19"/>
                <w:color w:val="auto"/>
              </w:rPr>
            </w:pPr>
          </w:p>
        </w:tc>
        <w:tc>
          <w:tcPr>
            <w:tcW w:w="1040" w:type="dxa"/>
            <w:vAlign w:val="bottom"/>
            <w:tcBorders>
              <w:bottom w:val="single" w:sz="8" w:color="939598"/>
            </w:tcBorders>
          </w:tcPr>
          <w:p>
            <w:pPr>
              <w:jc w:val="right"/>
              <w:ind w:right="50"/>
              <w:spacing w:after="0"/>
              <w:rPr>
                <w:sz w:val="20"/>
                <w:szCs w:val="20"/>
                <w:color w:val="auto"/>
              </w:rPr>
            </w:pPr>
            <w:r>
              <w:rPr>
                <w:rFonts w:ascii="Arial" w:cs="Arial" w:eastAsia="Arial" w:hAnsi="Arial"/>
                <w:sz w:val="18"/>
                <w:szCs w:val="18"/>
                <w:i w:val="1"/>
                <w:iCs w:val="1"/>
                <w:color w:val="auto"/>
              </w:rPr>
              <w:t>53.6%</w:t>
            </w:r>
          </w:p>
        </w:tc>
        <w:tc>
          <w:tcPr>
            <w:tcW w:w="1340" w:type="dxa"/>
            <w:vAlign w:val="bottom"/>
            <w:tcBorders>
              <w:bottom w:val="single" w:sz="8" w:color="939598"/>
            </w:tcBorders>
          </w:tcPr>
          <w:p>
            <w:pPr>
              <w:spacing w:after="0"/>
              <w:rPr>
                <w:sz w:val="19"/>
                <w:szCs w:val="19"/>
                <w:color w:val="auto"/>
              </w:rPr>
            </w:pPr>
          </w:p>
        </w:tc>
        <w:tc>
          <w:tcPr>
            <w:tcW w:w="1140" w:type="dxa"/>
            <w:vAlign w:val="bottom"/>
            <w:tcBorders>
              <w:bottom w:val="single" w:sz="8" w:color="939598"/>
            </w:tcBorders>
          </w:tcPr>
          <w:p>
            <w:pPr>
              <w:spacing w:after="0"/>
              <w:rPr>
                <w:sz w:val="19"/>
                <w:szCs w:val="19"/>
                <w:color w:val="auto"/>
              </w:rPr>
            </w:pPr>
          </w:p>
        </w:tc>
        <w:tc>
          <w:tcPr>
            <w:tcW w:w="300" w:type="dxa"/>
            <w:vAlign w:val="bottom"/>
            <w:tcBorders>
              <w:bottom w:val="single" w:sz="8" w:color="939598"/>
            </w:tcBorders>
          </w:tcPr>
          <w:p>
            <w:pPr>
              <w:spacing w:after="0"/>
              <w:rPr>
                <w:sz w:val="19"/>
                <w:szCs w:val="19"/>
                <w:color w:val="auto"/>
              </w:rPr>
            </w:pPr>
          </w:p>
        </w:tc>
        <w:tc>
          <w:tcPr>
            <w:tcW w:w="920" w:type="dxa"/>
            <w:vAlign w:val="bottom"/>
            <w:tcBorders>
              <w:bottom w:val="single" w:sz="8" w:color="939598"/>
            </w:tcBorders>
          </w:tcPr>
          <w:p>
            <w:pPr>
              <w:spacing w:after="0"/>
              <w:rPr>
                <w:sz w:val="19"/>
                <w:szCs w:val="19"/>
                <w:color w:val="auto"/>
              </w:rPr>
            </w:pPr>
          </w:p>
        </w:tc>
        <w:tc>
          <w:tcPr>
            <w:tcW w:w="220" w:type="dxa"/>
            <w:vAlign w:val="bottom"/>
          </w:tcPr>
          <w:p>
            <w:pPr>
              <w:spacing w:after="0"/>
              <w:rPr>
                <w:sz w:val="19"/>
                <w:szCs w:val="19"/>
                <w:color w:val="auto"/>
              </w:rPr>
            </w:pPr>
          </w:p>
        </w:tc>
      </w:tr>
      <w:tr>
        <w:trPr>
          <w:trHeight w:val="196"/>
        </w:trPr>
        <w:tc>
          <w:tcPr>
            <w:tcW w:w="20" w:type="dxa"/>
            <w:vAlign w:val="bottom"/>
            <w:tcBorders>
              <w:bottom w:val="single" w:sz="8" w:color="939598"/>
            </w:tcBorders>
          </w:tcPr>
          <w:p>
            <w:pPr>
              <w:spacing w:after="0"/>
              <w:rPr>
                <w:sz w:val="17"/>
                <w:szCs w:val="17"/>
                <w:color w:val="auto"/>
              </w:rPr>
            </w:pPr>
          </w:p>
        </w:tc>
        <w:tc>
          <w:tcPr>
            <w:tcW w:w="5000" w:type="dxa"/>
            <w:vAlign w:val="bottom"/>
            <w:tcBorders>
              <w:bottom w:val="single" w:sz="8" w:color="939598"/>
            </w:tcBorders>
          </w:tcPr>
          <w:p>
            <w:pPr>
              <w:spacing w:after="0" w:line="196" w:lineRule="exact"/>
              <w:rPr>
                <w:sz w:val="20"/>
                <w:szCs w:val="20"/>
                <w:color w:val="auto"/>
              </w:rPr>
            </w:pPr>
            <w:r>
              <w:rPr>
                <w:rFonts w:ascii="Arial" w:cs="Arial" w:eastAsia="Arial" w:hAnsi="Arial"/>
                <w:sz w:val="18"/>
                <w:szCs w:val="18"/>
                <w:color w:val="auto"/>
              </w:rPr>
              <w:t>Net (loss) earnings</w:t>
            </w:r>
          </w:p>
        </w:tc>
        <w:tc>
          <w:tcPr>
            <w:tcW w:w="300" w:type="dxa"/>
            <w:vAlign w:val="bottom"/>
            <w:tcBorders>
              <w:bottom w:val="single" w:sz="8" w:color="939598"/>
            </w:tcBorders>
          </w:tcPr>
          <w:p>
            <w:pPr>
              <w:jc w:val="right"/>
              <w:spacing w:after="0" w:line="196" w:lineRule="exact"/>
              <w:rPr>
                <w:sz w:val="20"/>
                <w:szCs w:val="20"/>
                <w:color w:val="auto"/>
              </w:rPr>
            </w:pPr>
            <w:r>
              <w:rPr>
                <w:rFonts w:ascii="Arial" w:cs="Arial" w:eastAsia="Arial" w:hAnsi="Arial"/>
                <w:sz w:val="18"/>
                <w:szCs w:val="18"/>
                <w:color w:val="auto"/>
              </w:rPr>
              <w:t>$</w:t>
            </w:r>
          </w:p>
        </w:tc>
        <w:tc>
          <w:tcPr>
            <w:tcW w:w="980" w:type="dxa"/>
            <w:vAlign w:val="bottom"/>
            <w:tcBorders>
              <w:bottom w:val="single" w:sz="8" w:color="939598"/>
            </w:tcBorders>
          </w:tcPr>
          <w:p>
            <w:pPr>
              <w:jc w:val="right"/>
              <w:ind w:right="70"/>
              <w:spacing w:after="0" w:line="196" w:lineRule="exact"/>
              <w:rPr>
                <w:sz w:val="20"/>
                <w:szCs w:val="20"/>
                <w:color w:val="auto"/>
              </w:rPr>
            </w:pPr>
            <w:r>
              <w:rPr>
                <w:rFonts w:ascii="Arial" w:cs="Arial" w:eastAsia="Arial" w:hAnsi="Arial"/>
                <w:sz w:val="18"/>
                <w:szCs w:val="18"/>
                <w:color w:val="auto"/>
              </w:rPr>
              <w:t>(9.2)</w:t>
            </w:r>
          </w:p>
        </w:tc>
        <w:tc>
          <w:tcPr>
            <w:tcW w:w="160" w:type="dxa"/>
            <w:vAlign w:val="bottom"/>
            <w:tcBorders>
              <w:bottom w:val="single" w:sz="8" w:color="939598"/>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939598"/>
            </w:tcBorders>
          </w:tcPr>
          <w:p>
            <w:pPr>
              <w:jc w:val="right"/>
              <w:ind w:right="210"/>
              <w:spacing w:after="0" w:line="196" w:lineRule="exact"/>
              <w:rPr>
                <w:sz w:val="20"/>
                <w:szCs w:val="20"/>
                <w:color w:val="auto"/>
              </w:rPr>
            </w:pPr>
            <w:r>
              <w:rPr>
                <w:rFonts w:ascii="Arial" w:cs="Arial" w:eastAsia="Arial" w:hAnsi="Arial"/>
                <w:sz w:val="18"/>
                <w:szCs w:val="18"/>
                <w:color w:val="auto"/>
              </w:rPr>
              <w:t>205.5</w:t>
            </w:r>
          </w:p>
        </w:tc>
        <w:tc>
          <w:tcPr>
            <w:tcW w:w="1340" w:type="dxa"/>
            <w:vAlign w:val="bottom"/>
            <w:tcBorders>
              <w:bottom w:val="single" w:sz="8" w:color="939598"/>
            </w:tcBorders>
          </w:tcPr>
          <w:p>
            <w:pPr>
              <w:spacing w:after="0"/>
              <w:rPr>
                <w:sz w:val="17"/>
                <w:szCs w:val="17"/>
                <w:color w:val="auto"/>
              </w:rPr>
            </w:pPr>
          </w:p>
        </w:tc>
        <w:tc>
          <w:tcPr>
            <w:tcW w:w="1140" w:type="dxa"/>
            <w:vAlign w:val="bottom"/>
            <w:tcBorders>
              <w:bottom w:val="single" w:sz="8" w:color="939598"/>
            </w:tcBorders>
          </w:tcPr>
          <w:p>
            <w:pPr>
              <w:spacing w:after="0"/>
              <w:rPr>
                <w:sz w:val="17"/>
                <w:szCs w:val="17"/>
                <w:color w:val="auto"/>
              </w:rPr>
            </w:pPr>
          </w:p>
        </w:tc>
        <w:tc>
          <w:tcPr>
            <w:tcW w:w="300" w:type="dxa"/>
            <w:vAlign w:val="bottom"/>
            <w:tcBorders>
              <w:bottom w:val="single" w:sz="8" w:color="939598"/>
            </w:tcBorders>
          </w:tcPr>
          <w:p>
            <w:pPr>
              <w:spacing w:after="0"/>
              <w:rPr>
                <w:sz w:val="17"/>
                <w:szCs w:val="17"/>
                <w:color w:val="auto"/>
              </w:rPr>
            </w:pPr>
          </w:p>
        </w:tc>
        <w:tc>
          <w:tcPr>
            <w:tcW w:w="920" w:type="dxa"/>
            <w:vAlign w:val="bottom"/>
            <w:tcBorders>
              <w:bottom w:val="single" w:sz="8" w:color="939598"/>
            </w:tcBorders>
          </w:tcPr>
          <w:p>
            <w:pPr>
              <w:spacing w:after="0"/>
              <w:rPr>
                <w:sz w:val="17"/>
                <w:szCs w:val="17"/>
                <w:color w:val="auto"/>
              </w:rPr>
            </w:pPr>
          </w:p>
        </w:tc>
        <w:tc>
          <w:tcPr>
            <w:tcW w:w="220" w:type="dxa"/>
            <w:vAlign w:val="bottom"/>
          </w:tcPr>
          <w:p>
            <w:pPr>
              <w:spacing w:after="0"/>
              <w:rPr>
                <w:sz w:val="17"/>
                <w:szCs w:val="17"/>
                <w:color w:val="auto"/>
              </w:rPr>
            </w:pPr>
          </w:p>
        </w:tc>
      </w:tr>
      <w:tr>
        <w:trPr>
          <w:trHeight w:val="196"/>
        </w:trPr>
        <w:tc>
          <w:tcPr>
            <w:tcW w:w="5020" w:type="dxa"/>
            <w:vAlign w:val="bottom"/>
            <w:tcBorders>
              <w:bottom w:val="single" w:sz="8" w:color="939598"/>
            </w:tcBorders>
            <w:gridSpan w:val="2"/>
          </w:tcPr>
          <w:p>
            <w:pPr>
              <w:spacing w:after="0" w:line="196" w:lineRule="exact"/>
              <w:rPr>
                <w:sz w:val="20"/>
                <w:szCs w:val="20"/>
                <w:color w:val="auto"/>
              </w:rPr>
            </w:pPr>
            <w:r>
              <w:rPr>
                <w:rFonts w:ascii="Arial" w:cs="Arial" w:eastAsia="Arial" w:hAnsi="Arial"/>
                <w:sz w:val="18"/>
                <w:szCs w:val="18"/>
                <w:color w:val="auto"/>
              </w:rPr>
              <w:t>Net (loss) earnings per share – diluted</w:t>
            </w:r>
          </w:p>
        </w:tc>
        <w:tc>
          <w:tcPr>
            <w:tcW w:w="300" w:type="dxa"/>
            <w:vAlign w:val="bottom"/>
            <w:tcBorders>
              <w:bottom w:val="single" w:sz="8" w:color="939598"/>
            </w:tcBorders>
          </w:tcPr>
          <w:p>
            <w:pPr>
              <w:jc w:val="right"/>
              <w:spacing w:after="0" w:line="196" w:lineRule="exact"/>
              <w:rPr>
                <w:sz w:val="20"/>
                <w:szCs w:val="20"/>
                <w:color w:val="auto"/>
              </w:rPr>
            </w:pPr>
            <w:r>
              <w:rPr>
                <w:rFonts w:ascii="Arial" w:cs="Arial" w:eastAsia="Arial" w:hAnsi="Arial"/>
                <w:sz w:val="18"/>
                <w:szCs w:val="18"/>
                <w:color w:val="auto"/>
              </w:rPr>
              <w:t>$</w:t>
            </w:r>
          </w:p>
        </w:tc>
        <w:tc>
          <w:tcPr>
            <w:tcW w:w="980" w:type="dxa"/>
            <w:vAlign w:val="bottom"/>
            <w:tcBorders>
              <w:bottom w:val="single" w:sz="8" w:color="939598"/>
            </w:tcBorders>
          </w:tcPr>
          <w:p>
            <w:pPr>
              <w:jc w:val="right"/>
              <w:ind w:right="70"/>
              <w:spacing w:after="0" w:line="196" w:lineRule="exact"/>
              <w:rPr>
                <w:sz w:val="20"/>
                <w:szCs w:val="20"/>
                <w:color w:val="auto"/>
              </w:rPr>
            </w:pPr>
            <w:r>
              <w:rPr>
                <w:rFonts w:ascii="Arial" w:cs="Arial" w:eastAsia="Arial" w:hAnsi="Arial"/>
                <w:sz w:val="18"/>
                <w:szCs w:val="18"/>
                <w:color w:val="auto"/>
              </w:rPr>
              <w:t>(0.12)</w:t>
            </w:r>
          </w:p>
        </w:tc>
        <w:tc>
          <w:tcPr>
            <w:tcW w:w="160" w:type="dxa"/>
            <w:vAlign w:val="bottom"/>
            <w:tcBorders>
              <w:bottom w:val="single" w:sz="8" w:color="939598"/>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939598"/>
            </w:tcBorders>
          </w:tcPr>
          <w:p>
            <w:pPr>
              <w:jc w:val="right"/>
              <w:ind w:right="210"/>
              <w:spacing w:after="0" w:line="196" w:lineRule="exact"/>
              <w:rPr>
                <w:sz w:val="20"/>
                <w:szCs w:val="20"/>
                <w:color w:val="auto"/>
              </w:rPr>
            </w:pPr>
            <w:r>
              <w:rPr>
                <w:rFonts w:ascii="Arial" w:cs="Arial" w:eastAsia="Arial" w:hAnsi="Arial"/>
                <w:sz w:val="18"/>
                <w:szCs w:val="18"/>
                <w:color w:val="auto"/>
              </w:rPr>
              <w:t>2.58</w:t>
            </w:r>
          </w:p>
        </w:tc>
        <w:tc>
          <w:tcPr>
            <w:tcW w:w="1340" w:type="dxa"/>
            <w:vAlign w:val="bottom"/>
            <w:tcBorders>
              <w:bottom w:val="single" w:sz="8" w:color="939598"/>
            </w:tcBorders>
          </w:tcPr>
          <w:p>
            <w:pPr>
              <w:spacing w:after="0"/>
              <w:rPr>
                <w:sz w:val="17"/>
                <w:szCs w:val="17"/>
                <w:color w:val="auto"/>
              </w:rPr>
            </w:pPr>
          </w:p>
        </w:tc>
        <w:tc>
          <w:tcPr>
            <w:tcW w:w="1140" w:type="dxa"/>
            <w:vAlign w:val="bottom"/>
            <w:tcBorders>
              <w:bottom w:val="single" w:sz="8" w:color="939598"/>
            </w:tcBorders>
          </w:tcPr>
          <w:p>
            <w:pPr>
              <w:spacing w:after="0"/>
              <w:rPr>
                <w:sz w:val="17"/>
                <w:szCs w:val="17"/>
                <w:color w:val="auto"/>
              </w:rPr>
            </w:pPr>
          </w:p>
        </w:tc>
        <w:tc>
          <w:tcPr>
            <w:tcW w:w="300" w:type="dxa"/>
            <w:vAlign w:val="bottom"/>
            <w:tcBorders>
              <w:bottom w:val="single" w:sz="8" w:color="939598"/>
            </w:tcBorders>
          </w:tcPr>
          <w:p>
            <w:pPr>
              <w:spacing w:after="0"/>
              <w:rPr>
                <w:sz w:val="17"/>
                <w:szCs w:val="17"/>
                <w:color w:val="auto"/>
              </w:rPr>
            </w:pPr>
          </w:p>
        </w:tc>
        <w:tc>
          <w:tcPr>
            <w:tcW w:w="920" w:type="dxa"/>
            <w:vAlign w:val="bottom"/>
            <w:tcBorders>
              <w:bottom w:val="single" w:sz="8" w:color="939598"/>
            </w:tcBorders>
          </w:tcPr>
          <w:p>
            <w:pPr>
              <w:spacing w:after="0"/>
              <w:rPr>
                <w:sz w:val="17"/>
                <w:szCs w:val="17"/>
                <w:color w:val="auto"/>
              </w:rPr>
            </w:pPr>
          </w:p>
        </w:tc>
        <w:tc>
          <w:tcPr>
            <w:tcW w:w="220" w:type="dxa"/>
            <w:vAlign w:val="bottom"/>
          </w:tcPr>
          <w:p>
            <w:pPr>
              <w:spacing w:after="0"/>
              <w:rPr>
                <w:sz w:val="17"/>
                <w:szCs w:val="17"/>
                <w:color w:val="auto"/>
              </w:rPr>
            </w:pPr>
          </w:p>
        </w:tc>
      </w:tr>
      <w:tr>
        <w:trPr>
          <w:trHeight w:val="203"/>
        </w:trPr>
        <w:tc>
          <w:tcPr>
            <w:tcW w:w="5020" w:type="dxa"/>
            <w:vAlign w:val="bottom"/>
            <w:tcBorders>
              <w:bottom w:val="single" w:sz="8" w:color="939598"/>
            </w:tcBorders>
            <w:gridSpan w:val="2"/>
          </w:tcPr>
          <w:p>
            <w:pPr>
              <w:spacing w:after="0" w:line="196" w:lineRule="exact"/>
              <w:rPr>
                <w:sz w:val="20"/>
                <w:szCs w:val="20"/>
                <w:color w:val="auto"/>
              </w:rPr>
            </w:pPr>
            <w:r>
              <w:rPr>
                <w:rFonts w:ascii="Arial" w:cs="Arial" w:eastAsia="Arial" w:hAnsi="Arial"/>
                <w:sz w:val="18"/>
                <w:szCs w:val="18"/>
                <w:color w:val="auto"/>
              </w:rPr>
              <w:t>Weighted average shares – diluted</w:t>
            </w:r>
          </w:p>
        </w:tc>
        <w:tc>
          <w:tcPr>
            <w:tcW w:w="300" w:type="dxa"/>
            <w:vAlign w:val="bottom"/>
            <w:tcBorders>
              <w:bottom w:val="single" w:sz="8" w:color="939598"/>
            </w:tcBorders>
          </w:tcPr>
          <w:p>
            <w:pPr>
              <w:spacing w:after="0"/>
              <w:rPr>
                <w:sz w:val="17"/>
                <w:szCs w:val="17"/>
                <w:color w:val="auto"/>
              </w:rPr>
            </w:pPr>
          </w:p>
        </w:tc>
        <w:tc>
          <w:tcPr>
            <w:tcW w:w="980" w:type="dxa"/>
            <w:vAlign w:val="bottom"/>
            <w:tcBorders>
              <w:bottom w:val="single" w:sz="8" w:color="939598"/>
            </w:tcBorders>
          </w:tcPr>
          <w:p>
            <w:pPr>
              <w:jc w:val="right"/>
              <w:ind w:right="130"/>
              <w:spacing w:after="0" w:line="196" w:lineRule="exact"/>
              <w:rPr>
                <w:sz w:val="20"/>
                <w:szCs w:val="20"/>
                <w:color w:val="auto"/>
              </w:rPr>
            </w:pPr>
            <w:r>
              <w:rPr>
                <w:rFonts w:ascii="Arial" w:cs="Arial" w:eastAsia="Arial" w:hAnsi="Arial"/>
                <w:sz w:val="18"/>
                <w:szCs w:val="18"/>
                <w:color w:val="auto"/>
              </w:rPr>
              <w:t>78.3</w:t>
            </w:r>
          </w:p>
        </w:tc>
        <w:tc>
          <w:tcPr>
            <w:tcW w:w="160" w:type="dxa"/>
            <w:vAlign w:val="bottom"/>
            <w:tcBorders>
              <w:bottom w:val="single" w:sz="8" w:color="939598"/>
            </w:tcBorders>
          </w:tcPr>
          <w:p>
            <w:pPr>
              <w:spacing w:after="0"/>
              <w:rPr>
                <w:sz w:val="17"/>
                <w:szCs w:val="17"/>
                <w:color w:val="auto"/>
              </w:rPr>
            </w:pPr>
          </w:p>
        </w:tc>
        <w:tc>
          <w:tcPr>
            <w:tcW w:w="1040" w:type="dxa"/>
            <w:vAlign w:val="bottom"/>
            <w:tcBorders>
              <w:bottom w:val="single" w:sz="8" w:color="939598"/>
            </w:tcBorders>
          </w:tcPr>
          <w:p>
            <w:pPr>
              <w:jc w:val="right"/>
              <w:ind w:right="210"/>
              <w:spacing w:after="0" w:line="196" w:lineRule="exact"/>
              <w:rPr>
                <w:sz w:val="20"/>
                <w:szCs w:val="20"/>
                <w:color w:val="auto"/>
              </w:rPr>
            </w:pPr>
            <w:r>
              <w:rPr>
                <w:rFonts w:ascii="Arial" w:cs="Arial" w:eastAsia="Arial" w:hAnsi="Arial"/>
                <w:sz w:val="18"/>
                <w:szCs w:val="18"/>
                <w:color w:val="auto"/>
              </w:rPr>
              <w:t>79.7</w:t>
            </w:r>
          </w:p>
        </w:tc>
        <w:tc>
          <w:tcPr>
            <w:tcW w:w="1340" w:type="dxa"/>
            <w:vAlign w:val="bottom"/>
            <w:tcBorders>
              <w:bottom w:val="single" w:sz="8" w:color="939598"/>
            </w:tcBorders>
          </w:tcPr>
          <w:p>
            <w:pPr>
              <w:jc w:val="right"/>
              <w:ind w:right="212"/>
              <w:spacing w:after="0" w:line="196" w:lineRule="exact"/>
              <w:rPr>
                <w:sz w:val="20"/>
                <w:szCs w:val="20"/>
                <w:color w:val="auto"/>
              </w:rPr>
            </w:pPr>
            <w:r>
              <w:rPr>
                <w:rFonts w:ascii="Arial" w:cs="Arial" w:eastAsia="Arial" w:hAnsi="Arial"/>
                <w:sz w:val="18"/>
                <w:szCs w:val="18"/>
                <w:color w:val="auto"/>
              </w:rPr>
              <w:t>(1.7)%</w:t>
            </w:r>
          </w:p>
        </w:tc>
        <w:tc>
          <w:tcPr>
            <w:tcW w:w="1140" w:type="dxa"/>
            <w:vAlign w:val="bottom"/>
            <w:tcBorders>
              <w:bottom w:val="single" w:sz="8" w:color="939598"/>
            </w:tcBorders>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year-over-year decrease in Revenues from Services is primarily attributable to:</w:t>
      </w:r>
    </w:p>
    <w:p>
      <w:pPr>
        <w:spacing w:after="0" w:line="9" w:lineRule="exact"/>
        <w:rPr>
          <w:sz w:val="20"/>
          <w:szCs w:val="20"/>
          <w:color w:val="auto"/>
        </w:rPr>
      </w:pPr>
    </w:p>
    <w:p>
      <w:pPr>
        <w:jc w:val="both"/>
        <w:ind w:left="220"/>
        <w:spacing w:after="0" w:line="242" w:lineRule="auto"/>
        <w:rPr>
          <w:sz w:val="20"/>
          <w:szCs w:val="20"/>
          <w:color w:val="auto"/>
        </w:rPr>
      </w:pPr>
      <w:r>
        <w:rPr>
          <w:rFonts w:ascii="Arial" w:cs="Arial" w:eastAsia="Arial" w:hAnsi="Arial"/>
          <w:sz w:val="18"/>
          <w:szCs w:val="18"/>
          <w:color w:val="auto"/>
        </w:rPr>
        <w:t>decreased demand for services in most of our markets, including the Americas, France, EMEA, and Asia Pacific, where revenues decreased 14.4%, 29.2%, 21.7% and 9.2%, respectively, on a constant currency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-225425</wp:posOffset>
            </wp:positionV>
            <wp:extent cx="59690" cy="596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220"/>
        <w:spacing w:after="0"/>
        <w:rPr>
          <w:sz w:val="20"/>
          <w:szCs w:val="20"/>
          <w:color w:val="auto"/>
        </w:rPr>
      </w:pPr>
      <w:r>
        <w:rPr>
          <w:rFonts w:ascii="Arial" w:cs="Arial" w:eastAsia="Arial" w:hAnsi="Arial"/>
          <w:sz w:val="18"/>
          <w:szCs w:val="18"/>
          <w:color w:val="auto"/>
        </w:rPr>
        <w:t>a 4.6% decrease due to the impact of currency exchange 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-91440</wp:posOffset>
            </wp:positionV>
            <wp:extent cx="59690" cy="596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220"/>
        <w:spacing w:after="0"/>
        <w:rPr>
          <w:sz w:val="20"/>
          <w:szCs w:val="20"/>
          <w:color w:val="auto"/>
        </w:rPr>
      </w:pPr>
      <w:r>
        <w:rPr>
          <w:rFonts w:ascii="Arial" w:cs="Arial" w:eastAsia="Arial" w:hAnsi="Arial"/>
          <w:sz w:val="18"/>
          <w:szCs w:val="18"/>
          <w:color w:val="auto"/>
        </w:rPr>
        <w:t>offset by increased demand for Right Management’s services where revenues increased 28.5% on a constant currency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-91440</wp:posOffset>
            </wp:positionV>
            <wp:extent cx="59690" cy="596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The overall 141 basis point (-1.41%) decrease in Gross Profit Margin is attributed to:</w:t>
      </w:r>
    </w:p>
    <w:p>
      <w:pPr>
        <w:spacing w:after="0" w:line="9" w:lineRule="exact"/>
        <w:rPr>
          <w:sz w:val="20"/>
          <w:szCs w:val="20"/>
          <w:color w:val="auto"/>
        </w:rPr>
      </w:pPr>
    </w:p>
    <w:p>
      <w:pPr>
        <w:jc w:val="both"/>
        <w:ind w:left="220"/>
        <w:spacing w:after="0" w:line="241" w:lineRule="auto"/>
        <w:rPr>
          <w:sz w:val="20"/>
          <w:szCs w:val="20"/>
          <w:color w:val="auto"/>
        </w:rPr>
      </w:pPr>
      <w:r>
        <w:rPr>
          <w:rFonts w:ascii="Arial" w:cs="Arial" w:eastAsia="Arial" w:hAnsi="Arial"/>
          <w:sz w:val="18"/>
          <w:szCs w:val="18"/>
          <w:color w:val="auto"/>
        </w:rPr>
        <w:t>a 107 basis point (-1.07%) decline from our temporary recruitment business mainly due to pricing pressures in most of our markets because of the economic environment during the period, a change in the mix of our staffing business as we saw our higher-margin small/medium sized businesses decline at a faster rate than our key account business, and a change in the geographic mix of our staffing business as countries with higher gross profit margins, such as Sweden, Germany, the Netherlands and Italy, reported larger declines in business than countries with relatively lower gross profit margins;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-619760</wp:posOffset>
            </wp:positionV>
            <wp:extent cx="59690" cy="596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220"/>
        <w:spacing w:after="0"/>
        <w:rPr>
          <w:sz w:val="20"/>
          <w:szCs w:val="20"/>
          <w:color w:val="auto"/>
        </w:rPr>
      </w:pPr>
      <w:r>
        <w:rPr>
          <w:rFonts w:ascii="Arial" w:cs="Arial" w:eastAsia="Arial" w:hAnsi="Arial"/>
          <w:sz w:val="18"/>
          <w:szCs w:val="18"/>
          <w:color w:val="auto"/>
        </w:rPr>
        <w:t>a 60 basis point (-0.60%) decline due to the 49.0% constant currency decline in our permanent recruitment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-91440</wp:posOffset>
            </wp:positionV>
            <wp:extent cx="59690" cy="596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220" w:right="480"/>
        <w:spacing w:after="0" w:line="250" w:lineRule="auto"/>
        <w:rPr>
          <w:sz w:val="20"/>
          <w:szCs w:val="20"/>
          <w:color w:val="auto"/>
        </w:rPr>
      </w:pPr>
      <w:r>
        <w:rPr>
          <w:rFonts w:ascii="Arial" w:cs="Arial" w:eastAsia="Arial" w:hAnsi="Arial"/>
          <w:sz w:val="18"/>
          <w:szCs w:val="18"/>
          <w:color w:val="auto"/>
        </w:rPr>
        <w:t>a 32 basis point (-0.32%) decline due to the favorable impact in 2008 from the modification to the calculation of payroll taxes in France; a 22 basis point (-0.22%) decline due to the favorable impact in 2008 from a business tax refund in France;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-233680</wp:posOffset>
            </wp:positionV>
            <wp:extent cx="59690" cy="596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9690" cy="59690"/>
                    </a:xfrm>
                    <a:prstGeom prst="rect">
                      <a:avLst/>
                    </a:prstGeom>
                    <a:noFill/>
                  </pic:spPr>
                </pic:pic>
              </a:graphicData>
            </a:graphic>
          </wp:anchor>
        </w:drawing>
        <w:drawing>
          <wp:anchor simplePos="0" relativeHeight="251657728" behindDoc="1" locked="0" layoutInCell="0" allowOverlap="1">
            <wp:simplePos x="0" y="0"/>
            <wp:positionH relativeFrom="column">
              <wp:posOffset>207010</wp:posOffset>
            </wp:positionH>
            <wp:positionV relativeFrom="paragraph">
              <wp:posOffset>-96520</wp:posOffset>
            </wp:positionV>
            <wp:extent cx="59690" cy="596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jc w:val="both"/>
        <w:ind w:left="220"/>
        <w:spacing w:after="0"/>
        <w:rPr>
          <w:sz w:val="20"/>
          <w:szCs w:val="20"/>
          <w:color w:val="auto"/>
        </w:rPr>
      </w:pPr>
      <w:r>
        <w:rPr>
          <w:rFonts w:ascii="Arial" w:cs="Arial" w:eastAsia="Arial" w:hAnsi="Arial"/>
          <w:sz w:val="18"/>
          <w:szCs w:val="18"/>
          <w:color w:val="auto"/>
        </w:rPr>
        <w:t>offset by a 73 basis point (+0.73%) increase from our specialty business, primarily due to the growth of Right Management, where the gross profit margin is higher than the Company average, and margin expansion at Right Management resulting from the significant growth in the outplacement business;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-354330</wp:posOffset>
            </wp:positionV>
            <wp:extent cx="59690" cy="596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220"/>
        <w:spacing w:after="0"/>
        <w:rPr>
          <w:sz w:val="20"/>
          <w:szCs w:val="20"/>
          <w:color w:val="auto"/>
        </w:rPr>
      </w:pPr>
      <w:r>
        <w:rPr>
          <w:rFonts w:ascii="Arial" w:cs="Arial" w:eastAsia="Arial" w:hAnsi="Arial"/>
          <w:sz w:val="18"/>
          <w:szCs w:val="18"/>
          <w:color w:val="auto"/>
        </w:rPr>
        <w:t>a 7 basis point (+0.07%) increase due to the impact of currency exchange rates on the mix of our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-91440</wp:posOffset>
            </wp:positionV>
            <wp:extent cx="59690" cy="596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24 </w:t>
      </w:r>
      <w:r>
        <w:rPr>
          <w:rFonts w:ascii="Arial" w:cs="Arial" w:eastAsia="Arial" w:hAnsi="Arial"/>
          <w:sz w:val="18"/>
          <w:szCs w:val="18"/>
          <w:color w:val="auto"/>
        </w:rPr>
        <w:t>Manpower 2010 Annual Report</w:t>
      </w:r>
      <w:r>
        <w:rPr>
          <w:rFonts w:ascii="Arial" w:cs="Arial" w:eastAsia="Arial" w:hAnsi="Arial"/>
          <w:sz w:val="18"/>
          <w:szCs w:val="18"/>
          <w:b w:val="1"/>
          <w:bCs w:val="1"/>
          <w:color w:val="auto"/>
        </w:rPr>
        <w:t xml:space="preserve"> </w:t>
      </w:r>
      <w:r>
        <w:rPr>
          <w:rFonts w:ascii="Arial" w:cs="Arial" w:eastAsia="Arial" w:hAnsi="Arial"/>
          <w:sz w:val="18"/>
          <w:szCs w:val="18"/>
          <w:b w:val="1"/>
          <w:bCs w:val="1"/>
          <w:color w:val="939598"/>
        </w:rPr>
        <w:t>Management’s Discussion &amp;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267575" cy="469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ectPr>
          <w:pgSz w:w="11900" w:h="16838" w:orient="portrait"/>
          <w:cols w:equalWidth="0" w:num="1">
            <w:col w:w="11420"/>
          </w:cols>
          <w:pgMar w:left="240" w:top="376" w:right="239" w:bottom="1440" w:gutter="0" w:footer="0" w:header="0"/>
        </w:sectPr>
      </w:pPr>
    </w:p>
    <w:bookmarkStart w:id="54" w:name="page55"/>
    <w:bookmarkEnd w:id="54"/>
    <w:p>
      <w:pPr>
        <w:spacing w:after="0"/>
        <w:rPr>
          <w:sz w:val="20"/>
          <w:szCs w:val="20"/>
          <w:color w:val="auto"/>
        </w:rPr>
      </w:pPr>
      <w:r>
        <w:rPr>
          <w:rFonts w:ascii="Arial" w:cs="Arial" w:eastAsia="Arial" w:hAnsi="Arial"/>
          <w:sz w:val="18"/>
          <w:szCs w:val="18"/>
          <w:color w:val="auto"/>
        </w:rPr>
        <w:t>The 22.7% decrease in Selling and Administrative Expenses in 2009, or 18.2% decrease in constant currency, was due to:</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our focus on reducing expenses and rebalancing our cost structure in response to the lower business volumes;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-91440</wp:posOffset>
            </wp:positionV>
            <wp:extent cx="59690" cy="596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jc w:val="both"/>
        <w:ind w:left="220"/>
        <w:spacing w:after="0"/>
        <w:rPr>
          <w:sz w:val="20"/>
          <w:szCs w:val="20"/>
          <w:color w:val="auto"/>
        </w:rPr>
      </w:pPr>
      <w:r>
        <w:rPr>
          <w:rFonts w:ascii="Arial" w:cs="Arial" w:eastAsia="Arial" w:hAnsi="Arial"/>
          <w:sz w:val="18"/>
          <w:szCs w:val="18"/>
          <w:color w:val="auto"/>
        </w:rPr>
        <w:t>a $61.0 million goodwill impairment charge recorded in the third quarter of 2009 related to Jefferson Wells as compared to a $163.1 million goodwill and intangible asset impairment charge recorded in the third quarter of 2008 related to Right Management (see Note 1 to the Consolidated Financial Statements for further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-354330</wp:posOffset>
            </wp:positionV>
            <wp:extent cx="59690" cy="596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jc w:val="both"/>
        <w:ind w:left="220" w:right="20"/>
        <w:spacing w:after="0" w:line="242" w:lineRule="auto"/>
        <w:rPr>
          <w:sz w:val="20"/>
          <w:szCs w:val="20"/>
          <w:color w:val="auto"/>
        </w:rPr>
      </w:pPr>
      <w:r>
        <w:rPr>
          <w:rFonts w:ascii="Arial" w:cs="Arial" w:eastAsia="Arial" w:hAnsi="Arial"/>
          <w:sz w:val="18"/>
          <w:szCs w:val="18"/>
          <w:color w:val="auto"/>
        </w:rPr>
        <w:t>a decline of $ 58.0 million of costs related to the French competition investigation ($54.1 million was recorded in the second quarter of 2008, of which $3.9 million was reversed in the first quarter of 2009; see Note 13 to the Consolidated Financial Statements for further information); a $4.3 million gain in Japan related to the termination of a defined benefit plan and a $4.9 million reversal of a reserve that we determined was no longer necessary, both of which were recorded in the first quarter of 2009;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-490220</wp:posOffset>
            </wp:positionV>
            <wp:extent cx="59690" cy="596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9690" cy="59690"/>
                    </a:xfrm>
                    <a:prstGeom prst="rect">
                      <a:avLst/>
                    </a:prstGeom>
                    <a:noFill/>
                  </pic:spPr>
                </pic:pic>
              </a:graphicData>
            </a:graphic>
          </wp:anchor>
        </w:drawing>
        <w:drawing>
          <wp:anchor simplePos="0" relativeHeight="251657728" behindDoc="1" locked="0" layoutInCell="0" allowOverlap="1">
            <wp:simplePos x="0" y="0"/>
            <wp:positionH relativeFrom="column">
              <wp:posOffset>207010</wp:posOffset>
            </wp:positionH>
            <wp:positionV relativeFrom="paragraph">
              <wp:posOffset>-224155</wp:posOffset>
            </wp:positionV>
            <wp:extent cx="59690" cy="596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jc w:val="both"/>
        <w:ind w:left="220"/>
        <w:spacing w:after="0" w:line="251" w:lineRule="auto"/>
        <w:rPr>
          <w:sz w:val="20"/>
          <w:szCs w:val="20"/>
          <w:color w:val="auto"/>
        </w:rPr>
      </w:pPr>
      <w:r>
        <w:rPr>
          <w:rFonts w:ascii="Arial" w:cs="Arial" w:eastAsia="Arial" w:hAnsi="Arial"/>
          <w:sz w:val="18"/>
          <w:szCs w:val="18"/>
          <w:color w:val="auto"/>
        </w:rPr>
        <w:t>$33.5 million of reorganization charges for severances and other office closure costs recorded in 2009 as compared to $37.2 million recorded in the fourth quarter of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-234950</wp:posOffset>
            </wp:positionV>
            <wp:extent cx="59690" cy="596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Selling and Administrative Expenses as a percent of revenue increased by 0.6% (+60 basis points) in 2009 compared to 2008. The change in Selling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Administrative Expenses as a percent of revenue consists of:</w:t>
      </w:r>
    </w:p>
    <w:p>
      <w:pPr>
        <w:spacing w:after="0" w:line="22" w:lineRule="exact"/>
        <w:rPr>
          <w:sz w:val="20"/>
          <w:szCs w:val="20"/>
          <w:color w:val="auto"/>
        </w:rPr>
      </w:pPr>
    </w:p>
    <w:p>
      <w:pPr>
        <w:ind w:left="220"/>
        <w:spacing w:after="0" w:line="242" w:lineRule="auto"/>
        <w:rPr>
          <w:sz w:val="20"/>
          <w:szCs w:val="20"/>
          <w:color w:val="auto"/>
        </w:rPr>
      </w:pPr>
      <w:r>
        <w:rPr>
          <w:rFonts w:ascii="Arial" w:cs="Arial" w:eastAsia="Arial" w:hAnsi="Arial"/>
          <w:sz w:val="18"/>
          <w:szCs w:val="18"/>
          <w:color w:val="auto"/>
        </w:rPr>
        <w:t>a 122 basis point (+1.22%) increase due primarily to the deleveraging of expenses given the decline in revenues, as we could only decrease expenses to a certain level without negatively impacting the long-term potential of our branch network and brands;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-225425</wp:posOffset>
            </wp:positionV>
            <wp:extent cx="59690" cy="596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220"/>
        <w:spacing w:after="0" w:line="242" w:lineRule="auto"/>
        <w:rPr>
          <w:sz w:val="20"/>
          <w:szCs w:val="20"/>
          <w:color w:val="auto"/>
        </w:rPr>
      </w:pPr>
      <w:r>
        <w:rPr>
          <w:rFonts w:ascii="Arial" w:cs="Arial" w:eastAsia="Arial" w:hAnsi="Arial"/>
          <w:sz w:val="18"/>
          <w:szCs w:val="18"/>
          <w:color w:val="auto"/>
        </w:rPr>
        <w:t>offset by a 38 basis point (-0.38%) decrease due to the decrease in the goodwill impairment charge recorded in the third quarter of 2009 compared to the goodwill and intangible asset impairment charge recorded in the third quarter of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-225425</wp:posOffset>
            </wp:positionV>
            <wp:extent cx="59690" cy="596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220" w:right="1540"/>
        <w:spacing w:after="0" w:line="262" w:lineRule="auto"/>
        <w:rPr>
          <w:sz w:val="20"/>
          <w:szCs w:val="20"/>
          <w:color w:val="auto"/>
        </w:rPr>
      </w:pPr>
      <w:r>
        <w:rPr>
          <w:rFonts w:ascii="Arial" w:cs="Arial" w:eastAsia="Arial" w:hAnsi="Arial"/>
          <w:sz w:val="18"/>
          <w:szCs w:val="18"/>
          <w:color w:val="auto"/>
        </w:rPr>
        <w:t>a 25 basis point (-0.25%) decrease due to the costs related to the French competition investigation recorded in 2008; and a 4 basis point (-0.04%) decrease due to the lower global reorganization charges recorded in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-247015</wp:posOffset>
            </wp:positionV>
            <wp:extent cx="59690" cy="596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9690" cy="59690"/>
                    </a:xfrm>
                    <a:prstGeom prst="rect">
                      <a:avLst/>
                    </a:prstGeom>
                    <a:noFill/>
                  </pic:spPr>
                </pic:pic>
              </a:graphicData>
            </a:graphic>
          </wp:anchor>
        </w:drawing>
        <w:drawing>
          <wp:anchor simplePos="0" relativeHeight="251657728" behindDoc="1" locked="0" layoutInCell="0" allowOverlap="1">
            <wp:simplePos x="0" y="0"/>
            <wp:positionH relativeFrom="column">
              <wp:posOffset>207010</wp:posOffset>
            </wp:positionH>
            <wp:positionV relativeFrom="paragraph">
              <wp:posOffset>-109855</wp:posOffset>
            </wp:positionV>
            <wp:extent cx="59690" cy="596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9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Interest and Other Expenses is comprised of interest, foreign exchange gains and losses and other miscellaneous non-operating income and expenses. Interest and Other Expenses were $64.6 million in 2009 compared to $50.9 million in 2008. Net Interest Expense increased $8.2 million in 2009 to $50.0 million due primarily to the recording of $7.5 million of interest expense related to the early extinguishment of our interest rate swap agreements and amended revolving credit facility in the third quarter of 2009. Translation losses in 2009 were $ 0.8 million compared to gains of $2.9 million in 2008. Miscellaneous Expenses, net, which consist of other non-operating income and expenses, were $3.5 million in 2009 compared to $12.0 million in 2008. In 2009, we also incurred a $10.3 million loss related to a sale of an equity investment in Japan.</w:t>
      </w:r>
    </w:p>
    <w:p>
      <w:pPr>
        <w:spacing w:after="0" w:line="203"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recorded an income tax benefit at an effective rate of 59.9% for 2009 compared to an income tax expense at an effective rate of 53.6% for 2008. The change in rate was due to the non-deductibility of the goodwill impairment charges related to Jefferson Wells in 2009 and Right Management in 2008, the impact in each year due to the non-deductibility of the French competition case reserve, as well as a significant change in the amount and mix of non-U.S. earnings and related cash repatriations and other permanent items. This rate is different than the U.S. Federal statutory rate of 35% due primarily to the non-deductible goodwill impairment charges related to Jefferson Wells, the impact of valuation allowances recorded for non-U.S. net operating losses, the sale of an equity investment in Japan, and the amount and mix of non-U.S. earnings and related cash repatriations and other permanent items.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Net (Loss) Earnings Per Share – Diluted was a loss of $0.12 compared to earnings of $2.58 in 2008. This decrease includes:</w:t>
      </w:r>
    </w:p>
    <w:p>
      <w:pPr>
        <w:spacing w:after="0" w:line="23" w:lineRule="exact"/>
        <w:rPr>
          <w:sz w:val="20"/>
          <w:szCs w:val="20"/>
          <w:color w:val="auto"/>
        </w:rPr>
      </w:pPr>
    </w:p>
    <w:p>
      <w:pPr>
        <w:ind w:left="220" w:right="20"/>
        <w:spacing w:after="0" w:line="242" w:lineRule="auto"/>
        <w:rPr>
          <w:sz w:val="20"/>
          <w:szCs w:val="20"/>
          <w:color w:val="auto"/>
        </w:rPr>
      </w:pPr>
      <w:r>
        <w:rPr>
          <w:rFonts w:ascii="Arial" w:cs="Arial" w:eastAsia="Arial" w:hAnsi="Arial"/>
          <w:sz w:val="18"/>
          <w:szCs w:val="18"/>
          <w:color w:val="auto"/>
        </w:rPr>
        <w:t>the lesser impact from the goodwill impairment charge: $61.0 million net of tax, or $0.78 per diluted share in 2009 compared to $154.6 million net of tax, or $1.94 per diluted share in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-225425</wp:posOffset>
            </wp:positionV>
            <wp:extent cx="59690" cy="596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220"/>
        <w:spacing w:after="0"/>
        <w:rPr>
          <w:sz w:val="20"/>
          <w:szCs w:val="20"/>
          <w:color w:val="auto"/>
        </w:rPr>
      </w:pPr>
      <w:r>
        <w:rPr>
          <w:rFonts w:ascii="Arial" w:cs="Arial" w:eastAsia="Arial" w:hAnsi="Arial"/>
          <w:sz w:val="18"/>
          <w:szCs w:val="18"/>
          <w:color w:val="auto"/>
        </w:rPr>
        <w:t>the 2008 costs for the French competition investigation: $50.0 million net of tax, or $0.63 per diluted share in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-91440</wp:posOffset>
            </wp:positionV>
            <wp:extent cx="59690" cy="596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220"/>
        <w:spacing w:after="0" w:line="242" w:lineRule="auto"/>
        <w:rPr>
          <w:sz w:val="20"/>
          <w:szCs w:val="20"/>
          <w:color w:val="auto"/>
        </w:rPr>
      </w:pPr>
      <w:r>
        <w:rPr>
          <w:rFonts w:ascii="Arial" w:cs="Arial" w:eastAsia="Arial" w:hAnsi="Arial"/>
          <w:sz w:val="18"/>
          <w:szCs w:val="18"/>
          <w:color w:val="auto"/>
        </w:rPr>
        <w:t>the 2008 impact from a modification to the calculation of payroll taxes in France: a $43.8 million net of tax benefit, or $0.55 per diluted share in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-225425</wp:posOffset>
            </wp:positionV>
            <wp:extent cx="59690" cy="596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220"/>
        <w:spacing w:after="0"/>
        <w:rPr>
          <w:sz w:val="20"/>
          <w:szCs w:val="20"/>
          <w:color w:val="auto"/>
        </w:rPr>
      </w:pPr>
      <w:r>
        <w:rPr>
          <w:rFonts w:ascii="Arial" w:cs="Arial" w:eastAsia="Arial" w:hAnsi="Arial"/>
          <w:sz w:val="18"/>
          <w:szCs w:val="18"/>
          <w:color w:val="auto"/>
        </w:rPr>
        <w:t>the 2008 impact from the business tax refund in France: a $28.3 million net of tax benefit, or $0.36 per diluted share in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-91440</wp:posOffset>
            </wp:positionV>
            <wp:extent cx="59690" cy="596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220" w:right="20"/>
        <w:spacing w:after="0" w:line="242" w:lineRule="auto"/>
        <w:rPr>
          <w:sz w:val="20"/>
          <w:szCs w:val="20"/>
          <w:color w:val="auto"/>
        </w:rPr>
      </w:pPr>
      <w:r>
        <w:rPr>
          <w:rFonts w:ascii="Arial" w:cs="Arial" w:eastAsia="Arial" w:hAnsi="Arial"/>
          <w:sz w:val="18"/>
          <w:szCs w:val="18"/>
          <w:color w:val="auto"/>
        </w:rPr>
        <w:t>the lesser impact from global reorganization costs: $24.3 million net of tax, or $0.31 per diluted share in 2009, compared to $27.2 million net of tax, or $0.34 per diluted share in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-225425</wp:posOffset>
            </wp:positionV>
            <wp:extent cx="59690" cy="596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220"/>
        <w:spacing w:after="0" w:line="242" w:lineRule="auto"/>
        <w:rPr>
          <w:sz w:val="20"/>
          <w:szCs w:val="20"/>
          <w:color w:val="auto"/>
        </w:rPr>
      </w:pPr>
      <w:r>
        <w:rPr>
          <w:rFonts w:ascii="Arial" w:cs="Arial" w:eastAsia="Arial" w:hAnsi="Arial"/>
          <w:sz w:val="18"/>
          <w:szCs w:val="18"/>
          <w:color w:val="auto"/>
        </w:rPr>
        <w:t>the interest expense for the extinguishment of our interest rate swap agreements and amended revolving credit facility of $4.6 million net of tax, or $0.06 per diluted share in 2009;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-225425</wp:posOffset>
            </wp:positionV>
            <wp:extent cx="59690" cy="596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220"/>
        <w:spacing w:after="0"/>
        <w:rPr>
          <w:sz w:val="20"/>
          <w:szCs w:val="20"/>
          <w:color w:val="auto"/>
        </w:rPr>
      </w:pPr>
      <w:r>
        <w:rPr>
          <w:rFonts w:ascii="Arial" w:cs="Arial" w:eastAsia="Arial" w:hAnsi="Arial"/>
          <w:sz w:val="18"/>
          <w:szCs w:val="18"/>
          <w:color w:val="auto"/>
        </w:rPr>
        <w:t>the loss from the sale of an equity investment in Japan of $5.3 million net of tax, or $0.06 per diluted share in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-91440</wp:posOffset>
            </wp:positionV>
            <wp:extent cx="59690" cy="596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20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939598"/>
        </w:rPr>
        <w:t xml:space="preserve">Management’s Discussion &amp; Analysis </w:t>
      </w:r>
      <w:r>
        <w:rPr>
          <w:rFonts w:ascii="Arial" w:cs="Arial" w:eastAsia="Arial" w:hAnsi="Arial"/>
          <w:sz w:val="18"/>
          <w:szCs w:val="18"/>
          <w:color w:val="000000"/>
        </w:rPr>
        <w:t>Manpower 2010 Annual Report</w:t>
      </w:r>
      <w:r>
        <w:rPr>
          <w:rFonts w:ascii="Arial" w:cs="Arial" w:eastAsia="Arial" w:hAnsi="Arial"/>
          <w:sz w:val="18"/>
          <w:szCs w:val="18"/>
          <w:b w:val="1"/>
          <w:bCs w:val="1"/>
          <w:color w:val="939598"/>
        </w:rPr>
        <w:t xml:space="preserve"> </w:t>
      </w:r>
      <w:r>
        <w:rPr>
          <w:rFonts w:ascii="Arial" w:cs="Arial" w:eastAsia="Arial" w:hAnsi="Arial"/>
          <w:sz w:val="18"/>
          <w:szCs w:val="18"/>
          <w:b w:val="1"/>
          <w:bCs w:val="1"/>
          <w:color w:val="000000"/>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267575" cy="469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5" w:name="page56"/>
    <w:bookmarkEnd w:id="55"/>
    <w:p>
      <w:pPr>
        <w:spacing w:after="0"/>
        <w:rPr>
          <w:sz w:val="20"/>
          <w:szCs w:val="20"/>
          <w:color w:val="auto"/>
        </w:rPr>
      </w:pPr>
      <w:r>
        <w:rPr>
          <w:rFonts w:ascii="Arial" w:cs="Arial" w:eastAsia="Arial" w:hAnsi="Arial"/>
          <w:sz w:val="22"/>
          <w:szCs w:val="22"/>
          <w:color w:val="4D8ABE"/>
        </w:rPr>
        <w:t>Management’s Discussion &amp; Analysis</w:t>
      </w:r>
    </w:p>
    <w:p>
      <w:pPr>
        <w:spacing w:after="0"/>
        <w:rPr>
          <w:sz w:val="20"/>
          <w:szCs w:val="20"/>
          <w:color w:val="auto"/>
        </w:rPr>
      </w:pPr>
      <w:r>
        <w:rPr>
          <w:rFonts w:ascii="Arial" w:cs="Arial" w:eastAsia="Arial" w:hAnsi="Arial"/>
          <w:sz w:val="18"/>
          <w:szCs w:val="18"/>
          <w:color w:val="4D8ABE"/>
        </w:rPr>
        <w:t>of financial condition and results of operations</w:t>
      </w:r>
    </w:p>
    <w:p>
      <w:pPr>
        <w:spacing w:after="0" w:line="20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Weighted Average Shares – Diluted decreased 1.7% to 78.3 million in 2009 from 79.7 million in 2008. This decline was primarily a result of an increase in the total antidilutive shares excluded from the calculation in 2009 compared to 2008. Due to the net loss in 2009, all of the stock-based awards were antidilutive and therefore were excluded from the Weighted Average Shares – Diluted calculation for the year ended December 31, 2009. In 2008, only those stock-based awards with exercise prices greater than the average market price of the common shares during 2008 were excluded from the Weighted Average Shares – Diluted calculation for the year ended December 31, 2008.</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color w:val="4D8ABE"/>
        </w:rPr>
        <w:t>SEGMENT RESULTS</w:t>
      </w:r>
    </w:p>
    <w:p>
      <w:pPr>
        <w:spacing w:after="0" w:line="23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During the fourth quarter of 2010, our segment reporting was realigned due to our Jefferson Wells business being integrated with our Professional Finance and Accounting vertical within the United States. Accordingly, our former reportable segment, Jefferson Wells, is now reported within our United States operating segment as part of the Americas reportable segment. All previously reported results have been restated to conform to the current year presentation.</w:t>
      </w:r>
    </w:p>
    <w:p>
      <w:pPr>
        <w:spacing w:after="0" w:line="202"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evaluate performance based on Operating Unit Profit, which is equal to segment revenues less direct costs and branch and national headquarters operating costs. This profit measure does not include goodwill and intangible asset impairment charges or amortization of intangible assets related to acquisitions, interest and other income and expense amounts or income taxes. During the third quarter of 2010, we redefined Operating Unit Profit to also exclude intangible asset amortization related to acquisitions. Therefore, these costs are no longer included as operating costs within the reportable segments and Corporate Expenses, and all intangible asset amortization expense is now shown separately. All previously reported results have been restated to conform to the current year presentation.</w:t>
      </w:r>
    </w:p>
    <w:p>
      <w:pPr>
        <w:spacing w:after="0" w:line="205" w:lineRule="exact"/>
        <w:rPr>
          <w:sz w:val="20"/>
          <w:szCs w:val="20"/>
          <w:color w:val="auto"/>
        </w:rPr>
      </w:pPr>
    </w:p>
    <w:p>
      <w:pPr>
        <w:jc w:val="both"/>
        <w:spacing w:after="0"/>
        <w:rPr>
          <w:sz w:val="20"/>
          <w:szCs w:val="20"/>
          <w:color w:val="auto"/>
        </w:rPr>
      </w:pPr>
      <w:r>
        <w:rPr>
          <w:rFonts w:ascii="Arial" w:cs="Arial" w:eastAsia="Arial" w:hAnsi="Arial"/>
          <w:sz w:val="18"/>
          <w:szCs w:val="18"/>
          <w:color w:val="auto"/>
        </w:rPr>
        <w:t>Effective January 2011, we created a new organizational structure in Europe in order to elevate our service quality throughout Europe, Middle East and Africa. We created two regions – Northern and Southern Europe. We will report on these new segments beginning in the first quarter of 2011. All previously reported results will be restated to conform to the new presentation</w:t>
      </w:r>
      <w:r>
        <w:rPr>
          <w:rFonts w:ascii="Arial" w:cs="Arial" w:eastAsia="Arial" w:hAnsi="Arial"/>
          <w:sz w:val="18"/>
          <w:szCs w:val="18"/>
          <w:color w:val="4D8ABE"/>
        </w:rPr>
        <w:t>.</w:t>
      </w:r>
    </w:p>
    <w:p>
      <w:pPr>
        <w:spacing w:after="0" w:line="397" w:lineRule="exact"/>
        <w:rPr>
          <w:sz w:val="20"/>
          <w:szCs w:val="20"/>
          <w:color w:val="auto"/>
        </w:rPr>
      </w:pPr>
    </w:p>
    <w:p>
      <w:pPr>
        <w:jc w:val="both"/>
        <w:ind w:left="4000"/>
        <w:spacing w:after="0" w:line="238" w:lineRule="auto"/>
        <w:rPr>
          <w:sz w:val="20"/>
          <w:szCs w:val="20"/>
          <w:color w:val="auto"/>
        </w:rPr>
      </w:pPr>
      <w:r>
        <w:rPr>
          <w:rFonts w:ascii="Arial" w:cs="Arial" w:eastAsia="Arial" w:hAnsi="Arial"/>
          <w:sz w:val="18"/>
          <w:szCs w:val="18"/>
          <w:b w:val="1"/>
          <w:bCs w:val="1"/>
          <w:color w:val="939598"/>
        </w:rPr>
        <w:t xml:space="preserve">Americas – </w:t>
      </w:r>
      <w:r>
        <w:rPr>
          <w:rFonts w:ascii="Arial" w:cs="Arial" w:eastAsia="Arial" w:hAnsi="Arial"/>
          <w:sz w:val="18"/>
          <w:szCs w:val="18"/>
          <w:color w:val="000000"/>
        </w:rPr>
        <w:t>The Americas segment is comprised of 872 Company-owned branch offices and</w:t>
      </w:r>
      <w:r>
        <w:rPr>
          <w:rFonts w:ascii="Arial" w:cs="Arial" w:eastAsia="Arial" w:hAnsi="Arial"/>
          <w:sz w:val="18"/>
          <w:szCs w:val="18"/>
          <w:b w:val="1"/>
          <w:bCs w:val="1"/>
          <w:color w:val="939598"/>
        </w:rPr>
        <w:t xml:space="preserve"> </w:t>
      </w:r>
      <w:r>
        <w:rPr>
          <w:rFonts w:ascii="Arial" w:cs="Arial" w:eastAsia="Arial" w:hAnsi="Arial"/>
          <w:sz w:val="18"/>
          <w:szCs w:val="18"/>
          <w:color w:val="000000"/>
        </w:rPr>
        <w:t>204 stand-alone franchise offices. In the Americas, Revenues from Services increased 47.1% (44.8% in constant currency) in 2010 compared to 2009, or 23.1% in organic constant currency in 2010. In the United States (which represented 68.7% of the Americas’ revenues), Revenues from Services improved 55.8% (22.4% in organic growth) in 2010 compared to 2009. The COMSYS acquisition, completed on April 5, 2010, contributed $582.7 million of Revenues from Services in 2010. The organic growth for the Americas and the United States was primarily due to an increase in volume in our core temporary staffing business as a result of the economic improvement. In Other Americas, Revenues from Services improved 30.8%, or 24.4% in constant currency, in 2010 compared to 2009. Mexico and Argentin a also experienced strong growth, of 35.6% (27.2% in constant currency) and 18.3% (24.2% in constant currency), respectively, over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-1548765</wp:posOffset>
            </wp:positionV>
            <wp:extent cx="1732280" cy="84899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732280" cy="8489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-417195</wp:posOffset>
            </wp:positionV>
            <wp:extent cx="1655445" cy="88328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655445" cy="883285"/>
                    </a:xfrm>
                    <a:prstGeom prst="rect">
                      <a:avLst/>
                    </a:prstGeom>
                    <a:noFill/>
                  </pic:spPr>
                </pic:pic>
              </a:graphicData>
            </a:graphic>
          </wp:anchor>
        </w:drawing>
      </w:r>
    </w:p>
    <w:p>
      <w:pPr>
        <w:spacing w:after="0" w:line="172" w:lineRule="exact"/>
        <w:rPr>
          <w:sz w:val="20"/>
          <w:szCs w:val="20"/>
          <w:color w:val="auto"/>
        </w:rPr>
      </w:pPr>
    </w:p>
    <w:p>
      <w:pPr>
        <w:jc w:val="both"/>
        <w:ind w:left="4000"/>
        <w:spacing w:after="0" w:line="238" w:lineRule="auto"/>
        <w:rPr>
          <w:sz w:val="20"/>
          <w:szCs w:val="20"/>
          <w:color w:val="auto"/>
        </w:rPr>
      </w:pPr>
      <w:r>
        <w:rPr>
          <w:rFonts w:ascii="Arial" w:cs="Arial" w:eastAsia="Arial" w:hAnsi="Arial"/>
          <w:sz w:val="18"/>
          <w:szCs w:val="18"/>
          <w:color w:val="auto"/>
        </w:rPr>
        <w:t>In 2009, Revenues from Services in the Americas decreased 18.2% (14.4% in constant currency), while Revenues from Services declined 20.1% in the United States. Other Americas’ Revenues from Services decreased 14.4%, or 3.1% in constant currency, in 2009 compared to 2008. These declines were primarily due to a decrease in our staffing volumes, both in our core temporary staffing business and our permanent recruitment business.</w:t>
      </w:r>
    </w:p>
    <w:p>
      <w:pPr>
        <w:spacing w:after="0" w:line="203"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Gross Profit Margin increased in 2010 due to an increase in temporary staffing margins, which were aided in part by the COMSYS acquisition and the impact of reduced FICA taxes in the United States as a result of the Hire Act. This follows the decline in 2009, which resulted from the decrease in temporary staffing margins, caused by pricing pressures, a change in mix of our staffing business and the decline in our permanent recruitment business due to the current economic environment.</w:t>
      </w:r>
    </w:p>
    <w:p>
      <w:pPr>
        <w:spacing w:after="0" w:line="20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2010, Selling and Administrative Expenses increased 32.6% in constant currency primarily due to the addition of COMSYS’s recurring selling and administrative costs subsequent to April 5, 2010. In addition, organic salary-related costs increased due to additional headcount required to meet higher demand for our services as well as incurring additional variable incentive-based compensation costs due to improved operating results. In 2009, Selling and Administrative Expenses decreased 15.0% in constant currency due to our cost control efforts in response to lower revenue levels.</w:t>
      </w:r>
    </w:p>
    <w:p>
      <w:pPr>
        <w:spacing w:after="0" w:line="20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Operating Unit Profit (“OUP”) Margin in the Americas was 2.0%, -0.8% and 1.3% for 2010, 2009 and 2008, respectively. The changes in 2010 and 2009 were primarily due to the United States, where OUP Margin was 1.5%, -2.3% and 0.8% in 2010, 2009 and 2008, respectively. Other Americas OUP Margin was 2.9%, 2.1% and 2.3% in 2010, 2009 and 2008, respectively. This trend reflects the improved operating leverage in 2010 as we were able to support the increase in revenues without a similar increase in expenses and the changes in Gross Profit Margin over this period.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4D8ABE"/>
        </w:rPr>
        <w:t xml:space="preserve">26 </w:t>
      </w:r>
      <w:r>
        <w:rPr>
          <w:rFonts w:ascii="Arial" w:cs="Arial" w:eastAsia="Arial" w:hAnsi="Arial"/>
          <w:sz w:val="18"/>
          <w:szCs w:val="18"/>
          <w:color w:val="4D8ABE"/>
        </w:rPr>
        <w:t>Manpower 2010 Annual Report</w:t>
      </w:r>
      <w:r>
        <w:rPr>
          <w:rFonts w:ascii="Arial" w:cs="Arial" w:eastAsia="Arial" w:hAnsi="Arial"/>
          <w:sz w:val="18"/>
          <w:szCs w:val="18"/>
          <w:b w:val="1"/>
          <w:bCs w:val="1"/>
          <w:color w:val="4D8ABE"/>
        </w:rPr>
        <w:t xml:space="preserve"> </w:t>
      </w:r>
      <w:r>
        <w:rPr>
          <w:rFonts w:ascii="Arial" w:cs="Arial" w:eastAsia="Arial" w:hAnsi="Arial"/>
          <w:sz w:val="18"/>
          <w:szCs w:val="18"/>
          <w:b w:val="1"/>
          <w:bCs w:val="1"/>
          <w:color w:val="939598"/>
        </w:rPr>
        <w:t>Management’s Discussion &amp;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wp:posOffset>
            </wp:positionV>
            <wp:extent cx="7267575" cy="469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ectPr>
          <w:pgSz w:w="11900" w:h="16838" w:orient="portrait"/>
          <w:cols w:equalWidth="0" w:num="1">
            <w:col w:w="11420"/>
          </w:cols>
          <w:pgMar w:left="240" w:top="376" w:right="239" w:bottom="1440" w:gutter="0" w:footer="0" w:header="0"/>
        </w:sectPr>
      </w:pPr>
    </w:p>
    <w:bookmarkStart w:id="56" w:name="page57"/>
    <w:bookmarkEnd w:id="56"/>
    <w:p>
      <w:pPr>
        <w:jc w:val="both"/>
        <w:ind w:left="4000"/>
        <w:spacing w:after="0" w:line="244" w:lineRule="auto"/>
        <w:rPr>
          <w:sz w:val="20"/>
          <w:szCs w:val="20"/>
          <w:color w:val="auto"/>
        </w:rPr>
      </w:pPr>
      <w:r>
        <w:rPr>
          <w:rFonts w:ascii="Arial" w:cs="Arial" w:eastAsia="Arial" w:hAnsi="Arial"/>
          <w:sz w:val="18"/>
          <w:szCs w:val="18"/>
          <w:b w:val="1"/>
          <w:bCs w:val="1"/>
          <w:color w:val="939598"/>
        </w:rPr>
        <w:t xml:space="preserve">France – </w:t>
      </w:r>
      <w:r>
        <w:rPr>
          <w:rFonts w:ascii="Arial" w:cs="Arial" w:eastAsia="Arial" w:hAnsi="Arial"/>
          <w:sz w:val="18"/>
          <w:szCs w:val="18"/>
          <w:color w:val="000000"/>
        </w:rPr>
        <w:t>In 2010, Revenues from Services in France increased 11.4% (18.0% in constant</w:t>
      </w:r>
      <w:r>
        <w:rPr>
          <w:rFonts w:ascii="Arial" w:cs="Arial" w:eastAsia="Arial" w:hAnsi="Arial"/>
          <w:sz w:val="18"/>
          <w:szCs w:val="18"/>
          <w:b w:val="1"/>
          <w:bCs w:val="1"/>
          <w:color w:val="939598"/>
        </w:rPr>
        <w:t xml:space="preserve"> </w:t>
      </w:r>
      <w:r>
        <w:rPr>
          <w:rFonts w:ascii="Arial" w:cs="Arial" w:eastAsia="Arial" w:hAnsi="Arial"/>
          <w:sz w:val="18"/>
          <w:szCs w:val="18"/>
          <w:color w:val="000000"/>
        </w:rPr>
        <w:t>currency) compared to 2009. This was the result of strong growth in both our temporary staffing and permanent recruitment businesses. The increase in the permanent recruitment business was primarily due to the Pole Emploi contract, which is now expected to end by the middle of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-652780</wp:posOffset>
            </wp:positionV>
            <wp:extent cx="1741170" cy="87503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741170" cy="875030"/>
                    </a:xfrm>
                    <a:prstGeom prst="rect">
                      <a:avLst/>
                    </a:prstGeom>
                    <a:noFill/>
                  </pic:spPr>
                </pic:pic>
              </a:graphicData>
            </a:graphic>
          </wp:anchor>
        </w:drawing>
      </w:r>
    </w:p>
    <w:p>
      <w:pPr>
        <w:spacing w:after="0" w:line="165" w:lineRule="exact"/>
        <w:rPr>
          <w:sz w:val="20"/>
          <w:szCs w:val="20"/>
          <w:color w:val="auto"/>
        </w:rPr>
      </w:pPr>
    </w:p>
    <w:p>
      <w:pPr>
        <w:jc w:val="both"/>
        <w:ind w:left="4000"/>
        <w:spacing w:after="0" w:line="239" w:lineRule="auto"/>
        <w:rPr>
          <w:sz w:val="20"/>
          <w:szCs w:val="20"/>
          <w:color w:val="auto"/>
        </w:rPr>
      </w:pPr>
      <w:r>
        <w:rPr>
          <w:rFonts w:ascii="Arial" w:cs="Arial" w:eastAsia="Arial" w:hAnsi="Arial"/>
          <w:sz w:val="18"/>
          <w:szCs w:val="18"/>
          <w:color w:val="auto"/>
        </w:rPr>
        <w:t>In 2009, Revenues from Services in France decreased 32.6% (-29.2% in constant currency) compared to 2008. The decline was due to a drop in demand for our services as a result of the softening in the manufacturing and construction industries, which represents a significant portion of our staffing business in France.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-316865</wp:posOffset>
            </wp:positionV>
            <wp:extent cx="1775460" cy="84074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775460" cy="840740"/>
                    </a:xfrm>
                    <a:prstGeom prst="rect">
                      <a:avLst/>
                    </a:prstGeom>
                    <a:noFill/>
                  </pic:spPr>
                </pic:pic>
              </a:graphicData>
            </a:graphic>
          </wp:anchor>
        </w:drawing>
      </w:r>
    </w:p>
    <w:p>
      <w:pPr>
        <w:spacing w:after="0" w:line="168" w:lineRule="exact"/>
        <w:rPr>
          <w:sz w:val="20"/>
          <w:szCs w:val="20"/>
          <w:color w:val="auto"/>
        </w:rPr>
      </w:pPr>
    </w:p>
    <w:p>
      <w:pPr>
        <w:jc w:val="both"/>
        <w:ind w:left="4000"/>
        <w:spacing w:after="0" w:line="239" w:lineRule="auto"/>
        <w:rPr>
          <w:sz w:val="20"/>
          <w:szCs w:val="20"/>
          <w:color w:val="auto"/>
        </w:rPr>
      </w:pPr>
      <w:r>
        <w:rPr>
          <w:rFonts w:ascii="Arial" w:cs="Arial" w:eastAsia="Arial" w:hAnsi="Arial"/>
          <w:sz w:val="18"/>
          <w:szCs w:val="18"/>
          <w:color w:val="auto"/>
        </w:rPr>
        <w:t>Gross Profit Margin decreased in 2010 and 2009 due primarily to customer mix, and to the pricing pressures on our staffing business seen in the latter part of 2009 and through 2010. Offsetting this unfavorable impact was an improvement due to the growth in our permanent recruitment business.</w:t>
      </w:r>
    </w:p>
    <w:p>
      <w:pPr>
        <w:spacing w:after="0" w:line="202"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In 2010, Selling and Administrative Expenses increased 6.5% in constant currency due to an increase in the number of employees as well as increased variable incentive-based costs. In 2009, Selling and Administrative Expenses decreased 18.7% in constant currency due in part to the costs recorded in 2008 related to the legal reserve for the French competition investigation and in part as a result of our cost reduction efforts throughout 2009.</w:t>
      </w:r>
    </w:p>
    <w:p>
      <w:pPr>
        <w:spacing w:after="0" w:line="202"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Operating Unit Profit (“OUP”) Margin in France was 0.9%, 0.4% and 4.3% for 2010, 2009 and 2008, respectively. OUP Margin improved in 2010 primarily as a result of the leverage gained through the significant improvement in revenues with only a moderate increase in Selling and Administrative Expenses. OUP Margin declined in 2009 as a result of the pricing pressures noted above and the expense deleveraging resulting from the significant decline in revenues.</w:t>
      </w:r>
    </w:p>
    <w:p>
      <w:pPr>
        <w:spacing w:after="0" w:line="180" w:lineRule="exact"/>
        <w:rPr>
          <w:sz w:val="20"/>
          <w:szCs w:val="20"/>
          <w:color w:val="auto"/>
        </w:rPr>
      </w:pPr>
    </w:p>
    <w:p>
      <w:pPr>
        <w:jc w:val="both"/>
        <w:ind w:left="4000"/>
        <w:spacing w:after="0" w:line="239" w:lineRule="auto"/>
        <w:rPr>
          <w:sz w:val="20"/>
          <w:szCs w:val="20"/>
          <w:color w:val="auto"/>
        </w:rPr>
      </w:pPr>
      <w:r>
        <w:rPr>
          <w:rFonts w:ascii="Arial" w:cs="Arial" w:eastAsia="Arial" w:hAnsi="Arial"/>
          <w:sz w:val="18"/>
          <w:szCs w:val="18"/>
          <w:b w:val="1"/>
          <w:bCs w:val="1"/>
          <w:color w:val="939598"/>
        </w:rPr>
        <w:t xml:space="preserve">EMEA – </w:t>
      </w:r>
      <w:r>
        <w:rPr>
          <w:rFonts w:ascii="Arial" w:cs="Arial" w:eastAsia="Arial" w:hAnsi="Arial"/>
          <w:sz w:val="18"/>
          <w:szCs w:val="18"/>
          <w:color w:val="000000"/>
        </w:rPr>
        <w:t>The EMEA region includes operations throughout Europe, the Middle East and</w:t>
      </w:r>
      <w:r>
        <w:rPr>
          <w:rFonts w:ascii="Arial" w:cs="Arial" w:eastAsia="Arial" w:hAnsi="Arial"/>
          <w:sz w:val="18"/>
          <w:szCs w:val="18"/>
          <w:b w:val="1"/>
          <w:bCs w:val="1"/>
          <w:color w:val="939598"/>
        </w:rPr>
        <w:t xml:space="preserve"> </w:t>
      </w:r>
      <w:r>
        <w:rPr>
          <w:rFonts w:ascii="Arial" w:cs="Arial" w:eastAsia="Arial" w:hAnsi="Arial"/>
          <w:sz w:val="18"/>
          <w:szCs w:val="18"/>
          <w:color w:val="000000"/>
        </w:rPr>
        <w:t>Africa (excluding France), which covers a total of 35 countries, delivering services through approximately 1,414 offices. In addition to our workforce solutions and services delivered under the Manpower brand, this region also includes Elan, which is a leading IT recruitment and managed services firm, operating across 17 countries in the region, and Brook Street, which provides recruitment services in the United Kingdom. The largest operations in this segment are in Italy, the Nordics, Elan, the United Kingdom, Germany and the Netherlands, which comprise 14.7%, 14.3%, 13.2%, 10.7%, 9.9% and 8.3%, respectively, of EMEA revenue in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-1162685</wp:posOffset>
            </wp:positionV>
            <wp:extent cx="1706880" cy="85788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706880" cy="857885"/>
                    </a:xfrm>
                    <a:prstGeom prst="rect">
                      <a:avLst/>
                    </a:prstGeom>
                    <a:noFill/>
                  </pic:spPr>
                </pic:pic>
              </a:graphicData>
            </a:graphic>
          </wp:anchor>
        </w:drawing>
      </w:r>
    </w:p>
    <w:p>
      <w:pPr>
        <w:spacing w:after="0" w:line="173" w:lineRule="exact"/>
        <w:rPr>
          <w:sz w:val="20"/>
          <w:szCs w:val="20"/>
          <w:color w:val="auto"/>
        </w:rPr>
      </w:pPr>
    </w:p>
    <w:p>
      <w:pPr>
        <w:jc w:val="both"/>
        <w:ind w:left="4000"/>
        <w:spacing w:after="0" w:line="236" w:lineRule="auto"/>
        <w:rPr>
          <w:sz w:val="20"/>
          <w:szCs w:val="20"/>
          <w:color w:val="auto"/>
        </w:rPr>
      </w:pPr>
      <w:r>
        <w:rPr>
          <w:rFonts w:ascii="Arial" w:cs="Arial" w:eastAsia="Arial" w:hAnsi="Arial"/>
          <w:sz w:val="18"/>
          <w:szCs w:val="18"/>
          <w:color w:val="auto"/>
        </w:rPr>
        <w:t>Revenues from Services in EMEA increased 12.1% (14.8% in constant currency) in 2010 as compared to 2009. In 2010, Italy experienced an increase of 9.8% (16.0% in constant currency) compared to 2009 while Other EMEA increased 12.5% (14.6% in constant currency). Constant currency revenue improvements were experienced in all of the major markets and led by Germany, which increased Revenues from Services by 25.6% in constant currency. These revenue improvements were generated in both our temporary staffing business and permanent recruitment business. In 2009, Revenues from Services in EMEA decreased 29.3% (-21.7% in constant currency) due to the economic conditions during the period, which unfavorably impacted the demand for our services. Italy experienced revenue declines of 37.4% (-34.2% in constant currency) in 2009. Other EMEA also experienced revenue declines of 27.6% (-19.2% in constant currency) in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-1343025</wp:posOffset>
            </wp:positionV>
            <wp:extent cx="1629410" cy="83185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629410" cy="831850"/>
                    </a:xfrm>
                    <a:prstGeom prst="rect">
                      <a:avLst/>
                    </a:prstGeom>
                    <a:noFill/>
                  </pic:spPr>
                </pic:pic>
              </a:graphicData>
            </a:graphic>
          </wp:anchor>
        </w:drawing>
      </w:r>
    </w:p>
    <w:p>
      <w:pPr>
        <w:spacing w:after="0" w:line="186" w:lineRule="exact"/>
        <w:rPr>
          <w:sz w:val="20"/>
          <w:szCs w:val="20"/>
          <w:color w:val="auto"/>
        </w:rPr>
      </w:pPr>
    </w:p>
    <w:p>
      <w:pPr>
        <w:jc w:val="both"/>
        <w:spacing w:after="0"/>
        <w:rPr>
          <w:sz w:val="20"/>
          <w:szCs w:val="20"/>
          <w:color w:val="auto"/>
        </w:rPr>
      </w:pPr>
      <w:r>
        <w:rPr>
          <w:rFonts w:ascii="Arial" w:cs="Arial" w:eastAsia="Arial" w:hAnsi="Arial"/>
          <w:sz w:val="18"/>
          <w:szCs w:val="18"/>
          <w:color w:val="auto"/>
        </w:rPr>
        <w:t>Gross Profit Margin improved slightly in 2010 due to a slight improvement in our temporary staffing margin and an increase in permanent recruitment revenues. In 2009, Gross Profit Margin declined due to the increase in pricing pressures in most of our markets, a shift in the mix of business to countries with lower profit margins and the decline in the permanent recruitment business.</w:t>
      </w:r>
    </w:p>
    <w:p>
      <w:pPr>
        <w:spacing w:after="0" w:line="203"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In 2010, Selling and Administrative Expenses decreased 0.3% (an increase of 1.9% in constant currency) compared to 2009. The constant currency increase in Selling and Administrative Expenses was due primarily to increased compensation costs arising from a slight headcount increase and an increase in variable incentive compensation as a result of the improved results. In 2009, Selling and Administrative Expenses decreased 18.1% in constant currency due to cost reduction efforts in response to the lower revenue levels.</w:t>
      </w:r>
    </w:p>
    <w:p>
      <w:pPr>
        <w:spacing w:after="0" w:line="202"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OUP Margin for EMEA was 2.9%, 1.0% and 4.0% in 2010, 2009 and 2008, respectively. In 2010, improvement in our OUP Margin was seen in both Italy and Other EMEA as the OUP Margin increased 160 bps and 200 bps, respectively, to 4.5% and 2.6%, respectively. In 2009, the decline was experienced across the region as revenues declined more than expenses.</w:t>
      </w:r>
    </w:p>
    <w:p>
      <w:pPr>
        <w:spacing w:after="0" w:line="2"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939598"/>
        </w:rPr>
        <w:t xml:space="preserve">Management’s Discussion &amp; Analysis </w:t>
      </w:r>
      <w:r>
        <w:rPr>
          <w:rFonts w:ascii="Arial" w:cs="Arial" w:eastAsia="Arial" w:hAnsi="Arial"/>
          <w:sz w:val="16"/>
          <w:szCs w:val="16"/>
          <w:color w:val="4D8ABE"/>
        </w:rPr>
        <w:t>Manpower 2010 Annual Report</w:t>
      </w:r>
      <w:r>
        <w:rPr>
          <w:rFonts w:ascii="Arial" w:cs="Arial" w:eastAsia="Arial" w:hAnsi="Arial"/>
          <w:sz w:val="16"/>
          <w:szCs w:val="16"/>
          <w:b w:val="1"/>
          <w:bCs w:val="1"/>
          <w:color w:val="939598"/>
        </w:rPr>
        <w:t xml:space="preserve"> </w:t>
      </w:r>
      <w:r>
        <w:rPr>
          <w:rFonts w:ascii="Arial" w:cs="Arial" w:eastAsia="Arial" w:hAnsi="Arial"/>
          <w:sz w:val="16"/>
          <w:szCs w:val="16"/>
          <w:b w:val="1"/>
          <w:bCs w:val="1"/>
          <w:color w:val="4D8ABE"/>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59690</wp:posOffset>
            </wp:positionV>
            <wp:extent cx="7267575" cy="469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ectPr>
          <w:pgSz w:w="11900" w:h="16838" w:orient="portrait"/>
          <w:cols w:equalWidth="0" w:num="1">
            <w:col w:w="11420"/>
          </w:cols>
          <w:pgMar w:left="240" w:top="535" w:right="239" w:bottom="1440" w:gutter="0" w:footer="0" w:header="0"/>
        </w:sectPr>
      </w:pPr>
    </w:p>
    <w:bookmarkStart w:id="57" w:name="page58"/>
    <w:bookmarkEnd w:id="57"/>
    <w:p>
      <w:pPr>
        <w:spacing w:after="0"/>
        <w:rPr>
          <w:sz w:val="20"/>
          <w:szCs w:val="20"/>
          <w:color w:val="auto"/>
        </w:rPr>
      </w:pPr>
      <w:r>
        <w:rPr>
          <w:rFonts w:ascii="Arial" w:cs="Arial" w:eastAsia="Arial" w:hAnsi="Arial"/>
          <w:sz w:val="22"/>
          <w:szCs w:val="22"/>
          <w:color w:val="4D8ABE"/>
        </w:rPr>
        <w:t>Management’s Discussion &amp; Analysis</w:t>
      </w:r>
    </w:p>
    <w:p>
      <w:pPr>
        <w:spacing w:after="0"/>
        <w:rPr>
          <w:sz w:val="20"/>
          <w:szCs w:val="20"/>
          <w:color w:val="auto"/>
        </w:rPr>
      </w:pPr>
      <w:r>
        <w:rPr>
          <w:rFonts w:ascii="Arial" w:cs="Arial" w:eastAsia="Arial" w:hAnsi="Arial"/>
          <w:sz w:val="18"/>
          <w:szCs w:val="18"/>
          <w:color w:val="4D8ABE"/>
        </w:rPr>
        <w:t>of financial condition and results of operations</w:t>
      </w:r>
    </w:p>
    <w:p>
      <w:pPr>
        <w:spacing w:after="0" w:line="190" w:lineRule="exact"/>
        <w:rPr>
          <w:sz w:val="20"/>
          <w:szCs w:val="20"/>
          <w:color w:val="auto"/>
        </w:rPr>
      </w:pPr>
    </w:p>
    <w:p>
      <w:pPr>
        <w:jc w:val="both"/>
        <w:ind w:left="4000"/>
        <w:spacing w:after="0" w:line="239" w:lineRule="auto"/>
        <w:rPr>
          <w:sz w:val="20"/>
          <w:szCs w:val="20"/>
          <w:color w:val="auto"/>
        </w:rPr>
      </w:pPr>
      <w:r>
        <w:rPr>
          <w:rFonts w:ascii="Arial" w:cs="Arial" w:eastAsia="Arial" w:hAnsi="Arial"/>
          <w:sz w:val="18"/>
          <w:szCs w:val="18"/>
          <w:b w:val="1"/>
          <w:bCs w:val="1"/>
          <w:color w:val="939598"/>
        </w:rPr>
        <w:t xml:space="preserve">Asia Pacific – </w:t>
      </w:r>
      <w:r>
        <w:rPr>
          <w:rFonts w:ascii="Arial" w:cs="Arial" w:eastAsia="Arial" w:hAnsi="Arial"/>
          <w:sz w:val="18"/>
          <w:szCs w:val="18"/>
          <w:color w:val="000000"/>
        </w:rPr>
        <w:t>In 2010, Revenues from Services increased 24.3%, or 14.5% in constant</w:t>
      </w:r>
      <w:r>
        <w:rPr>
          <w:rFonts w:ascii="Arial" w:cs="Arial" w:eastAsia="Arial" w:hAnsi="Arial"/>
          <w:sz w:val="18"/>
          <w:szCs w:val="18"/>
          <w:b w:val="1"/>
          <w:bCs w:val="1"/>
          <w:color w:val="939598"/>
        </w:rPr>
        <w:t xml:space="preserve"> </w:t>
      </w:r>
      <w:r>
        <w:rPr>
          <w:rFonts w:ascii="Arial" w:cs="Arial" w:eastAsia="Arial" w:hAnsi="Arial"/>
          <w:sz w:val="18"/>
          <w:szCs w:val="18"/>
          <w:color w:val="000000"/>
        </w:rPr>
        <w:t>currency compared to 2009. In Japan (which represented 49.4% of Asia Pacific’s 2010 revenues), revenues increased 3.1%, but decreased 3.5% in constant currency in 2010 as compared 2009. In 2010, Australia, which represented 25.6% of Asia Pacific’s 2010 revenues, experienced a revenue increase of 76.9% or 53.6% in constant currency over 2009. This was the result of adding the Australian Defence Force contract in 2010. We also saw strong growth in 2010 in China, India and our ASEAN businesses. Revenues from Services in 2009 decreased 6.2%, or 9.2% in constant currency, compared to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-1034415</wp:posOffset>
            </wp:positionV>
            <wp:extent cx="1732280" cy="181800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732280" cy="1818005"/>
                    </a:xfrm>
                    <a:prstGeom prst="rect">
                      <a:avLst/>
                    </a:prstGeom>
                    <a:noFill/>
                  </pic:spPr>
                </pic:pic>
              </a:graphicData>
            </a:graphic>
          </wp:anchor>
        </w:drawing>
      </w:r>
    </w:p>
    <w:p>
      <w:pPr>
        <w:spacing w:after="0" w:line="176" w:lineRule="exact"/>
        <w:rPr>
          <w:sz w:val="20"/>
          <w:szCs w:val="20"/>
          <w:color w:val="auto"/>
        </w:rPr>
      </w:pPr>
    </w:p>
    <w:p>
      <w:pPr>
        <w:jc w:val="both"/>
        <w:ind w:left="4000"/>
        <w:spacing w:after="0" w:line="236" w:lineRule="auto"/>
        <w:rPr>
          <w:sz w:val="20"/>
          <w:szCs w:val="20"/>
          <w:color w:val="auto"/>
        </w:rPr>
      </w:pPr>
      <w:r>
        <w:rPr>
          <w:rFonts w:ascii="Arial" w:cs="Arial" w:eastAsia="Arial" w:hAnsi="Arial"/>
          <w:sz w:val="18"/>
          <w:szCs w:val="18"/>
          <w:color w:val="auto"/>
        </w:rPr>
        <w:t>Gross Profit Margin increased in 2010 compared to 2009, primarily due to the growth in our permanent recruitment business, driven primarily by the addition of the Australian Defence Force contract. This was partly offset by a decline in our staffing gross margins due to changes in business mix during 2010. Gross Profit Margin decreased in 2009 compared to 2008 primarily due to a change in the mix of our staffing business as well as the decline in the permanent recruitment business.</w:t>
      </w:r>
    </w:p>
    <w:p>
      <w:pPr>
        <w:spacing w:after="0" w:line="20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Selling and Administrative Expenses increased in 2010 compared to 2009 to support the business growth during the year, including the Australian Defence Force contract, which was won in early 2010. In addition, 2009 included the benefit of a gain of $4.3 million (¥392.4 million) related to the termination of our Japanese defined benefit pension plan. Selling and Administrative Expenses as a percent of revenues increased only slightly in 2010 compared to 2009. Selling and Administrative Expense decreased in 2009 compared to 2008 primarily due to the continued cost reduction efforts in response to the lower revenue levels of 2009.</w:t>
      </w:r>
    </w:p>
    <w:p>
      <w:pPr>
        <w:spacing w:after="0" w:line="203"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OUP Margin for Asia Pacific improved to 2.2% in 2010 compared to 1.5% in 2009 and 1.6% in 2008 due to the improvement in revenues and Gross Profit Margin noted above, without the corresponding increase in costs.</w:t>
      </w:r>
    </w:p>
    <w:p>
      <w:pPr>
        <w:spacing w:after="0" w:line="179" w:lineRule="exact"/>
        <w:rPr>
          <w:sz w:val="20"/>
          <w:szCs w:val="20"/>
          <w:color w:val="auto"/>
        </w:rPr>
      </w:pPr>
    </w:p>
    <w:p>
      <w:pPr>
        <w:jc w:val="both"/>
        <w:ind w:left="4000"/>
        <w:spacing w:after="0" w:line="249" w:lineRule="auto"/>
        <w:rPr>
          <w:sz w:val="20"/>
          <w:szCs w:val="20"/>
          <w:color w:val="auto"/>
        </w:rPr>
      </w:pPr>
      <w:r>
        <w:rPr>
          <w:rFonts w:ascii="Arial" w:cs="Arial" w:eastAsia="Arial" w:hAnsi="Arial"/>
          <w:sz w:val="18"/>
          <w:szCs w:val="18"/>
          <w:b w:val="1"/>
          <w:bCs w:val="1"/>
          <w:color w:val="939598"/>
        </w:rPr>
        <w:t xml:space="preserve">Right Management – </w:t>
      </w:r>
      <w:r>
        <w:rPr>
          <w:rFonts w:ascii="Arial" w:cs="Arial" w:eastAsia="Arial" w:hAnsi="Arial"/>
          <w:sz w:val="18"/>
          <w:szCs w:val="18"/>
          <w:color w:val="000000"/>
        </w:rPr>
        <w:t>Right Management is a leading global provider of integrated human</w:t>
      </w:r>
      <w:r>
        <w:rPr>
          <w:rFonts w:ascii="Arial" w:cs="Arial" w:eastAsia="Arial" w:hAnsi="Arial"/>
          <w:sz w:val="18"/>
          <w:szCs w:val="18"/>
          <w:b w:val="1"/>
          <w:bCs w:val="1"/>
          <w:color w:val="939598"/>
        </w:rPr>
        <w:t xml:space="preserve"> </w:t>
      </w:r>
      <w:r>
        <w:rPr>
          <w:rFonts w:ascii="Arial" w:cs="Arial" w:eastAsia="Arial" w:hAnsi="Arial"/>
          <w:sz w:val="18"/>
          <w:szCs w:val="18"/>
          <w:color w:val="000000"/>
        </w:rPr>
        <w:t>capital consulting services and solutions across the employment lifecycle operating through 212 offices in over 50 countries.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-396240</wp:posOffset>
            </wp:positionV>
            <wp:extent cx="1646555" cy="84899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646555" cy="848995"/>
                    </a:xfrm>
                    <a:prstGeom prst="rect">
                      <a:avLst/>
                    </a:prstGeom>
                    <a:noFill/>
                  </pic:spPr>
                </pic:pic>
              </a:graphicData>
            </a:graphic>
          </wp:anchor>
        </w:drawing>
      </w:r>
    </w:p>
    <w:p>
      <w:pPr>
        <w:spacing w:after="0" w:line="168" w:lineRule="exact"/>
        <w:rPr>
          <w:sz w:val="20"/>
          <w:szCs w:val="20"/>
          <w:color w:val="auto"/>
        </w:rPr>
      </w:pPr>
    </w:p>
    <w:p>
      <w:pPr>
        <w:jc w:val="both"/>
        <w:ind w:left="4000"/>
        <w:spacing w:after="0" w:line="236" w:lineRule="auto"/>
        <w:rPr>
          <w:sz w:val="20"/>
          <w:szCs w:val="20"/>
          <w:color w:val="auto"/>
        </w:rPr>
      </w:pPr>
      <w:r>
        <w:rPr>
          <w:rFonts w:ascii="Arial" w:cs="Arial" w:eastAsia="Arial" w:hAnsi="Arial"/>
          <w:sz w:val="18"/>
          <w:szCs w:val="18"/>
          <w:color w:val="auto"/>
        </w:rPr>
        <w:t>In 2010, Revenues from Services decreased 33.0%, or 33.8% in constant currency, to $374.6 million. The decrease was due primarily to the decline in the demand for the counter-cyclical career management services, where revenues generally decline as we begin to experience an economic recovery, as we saw in 2010. Mass lay-offs have declined sharply throughout 2010 following the larger employment reductions made by clients in 2009, with no meaningful seasonal improvement as originally anticipated in our fourth quarter of 2010. The 43.5% decline in constant currency in career management services was partially offset by an increase of 16.1% in constant currency in our talent management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-701040</wp:posOffset>
            </wp:positionV>
            <wp:extent cx="1809750" cy="84899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809750" cy="848995"/>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jc w:val="both"/>
        <w:spacing w:after="0"/>
        <w:rPr>
          <w:sz w:val="20"/>
          <w:szCs w:val="20"/>
          <w:color w:val="auto"/>
        </w:rPr>
      </w:pPr>
      <w:r>
        <w:rPr>
          <w:rFonts w:ascii="Arial" w:cs="Arial" w:eastAsia="Arial" w:hAnsi="Arial"/>
          <w:sz w:val="18"/>
          <w:szCs w:val="18"/>
          <w:color w:val="auto"/>
        </w:rPr>
        <w:t>Gross Profit Margin decreased in 2010 compared to 2009 as a result of the decline in the career management services, which have a relatively higher margin than the talent management business. Gross Profit Margin had increased in 2009 due to the increase in our higher-margin career management business.</w:t>
      </w:r>
    </w:p>
    <w:p>
      <w:pPr>
        <w:spacing w:after="0" w:line="20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2010, Selling and Administrative Expenses decreased 17.2% in constant currency compared to 2009 primarily due to cost reduction efforts and a reduction in variable incentive-based compensation costs due to the decline in profitability. Offsetting these decreases, Right Management recorded $19.4 million of reorganization costs as we reorganized our operations in response to the lower demand for career management services in 2010. Selling and Administrative Expenses increased 14.5% in constant currency to support the increased demand in 2009, including the impact of increased variable incentive-based compensation costs due to the significant increase in profitability.</w:t>
      </w:r>
    </w:p>
    <w:p>
      <w:pPr>
        <w:spacing w:after="0" w:line="203"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OUP Margin for Right Management was 0.9%, 20.3% and 9.9% for 2010, 2009 and 2008, respectively. OUP Margin in 2010 was unfavorably impacted by the significant decrease in our career management business as well as incurring reorganization costs during the year. OUP Margin in 2009 was exceptionally high given the strong revenue growth for the career management business in 2009 as a result of the economic downturn.</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color w:val="4D8ABE"/>
        </w:rPr>
        <w:t xml:space="preserve">28 </w:t>
      </w:r>
      <w:r>
        <w:rPr>
          <w:rFonts w:ascii="Arial" w:cs="Arial" w:eastAsia="Arial" w:hAnsi="Arial"/>
          <w:sz w:val="16"/>
          <w:szCs w:val="16"/>
          <w:color w:val="4D8ABE"/>
        </w:rPr>
        <w:t>Manpower 2010 Annual Report</w:t>
      </w:r>
      <w:r>
        <w:rPr>
          <w:rFonts w:ascii="Arial" w:cs="Arial" w:eastAsia="Arial" w:hAnsi="Arial"/>
          <w:sz w:val="16"/>
          <w:szCs w:val="16"/>
          <w:b w:val="1"/>
          <w:bCs w:val="1"/>
          <w:color w:val="4D8ABE"/>
        </w:rPr>
        <w:t xml:space="preserve"> </w:t>
      </w:r>
      <w:r>
        <w:rPr>
          <w:rFonts w:ascii="Arial" w:cs="Arial" w:eastAsia="Arial" w:hAnsi="Arial"/>
          <w:sz w:val="16"/>
          <w:szCs w:val="16"/>
          <w:b w:val="1"/>
          <w:bCs w:val="1"/>
          <w:color w:val="939598"/>
        </w:rPr>
        <w:t>Management’s Discussion &amp;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72390</wp:posOffset>
            </wp:positionV>
            <wp:extent cx="7267575" cy="469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ectPr>
          <w:pgSz w:w="11900" w:h="16838" w:orient="portrait"/>
          <w:cols w:equalWidth="0" w:num="1">
            <w:col w:w="11420"/>
          </w:cols>
          <w:pgMar w:left="240" w:top="349" w:right="239" w:bottom="1440" w:gutter="0" w:footer="0" w:header="0"/>
        </w:sectPr>
      </w:pPr>
    </w:p>
    <w:bookmarkStart w:id="58" w:name="page59"/>
    <w:bookmarkEnd w:id="58"/>
    <w:p>
      <w:pPr>
        <w:spacing w:after="0"/>
        <w:rPr>
          <w:sz w:val="20"/>
          <w:szCs w:val="20"/>
          <w:color w:val="auto"/>
        </w:rPr>
      </w:pPr>
      <w:r>
        <w:rPr>
          <w:rFonts w:ascii="Arial" w:cs="Arial" w:eastAsia="Arial" w:hAnsi="Arial"/>
          <w:sz w:val="24"/>
          <w:szCs w:val="24"/>
          <w:color w:val="86B6A5"/>
        </w:rPr>
        <w:t>Financial Measures – Constant Currency And Organic Constant Currency Reconciliation</w:t>
      </w:r>
    </w:p>
    <w:p>
      <w:pPr>
        <w:spacing w:after="0" w:line="227"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Certain constant currency and organic constant currency percent variances are discussed throughout this annual report. A reconciliation to the percent variances calculated based on our annual financial results is provided below. (See Constant Currency And Organic Constant Currency on page 21 for further information.)</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38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320" w:type="dxa"/>
            <w:vAlign w:val="bottom"/>
          </w:tcPr>
          <w:p>
            <w:pPr>
              <w:jc w:val="right"/>
              <w:ind w:right="211"/>
              <w:spacing w:after="0"/>
              <w:rPr>
                <w:sz w:val="20"/>
                <w:szCs w:val="20"/>
                <w:color w:val="auto"/>
              </w:rPr>
            </w:pPr>
            <w:r>
              <w:rPr>
                <w:rFonts w:ascii="Arial" w:cs="Arial" w:eastAsia="Arial" w:hAnsi="Arial"/>
                <w:sz w:val="16"/>
                <w:szCs w:val="16"/>
                <w:b w:val="1"/>
                <w:bCs w:val="1"/>
                <w:color w:val="86B6A5"/>
              </w:rPr>
              <w:t>Impact of</w:t>
            </w:r>
          </w:p>
        </w:tc>
        <w:tc>
          <w:tcPr>
            <w:tcW w:w="1060" w:type="dxa"/>
            <w:vAlign w:val="bottom"/>
            <w:gridSpan w:val="2"/>
          </w:tcPr>
          <w:p>
            <w:pPr>
              <w:jc w:val="right"/>
              <w:ind w:right="130"/>
              <w:spacing w:after="0"/>
              <w:rPr>
                <w:sz w:val="20"/>
                <w:szCs w:val="20"/>
                <w:color w:val="auto"/>
              </w:rPr>
            </w:pPr>
            <w:r>
              <w:rPr>
                <w:rFonts w:ascii="Arial" w:cs="Arial" w:eastAsia="Arial" w:hAnsi="Arial"/>
                <w:sz w:val="16"/>
                <w:szCs w:val="16"/>
                <w:b w:val="1"/>
                <w:bCs w:val="1"/>
                <w:color w:val="86B6A5"/>
              </w:rPr>
              <w:t>Organic</w:t>
            </w:r>
          </w:p>
        </w:tc>
      </w:tr>
      <w:tr>
        <w:trPr>
          <w:trHeight w:val="203"/>
        </w:trPr>
        <w:tc>
          <w:tcPr>
            <w:tcW w:w="20" w:type="dxa"/>
            <w:vAlign w:val="bottom"/>
          </w:tcPr>
          <w:p>
            <w:pPr>
              <w:spacing w:after="0"/>
              <w:rPr>
                <w:sz w:val="17"/>
                <w:szCs w:val="17"/>
                <w:color w:val="auto"/>
              </w:rPr>
            </w:pPr>
          </w:p>
        </w:tc>
        <w:tc>
          <w:tcPr>
            <w:tcW w:w="38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60" w:type="dxa"/>
            <w:vAlign w:val="bottom"/>
          </w:tcPr>
          <w:p>
            <w:pPr>
              <w:jc w:val="right"/>
              <w:ind w:right="151"/>
              <w:spacing w:after="0"/>
              <w:rPr>
                <w:sz w:val="20"/>
                <w:szCs w:val="20"/>
                <w:color w:val="auto"/>
              </w:rPr>
            </w:pPr>
            <w:r>
              <w:rPr>
                <w:rFonts w:ascii="Arial" w:cs="Arial" w:eastAsia="Arial" w:hAnsi="Arial"/>
                <w:sz w:val="16"/>
                <w:szCs w:val="16"/>
                <w:b w:val="1"/>
                <w:bCs w:val="1"/>
                <w:color w:val="86B6A5"/>
              </w:rPr>
              <w:t>Reported</w:t>
            </w:r>
          </w:p>
        </w:tc>
        <w:tc>
          <w:tcPr>
            <w:tcW w:w="1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40" w:type="dxa"/>
            <w:vAlign w:val="bottom"/>
          </w:tcPr>
          <w:p>
            <w:pPr>
              <w:jc w:val="right"/>
              <w:ind w:right="211"/>
              <w:spacing w:after="0"/>
              <w:rPr>
                <w:sz w:val="20"/>
                <w:szCs w:val="20"/>
                <w:color w:val="auto"/>
              </w:rPr>
            </w:pPr>
            <w:r>
              <w:rPr>
                <w:rFonts w:ascii="Arial" w:cs="Arial" w:eastAsia="Arial" w:hAnsi="Arial"/>
                <w:sz w:val="16"/>
                <w:szCs w:val="16"/>
                <w:b w:val="1"/>
                <w:bCs w:val="1"/>
                <w:color w:val="86B6A5"/>
              </w:rPr>
              <w:t>Variance</w:t>
            </w:r>
          </w:p>
        </w:tc>
        <w:tc>
          <w:tcPr>
            <w:tcW w:w="1320" w:type="dxa"/>
            <w:vAlign w:val="bottom"/>
          </w:tcPr>
          <w:p>
            <w:pPr>
              <w:jc w:val="right"/>
              <w:ind w:right="211"/>
              <w:spacing w:after="0"/>
              <w:rPr>
                <w:sz w:val="20"/>
                <w:szCs w:val="20"/>
                <w:color w:val="auto"/>
              </w:rPr>
            </w:pPr>
            <w:r>
              <w:rPr>
                <w:rFonts w:ascii="Arial" w:cs="Arial" w:eastAsia="Arial" w:hAnsi="Arial"/>
                <w:sz w:val="16"/>
                <w:szCs w:val="16"/>
                <w:b w:val="1"/>
                <w:bCs w:val="1"/>
                <w:color w:val="86B6A5"/>
              </w:rPr>
              <w:t>Acquisitions</w:t>
            </w:r>
          </w:p>
        </w:tc>
        <w:tc>
          <w:tcPr>
            <w:tcW w:w="1060" w:type="dxa"/>
            <w:vAlign w:val="bottom"/>
            <w:gridSpan w:val="2"/>
          </w:tcPr>
          <w:p>
            <w:pPr>
              <w:jc w:val="right"/>
              <w:ind w:right="130"/>
              <w:spacing w:after="0"/>
              <w:rPr>
                <w:sz w:val="20"/>
                <w:szCs w:val="20"/>
                <w:color w:val="auto"/>
              </w:rPr>
            </w:pPr>
            <w:r>
              <w:rPr>
                <w:rFonts w:ascii="Arial" w:cs="Arial" w:eastAsia="Arial" w:hAnsi="Arial"/>
                <w:sz w:val="16"/>
                <w:szCs w:val="16"/>
                <w:b w:val="1"/>
                <w:bCs w:val="1"/>
                <w:color w:val="86B6A5"/>
              </w:rPr>
              <w:t>Constant</w:t>
            </w:r>
          </w:p>
        </w:tc>
      </w:tr>
      <w:tr>
        <w:trPr>
          <w:trHeight w:val="203"/>
        </w:trPr>
        <w:tc>
          <w:tcPr>
            <w:tcW w:w="3900" w:type="dxa"/>
            <w:vAlign w:val="bottom"/>
            <w:gridSpan w:val="2"/>
          </w:tcPr>
          <w:p>
            <w:pPr>
              <w:spacing w:after="0"/>
              <w:rPr>
                <w:sz w:val="20"/>
                <w:szCs w:val="20"/>
                <w:color w:val="auto"/>
              </w:rPr>
            </w:pPr>
            <w:r>
              <w:rPr>
                <w:rFonts w:ascii="Arial" w:cs="Arial" w:eastAsia="Arial" w:hAnsi="Arial"/>
                <w:sz w:val="16"/>
                <w:szCs w:val="16"/>
                <w:b w:val="1"/>
                <w:bCs w:val="1"/>
                <w:color w:val="86B6A5"/>
              </w:rPr>
              <w:t>Amounts represent 2010</w:t>
            </w:r>
          </w:p>
        </w:tc>
        <w:tc>
          <w:tcPr>
            <w:tcW w:w="440" w:type="dxa"/>
            <w:vAlign w:val="bottom"/>
          </w:tcPr>
          <w:p>
            <w:pPr>
              <w:spacing w:after="0"/>
              <w:rPr>
                <w:sz w:val="17"/>
                <w:szCs w:val="17"/>
                <w:color w:val="auto"/>
              </w:rPr>
            </w:pPr>
          </w:p>
        </w:tc>
        <w:tc>
          <w:tcPr>
            <w:tcW w:w="1160" w:type="dxa"/>
            <w:vAlign w:val="bottom"/>
          </w:tcPr>
          <w:p>
            <w:pPr>
              <w:jc w:val="right"/>
              <w:ind w:right="151"/>
              <w:spacing w:after="0"/>
              <w:rPr>
                <w:sz w:val="20"/>
                <w:szCs w:val="20"/>
                <w:color w:val="auto"/>
              </w:rPr>
            </w:pPr>
            <w:r>
              <w:rPr>
                <w:rFonts w:ascii="Arial" w:cs="Arial" w:eastAsia="Arial" w:hAnsi="Arial"/>
                <w:sz w:val="16"/>
                <w:szCs w:val="16"/>
                <w:b w:val="1"/>
                <w:bCs w:val="1"/>
                <w:color w:val="86B6A5"/>
              </w:rPr>
              <w:t>Amount</w:t>
            </w:r>
          </w:p>
        </w:tc>
        <w:tc>
          <w:tcPr>
            <w:tcW w:w="1200" w:type="dxa"/>
            <w:vAlign w:val="bottom"/>
          </w:tcPr>
          <w:p>
            <w:pPr>
              <w:jc w:val="right"/>
              <w:ind w:right="231"/>
              <w:spacing w:after="0"/>
              <w:rPr>
                <w:sz w:val="20"/>
                <w:szCs w:val="20"/>
                <w:color w:val="auto"/>
              </w:rPr>
            </w:pPr>
            <w:r>
              <w:rPr>
                <w:rFonts w:ascii="Arial" w:cs="Arial" w:eastAsia="Arial" w:hAnsi="Arial"/>
                <w:sz w:val="16"/>
                <w:szCs w:val="16"/>
                <w:b w:val="1"/>
                <w:bCs w:val="1"/>
                <w:color w:val="86B6A5"/>
              </w:rPr>
              <w:t>Reported</w:t>
            </w:r>
          </w:p>
        </w:tc>
        <w:tc>
          <w:tcPr>
            <w:tcW w:w="1100" w:type="dxa"/>
            <w:vAlign w:val="bottom"/>
          </w:tcPr>
          <w:p>
            <w:pPr>
              <w:jc w:val="right"/>
              <w:ind w:right="191"/>
              <w:spacing w:after="0"/>
              <w:rPr>
                <w:sz w:val="20"/>
                <w:szCs w:val="20"/>
                <w:color w:val="auto"/>
              </w:rPr>
            </w:pPr>
            <w:r>
              <w:rPr>
                <w:rFonts w:ascii="Arial" w:cs="Arial" w:eastAsia="Arial" w:hAnsi="Arial"/>
                <w:sz w:val="16"/>
                <w:szCs w:val="16"/>
                <w:b w:val="1"/>
                <w:bCs w:val="1"/>
                <w:color w:val="86B6A5"/>
              </w:rPr>
              <w:t>Impact of</w:t>
            </w:r>
          </w:p>
        </w:tc>
        <w:tc>
          <w:tcPr>
            <w:tcW w:w="1240" w:type="dxa"/>
            <w:vAlign w:val="bottom"/>
          </w:tcPr>
          <w:p>
            <w:pPr>
              <w:jc w:val="right"/>
              <w:ind w:right="211"/>
              <w:spacing w:after="0"/>
              <w:rPr>
                <w:sz w:val="20"/>
                <w:szCs w:val="20"/>
                <w:color w:val="auto"/>
              </w:rPr>
            </w:pPr>
            <w:r>
              <w:rPr>
                <w:rFonts w:ascii="Arial" w:cs="Arial" w:eastAsia="Arial" w:hAnsi="Arial"/>
                <w:sz w:val="16"/>
                <w:szCs w:val="16"/>
                <w:b w:val="1"/>
                <w:bCs w:val="1"/>
                <w:color w:val="86B6A5"/>
              </w:rPr>
              <w:t>in Constant</w:t>
            </w:r>
          </w:p>
        </w:tc>
        <w:tc>
          <w:tcPr>
            <w:tcW w:w="1320" w:type="dxa"/>
            <w:vAlign w:val="bottom"/>
          </w:tcPr>
          <w:p>
            <w:pPr>
              <w:jc w:val="right"/>
              <w:ind w:right="211"/>
              <w:spacing w:after="0"/>
              <w:rPr>
                <w:sz w:val="20"/>
                <w:szCs w:val="20"/>
                <w:color w:val="auto"/>
              </w:rPr>
            </w:pPr>
            <w:r>
              <w:rPr>
                <w:rFonts w:ascii="Arial" w:cs="Arial" w:eastAsia="Arial" w:hAnsi="Arial"/>
                <w:sz w:val="16"/>
                <w:szCs w:val="16"/>
                <w:b w:val="1"/>
                <w:bCs w:val="1"/>
                <w:color w:val="86B6A5"/>
              </w:rPr>
              <w:t>(In Constant</w:t>
            </w:r>
          </w:p>
        </w:tc>
        <w:tc>
          <w:tcPr>
            <w:tcW w:w="1060" w:type="dxa"/>
            <w:vAlign w:val="bottom"/>
            <w:gridSpan w:val="2"/>
          </w:tcPr>
          <w:p>
            <w:pPr>
              <w:jc w:val="right"/>
              <w:ind w:right="130"/>
              <w:spacing w:after="0"/>
              <w:rPr>
                <w:sz w:val="20"/>
                <w:szCs w:val="20"/>
                <w:color w:val="auto"/>
              </w:rPr>
            </w:pPr>
            <w:r>
              <w:rPr>
                <w:rFonts w:ascii="Arial" w:cs="Arial" w:eastAsia="Arial" w:hAnsi="Arial"/>
                <w:sz w:val="16"/>
                <w:szCs w:val="16"/>
                <w:b w:val="1"/>
                <w:bCs w:val="1"/>
                <w:color w:val="86B6A5"/>
              </w:rPr>
              <w:t>Currency</w:t>
            </w:r>
          </w:p>
        </w:tc>
      </w:tr>
      <w:tr>
        <w:trPr>
          <w:trHeight w:val="228"/>
        </w:trPr>
        <w:tc>
          <w:tcPr>
            <w:tcW w:w="3900" w:type="dxa"/>
            <w:vAlign w:val="bottom"/>
            <w:gridSpan w:val="2"/>
          </w:tcPr>
          <w:p>
            <w:pPr>
              <w:spacing w:after="0"/>
              <w:rPr>
                <w:sz w:val="20"/>
                <w:szCs w:val="20"/>
                <w:color w:val="auto"/>
              </w:rPr>
            </w:pPr>
            <w:r>
              <w:rPr>
                <w:rFonts w:ascii="Arial" w:cs="Arial" w:eastAsia="Arial" w:hAnsi="Arial"/>
                <w:sz w:val="16"/>
                <w:szCs w:val="16"/>
                <w:b w:val="1"/>
                <w:bCs w:val="1"/>
                <w:color w:val="86B6A5"/>
              </w:rPr>
              <w:t>Percentages represent 2010 compared to 2009</w:t>
            </w:r>
          </w:p>
        </w:tc>
        <w:tc>
          <w:tcPr>
            <w:tcW w:w="440" w:type="dxa"/>
            <w:vAlign w:val="bottom"/>
          </w:tcPr>
          <w:p>
            <w:pPr>
              <w:spacing w:after="0"/>
              <w:rPr>
                <w:sz w:val="19"/>
                <w:szCs w:val="19"/>
                <w:color w:val="auto"/>
              </w:rPr>
            </w:pPr>
          </w:p>
        </w:tc>
        <w:tc>
          <w:tcPr>
            <w:tcW w:w="1160" w:type="dxa"/>
            <w:vAlign w:val="bottom"/>
          </w:tcPr>
          <w:p>
            <w:pPr>
              <w:jc w:val="right"/>
              <w:ind w:right="151"/>
              <w:spacing w:after="0"/>
              <w:rPr>
                <w:sz w:val="20"/>
                <w:szCs w:val="20"/>
                <w:color w:val="auto"/>
              </w:rPr>
            </w:pPr>
            <w:r>
              <w:rPr>
                <w:rFonts w:ascii="Arial" w:cs="Arial" w:eastAsia="Arial" w:hAnsi="Arial"/>
                <w:sz w:val="16"/>
                <w:szCs w:val="16"/>
                <w:b w:val="1"/>
                <w:bCs w:val="1"/>
                <w:color w:val="86B6A5"/>
              </w:rPr>
              <w:t>(in millions)</w:t>
            </w:r>
          </w:p>
        </w:tc>
        <w:tc>
          <w:tcPr>
            <w:tcW w:w="1200" w:type="dxa"/>
            <w:vAlign w:val="bottom"/>
          </w:tcPr>
          <w:p>
            <w:pPr>
              <w:jc w:val="right"/>
              <w:ind w:right="231"/>
              <w:spacing w:after="0"/>
              <w:rPr>
                <w:sz w:val="20"/>
                <w:szCs w:val="20"/>
                <w:color w:val="auto"/>
              </w:rPr>
            </w:pPr>
            <w:r>
              <w:rPr>
                <w:rFonts w:ascii="Arial" w:cs="Arial" w:eastAsia="Arial" w:hAnsi="Arial"/>
                <w:sz w:val="16"/>
                <w:szCs w:val="16"/>
                <w:b w:val="1"/>
                <w:bCs w:val="1"/>
                <w:color w:val="86B6A5"/>
              </w:rPr>
              <w:t>Variance</w:t>
            </w:r>
          </w:p>
        </w:tc>
        <w:tc>
          <w:tcPr>
            <w:tcW w:w="1100" w:type="dxa"/>
            <w:vAlign w:val="bottom"/>
          </w:tcPr>
          <w:p>
            <w:pPr>
              <w:jc w:val="right"/>
              <w:ind w:right="191"/>
              <w:spacing w:after="0"/>
              <w:rPr>
                <w:sz w:val="20"/>
                <w:szCs w:val="20"/>
                <w:color w:val="auto"/>
              </w:rPr>
            </w:pPr>
            <w:r>
              <w:rPr>
                <w:rFonts w:ascii="Arial" w:cs="Arial" w:eastAsia="Arial" w:hAnsi="Arial"/>
                <w:sz w:val="16"/>
                <w:szCs w:val="16"/>
                <w:b w:val="1"/>
                <w:bCs w:val="1"/>
                <w:color w:val="86B6A5"/>
              </w:rPr>
              <w:t>Currency</w:t>
            </w:r>
          </w:p>
        </w:tc>
        <w:tc>
          <w:tcPr>
            <w:tcW w:w="1240" w:type="dxa"/>
            <w:vAlign w:val="bottom"/>
          </w:tcPr>
          <w:p>
            <w:pPr>
              <w:jc w:val="right"/>
              <w:ind w:right="211"/>
              <w:spacing w:after="0"/>
              <w:rPr>
                <w:sz w:val="20"/>
                <w:szCs w:val="20"/>
                <w:color w:val="auto"/>
              </w:rPr>
            </w:pPr>
            <w:r>
              <w:rPr>
                <w:rFonts w:ascii="Arial" w:cs="Arial" w:eastAsia="Arial" w:hAnsi="Arial"/>
                <w:sz w:val="16"/>
                <w:szCs w:val="16"/>
                <w:b w:val="1"/>
                <w:bCs w:val="1"/>
                <w:color w:val="86B6A5"/>
              </w:rPr>
              <w:t>Currency</w:t>
            </w:r>
          </w:p>
        </w:tc>
        <w:tc>
          <w:tcPr>
            <w:tcW w:w="1320" w:type="dxa"/>
            <w:vAlign w:val="bottom"/>
          </w:tcPr>
          <w:p>
            <w:pPr>
              <w:jc w:val="right"/>
              <w:ind w:right="211"/>
              <w:spacing w:after="0"/>
              <w:rPr>
                <w:sz w:val="20"/>
                <w:szCs w:val="20"/>
                <w:color w:val="auto"/>
              </w:rPr>
            </w:pPr>
            <w:r>
              <w:rPr>
                <w:rFonts w:ascii="Arial" w:cs="Arial" w:eastAsia="Arial" w:hAnsi="Arial"/>
                <w:sz w:val="16"/>
                <w:szCs w:val="16"/>
                <w:b w:val="1"/>
                <w:bCs w:val="1"/>
                <w:color w:val="86B6A5"/>
              </w:rPr>
              <w:t>Currency)</w:t>
            </w:r>
          </w:p>
        </w:tc>
        <w:tc>
          <w:tcPr>
            <w:tcW w:w="1060" w:type="dxa"/>
            <w:vAlign w:val="bottom"/>
            <w:gridSpan w:val="2"/>
          </w:tcPr>
          <w:p>
            <w:pPr>
              <w:jc w:val="right"/>
              <w:ind w:right="130"/>
              <w:spacing w:after="0"/>
              <w:rPr>
                <w:sz w:val="20"/>
                <w:szCs w:val="20"/>
                <w:color w:val="auto"/>
              </w:rPr>
            </w:pPr>
            <w:r>
              <w:rPr>
                <w:rFonts w:ascii="Arial" w:cs="Arial" w:eastAsia="Arial" w:hAnsi="Arial"/>
                <w:sz w:val="16"/>
                <w:szCs w:val="16"/>
                <w:b w:val="1"/>
                <w:bCs w:val="1"/>
                <w:color w:val="86B6A5"/>
              </w:rPr>
              <w:t>Variance</w:t>
            </w:r>
          </w:p>
        </w:tc>
      </w:tr>
      <w:tr>
        <w:trPr>
          <w:trHeight w:val="202"/>
        </w:trPr>
        <w:tc>
          <w:tcPr>
            <w:tcW w:w="3900" w:type="dxa"/>
            <w:vAlign w:val="bottom"/>
            <w:tcBorders>
              <w:top w:val="single" w:sz="8" w:color="86B6A5"/>
            </w:tcBorders>
            <w:gridSpan w:val="2"/>
          </w:tcPr>
          <w:p>
            <w:pPr>
              <w:spacing w:after="0" w:line="201" w:lineRule="exact"/>
              <w:rPr>
                <w:sz w:val="20"/>
                <w:szCs w:val="20"/>
                <w:color w:val="auto"/>
              </w:rPr>
            </w:pPr>
            <w:r>
              <w:rPr>
                <w:rFonts w:ascii="Arial" w:cs="Arial" w:eastAsia="Arial" w:hAnsi="Arial"/>
                <w:sz w:val="18"/>
                <w:szCs w:val="18"/>
                <w:b w:val="1"/>
                <w:bCs w:val="1"/>
                <w:color w:val="939598"/>
              </w:rPr>
              <w:t>Revenues from Services</w:t>
            </w:r>
          </w:p>
        </w:tc>
        <w:tc>
          <w:tcPr>
            <w:tcW w:w="440" w:type="dxa"/>
            <w:vAlign w:val="bottom"/>
            <w:tcBorders>
              <w:top w:val="single" w:sz="8" w:color="86B6A5"/>
            </w:tcBorders>
          </w:tcPr>
          <w:p>
            <w:pPr>
              <w:spacing w:after="0"/>
              <w:rPr>
                <w:sz w:val="17"/>
                <w:szCs w:val="17"/>
                <w:color w:val="auto"/>
              </w:rPr>
            </w:pPr>
          </w:p>
        </w:tc>
        <w:tc>
          <w:tcPr>
            <w:tcW w:w="1160" w:type="dxa"/>
            <w:vAlign w:val="bottom"/>
            <w:tcBorders>
              <w:top w:val="single" w:sz="8" w:color="86B6A5"/>
            </w:tcBorders>
          </w:tcPr>
          <w:p>
            <w:pPr>
              <w:spacing w:after="0"/>
              <w:rPr>
                <w:sz w:val="17"/>
                <w:szCs w:val="17"/>
                <w:color w:val="auto"/>
              </w:rPr>
            </w:pPr>
          </w:p>
        </w:tc>
        <w:tc>
          <w:tcPr>
            <w:tcW w:w="1200" w:type="dxa"/>
            <w:vAlign w:val="bottom"/>
            <w:tcBorders>
              <w:top w:val="single" w:sz="8" w:color="86B6A5"/>
            </w:tcBorders>
          </w:tcPr>
          <w:p>
            <w:pPr>
              <w:spacing w:after="0"/>
              <w:rPr>
                <w:sz w:val="17"/>
                <w:szCs w:val="17"/>
                <w:color w:val="auto"/>
              </w:rPr>
            </w:pPr>
          </w:p>
        </w:tc>
        <w:tc>
          <w:tcPr>
            <w:tcW w:w="1100" w:type="dxa"/>
            <w:vAlign w:val="bottom"/>
            <w:tcBorders>
              <w:top w:val="single" w:sz="8" w:color="86B6A5"/>
            </w:tcBorders>
          </w:tcPr>
          <w:p>
            <w:pPr>
              <w:spacing w:after="0"/>
              <w:rPr>
                <w:sz w:val="17"/>
                <w:szCs w:val="17"/>
                <w:color w:val="auto"/>
              </w:rPr>
            </w:pPr>
          </w:p>
        </w:tc>
        <w:tc>
          <w:tcPr>
            <w:tcW w:w="1240" w:type="dxa"/>
            <w:vAlign w:val="bottom"/>
            <w:tcBorders>
              <w:top w:val="single" w:sz="8" w:color="86B6A5"/>
            </w:tcBorders>
          </w:tcPr>
          <w:p>
            <w:pPr>
              <w:spacing w:after="0"/>
              <w:rPr>
                <w:sz w:val="17"/>
                <w:szCs w:val="17"/>
                <w:color w:val="auto"/>
              </w:rPr>
            </w:pPr>
          </w:p>
        </w:tc>
        <w:tc>
          <w:tcPr>
            <w:tcW w:w="1320" w:type="dxa"/>
            <w:vAlign w:val="bottom"/>
            <w:tcBorders>
              <w:top w:val="single" w:sz="8" w:color="86B6A5"/>
            </w:tcBorders>
          </w:tcPr>
          <w:p>
            <w:pPr>
              <w:spacing w:after="0"/>
              <w:rPr>
                <w:sz w:val="17"/>
                <w:szCs w:val="17"/>
                <w:color w:val="auto"/>
              </w:rPr>
            </w:pPr>
          </w:p>
        </w:tc>
        <w:tc>
          <w:tcPr>
            <w:tcW w:w="840" w:type="dxa"/>
            <w:vAlign w:val="bottom"/>
            <w:tcBorders>
              <w:top w:val="single" w:sz="8" w:color="86B6A5"/>
            </w:tcBorders>
          </w:tcPr>
          <w:p>
            <w:pPr>
              <w:spacing w:after="0"/>
              <w:rPr>
                <w:sz w:val="17"/>
                <w:szCs w:val="17"/>
                <w:color w:val="auto"/>
              </w:rPr>
            </w:pPr>
          </w:p>
        </w:tc>
        <w:tc>
          <w:tcPr>
            <w:tcW w:w="220" w:type="dxa"/>
            <w:vAlign w:val="bottom"/>
          </w:tcPr>
          <w:p>
            <w:pPr>
              <w:spacing w:after="0"/>
              <w:rPr>
                <w:sz w:val="17"/>
                <w:szCs w:val="17"/>
                <w:color w:val="auto"/>
              </w:rPr>
            </w:pPr>
          </w:p>
        </w:tc>
      </w:tr>
      <w:tr>
        <w:trPr>
          <w:trHeight w:val="203"/>
        </w:trPr>
        <w:tc>
          <w:tcPr>
            <w:tcW w:w="3900" w:type="dxa"/>
            <w:vAlign w:val="bottom"/>
            <w:gridSpan w:val="2"/>
          </w:tcPr>
          <w:p>
            <w:pPr>
              <w:spacing w:after="0" w:line="202" w:lineRule="exact"/>
              <w:rPr>
                <w:sz w:val="20"/>
                <w:szCs w:val="20"/>
                <w:color w:val="auto"/>
              </w:rPr>
            </w:pPr>
            <w:r>
              <w:rPr>
                <w:rFonts w:ascii="Arial" w:cs="Arial" w:eastAsia="Arial" w:hAnsi="Arial"/>
                <w:sz w:val="18"/>
                <w:szCs w:val="18"/>
                <w:color w:val="auto"/>
              </w:rPr>
              <w:t>Americas:</w:t>
            </w:r>
          </w:p>
        </w:tc>
        <w:tc>
          <w:tcPr>
            <w:tcW w:w="4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880" w:type="dxa"/>
            <w:vAlign w:val="bottom"/>
          </w:tcPr>
          <w:p>
            <w:pPr>
              <w:ind w:left="260"/>
              <w:spacing w:after="0" w:line="202" w:lineRule="exact"/>
              <w:rPr>
                <w:sz w:val="20"/>
                <w:szCs w:val="20"/>
                <w:color w:val="auto"/>
              </w:rPr>
            </w:pPr>
            <w:r>
              <w:rPr>
                <w:rFonts w:ascii="Arial" w:cs="Arial" w:eastAsia="Arial" w:hAnsi="Arial"/>
                <w:sz w:val="18"/>
                <w:szCs w:val="18"/>
                <w:color w:val="auto"/>
              </w:rPr>
              <w:t>United States</w:t>
            </w:r>
          </w:p>
        </w:tc>
        <w:tc>
          <w:tcPr>
            <w:tcW w:w="4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160" w:type="dxa"/>
            <w:vAlign w:val="bottom"/>
          </w:tcPr>
          <w:p>
            <w:pPr>
              <w:jc w:val="right"/>
              <w:ind w:right="151"/>
              <w:spacing w:after="0" w:line="202" w:lineRule="exact"/>
              <w:rPr>
                <w:sz w:val="20"/>
                <w:szCs w:val="20"/>
                <w:color w:val="auto"/>
              </w:rPr>
            </w:pPr>
            <w:r>
              <w:rPr>
                <w:rFonts w:ascii="Arial" w:cs="Arial" w:eastAsia="Arial" w:hAnsi="Arial"/>
                <w:sz w:val="18"/>
                <w:szCs w:val="18"/>
                <w:color w:val="auto"/>
              </w:rPr>
              <w:t>2,783.4</w:t>
            </w:r>
          </w:p>
        </w:tc>
        <w:tc>
          <w:tcPr>
            <w:tcW w:w="1200" w:type="dxa"/>
            <w:vAlign w:val="bottom"/>
          </w:tcPr>
          <w:p>
            <w:pPr>
              <w:jc w:val="right"/>
              <w:ind w:right="71"/>
              <w:spacing w:after="0" w:line="202" w:lineRule="exact"/>
              <w:rPr>
                <w:sz w:val="20"/>
                <w:szCs w:val="20"/>
                <w:color w:val="auto"/>
              </w:rPr>
            </w:pPr>
            <w:r>
              <w:rPr>
                <w:rFonts w:ascii="Arial" w:cs="Arial" w:eastAsia="Arial" w:hAnsi="Arial"/>
                <w:sz w:val="18"/>
                <w:szCs w:val="18"/>
                <w:color w:val="auto"/>
              </w:rPr>
              <w:t>55.8%</w:t>
            </w:r>
          </w:p>
        </w:tc>
        <w:tc>
          <w:tcPr>
            <w:tcW w:w="1100" w:type="dxa"/>
            <w:vAlign w:val="bottom"/>
          </w:tcPr>
          <w:p>
            <w:pPr>
              <w:jc w:val="right"/>
              <w:ind w:right="31"/>
              <w:spacing w:after="0" w:line="202" w:lineRule="exact"/>
              <w:rPr>
                <w:sz w:val="20"/>
                <w:szCs w:val="20"/>
                <w:color w:val="auto"/>
              </w:rPr>
            </w:pPr>
            <w:r>
              <w:rPr>
                <w:rFonts w:ascii="Arial" w:cs="Arial" w:eastAsia="Arial" w:hAnsi="Arial"/>
                <w:sz w:val="18"/>
                <w:szCs w:val="18"/>
                <w:color w:val="auto"/>
              </w:rPr>
              <w:t>–%</w:t>
            </w:r>
          </w:p>
        </w:tc>
        <w:tc>
          <w:tcPr>
            <w:tcW w:w="1240" w:type="dxa"/>
            <w:vAlign w:val="bottom"/>
          </w:tcPr>
          <w:p>
            <w:pPr>
              <w:jc w:val="right"/>
              <w:ind w:right="51"/>
              <w:spacing w:after="0" w:line="202" w:lineRule="exact"/>
              <w:rPr>
                <w:sz w:val="20"/>
                <w:szCs w:val="20"/>
                <w:color w:val="auto"/>
              </w:rPr>
            </w:pPr>
            <w:r>
              <w:rPr>
                <w:rFonts w:ascii="Arial" w:cs="Arial" w:eastAsia="Arial" w:hAnsi="Arial"/>
                <w:sz w:val="18"/>
                <w:szCs w:val="18"/>
                <w:color w:val="auto"/>
              </w:rPr>
              <w:t>55.8%</w:t>
            </w:r>
          </w:p>
        </w:tc>
        <w:tc>
          <w:tcPr>
            <w:tcW w:w="1320" w:type="dxa"/>
            <w:vAlign w:val="bottom"/>
          </w:tcPr>
          <w:p>
            <w:pPr>
              <w:jc w:val="right"/>
              <w:ind w:right="51"/>
              <w:spacing w:after="0" w:line="202" w:lineRule="exact"/>
              <w:rPr>
                <w:sz w:val="20"/>
                <w:szCs w:val="20"/>
                <w:color w:val="auto"/>
              </w:rPr>
            </w:pPr>
            <w:r>
              <w:rPr>
                <w:rFonts w:ascii="Arial" w:cs="Arial" w:eastAsia="Arial" w:hAnsi="Arial"/>
                <w:sz w:val="18"/>
                <w:szCs w:val="18"/>
                <w:color w:val="auto"/>
              </w:rPr>
              <w:t>33.4%</w:t>
            </w:r>
          </w:p>
        </w:tc>
        <w:tc>
          <w:tcPr>
            <w:tcW w:w="10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22.4%</w:t>
            </w:r>
          </w:p>
        </w:tc>
      </w:tr>
      <w:tr>
        <w:trPr>
          <w:trHeight w:val="203"/>
        </w:trPr>
        <w:tc>
          <w:tcPr>
            <w:tcW w:w="20" w:type="dxa"/>
            <w:vAlign w:val="bottom"/>
          </w:tcPr>
          <w:p>
            <w:pPr>
              <w:spacing w:after="0"/>
              <w:rPr>
                <w:sz w:val="17"/>
                <w:szCs w:val="17"/>
                <w:color w:val="auto"/>
              </w:rPr>
            </w:pPr>
          </w:p>
        </w:tc>
        <w:tc>
          <w:tcPr>
            <w:tcW w:w="3880" w:type="dxa"/>
            <w:vAlign w:val="bottom"/>
            <w:tcBorders>
              <w:bottom w:val="single" w:sz="8" w:color="939598"/>
            </w:tcBorders>
          </w:tcPr>
          <w:p>
            <w:pPr>
              <w:ind w:left="260"/>
              <w:spacing w:after="0" w:line="203" w:lineRule="exact"/>
              <w:rPr>
                <w:sz w:val="20"/>
                <w:szCs w:val="20"/>
                <w:color w:val="auto"/>
              </w:rPr>
            </w:pPr>
            <w:r>
              <w:rPr>
                <w:rFonts w:ascii="Arial" w:cs="Arial" w:eastAsia="Arial" w:hAnsi="Arial"/>
                <w:sz w:val="18"/>
                <w:szCs w:val="18"/>
                <w:color w:val="auto"/>
              </w:rPr>
              <w:t>Other Americas</w:t>
            </w:r>
          </w:p>
        </w:tc>
        <w:tc>
          <w:tcPr>
            <w:tcW w:w="440" w:type="dxa"/>
            <w:vAlign w:val="bottom"/>
            <w:tcBorders>
              <w:bottom w:val="single" w:sz="8" w:color="939598"/>
            </w:tcBorders>
          </w:tcPr>
          <w:p>
            <w:pPr>
              <w:spacing w:after="0"/>
              <w:rPr>
                <w:sz w:val="17"/>
                <w:szCs w:val="17"/>
                <w:color w:val="auto"/>
              </w:rPr>
            </w:pPr>
          </w:p>
        </w:tc>
        <w:tc>
          <w:tcPr>
            <w:tcW w:w="1160" w:type="dxa"/>
            <w:vAlign w:val="bottom"/>
            <w:tcBorders>
              <w:bottom w:val="single" w:sz="8" w:color="939598"/>
            </w:tcBorders>
          </w:tcPr>
          <w:p>
            <w:pPr>
              <w:jc w:val="right"/>
              <w:ind w:right="151"/>
              <w:spacing w:after="0" w:line="203" w:lineRule="exact"/>
              <w:rPr>
                <w:sz w:val="20"/>
                <w:szCs w:val="20"/>
                <w:color w:val="auto"/>
              </w:rPr>
            </w:pPr>
            <w:r>
              <w:rPr>
                <w:rFonts w:ascii="Arial" w:cs="Arial" w:eastAsia="Arial" w:hAnsi="Arial"/>
                <w:sz w:val="18"/>
                <w:szCs w:val="18"/>
                <w:color w:val="auto"/>
              </w:rPr>
              <w:t>1,265.5</w:t>
            </w:r>
          </w:p>
        </w:tc>
        <w:tc>
          <w:tcPr>
            <w:tcW w:w="1200" w:type="dxa"/>
            <w:vAlign w:val="bottom"/>
            <w:tcBorders>
              <w:bottom w:val="single" w:sz="8" w:color="939598"/>
            </w:tcBorders>
          </w:tcPr>
          <w:p>
            <w:pPr>
              <w:jc w:val="right"/>
              <w:ind w:right="231"/>
              <w:spacing w:after="0" w:line="203" w:lineRule="exact"/>
              <w:rPr>
                <w:sz w:val="20"/>
                <w:szCs w:val="20"/>
                <w:color w:val="auto"/>
              </w:rPr>
            </w:pPr>
            <w:r>
              <w:rPr>
                <w:rFonts w:ascii="Arial" w:cs="Arial" w:eastAsia="Arial" w:hAnsi="Arial"/>
                <w:sz w:val="18"/>
                <w:szCs w:val="18"/>
                <w:color w:val="auto"/>
              </w:rPr>
              <w:t>30.8</w:t>
            </w:r>
          </w:p>
        </w:tc>
        <w:tc>
          <w:tcPr>
            <w:tcW w:w="1100" w:type="dxa"/>
            <w:vAlign w:val="bottom"/>
            <w:tcBorders>
              <w:bottom w:val="single" w:sz="8" w:color="939598"/>
            </w:tcBorders>
          </w:tcPr>
          <w:p>
            <w:pPr>
              <w:jc w:val="right"/>
              <w:ind w:right="191"/>
              <w:spacing w:after="0" w:line="203" w:lineRule="exact"/>
              <w:rPr>
                <w:sz w:val="20"/>
                <w:szCs w:val="20"/>
                <w:color w:val="auto"/>
              </w:rPr>
            </w:pPr>
            <w:r>
              <w:rPr>
                <w:rFonts w:ascii="Arial" w:cs="Arial" w:eastAsia="Arial" w:hAnsi="Arial"/>
                <w:sz w:val="18"/>
                <w:szCs w:val="18"/>
                <w:color w:val="auto"/>
              </w:rPr>
              <w:t>6.4</w:t>
            </w:r>
          </w:p>
        </w:tc>
        <w:tc>
          <w:tcPr>
            <w:tcW w:w="1240" w:type="dxa"/>
            <w:vAlign w:val="bottom"/>
            <w:tcBorders>
              <w:bottom w:val="single" w:sz="8" w:color="939598"/>
            </w:tcBorders>
          </w:tcPr>
          <w:p>
            <w:pPr>
              <w:jc w:val="right"/>
              <w:ind w:right="211"/>
              <w:spacing w:after="0" w:line="203" w:lineRule="exact"/>
              <w:rPr>
                <w:sz w:val="20"/>
                <w:szCs w:val="20"/>
                <w:color w:val="auto"/>
              </w:rPr>
            </w:pPr>
            <w:r>
              <w:rPr>
                <w:rFonts w:ascii="Arial" w:cs="Arial" w:eastAsia="Arial" w:hAnsi="Arial"/>
                <w:sz w:val="18"/>
                <w:szCs w:val="18"/>
                <w:color w:val="auto"/>
              </w:rPr>
              <w:t>24.4</w:t>
            </w:r>
          </w:p>
        </w:tc>
        <w:tc>
          <w:tcPr>
            <w:tcW w:w="1320" w:type="dxa"/>
            <w:vAlign w:val="bottom"/>
            <w:tcBorders>
              <w:bottom w:val="single" w:sz="8" w:color="939598"/>
            </w:tcBorders>
          </w:tcPr>
          <w:p>
            <w:pPr>
              <w:jc w:val="right"/>
              <w:ind w:right="211"/>
              <w:spacing w:after="0" w:line="203" w:lineRule="exact"/>
              <w:rPr>
                <w:sz w:val="20"/>
                <w:szCs w:val="20"/>
                <w:color w:val="auto"/>
              </w:rPr>
            </w:pPr>
            <w:r>
              <w:rPr>
                <w:rFonts w:ascii="Arial" w:cs="Arial" w:eastAsia="Arial" w:hAnsi="Arial"/>
                <w:sz w:val="18"/>
                <w:szCs w:val="18"/>
                <w:color w:val="auto"/>
              </w:rPr>
              <w:t>–</w:t>
            </w:r>
          </w:p>
        </w:tc>
        <w:tc>
          <w:tcPr>
            <w:tcW w:w="840" w:type="dxa"/>
            <w:vAlign w:val="bottom"/>
            <w:tcBorders>
              <w:bottom w:val="single" w:sz="8" w:color="939598"/>
            </w:tcBorders>
          </w:tcPr>
          <w:p>
            <w:pPr>
              <w:jc w:val="right"/>
              <w:spacing w:after="0" w:line="203" w:lineRule="exact"/>
              <w:rPr>
                <w:sz w:val="20"/>
                <w:szCs w:val="20"/>
                <w:color w:val="auto"/>
              </w:rPr>
            </w:pPr>
            <w:r>
              <w:rPr>
                <w:rFonts w:ascii="Arial" w:cs="Arial" w:eastAsia="Arial" w:hAnsi="Arial"/>
                <w:sz w:val="18"/>
                <w:szCs w:val="18"/>
                <w:color w:val="auto"/>
              </w:rPr>
              <w:t>24.4</w:t>
            </w:r>
          </w:p>
        </w:tc>
        <w:tc>
          <w:tcPr>
            <w:tcW w:w="2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3880" w:type="dxa"/>
            <w:vAlign w:val="bottom"/>
            <w:tcBorders>
              <w:bottom w:val="single" w:sz="8" w:color="939598"/>
            </w:tcBorders>
          </w:tcPr>
          <w:p>
            <w:pPr>
              <w:spacing w:after="0"/>
              <w:rPr>
                <w:sz w:val="17"/>
                <w:szCs w:val="17"/>
                <w:color w:val="auto"/>
              </w:rPr>
            </w:pPr>
          </w:p>
        </w:tc>
        <w:tc>
          <w:tcPr>
            <w:tcW w:w="440" w:type="dxa"/>
            <w:vAlign w:val="bottom"/>
            <w:tcBorders>
              <w:bottom w:val="single" w:sz="8" w:color="939598"/>
            </w:tcBorders>
          </w:tcPr>
          <w:p>
            <w:pPr>
              <w:spacing w:after="0"/>
              <w:rPr>
                <w:sz w:val="17"/>
                <w:szCs w:val="17"/>
                <w:color w:val="auto"/>
              </w:rPr>
            </w:pPr>
          </w:p>
        </w:tc>
        <w:tc>
          <w:tcPr>
            <w:tcW w:w="1160" w:type="dxa"/>
            <w:vAlign w:val="bottom"/>
            <w:tcBorders>
              <w:bottom w:val="single" w:sz="8" w:color="939598"/>
            </w:tcBorders>
          </w:tcPr>
          <w:p>
            <w:pPr>
              <w:jc w:val="right"/>
              <w:ind w:right="151"/>
              <w:spacing w:after="0" w:line="196" w:lineRule="exact"/>
              <w:rPr>
                <w:sz w:val="20"/>
                <w:szCs w:val="20"/>
                <w:color w:val="auto"/>
              </w:rPr>
            </w:pPr>
            <w:r>
              <w:rPr>
                <w:rFonts w:ascii="Arial" w:cs="Arial" w:eastAsia="Arial" w:hAnsi="Arial"/>
                <w:sz w:val="18"/>
                <w:szCs w:val="18"/>
                <w:color w:val="auto"/>
              </w:rPr>
              <w:t>4,048.9</w:t>
            </w:r>
          </w:p>
        </w:tc>
        <w:tc>
          <w:tcPr>
            <w:tcW w:w="1200" w:type="dxa"/>
            <w:vAlign w:val="bottom"/>
            <w:tcBorders>
              <w:bottom w:val="single" w:sz="8" w:color="939598"/>
            </w:tcBorders>
          </w:tcPr>
          <w:p>
            <w:pPr>
              <w:jc w:val="right"/>
              <w:ind w:right="231"/>
              <w:spacing w:after="0" w:line="196" w:lineRule="exact"/>
              <w:rPr>
                <w:sz w:val="20"/>
                <w:szCs w:val="20"/>
                <w:color w:val="auto"/>
              </w:rPr>
            </w:pPr>
            <w:r>
              <w:rPr>
                <w:rFonts w:ascii="Arial" w:cs="Arial" w:eastAsia="Arial" w:hAnsi="Arial"/>
                <w:sz w:val="18"/>
                <w:szCs w:val="18"/>
                <w:color w:val="auto"/>
              </w:rPr>
              <w:t>47.1</w:t>
            </w:r>
          </w:p>
        </w:tc>
        <w:tc>
          <w:tcPr>
            <w:tcW w:w="1100" w:type="dxa"/>
            <w:vAlign w:val="bottom"/>
            <w:tcBorders>
              <w:bottom w:val="single" w:sz="8" w:color="939598"/>
            </w:tcBorders>
          </w:tcPr>
          <w:p>
            <w:pPr>
              <w:jc w:val="right"/>
              <w:ind w:right="191"/>
              <w:spacing w:after="0" w:line="196" w:lineRule="exact"/>
              <w:rPr>
                <w:sz w:val="20"/>
                <w:szCs w:val="20"/>
                <w:color w:val="auto"/>
              </w:rPr>
            </w:pPr>
            <w:r>
              <w:rPr>
                <w:rFonts w:ascii="Arial" w:cs="Arial" w:eastAsia="Arial" w:hAnsi="Arial"/>
                <w:sz w:val="18"/>
                <w:szCs w:val="18"/>
                <w:color w:val="auto"/>
              </w:rPr>
              <w:t>2.3</w:t>
            </w:r>
          </w:p>
        </w:tc>
        <w:tc>
          <w:tcPr>
            <w:tcW w:w="1240" w:type="dxa"/>
            <w:vAlign w:val="bottom"/>
            <w:tcBorders>
              <w:bottom w:val="single" w:sz="8" w:color="939598"/>
            </w:tcBorders>
          </w:tcPr>
          <w:p>
            <w:pPr>
              <w:jc w:val="right"/>
              <w:ind w:right="211"/>
              <w:spacing w:after="0" w:line="196" w:lineRule="exact"/>
              <w:rPr>
                <w:sz w:val="20"/>
                <w:szCs w:val="20"/>
                <w:color w:val="auto"/>
              </w:rPr>
            </w:pPr>
            <w:r>
              <w:rPr>
                <w:rFonts w:ascii="Arial" w:cs="Arial" w:eastAsia="Arial" w:hAnsi="Arial"/>
                <w:sz w:val="18"/>
                <w:szCs w:val="18"/>
                <w:color w:val="auto"/>
              </w:rPr>
              <w:t>44.8</w:t>
            </w:r>
          </w:p>
        </w:tc>
        <w:tc>
          <w:tcPr>
            <w:tcW w:w="1320" w:type="dxa"/>
            <w:vAlign w:val="bottom"/>
            <w:tcBorders>
              <w:bottom w:val="single" w:sz="8" w:color="939598"/>
            </w:tcBorders>
          </w:tcPr>
          <w:p>
            <w:pPr>
              <w:jc w:val="right"/>
              <w:ind w:right="211"/>
              <w:spacing w:after="0" w:line="196" w:lineRule="exact"/>
              <w:rPr>
                <w:sz w:val="20"/>
                <w:szCs w:val="20"/>
                <w:color w:val="auto"/>
              </w:rPr>
            </w:pPr>
            <w:r>
              <w:rPr>
                <w:rFonts w:ascii="Arial" w:cs="Arial" w:eastAsia="Arial" w:hAnsi="Arial"/>
                <w:sz w:val="18"/>
                <w:szCs w:val="18"/>
                <w:color w:val="auto"/>
              </w:rPr>
              <w:t>21.7</w:t>
            </w:r>
          </w:p>
        </w:tc>
        <w:tc>
          <w:tcPr>
            <w:tcW w:w="840" w:type="dxa"/>
            <w:vAlign w:val="bottom"/>
            <w:tcBorders>
              <w:bottom w:val="single" w:sz="8" w:color="939598"/>
            </w:tcBorders>
          </w:tcPr>
          <w:p>
            <w:pPr>
              <w:jc w:val="right"/>
              <w:spacing w:after="0" w:line="196" w:lineRule="exact"/>
              <w:rPr>
                <w:sz w:val="20"/>
                <w:szCs w:val="20"/>
                <w:color w:val="auto"/>
              </w:rPr>
            </w:pPr>
            <w:r>
              <w:rPr>
                <w:rFonts w:ascii="Arial" w:cs="Arial" w:eastAsia="Arial" w:hAnsi="Arial"/>
                <w:sz w:val="18"/>
                <w:szCs w:val="18"/>
                <w:color w:val="auto"/>
              </w:rPr>
              <w:t>23.1</w:t>
            </w:r>
          </w:p>
        </w:tc>
        <w:tc>
          <w:tcPr>
            <w:tcW w:w="220" w:type="dxa"/>
            <w:vAlign w:val="bottom"/>
          </w:tcPr>
          <w:p>
            <w:pPr>
              <w:spacing w:after="0"/>
              <w:rPr>
                <w:sz w:val="17"/>
                <w:szCs w:val="17"/>
                <w:color w:val="auto"/>
              </w:rPr>
            </w:pPr>
          </w:p>
        </w:tc>
      </w:tr>
      <w:tr>
        <w:trPr>
          <w:trHeight w:val="195"/>
        </w:trPr>
        <w:tc>
          <w:tcPr>
            <w:tcW w:w="20" w:type="dxa"/>
            <w:vAlign w:val="bottom"/>
          </w:tcPr>
          <w:p>
            <w:pPr>
              <w:spacing w:after="0"/>
              <w:rPr>
                <w:sz w:val="16"/>
                <w:szCs w:val="16"/>
                <w:color w:val="auto"/>
              </w:rPr>
            </w:pPr>
          </w:p>
        </w:tc>
        <w:tc>
          <w:tcPr>
            <w:tcW w:w="3880" w:type="dxa"/>
            <w:vAlign w:val="bottom"/>
          </w:tcPr>
          <w:p>
            <w:pPr>
              <w:spacing w:after="0" w:line="195" w:lineRule="exact"/>
              <w:rPr>
                <w:sz w:val="20"/>
                <w:szCs w:val="20"/>
                <w:color w:val="auto"/>
              </w:rPr>
            </w:pPr>
            <w:r>
              <w:rPr>
                <w:rFonts w:ascii="Arial" w:cs="Arial" w:eastAsia="Arial" w:hAnsi="Arial"/>
                <w:sz w:val="18"/>
                <w:szCs w:val="18"/>
                <w:color w:val="auto"/>
              </w:rPr>
              <w:t>France</w:t>
            </w:r>
          </w:p>
        </w:tc>
        <w:tc>
          <w:tcPr>
            <w:tcW w:w="440" w:type="dxa"/>
            <w:vAlign w:val="bottom"/>
          </w:tcPr>
          <w:p>
            <w:pPr>
              <w:spacing w:after="0"/>
              <w:rPr>
                <w:sz w:val="16"/>
                <w:szCs w:val="16"/>
                <w:color w:val="auto"/>
              </w:rPr>
            </w:pPr>
          </w:p>
        </w:tc>
        <w:tc>
          <w:tcPr>
            <w:tcW w:w="1160" w:type="dxa"/>
            <w:vAlign w:val="bottom"/>
          </w:tcPr>
          <w:p>
            <w:pPr>
              <w:jc w:val="right"/>
              <w:ind w:right="151"/>
              <w:spacing w:after="0" w:line="195" w:lineRule="exact"/>
              <w:rPr>
                <w:sz w:val="20"/>
                <w:szCs w:val="20"/>
                <w:color w:val="auto"/>
              </w:rPr>
            </w:pPr>
            <w:r>
              <w:rPr>
                <w:rFonts w:ascii="Arial" w:cs="Arial" w:eastAsia="Arial" w:hAnsi="Arial"/>
                <w:sz w:val="18"/>
                <w:szCs w:val="18"/>
                <w:color w:val="auto"/>
              </w:rPr>
              <w:t>5,208.6</w:t>
            </w:r>
          </w:p>
        </w:tc>
        <w:tc>
          <w:tcPr>
            <w:tcW w:w="1200" w:type="dxa"/>
            <w:vAlign w:val="bottom"/>
          </w:tcPr>
          <w:p>
            <w:pPr>
              <w:jc w:val="right"/>
              <w:ind w:right="231"/>
              <w:spacing w:after="0" w:line="195" w:lineRule="exact"/>
              <w:rPr>
                <w:sz w:val="20"/>
                <w:szCs w:val="20"/>
                <w:color w:val="auto"/>
              </w:rPr>
            </w:pPr>
            <w:r>
              <w:rPr>
                <w:rFonts w:ascii="Arial" w:cs="Arial" w:eastAsia="Arial" w:hAnsi="Arial"/>
                <w:sz w:val="18"/>
                <w:szCs w:val="18"/>
                <w:color w:val="auto"/>
              </w:rPr>
              <w:t>11.4</w:t>
            </w:r>
          </w:p>
        </w:tc>
        <w:tc>
          <w:tcPr>
            <w:tcW w:w="1100" w:type="dxa"/>
            <w:vAlign w:val="bottom"/>
          </w:tcPr>
          <w:p>
            <w:pPr>
              <w:jc w:val="right"/>
              <w:ind w:right="131"/>
              <w:spacing w:after="0" w:line="195" w:lineRule="exact"/>
              <w:rPr>
                <w:sz w:val="20"/>
                <w:szCs w:val="20"/>
                <w:color w:val="auto"/>
              </w:rPr>
            </w:pPr>
            <w:r>
              <w:rPr>
                <w:rFonts w:ascii="Arial" w:cs="Arial" w:eastAsia="Arial" w:hAnsi="Arial"/>
                <w:sz w:val="18"/>
                <w:szCs w:val="18"/>
                <w:color w:val="auto"/>
              </w:rPr>
              <w:t>(6.6)</w:t>
            </w:r>
          </w:p>
        </w:tc>
        <w:tc>
          <w:tcPr>
            <w:tcW w:w="1240" w:type="dxa"/>
            <w:vAlign w:val="bottom"/>
          </w:tcPr>
          <w:p>
            <w:pPr>
              <w:jc w:val="right"/>
              <w:ind w:right="211"/>
              <w:spacing w:after="0" w:line="195" w:lineRule="exact"/>
              <w:rPr>
                <w:sz w:val="20"/>
                <w:szCs w:val="20"/>
                <w:color w:val="auto"/>
              </w:rPr>
            </w:pPr>
            <w:r>
              <w:rPr>
                <w:rFonts w:ascii="Arial" w:cs="Arial" w:eastAsia="Arial" w:hAnsi="Arial"/>
                <w:sz w:val="18"/>
                <w:szCs w:val="18"/>
                <w:color w:val="auto"/>
              </w:rPr>
              <w:t>18.0</w:t>
            </w:r>
          </w:p>
        </w:tc>
        <w:tc>
          <w:tcPr>
            <w:tcW w:w="1320" w:type="dxa"/>
            <w:vAlign w:val="bottom"/>
          </w:tcPr>
          <w:p>
            <w:pPr>
              <w:jc w:val="right"/>
              <w:ind w:right="211"/>
              <w:spacing w:after="0" w:line="195" w:lineRule="exact"/>
              <w:rPr>
                <w:sz w:val="20"/>
                <w:szCs w:val="20"/>
                <w:color w:val="auto"/>
              </w:rPr>
            </w:pPr>
            <w:r>
              <w:rPr>
                <w:rFonts w:ascii="Arial" w:cs="Arial" w:eastAsia="Arial" w:hAnsi="Arial"/>
                <w:sz w:val="18"/>
                <w:szCs w:val="18"/>
                <w:color w:val="auto"/>
              </w:rPr>
              <w:t>–</w:t>
            </w:r>
          </w:p>
        </w:tc>
        <w:tc>
          <w:tcPr>
            <w:tcW w:w="840" w:type="dxa"/>
            <w:vAlign w:val="bottom"/>
          </w:tcPr>
          <w:p>
            <w:pPr>
              <w:jc w:val="right"/>
              <w:spacing w:after="0" w:line="195" w:lineRule="exact"/>
              <w:rPr>
                <w:sz w:val="20"/>
                <w:szCs w:val="20"/>
                <w:color w:val="auto"/>
              </w:rPr>
            </w:pPr>
            <w:r>
              <w:rPr>
                <w:rFonts w:ascii="Arial" w:cs="Arial" w:eastAsia="Arial" w:hAnsi="Arial"/>
                <w:sz w:val="18"/>
                <w:szCs w:val="18"/>
                <w:color w:val="auto"/>
              </w:rPr>
              <w:t>18.0</w:t>
            </w:r>
          </w:p>
        </w:tc>
        <w:tc>
          <w:tcPr>
            <w:tcW w:w="220" w:type="dxa"/>
            <w:vAlign w:val="bottom"/>
          </w:tcPr>
          <w:p>
            <w:pPr>
              <w:spacing w:after="0"/>
              <w:rPr>
                <w:sz w:val="16"/>
                <w:szCs w:val="16"/>
                <w:color w:val="auto"/>
              </w:rPr>
            </w:pPr>
          </w:p>
        </w:tc>
      </w:tr>
      <w:tr>
        <w:trPr>
          <w:trHeight w:val="203"/>
        </w:trPr>
        <w:tc>
          <w:tcPr>
            <w:tcW w:w="3900" w:type="dxa"/>
            <w:vAlign w:val="bottom"/>
            <w:gridSpan w:val="2"/>
          </w:tcPr>
          <w:p>
            <w:pPr>
              <w:spacing w:after="0" w:line="202" w:lineRule="exact"/>
              <w:rPr>
                <w:sz w:val="20"/>
                <w:szCs w:val="20"/>
                <w:color w:val="auto"/>
              </w:rPr>
            </w:pPr>
            <w:r>
              <w:rPr>
                <w:rFonts w:ascii="Arial" w:cs="Arial" w:eastAsia="Arial" w:hAnsi="Arial"/>
                <w:sz w:val="18"/>
                <w:szCs w:val="18"/>
                <w:color w:val="auto"/>
              </w:rPr>
              <w:t>EMEA:</w:t>
            </w:r>
          </w:p>
        </w:tc>
        <w:tc>
          <w:tcPr>
            <w:tcW w:w="4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880" w:type="dxa"/>
            <w:vAlign w:val="bottom"/>
          </w:tcPr>
          <w:p>
            <w:pPr>
              <w:ind w:left="260"/>
              <w:spacing w:after="0" w:line="202" w:lineRule="exact"/>
              <w:rPr>
                <w:sz w:val="20"/>
                <w:szCs w:val="20"/>
                <w:color w:val="auto"/>
              </w:rPr>
            </w:pPr>
            <w:r>
              <w:rPr>
                <w:rFonts w:ascii="Arial" w:cs="Arial" w:eastAsia="Arial" w:hAnsi="Arial"/>
                <w:sz w:val="18"/>
                <w:szCs w:val="18"/>
                <w:color w:val="auto"/>
              </w:rPr>
              <w:t>Italy</w:t>
            </w:r>
          </w:p>
        </w:tc>
        <w:tc>
          <w:tcPr>
            <w:tcW w:w="440" w:type="dxa"/>
            <w:vAlign w:val="bottom"/>
          </w:tcPr>
          <w:p>
            <w:pPr>
              <w:spacing w:after="0"/>
              <w:rPr>
                <w:sz w:val="17"/>
                <w:szCs w:val="17"/>
                <w:color w:val="auto"/>
              </w:rPr>
            </w:pPr>
          </w:p>
        </w:tc>
        <w:tc>
          <w:tcPr>
            <w:tcW w:w="1160" w:type="dxa"/>
            <w:vAlign w:val="bottom"/>
          </w:tcPr>
          <w:p>
            <w:pPr>
              <w:jc w:val="right"/>
              <w:ind w:right="151"/>
              <w:spacing w:after="0" w:line="202" w:lineRule="exact"/>
              <w:rPr>
                <w:sz w:val="20"/>
                <w:szCs w:val="20"/>
                <w:color w:val="auto"/>
              </w:rPr>
            </w:pPr>
            <w:r>
              <w:rPr>
                <w:rFonts w:ascii="Arial" w:cs="Arial" w:eastAsia="Arial" w:hAnsi="Arial"/>
                <w:sz w:val="18"/>
                <w:szCs w:val="18"/>
                <w:color w:val="auto"/>
              </w:rPr>
              <w:t>1,044.2</w:t>
            </w:r>
          </w:p>
        </w:tc>
        <w:tc>
          <w:tcPr>
            <w:tcW w:w="1200" w:type="dxa"/>
            <w:vAlign w:val="bottom"/>
          </w:tcPr>
          <w:p>
            <w:pPr>
              <w:jc w:val="right"/>
              <w:ind w:right="231"/>
              <w:spacing w:after="0" w:line="202" w:lineRule="exact"/>
              <w:rPr>
                <w:sz w:val="20"/>
                <w:szCs w:val="20"/>
                <w:color w:val="auto"/>
              </w:rPr>
            </w:pPr>
            <w:r>
              <w:rPr>
                <w:rFonts w:ascii="Arial" w:cs="Arial" w:eastAsia="Arial" w:hAnsi="Arial"/>
                <w:sz w:val="18"/>
                <w:szCs w:val="18"/>
                <w:color w:val="auto"/>
              </w:rPr>
              <w:t>9.8</w:t>
            </w:r>
          </w:p>
        </w:tc>
        <w:tc>
          <w:tcPr>
            <w:tcW w:w="1100" w:type="dxa"/>
            <w:vAlign w:val="bottom"/>
          </w:tcPr>
          <w:p>
            <w:pPr>
              <w:jc w:val="right"/>
              <w:ind w:right="131"/>
              <w:spacing w:after="0" w:line="202" w:lineRule="exact"/>
              <w:rPr>
                <w:sz w:val="20"/>
                <w:szCs w:val="20"/>
                <w:color w:val="auto"/>
              </w:rPr>
            </w:pPr>
            <w:r>
              <w:rPr>
                <w:rFonts w:ascii="Arial" w:cs="Arial" w:eastAsia="Arial" w:hAnsi="Arial"/>
                <w:sz w:val="18"/>
                <w:szCs w:val="18"/>
                <w:color w:val="auto"/>
              </w:rPr>
              <w:t>(6.2)</w:t>
            </w:r>
          </w:p>
        </w:tc>
        <w:tc>
          <w:tcPr>
            <w:tcW w:w="1240" w:type="dxa"/>
            <w:vAlign w:val="bottom"/>
          </w:tcPr>
          <w:p>
            <w:pPr>
              <w:jc w:val="right"/>
              <w:ind w:right="211"/>
              <w:spacing w:after="0" w:line="202" w:lineRule="exact"/>
              <w:rPr>
                <w:sz w:val="20"/>
                <w:szCs w:val="20"/>
                <w:color w:val="auto"/>
              </w:rPr>
            </w:pPr>
            <w:r>
              <w:rPr>
                <w:rFonts w:ascii="Arial" w:cs="Arial" w:eastAsia="Arial" w:hAnsi="Arial"/>
                <w:sz w:val="18"/>
                <w:szCs w:val="18"/>
                <w:color w:val="auto"/>
              </w:rPr>
              <w:t>16.0</w:t>
            </w:r>
          </w:p>
        </w:tc>
        <w:tc>
          <w:tcPr>
            <w:tcW w:w="1320" w:type="dxa"/>
            <w:vAlign w:val="bottom"/>
          </w:tcPr>
          <w:p>
            <w:pPr>
              <w:jc w:val="right"/>
              <w:ind w:right="211"/>
              <w:spacing w:after="0" w:line="202" w:lineRule="exact"/>
              <w:rPr>
                <w:sz w:val="20"/>
                <w:szCs w:val="20"/>
                <w:color w:val="auto"/>
              </w:rPr>
            </w:pPr>
            <w:r>
              <w:rPr>
                <w:rFonts w:ascii="Arial" w:cs="Arial" w:eastAsia="Arial" w:hAnsi="Arial"/>
                <w:sz w:val="18"/>
                <w:szCs w:val="18"/>
                <w:color w:val="auto"/>
              </w:rPr>
              <w:t>–</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16.0</w:t>
            </w:r>
          </w:p>
        </w:tc>
        <w:tc>
          <w:tcPr>
            <w:tcW w:w="2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880" w:type="dxa"/>
            <w:vAlign w:val="bottom"/>
            <w:tcBorders>
              <w:bottom w:val="single" w:sz="8" w:color="939598"/>
            </w:tcBorders>
          </w:tcPr>
          <w:p>
            <w:pPr>
              <w:ind w:left="260"/>
              <w:spacing w:after="0" w:line="203" w:lineRule="exact"/>
              <w:rPr>
                <w:sz w:val="20"/>
                <w:szCs w:val="20"/>
                <w:color w:val="auto"/>
              </w:rPr>
            </w:pPr>
            <w:r>
              <w:rPr>
                <w:rFonts w:ascii="Arial" w:cs="Arial" w:eastAsia="Arial" w:hAnsi="Arial"/>
                <w:sz w:val="18"/>
                <w:szCs w:val="18"/>
                <w:color w:val="auto"/>
              </w:rPr>
              <w:t>Other EMEA</w:t>
            </w:r>
          </w:p>
        </w:tc>
        <w:tc>
          <w:tcPr>
            <w:tcW w:w="440" w:type="dxa"/>
            <w:vAlign w:val="bottom"/>
            <w:tcBorders>
              <w:bottom w:val="single" w:sz="8" w:color="939598"/>
            </w:tcBorders>
          </w:tcPr>
          <w:p>
            <w:pPr>
              <w:spacing w:after="0"/>
              <w:rPr>
                <w:sz w:val="17"/>
                <w:szCs w:val="17"/>
                <w:color w:val="auto"/>
              </w:rPr>
            </w:pPr>
          </w:p>
        </w:tc>
        <w:tc>
          <w:tcPr>
            <w:tcW w:w="1160" w:type="dxa"/>
            <w:vAlign w:val="bottom"/>
            <w:tcBorders>
              <w:bottom w:val="single" w:sz="8" w:color="939598"/>
            </w:tcBorders>
          </w:tcPr>
          <w:p>
            <w:pPr>
              <w:jc w:val="right"/>
              <w:ind w:right="151"/>
              <w:spacing w:after="0" w:line="203" w:lineRule="exact"/>
              <w:rPr>
                <w:sz w:val="20"/>
                <w:szCs w:val="20"/>
                <w:color w:val="auto"/>
              </w:rPr>
            </w:pPr>
            <w:r>
              <w:rPr>
                <w:rFonts w:ascii="Arial" w:cs="Arial" w:eastAsia="Arial" w:hAnsi="Arial"/>
                <w:sz w:val="18"/>
                <w:szCs w:val="18"/>
                <w:color w:val="auto"/>
              </w:rPr>
              <w:t>6,043.0</w:t>
            </w:r>
          </w:p>
        </w:tc>
        <w:tc>
          <w:tcPr>
            <w:tcW w:w="1200" w:type="dxa"/>
            <w:vAlign w:val="bottom"/>
            <w:tcBorders>
              <w:bottom w:val="single" w:sz="8" w:color="939598"/>
            </w:tcBorders>
          </w:tcPr>
          <w:p>
            <w:pPr>
              <w:jc w:val="right"/>
              <w:ind w:right="231"/>
              <w:spacing w:after="0" w:line="203" w:lineRule="exact"/>
              <w:rPr>
                <w:sz w:val="20"/>
                <w:szCs w:val="20"/>
                <w:color w:val="auto"/>
              </w:rPr>
            </w:pPr>
            <w:r>
              <w:rPr>
                <w:rFonts w:ascii="Arial" w:cs="Arial" w:eastAsia="Arial" w:hAnsi="Arial"/>
                <w:sz w:val="18"/>
                <w:szCs w:val="18"/>
                <w:color w:val="auto"/>
              </w:rPr>
              <w:t>12.5</w:t>
            </w:r>
          </w:p>
        </w:tc>
        <w:tc>
          <w:tcPr>
            <w:tcW w:w="1100" w:type="dxa"/>
            <w:vAlign w:val="bottom"/>
            <w:tcBorders>
              <w:bottom w:val="single" w:sz="8" w:color="939598"/>
            </w:tcBorders>
          </w:tcPr>
          <w:p>
            <w:pPr>
              <w:jc w:val="right"/>
              <w:ind w:right="131"/>
              <w:spacing w:after="0" w:line="203" w:lineRule="exact"/>
              <w:rPr>
                <w:sz w:val="20"/>
                <w:szCs w:val="20"/>
                <w:color w:val="auto"/>
              </w:rPr>
            </w:pPr>
            <w:r>
              <w:rPr>
                <w:rFonts w:ascii="Arial" w:cs="Arial" w:eastAsia="Arial" w:hAnsi="Arial"/>
                <w:sz w:val="18"/>
                <w:szCs w:val="18"/>
                <w:color w:val="auto"/>
              </w:rPr>
              <w:t>(2.1)</w:t>
            </w:r>
          </w:p>
        </w:tc>
        <w:tc>
          <w:tcPr>
            <w:tcW w:w="1240" w:type="dxa"/>
            <w:vAlign w:val="bottom"/>
            <w:tcBorders>
              <w:bottom w:val="single" w:sz="8" w:color="939598"/>
            </w:tcBorders>
          </w:tcPr>
          <w:p>
            <w:pPr>
              <w:jc w:val="right"/>
              <w:ind w:right="211"/>
              <w:spacing w:after="0" w:line="203" w:lineRule="exact"/>
              <w:rPr>
                <w:sz w:val="20"/>
                <w:szCs w:val="20"/>
                <w:color w:val="auto"/>
              </w:rPr>
            </w:pPr>
            <w:r>
              <w:rPr>
                <w:rFonts w:ascii="Arial" w:cs="Arial" w:eastAsia="Arial" w:hAnsi="Arial"/>
                <w:sz w:val="18"/>
                <w:szCs w:val="18"/>
                <w:color w:val="auto"/>
              </w:rPr>
              <w:t>14.6</w:t>
            </w:r>
          </w:p>
        </w:tc>
        <w:tc>
          <w:tcPr>
            <w:tcW w:w="1320" w:type="dxa"/>
            <w:vAlign w:val="bottom"/>
            <w:tcBorders>
              <w:bottom w:val="single" w:sz="8" w:color="939598"/>
            </w:tcBorders>
          </w:tcPr>
          <w:p>
            <w:pPr>
              <w:jc w:val="right"/>
              <w:ind w:right="211"/>
              <w:spacing w:after="0" w:line="203" w:lineRule="exact"/>
              <w:rPr>
                <w:sz w:val="20"/>
                <w:szCs w:val="20"/>
                <w:color w:val="auto"/>
              </w:rPr>
            </w:pPr>
            <w:r>
              <w:rPr>
                <w:rFonts w:ascii="Arial" w:cs="Arial" w:eastAsia="Arial" w:hAnsi="Arial"/>
                <w:sz w:val="18"/>
                <w:szCs w:val="18"/>
                <w:color w:val="auto"/>
              </w:rPr>
              <w:t>–</w:t>
            </w:r>
          </w:p>
        </w:tc>
        <w:tc>
          <w:tcPr>
            <w:tcW w:w="840" w:type="dxa"/>
            <w:vAlign w:val="bottom"/>
            <w:tcBorders>
              <w:bottom w:val="single" w:sz="8" w:color="939598"/>
            </w:tcBorders>
          </w:tcPr>
          <w:p>
            <w:pPr>
              <w:jc w:val="right"/>
              <w:spacing w:after="0" w:line="203" w:lineRule="exact"/>
              <w:rPr>
                <w:sz w:val="20"/>
                <w:szCs w:val="20"/>
                <w:color w:val="auto"/>
              </w:rPr>
            </w:pPr>
            <w:r>
              <w:rPr>
                <w:rFonts w:ascii="Arial" w:cs="Arial" w:eastAsia="Arial" w:hAnsi="Arial"/>
                <w:sz w:val="18"/>
                <w:szCs w:val="18"/>
                <w:color w:val="auto"/>
              </w:rPr>
              <w:t>14.6</w:t>
            </w:r>
          </w:p>
        </w:tc>
        <w:tc>
          <w:tcPr>
            <w:tcW w:w="2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3880" w:type="dxa"/>
            <w:vAlign w:val="bottom"/>
            <w:tcBorders>
              <w:bottom w:val="single" w:sz="8" w:color="939598"/>
            </w:tcBorders>
          </w:tcPr>
          <w:p>
            <w:pPr>
              <w:spacing w:after="0"/>
              <w:rPr>
                <w:sz w:val="17"/>
                <w:szCs w:val="17"/>
                <w:color w:val="auto"/>
              </w:rPr>
            </w:pPr>
          </w:p>
        </w:tc>
        <w:tc>
          <w:tcPr>
            <w:tcW w:w="440" w:type="dxa"/>
            <w:vAlign w:val="bottom"/>
            <w:tcBorders>
              <w:bottom w:val="single" w:sz="8" w:color="939598"/>
            </w:tcBorders>
          </w:tcPr>
          <w:p>
            <w:pPr>
              <w:spacing w:after="0"/>
              <w:rPr>
                <w:sz w:val="17"/>
                <w:szCs w:val="17"/>
                <w:color w:val="auto"/>
              </w:rPr>
            </w:pPr>
          </w:p>
        </w:tc>
        <w:tc>
          <w:tcPr>
            <w:tcW w:w="1160" w:type="dxa"/>
            <w:vAlign w:val="bottom"/>
            <w:tcBorders>
              <w:bottom w:val="single" w:sz="8" w:color="939598"/>
            </w:tcBorders>
          </w:tcPr>
          <w:p>
            <w:pPr>
              <w:jc w:val="right"/>
              <w:ind w:right="151"/>
              <w:spacing w:after="0" w:line="196" w:lineRule="exact"/>
              <w:rPr>
                <w:sz w:val="20"/>
                <w:szCs w:val="20"/>
                <w:color w:val="auto"/>
              </w:rPr>
            </w:pPr>
            <w:r>
              <w:rPr>
                <w:rFonts w:ascii="Arial" w:cs="Arial" w:eastAsia="Arial" w:hAnsi="Arial"/>
                <w:sz w:val="18"/>
                <w:szCs w:val="18"/>
                <w:color w:val="auto"/>
              </w:rPr>
              <w:t>7,087.2</w:t>
            </w:r>
          </w:p>
        </w:tc>
        <w:tc>
          <w:tcPr>
            <w:tcW w:w="1200" w:type="dxa"/>
            <w:vAlign w:val="bottom"/>
            <w:tcBorders>
              <w:bottom w:val="single" w:sz="8" w:color="939598"/>
            </w:tcBorders>
          </w:tcPr>
          <w:p>
            <w:pPr>
              <w:jc w:val="right"/>
              <w:ind w:right="231"/>
              <w:spacing w:after="0" w:line="196" w:lineRule="exact"/>
              <w:rPr>
                <w:sz w:val="20"/>
                <w:szCs w:val="20"/>
                <w:color w:val="auto"/>
              </w:rPr>
            </w:pPr>
            <w:r>
              <w:rPr>
                <w:rFonts w:ascii="Arial" w:cs="Arial" w:eastAsia="Arial" w:hAnsi="Arial"/>
                <w:sz w:val="18"/>
                <w:szCs w:val="18"/>
                <w:color w:val="auto"/>
              </w:rPr>
              <w:t>12.1</w:t>
            </w:r>
          </w:p>
        </w:tc>
        <w:tc>
          <w:tcPr>
            <w:tcW w:w="1100" w:type="dxa"/>
            <w:vAlign w:val="bottom"/>
            <w:tcBorders>
              <w:bottom w:val="single" w:sz="8" w:color="939598"/>
            </w:tcBorders>
          </w:tcPr>
          <w:p>
            <w:pPr>
              <w:jc w:val="right"/>
              <w:ind w:right="131"/>
              <w:spacing w:after="0" w:line="196" w:lineRule="exact"/>
              <w:rPr>
                <w:sz w:val="20"/>
                <w:szCs w:val="20"/>
                <w:color w:val="auto"/>
              </w:rPr>
            </w:pPr>
            <w:r>
              <w:rPr>
                <w:rFonts w:ascii="Arial" w:cs="Arial" w:eastAsia="Arial" w:hAnsi="Arial"/>
                <w:sz w:val="18"/>
                <w:szCs w:val="18"/>
                <w:color w:val="auto"/>
              </w:rPr>
              <w:t>(2.7)</w:t>
            </w:r>
          </w:p>
        </w:tc>
        <w:tc>
          <w:tcPr>
            <w:tcW w:w="1240" w:type="dxa"/>
            <w:vAlign w:val="bottom"/>
            <w:tcBorders>
              <w:bottom w:val="single" w:sz="8" w:color="939598"/>
            </w:tcBorders>
          </w:tcPr>
          <w:p>
            <w:pPr>
              <w:jc w:val="right"/>
              <w:ind w:right="211"/>
              <w:spacing w:after="0" w:line="196" w:lineRule="exact"/>
              <w:rPr>
                <w:sz w:val="20"/>
                <w:szCs w:val="20"/>
                <w:color w:val="auto"/>
              </w:rPr>
            </w:pPr>
            <w:r>
              <w:rPr>
                <w:rFonts w:ascii="Arial" w:cs="Arial" w:eastAsia="Arial" w:hAnsi="Arial"/>
                <w:sz w:val="18"/>
                <w:szCs w:val="18"/>
                <w:color w:val="auto"/>
              </w:rPr>
              <w:t>14.8</w:t>
            </w:r>
          </w:p>
        </w:tc>
        <w:tc>
          <w:tcPr>
            <w:tcW w:w="1320" w:type="dxa"/>
            <w:vAlign w:val="bottom"/>
            <w:tcBorders>
              <w:bottom w:val="single" w:sz="8" w:color="939598"/>
            </w:tcBorders>
          </w:tcPr>
          <w:p>
            <w:pPr>
              <w:spacing w:after="0"/>
              <w:rPr>
                <w:sz w:val="17"/>
                <w:szCs w:val="17"/>
                <w:color w:val="auto"/>
              </w:rPr>
            </w:pPr>
          </w:p>
        </w:tc>
        <w:tc>
          <w:tcPr>
            <w:tcW w:w="840" w:type="dxa"/>
            <w:vAlign w:val="bottom"/>
            <w:tcBorders>
              <w:bottom w:val="single" w:sz="8" w:color="939598"/>
            </w:tcBorders>
          </w:tcPr>
          <w:p>
            <w:pPr>
              <w:jc w:val="right"/>
              <w:spacing w:after="0" w:line="196" w:lineRule="exact"/>
              <w:rPr>
                <w:sz w:val="20"/>
                <w:szCs w:val="20"/>
                <w:color w:val="auto"/>
              </w:rPr>
            </w:pPr>
            <w:r>
              <w:rPr>
                <w:rFonts w:ascii="Arial" w:cs="Arial" w:eastAsia="Arial" w:hAnsi="Arial"/>
                <w:sz w:val="18"/>
                <w:szCs w:val="18"/>
                <w:color w:val="auto"/>
              </w:rPr>
              <w:t>14.8</w:t>
            </w:r>
          </w:p>
        </w:tc>
        <w:tc>
          <w:tcPr>
            <w:tcW w:w="220" w:type="dxa"/>
            <w:vAlign w:val="bottom"/>
          </w:tcPr>
          <w:p>
            <w:pPr>
              <w:spacing w:after="0"/>
              <w:rPr>
                <w:sz w:val="17"/>
                <w:szCs w:val="17"/>
                <w:color w:val="auto"/>
              </w:rPr>
            </w:pPr>
          </w:p>
        </w:tc>
      </w:tr>
      <w:tr>
        <w:trPr>
          <w:trHeight w:val="195"/>
        </w:trPr>
        <w:tc>
          <w:tcPr>
            <w:tcW w:w="20" w:type="dxa"/>
            <w:vAlign w:val="bottom"/>
          </w:tcPr>
          <w:p>
            <w:pPr>
              <w:spacing w:after="0"/>
              <w:rPr>
                <w:sz w:val="16"/>
                <w:szCs w:val="16"/>
                <w:color w:val="auto"/>
              </w:rPr>
            </w:pPr>
          </w:p>
        </w:tc>
        <w:tc>
          <w:tcPr>
            <w:tcW w:w="3880" w:type="dxa"/>
            <w:vAlign w:val="bottom"/>
          </w:tcPr>
          <w:p>
            <w:pPr>
              <w:spacing w:after="0" w:line="195" w:lineRule="exact"/>
              <w:rPr>
                <w:sz w:val="20"/>
                <w:szCs w:val="20"/>
                <w:color w:val="auto"/>
              </w:rPr>
            </w:pPr>
            <w:r>
              <w:rPr>
                <w:rFonts w:ascii="Arial" w:cs="Arial" w:eastAsia="Arial" w:hAnsi="Arial"/>
                <w:sz w:val="18"/>
                <w:szCs w:val="18"/>
                <w:color w:val="auto"/>
              </w:rPr>
              <w:t>Asia Pacific</w:t>
            </w:r>
          </w:p>
        </w:tc>
        <w:tc>
          <w:tcPr>
            <w:tcW w:w="440" w:type="dxa"/>
            <w:vAlign w:val="bottom"/>
          </w:tcPr>
          <w:p>
            <w:pPr>
              <w:spacing w:after="0"/>
              <w:rPr>
                <w:sz w:val="16"/>
                <w:szCs w:val="16"/>
                <w:color w:val="auto"/>
              </w:rPr>
            </w:pPr>
          </w:p>
        </w:tc>
        <w:tc>
          <w:tcPr>
            <w:tcW w:w="1160" w:type="dxa"/>
            <w:vAlign w:val="bottom"/>
          </w:tcPr>
          <w:p>
            <w:pPr>
              <w:jc w:val="right"/>
              <w:ind w:right="151"/>
              <w:spacing w:after="0" w:line="195" w:lineRule="exact"/>
              <w:rPr>
                <w:sz w:val="20"/>
                <w:szCs w:val="20"/>
                <w:color w:val="auto"/>
              </w:rPr>
            </w:pPr>
            <w:r>
              <w:rPr>
                <w:rFonts w:ascii="Arial" w:cs="Arial" w:eastAsia="Arial" w:hAnsi="Arial"/>
                <w:sz w:val="18"/>
                <w:szCs w:val="18"/>
                <w:color w:val="auto"/>
              </w:rPr>
              <w:t>2,147.2</w:t>
            </w:r>
          </w:p>
        </w:tc>
        <w:tc>
          <w:tcPr>
            <w:tcW w:w="1200" w:type="dxa"/>
            <w:vAlign w:val="bottom"/>
          </w:tcPr>
          <w:p>
            <w:pPr>
              <w:jc w:val="right"/>
              <w:ind w:right="231"/>
              <w:spacing w:after="0" w:line="195" w:lineRule="exact"/>
              <w:rPr>
                <w:sz w:val="20"/>
                <w:szCs w:val="20"/>
                <w:color w:val="auto"/>
              </w:rPr>
            </w:pPr>
            <w:r>
              <w:rPr>
                <w:rFonts w:ascii="Arial" w:cs="Arial" w:eastAsia="Arial" w:hAnsi="Arial"/>
                <w:sz w:val="18"/>
                <w:szCs w:val="18"/>
                <w:color w:val="auto"/>
              </w:rPr>
              <w:t>24.3</w:t>
            </w:r>
          </w:p>
        </w:tc>
        <w:tc>
          <w:tcPr>
            <w:tcW w:w="1100" w:type="dxa"/>
            <w:vAlign w:val="bottom"/>
          </w:tcPr>
          <w:p>
            <w:pPr>
              <w:jc w:val="right"/>
              <w:ind w:right="191"/>
              <w:spacing w:after="0" w:line="195" w:lineRule="exact"/>
              <w:rPr>
                <w:sz w:val="20"/>
                <w:szCs w:val="20"/>
                <w:color w:val="auto"/>
              </w:rPr>
            </w:pPr>
            <w:r>
              <w:rPr>
                <w:rFonts w:ascii="Arial" w:cs="Arial" w:eastAsia="Arial" w:hAnsi="Arial"/>
                <w:sz w:val="18"/>
                <w:szCs w:val="18"/>
                <w:color w:val="auto"/>
              </w:rPr>
              <w:t>9.8</w:t>
            </w:r>
          </w:p>
        </w:tc>
        <w:tc>
          <w:tcPr>
            <w:tcW w:w="1240" w:type="dxa"/>
            <w:vAlign w:val="bottom"/>
          </w:tcPr>
          <w:p>
            <w:pPr>
              <w:jc w:val="right"/>
              <w:ind w:right="211"/>
              <w:spacing w:after="0" w:line="195" w:lineRule="exact"/>
              <w:rPr>
                <w:sz w:val="20"/>
                <w:szCs w:val="20"/>
                <w:color w:val="auto"/>
              </w:rPr>
            </w:pPr>
            <w:r>
              <w:rPr>
                <w:rFonts w:ascii="Arial" w:cs="Arial" w:eastAsia="Arial" w:hAnsi="Arial"/>
                <w:sz w:val="18"/>
                <w:szCs w:val="18"/>
                <w:color w:val="auto"/>
              </w:rPr>
              <w:t>14.5</w:t>
            </w:r>
          </w:p>
        </w:tc>
        <w:tc>
          <w:tcPr>
            <w:tcW w:w="1320" w:type="dxa"/>
            <w:vAlign w:val="bottom"/>
          </w:tcPr>
          <w:p>
            <w:pPr>
              <w:jc w:val="right"/>
              <w:ind w:right="211"/>
              <w:spacing w:after="0" w:line="195" w:lineRule="exact"/>
              <w:rPr>
                <w:sz w:val="20"/>
                <w:szCs w:val="20"/>
                <w:color w:val="auto"/>
              </w:rPr>
            </w:pPr>
            <w:r>
              <w:rPr>
                <w:rFonts w:ascii="Arial" w:cs="Arial" w:eastAsia="Arial" w:hAnsi="Arial"/>
                <w:sz w:val="18"/>
                <w:szCs w:val="18"/>
                <w:color w:val="auto"/>
              </w:rPr>
              <w:t>–</w:t>
            </w:r>
          </w:p>
        </w:tc>
        <w:tc>
          <w:tcPr>
            <w:tcW w:w="840" w:type="dxa"/>
            <w:vAlign w:val="bottom"/>
          </w:tcPr>
          <w:p>
            <w:pPr>
              <w:jc w:val="right"/>
              <w:spacing w:after="0" w:line="195" w:lineRule="exact"/>
              <w:rPr>
                <w:sz w:val="20"/>
                <w:szCs w:val="20"/>
                <w:color w:val="auto"/>
              </w:rPr>
            </w:pPr>
            <w:r>
              <w:rPr>
                <w:rFonts w:ascii="Arial" w:cs="Arial" w:eastAsia="Arial" w:hAnsi="Arial"/>
                <w:sz w:val="18"/>
                <w:szCs w:val="18"/>
                <w:color w:val="auto"/>
              </w:rPr>
              <w:t>14.5</w:t>
            </w:r>
          </w:p>
        </w:tc>
        <w:tc>
          <w:tcPr>
            <w:tcW w:w="220" w:type="dxa"/>
            <w:vAlign w:val="bottom"/>
          </w:tcPr>
          <w:p>
            <w:pPr>
              <w:spacing w:after="0"/>
              <w:rPr>
                <w:sz w:val="16"/>
                <w:szCs w:val="16"/>
                <w:color w:val="auto"/>
              </w:rPr>
            </w:pPr>
          </w:p>
        </w:tc>
      </w:tr>
      <w:tr>
        <w:trPr>
          <w:trHeight w:val="203"/>
        </w:trPr>
        <w:tc>
          <w:tcPr>
            <w:tcW w:w="3900" w:type="dxa"/>
            <w:vAlign w:val="bottom"/>
            <w:gridSpan w:val="2"/>
          </w:tcPr>
          <w:p>
            <w:pPr>
              <w:spacing w:after="0" w:line="202" w:lineRule="exact"/>
              <w:rPr>
                <w:sz w:val="20"/>
                <w:szCs w:val="20"/>
                <w:color w:val="auto"/>
              </w:rPr>
            </w:pPr>
            <w:r>
              <w:rPr>
                <w:rFonts w:ascii="Arial" w:cs="Arial" w:eastAsia="Arial" w:hAnsi="Arial"/>
                <w:sz w:val="18"/>
                <w:szCs w:val="18"/>
                <w:color w:val="auto"/>
              </w:rPr>
              <w:t>Right Management</w:t>
            </w:r>
          </w:p>
        </w:tc>
        <w:tc>
          <w:tcPr>
            <w:tcW w:w="440" w:type="dxa"/>
            <w:vAlign w:val="bottom"/>
          </w:tcPr>
          <w:p>
            <w:pPr>
              <w:spacing w:after="0"/>
              <w:rPr>
                <w:sz w:val="17"/>
                <w:szCs w:val="17"/>
                <w:color w:val="auto"/>
              </w:rPr>
            </w:pPr>
          </w:p>
        </w:tc>
        <w:tc>
          <w:tcPr>
            <w:tcW w:w="1160" w:type="dxa"/>
            <w:vAlign w:val="bottom"/>
          </w:tcPr>
          <w:p>
            <w:pPr>
              <w:jc w:val="right"/>
              <w:ind w:right="151"/>
              <w:spacing w:after="0" w:line="202" w:lineRule="exact"/>
              <w:rPr>
                <w:sz w:val="20"/>
                <w:szCs w:val="20"/>
                <w:color w:val="auto"/>
              </w:rPr>
            </w:pPr>
            <w:r>
              <w:rPr>
                <w:rFonts w:ascii="Arial" w:cs="Arial" w:eastAsia="Arial" w:hAnsi="Arial"/>
                <w:sz w:val="18"/>
                <w:szCs w:val="18"/>
                <w:color w:val="auto"/>
              </w:rPr>
              <w:t>374.6</w:t>
            </w:r>
          </w:p>
        </w:tc>
        <w:tc>
          <w:tcPr>
            <w:tcW w:w="1200" w:type="dxa"/>
            <w:vAlign w:val="bottom"/>
          </w:tcPr>
          <w:p>
            <w:pPr>
              <w:jc w:val="right"/>
              <w:ind w:right="171"/>
              <w:spacing w:after="0" w:line="202" w:lineRule="exact"/>
              <w:rPr>
                <w:sz w:val="20"/>
                <w:szCs w:val="20"/>
                <w:color w:val="auto"/>
              </w:rPr>
            </w:pPr>
            <w:r>
              <w:rPr>
                <w:rFonts w:ascii="Arial" w:cs="Arial" w:eastAsia="Arial" w:hAnsi="Arial"/>
                <w:sz w:val="18"/>
                <w:szCs w:val="18"/>
                <w:color w:val="auto"/>
              </w:rPr>
              <w:t>(33.0)</w:t>
            </w:r>
          </w:p>
        </w:tc>
        <w:tc>
          <w:tcPr>
            <w:tcW w:w="1100" w:type="dxa"/>
            <w:vAlign w:val="bottom"/>
          </w:tcPr>
          <w:p>
            <w:pPr>
              <w:jc w:val="right"/>
              <w:ind w:right="191"/>
              <w:spacing w:after="0" w:line="202" w:lineRule="exact"/>
              <w:rPr>
                <w:sz w:val="20"/>
                <w:szCs w:val="20"/>
                <w:color w:val="auto"/>
              </w:rPr>
            </w:pPr>
            <w:r>
              <w:rPr>
                <w:rFonts w:ascii="Arial" w:cs="Arial" w:eastAsia="Arial" w:hAnsi="Arial"/>
                <w:sz w:val="18"/>
                <w:szCs w:val="18"/>
                <w:color w:val="auto"/>
              </w:rPr>
              <w:t>0.8</w:t>
            </w:r>
          </w:p>
        </w:tc>
        <w:tc>
          <w:tcPr>
            <w:tcW w:w="1240" w:type="dxa"/>
            <w:vAlign w:val="bottom"/>
          </w:tcPr>
          <w:p>
            <w:pPr>
              <w:jc w:val="right"/>
              <w:ind w:right="151"/>
              <w:spacing w:after="0" w:line="202" w:lineRule="exact"/>
              <w:rPr>
                <w:sz w:val="20"/>
                <w:szCs w:val="20"/>
                <w:color w:val="auto"/>
              </w:rPr>
            </w:pPr>
            <w:r>
              <w:rPr>
                <w:rFonts w:ascii="Arial" w:cs="Arial" w:eastAsia="Arial" w:hAnsi="Arial"/>
                <w:sz w:val="18"/>
                <w:szCs w:val="18"/>
                <w:color w:val="auto"/>
              </w:rPr>
              <w:t>(33.8)</w:t>
            </w:r>
          </w:p>
        </w:tc>
        <w:tc>
          <w:tcPr>
            <w:tcW w:w="1320" w:type="dxa"/>
            <w:vAlign w:val="bottom"/>
          </w:tcPr>
          <w:p>
            <w:pPr>
              <w:jc w:val="right"/>
              <w:ind w:right="211"/>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70"/>
              <w:spacing w:after="0" w:line="202" w:lineRule="exact"/>
              <w:rPr>
                <w:sz w:val="20"/>
                <w:szCs w:val="20"/>
                <w:color w:val="auto"/>
              </w:rPr>
            </w:pPr>
            <w:r>
              <w:rPr>
                <w:rFonts w:ascii="Arial" w:cs="Arial" w:eastAsia="Arial" w:hAnsi="Arial"/>
                <w:sz w:val="18"/>
                <w:szCs w:val="18"/>
                <w:color w:val="auto"/>
              </w:rPr>
              <w:t>(33.8)</w:t>
            </w:r>
          </w:p>
        </w:tc>
      </w:tr>
      <w:tr>
        <w:trPr>
          <w:trHeight w:val="204"/>
        </w:trPr>
        <w:tc>
          <w:tcPr>
            <w:tcW w:w="3900" w:type="dxa"/>
            <w:vAlign w:val="bottom"/>
            <w:tcBorders>
              <w:top w:val="single" w:sz="8" w:color="939598"/>
              <w:bottom w:val="single" w:sz="8" w:color="939598"/>
            </w:tcBorders>
            <w:gridSpan w:val="2"/>
          </w:tcPr>
          <w:p>
            <w:pPr>
              <w:spacing w:after="0" w:line="197" w:lineRule="exact"/>
              <w:rPr>
                <w:sz w:val="20"/>
                <w:szCs w:val="20"/>
                <w:color w:val="auto"/>
              </w:rPr>
            </w:pPr>
            <w:r>
              <w:rPr>
                <w:rFonts w:ascii="Arial" w:cs="Arial" w:eastAsia="Arial" w:hAnsi="Arial"/>
                <w:sz w:val="18"/>
                <w:szCs w:val="18"/>
                <w:color w:val="auto"/>
              </w:rPr>
              <w:t>Manpower Inc.</w:t>
            </w:r>
          </w:p>
        </w:tc>
        <w:tc>
          <w:tcPr>
            <w:tcW w:w="440" w:type="dxa"/>
            <w:vAlign w:val="bottom"/>
            <w:tcBorders>
              <w:top w:val="single" w:sz="8" w:color="939598"/>
              <w:bottom w:val="single" w:sz="8" w:color="939598"/>
            </w:tcBorders>
          </w:tcPr>
          <w:p>
            <w:pPr>
              <w:jc w:val="right"/>
              <w:spacing w:after="0" w:line="197" w:lineRule="exact"/>
              <w:rPr>
                <w:sz w:val="20"/>
                <w:szCs w:val="20"/>
                <w:color w:val="auto"/>
              </w:rPr>
            </w:pPr>
            <w:r>
              <w:rPr>
                <w:rFonts w:ascii="Arial" w:cs="Arial" w:eastAsia="Arial" w:hAnsi="Arial"/>
                <w:sz w:val="18"/>
                <w:szCs w:val="18"/>
                <w:color w:val="auto"/>
              </w:rPr>
              <w:t>$</w:t>
            </w:r>
          </w:p>
        </w:tc>
        <w:tc>
          <w:tcPr>
            <w:tcW w:w="1160" w:type="dxa"/>
            <w:vAlign w:val="bottom"/>
            <w:tcBorders>
              <w:top w:val="single" w:sz="8" w:color="939598"/>
              <w:bottom w:val="single" w:sz="8" w:color="939598"/>
            </w:tcBorders>
          </w:tcPr>
          <w:p>
            <w:pPr>
              <w:jc w:val="right"/>
              <w:ind w:right="151"/>
              <w:spacing w:after="0" w:line="197" w:lineRule="exact"/>
              <w:rPr>
                <w:sz w:val="20"/>
                <w:szCs w:val="20"/>
                <w:color w:val="auto"/>
              </w:rPr>
            </w:pPr>
            <w:r>
              <w:rPr>
                <w:rFonts w:ascii="Arial" w:cs="Arial" w:eastAsia="Arial" w:hAnsi="Arial"/>
                <w:sz w:val="18"/>
                <w:szCs w:val="18"/>
                <w:color w:val="auto"/>
              </w:rPr>
              <w:t>18,866.5</w:t>
            </w:r>
          </w:p>
        </w:tc>
        <w:tc>
          <w:tcPr>
            <w:tcW w:w="1200" w:type="dxa"/>
            <w:vAlign w:val="bottom"/>
            <w:tcBorders>
              <w:top w:val="single" w:sz="8" w:color="939598"/>
              <w:bottom w:val="single" w:sz="8" w:color="939598"/>
            </w:tcBorders>
          </w:tcPr>
          <w:p>
            <w:pPr>
              <w:jc w:val="right"/>
              <w:ind w:right="71"/>
              <w:spacing w:after="0" w:line="197" w:lineRule="exact"/>
              <w:rPr>
                <w:sz w:val="20"/>
                <w:szCs w:val="20"/>
                <w:color w:val="auto"/>
              </w:rPr>
            </w:pPr>
            <w:r>
              <w:rPr>
                <w:rFonts w:ascii="Arial" w:cs="Arial" w:eastAsia="Arial" w:hAnsi="Arial"/>
                <w:sz w:val="18"/>
                <w:szCs w:val="18"/>
                <w:color w:val="auto"/>
              </w:rPr>
              <w:t>17.6%</w:t>
            </w:r>
          </w:p>
        </w:tc>
        <w:tc>
          <w:tcPr>
            <w:tcW w:w="1100" w:type="dxa"/>
            <w:vAlign w:val="bottom"/>
            <w:tcBorders>
              <w:top w:val="single" w:sz="8" w:color="939598"/>
              <w:bottom w:val="single" w:sz="8" w:color="939598"/>
            </w:tcBorders>
          </w:tcPr>
          <w:p>
            <w:pPr>
              <w:jc w:val="right"/>
              <w:spacing w:after="0" w:line="197" w:lineRule="exact"/>
              <w:rPr>
                <w:sz w:val="20"/>
                <w:szCs w:val="20"/>
                <w:color w:val="auto"/>
              </w:rPr>
            </w:pPr>
            <w:r>
              <w:rPr>
                <w:rFonts w:ascii="Arial" w:cs="Arial" w:eastAsia="Arial" w:hAnsi="Arial"/>
                <w:sz w:val="18"/>
                <w:szCs w:val="18"/>
                <w:color w:val="auto"/>
              </w:rPr>
              <w:t>(1.6)%</w:t>
            </w:r>
          </w:p>
        </w:tc>
        <w:tc>
          <w:tcPr>
            <w:tcW w:w="1240" w:type="dxa"/>
            <w:vAlign w:val="bottom"/>
            <w:tcBorders>
              <w:top w:val="single" w:sz="8" w:color="939598"/>
              <w:bottom w:val="single" w:sz="8" w:color="939598"/>
            </w:tcBorders>
          </w:tcPr>
          <w:p>
            <w:pPr>
              <w:jc w:val="right"/>
              <w:ind w:right="51"/>
              <w:spacing w:after="0" w:line="197" w:lineRule="exact"/>
              <w:rPr>
                <w:sz w:val="20"/>
                <w:szCs w:val="20"/>
                <w:color w:val="auto"/>
              </w:rPr>
            </w:pPr>
            <w:r>
              <w:rPr>
                <w:rFonts w:ascii="Arial" w:cs="Arial" w:eastAsia="Arial" w:hAnsi="Arial"/>
                <w:sz w:val="18"/>
                <w:szCs w:val="18"/>
                <w:color w:val="auto"/>
              </w:rPr>
              <w:t>19.2%</w:t>
            </w:r>
          </w:p>
        </w:tc>
        <w:tc>
          <w:tcPr>
            <w:tcW w:w="1320" w:type="dxa"/>
            <w:vAlign w:val="bottom"/>
            <w:tcBorders>
              <w:top w:val="single" w:sz="8" w:color="939598"/>
              <w:bottom w:val="single" w:sz="8" w:color="939598"/>
            </w:tcBorders>
          </w:tcPr>
          <w:p>
            <w:pPr>
              <w:jc w:val="right"/>
              <w:ind w:right="51"/>
              <w:spacing w:after="0" w:line="197" w:lineRule="exact"/>
              <w:rPr>
                <w:sz w:val="20"/>
                <w:szCs w:val="20"/>
                <w:color w:val="auto"/>
              </w:rPr>
            </w:pPr>
            <w:r>
              <w:rPr>
                <w:rFonts w:ascii="Arial" w:cs="Arial" w:eastAsia="Arial" w:hAnsi="Arial"/>
                <w:sz w:val="18"/>
                <w:szCs w:val="18"/>
                <w:color w:val="auto"/>
              </w:rPr>
              <w:t>3.7%</w:t>
            </w:r>
          </w:p>
        </w:tc>
        <w:tc>
          <w:tcPr>
            <w:tcW w:w="840" w:type="dxa"/>
            <w:vAlign w:val="bottom"/>
            <w:tcBorders>
              <w:top w:val="single" w:sz="8" w:color="939598"/>
              <w:bottom w:val="single" w:sz="8" w:color="939598"/>
            </w:tcBorders>
          </w:tcPr>
          <w:p>
            <w:pPr>
              <w:jc w:val="right"/>
              <w:spacing w:after="0" w:line="197" w:lineRule="exact"/>
              <w:rPr>
                <w:sz w:val="20"/>
                <w:szCs w:val="20"/>
                <w:color w:val="auto"/>
              </w:rPr>
            </w:pPr>
            <w:r>
              <w:rPr>
                <w:rFonts w:ascii="Arial" w:cs="Arial" w:eastAsia="Arial" w:hAnsi="Arial"/>
                <w:sz w:val="18"/>
                <w:szCs w:val="18"/>
                <w:color w:val="auto"/>
              </w:rPr>
              <w:t>15.5</w:t>
            </w:r>
          </w:p>
        </w:tc>
        <w:tc>
          <w:tcPr>
            <w:tcW w:w="220" w:type="dxa"/>
            <w:vAlign w:val="bottom"/>
          </w:tcPr>
          <w:p>
            <w:pPr>
              <w:jc w:val="right"/>
              <w:spacing w:after="0" w:line="197" w:lineRule="exact"/>
              <w:rPr>
                <w:sz w:val="20"/>
                <w:szCs w:val="20"/>
                <w:color w:val="auto"/>
              </w:rPr>
            </w:pPr>
            <w:r>
              <w:rPr>
                <w:rFonts w:ascii="Arial" w:cs="Arial" w:eastAsia="Arial" w:hAnsi="Arial"/>
                <w:sz w:val="18"/>
                <w:szCs w:val="18"/>
                <w:color w:val="auto"/>
                <w:w w:val="87"/>
              </w:rPr>
              <w:t>%</w:t>
            </w:r>
          </w:p>
        </w:tc>
      </w:tr>
      <w:tr>
        <w:trPr>
          <w:trHeight w:val="180"/>
        </w:trPr>
        <w:tc>
          <w:tcPr>
            <w:tcW w:w="3900" w:type="dxa"/>
            <w:vAlign w:val="bottom"/>
            <w:gridSpan w:val="2"/>
          </w:tcPr>
          <w:p>
            <w:pPr>
              <w:spacing w:after="0" w:line="180" w:lineRule="exact"/>
              <w:rPr>
                <w:sz w:val="20"/>
                <w:szCs w:val="20"/>
                <w:color w:val="auto"/>
              </w:rPr>
            </w:pPr>
            <w:r>
              <w:rPr>
                <w:rFonts w:ascii="Arial" w:cs="Arial" w:eastAsia="Arial" w:hAnsi="Arial"/>
                <w:sz w:val="18"/>
                <w:szCs w:val="18"/>
                <w:b w:val="1"/>
                <w:bCs w:val="1"/>
                <w:color w:val="939598"/>
              </w:rPr>
              <w:t>Gross Profit - Manpower Inc.</w:t>
            </w:r>
          </w:p>
        </w:tc>
        <w:tc>
          <w:tcPr>
            <w:tcW w:w="440" w:type="dxa"/>
            <w:vAlign w:val="bottom"/>
          </w:tcPr>
          <w:p>
            <w:pPr>
              <w:jc w:val="right"/>
              <w:spacing w:after="0" w:line="180" w:lineRule="exact"/>
              <w:rPr>
                <w:sz w:val="20"/>
                <w:szCs w:val="20"/>
                <w:color w:val="auto"/>
              </w:rPr>
            </w:pPr>
            <w:r>
              <w:rPr>
                <w:rFonts w:ascii="Arial" w:cs="Arial" w:eastAsia="Arial" w:hAnsi="Arial"/>
                <w:sz w:val="18"/>
                <w:szCs w:val="18"/>
                <w:color w:val="auto"/>
              </w:rPr>
              <w:t>$</w:t>
            </w:r>
          </w:p>
        </w:tc>
        <w:tc>
          <w:tcPr>
            <w:tcW w:w="1160" w:type="dxa"/>
            <w:vAlign w:val="bottom"/>
          </w:tcPr>
          <w:p>
            <w:pPr>
              <w:jc w:val="right"/>
              <w:ind w:right="151"/>
              <w:spacing w:after="0" w:line="180" w:lineRule="exact"/>
              <w:rPr>
                <w:sz w:val="20"/>
                <w:szCs w:val="20"/>
                <w:color w:val="auto"/>
              </w:rPr>
            </w:pPr>
            <w:r>
              <w:rPr>
                <w:rFonts w:ascii="Arial" w:cs="Arial" w:eastAsia="Arial" w:hAnsi="Arial"/>
                <w:sz w:val="18"/>
                <w:szCs w:val="18"/>
                <w:color w:val="auto"/>
              </w:rPr>
              <w:t>3,245.4</w:t>
            </w:r>
          </w:p>
        </w:tc>
        <w:tc>
          <w:tcPr>
            <w:tcW w:w="1200" w:type="dxa"/>
            <w:vAlign w:val="bottom"/>
          </w:tcPr>
          <w:p>
            <w:pPr>
              <w:jc w:val="right"/>
              <w:ind w:right="71"/>
              <w:spacing w:after="0" w:line="180" w:lineRule="exact"/>
              <w:rPr>
                <w:sz w:val="20"/>
                <w:szCs w:val="20"/>
                <w:color w:val="auto"/>
              </w:rPr>
            </w:pPr>
            <w:r>
              <w:rPr>
                <w:rFonts w:ascii="Arial" w:cs="Arial" w:eastAsia="Arial" w:hAnsi="Arial"/>
                <w:sz w:val="18"/>
                <w:szCs w:val="18"/>
                <w:color w:val="auto"/>
              </w:rPr>
              <w:t>15.2%</w:t>
            </w:r>
          </w:p>
        </w:tc>
        <w:tc>
          <w:tcPr>
            <w:tcW w:w="1100" w:type="dxa"/>
            <w:vAlign w:val="bottom"/>
          </w:tcPr>
          <w:p>
            <w:pPr>
              <w:jc w:val="right"/>
              <w:spacing w:after="0" w:line="180" w:lineRule="exact"/>
              <w:rPr>
                <w:sz w:val="20"/>
                <w:szCs w:val="20"/>
                <w:color w:val="auto"/>
              </w:rPr>
            </w:pPr>
            <w:r>
              <w:rPr>
                <w:rFonts w:ascii="Arial" w:cs="Arial" w:eastAsia="Arial" w:hAnsi="Arial"/>
                <w:sz w:val="18"/>
                <w:szCs w:val="18"/>
                <w:color w:val="auto"/>
              </w:rPr>
              <w:t>(1.2)%</w:t>
            </w:r>
          </w:p>
        </w:tc>
        <w:tc>
          <w:tcPr>
            <w:tcW w:w="1240" w:type="dxa"/>
            <w:vAlign w:val="bottom"/>
          </w:tcPr>
          <w:p>
            <w:pPr>
              <w:jc w:val="right"/>
              <w:ind w:right="51"/>
              <w:spacing w:after="0" w:line="180" w:lineRule="exact"/>
              <w:rPr>
                <w:sz w:val="20"/>
                <w:szCs w:val="20"/>
                <w:color w:val="auto"/>
              </w:rPr>
            </w:pPr>
            <w:r>
              <w:rPr>
                <w:rFonts w:ascii="Arial" w:cs="Arial" w:eastAsia="Arial" w:hAnsi="Arial"/>
                <w:sz w:val="18"/>
                <w:szCs w:val="18"/>
                <w:color w:val="auto"/>
              </w:rPr>
              <w:t>16.4%</w:t>
            </w:r>
          </w:p>
        </w:tc>
        <w:tc>
          <w:tcPr>
            <w:tcW w:w="1320" w:type="dxa"/>
            <w:vAlign w:val="bottom"/>
          </w:tcPr>
          <w:p>
            <w:pPr>
              <w:jc w:val="right"/>
              <w:ind w:right="51"/>
              <w:spacing w:after="0" w:line="180" w:lineRule="exact"/>
              <w:rPr>
                <w:sz w:val="20"/>
                <w:szCs w:val="20"/>
                <w:color w:val="auto"/>
              </w:rPr>
            </w:pPr>
            <w:r>
              <w:rPr>
                <w:rFonts w:ascii="Arial" w:cs="Arial" w:eastAsia="Arial" w:hAnsi="Arial"/>
                <w:sz w:val="18"/>
                <w:szCs w:val="18"/>
                <w:color w:val="auto"/>
              </w:rPr>
              <w:t>5.3%</w:t>
            </w:r>
          </w:p>
        </w:tc>
        <w:tc>
          <w:tcPr>
            <w:tcW w:w="840" w:type="dxa"/>
            <w:vAlign w:val="bottom"/>
          </w:tcPr>
          <w:p>
            <w:pPr>
              <w:jc w:val="right"/>
              <w:spacing w:after="0" w:line="180" w:lineRule="exact"/>
              <w:rPr>
                <w:sz w:val="20"/>
                <w:szCs w:val="20"/>
                <w:color w:val="auto"/>
              </w:rPr>
            </w:pPr>
            <w:r>
              <w:rPr>
                <w:rFonts w:ascii="Arial" w:cs="Arial" w:eastAsia="Arial" w:hAnsi="Arial"/>
                <w:sz w:val="18"/>
                <w:szCs w:val="18"/>
                <w:color w:val="auto"/>
              </w:rPr>
              <w:t>11.1</w:t>
            </w:r>
          </w:p>
        </w:tc>
        <w:tc>
          <w:tcPr>
            <w:tcW w:w="220" w:type="dxa"/>
            <w:vAlign w:val="bottom"/>
          </w:tcPr>
          <w:p>
            <w:pPr>
              <w:jc w:val="right"/>
              <w:spacing w:after="0" w:line="180" w:lineRule="exact"/>
              <w:rPr>
                <w:sz w:val="20"/>
                <w:szCs w:val="20"/>
                <w:color w:val="auto"/>
              </w:rPr>
            </w:pPr>
            <w:r>
              <w:rPr>
                <w:rFonts w:ascii="Arial" w:cs="Arial" w:eastAsia="Arial" w:hAnsi="Arial"/>
                <w:sz w:val="18"/>
                <w:szCs w:val="18"/>
                <w:color w:val="auto"/>
                <w:w w:val="87"/>
              </w:rPr>
              <w:t>%</w:t>
            </w:r>
          </w:p>
        </w:tc>
      </w:tr>
      <w:tr>
        <w:trPr>
          <w:trHeight w:val="225"/>
        </w:trPr>
        <w:tc>
          <w:tcPr>
            <w:tcW w:w="3900" w:type="dxa"/>
            <w:vAlign w:val="bottom"/>
            <w:gridSpan w:val="2"/>
          </w:tcPr>
          <w:p>
            <w:pPr>
              <w:spacing w:after="0"/>
              <w:rPr>
                <w:sz w:val="20"/>
                <w:szCs w:val="20"/>
                <w:color w:val="auto"/>
              </w:rPr>
            </w:pPr>
            <w:r>
              <w:rPr>
                <w:rFonts w:ascii="Arial" w:cs="Arial" w:eastAsia="Arial" w:hAnsi="Arial"/>
                <w:sz w:val="18"/>
                <w:szCs w:val="18"/>
                <w:b w:val="1"/>
                <w:bCs w:val="1"/>
                <w:color w:val="939598"/>
              </w:rPr>
              <w:t>Operating Unit Profit</w:t>
            </w:r>
          </w:p>
        </w:tc>
        <w:tc>
          <w:tcPr>
            <w:tcW w:w="4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203"/>
        </w:trPr>
        <w:tc>
          <w:tcPr>
            <w:tcW w:w="3900" w:type="dxa"/>
            <w:vAlign w:val="bottom"/>
            <w:gridSpan w:val="2"/>
          </w:tcPr>
          <w:p>
            <w:pPr>
              <w:spacing w:after="0" w:line="202" w:lineRule="exact"/>
              <w:rPr>
                <w:sz w:val="20"/>
                <w:szCs w:val="20"/>
                <w:color w:val="auto"/>
              </w:rPr>
            </w:pPr>
            <w:r>
              <w:rPr>
                <w:rFonts w:ascii="Arial" w:cs="Arial" w:eastAsia="Arial" w:hAnsi="Arial"/>
                <w:sz w:val="18"/>
                <w:szCs w:val="18"/>
                <w:color w:val="auto"/>
              </w:rPr>
              <w:t>Americas:</w:t>
            </w:r>
          </w:p>
        </w:tc>
        <w:tc>
          <w:tcPr>
            <w:tcW w:w="4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880" w:type="dxa"/>
            <w:vAlign w:val="bottom"/>
          </w:tcPr>
          <w:p>
            <w:pPr>
              <w:ind w:left="260"/>
              <w:spacing w:after="0" w:line="202" w:lineRule="exact"/>
              <w:rPr>
                <w:sz w:val="20"/>
                <w:szCs w:val="20"/>
                <w:color w:val="auto"/>
              </w:rPr>
            </w:pPr>
            <w:r>
              <w:rPr>
                <w:rFonts w:ascii="Arial" w:cs="Arial" w:eastAsia="Arial" w:hAnsi="Arial"/>
                <w:sz w:val="18"/>
                <w:szCs w:val="18"/>
                <w:color w:val="auto"/>
              </w:rPr>
              <w:t>United States</w:t>
            </w:r>
          </w:p>
        </w:tc>
        <w:tc>
          <w:tcPr>
            <w:tcW w:w="4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160" w:type="dxa"/>
            <w:vAlign w:val="bottom"/>
          </w:tcPr>
          <w:p>
            <w:pPr>
              <w:jc w:val="right"/>
              <w:ind w:right="151"/>
              <w:spacing w:after="0" w:line="202" w:lineRule="exact"/>
              <w:rPr>
                <w:sz w:val="20"/>
                <w:szCs w:val="20"/>
                <w:color w:val="auto"/>
              </w:rPr>
            </w:pPr>
            <w:r>
              <w:rPr>
                <w:rFonts w:ascii="Arial" w:cs="Arial" w:eastAsia="Arial" w:hAnsi="Arial"/>
                <w:sz w:val="18"/>
                <w:szCs w:val="18"/>
                <w:color w:val="auto"/>
              </w:rPr>
              <w:t>42.8</w:t>
            </w:r>
          </w:p>
        </w:tc>
        <w:tc>
          <w:tcPr>
            <w:tcW w:w="1200" w:type="dxa"/>
            <w:vAlign w:val="bottom"/>
          </w:tcPr>
          <w:p>
            <w:pPr>
              <w:jc w:val="right"/>
              <w:ind w:right="71"/>
              <w:spacing w:after="0" w:line="202" w:lineRule="exact"/>
              <w:rPr>
                <w:sz w:val="20"/>
                <w:szCs w:val="20"/>
                <w:color w:val="auto"/>
              </w:rPr>
            </w:pPr>
            <w:r>
              <w:rPr>
                <w:rFonts w:ascii="Arial" w:cs="Arial" w:eastAsia="Arial" w:hAnsi="Arial"/>
                <w:sz w:val="18"/>
                <w:szCs w:val="18"/>
                <w:color w:val="auto"/>
              </w:rPr>
              <w:t>203.3%</w:t>
            </w:r>
          </w:p>
        </w:tc>
        <w:tc>
          <w:tcPr>
            <w:tcW w:w="1100" w:type="dxa"/>
            <w:vAlign w:val="bottom"/>
          </w:tcPr>
          <w:p>
            <w:pPr>
              <w:jc w:val="right"/>
              <w:ind w:right="31"/>
              <w:spacing w:after="0" w:line="202" w:lineRule="exact"/>
              <w:rPr>
                <w:sz w:val="20"/>
                <w:szCs w:val="20"/>
                <w:color w:val="auto"/>
              </w:rPr>
            </w:pPr>
            <w:r>
              <w:rPr>
                <w:rFonts w:ascii="Arial" w:cs="Arial" w:eastAsia="Arial" w:hAnsi="Arial"/>
                <w:sz w:val="18"/>
                <w:szCs w:val="18"/>
                <w:color w:val="auto"/>
              </w:rPr>
              <w:t>–%</w:t>
            </w:r>
          </w:p>
        </w:tc>
        <w:tc>
          <w:tcPr>
            <w:tcW w:w="1240" w:type="dxa"/>
            <w:vAlign w:val="bottom"/>
          </w:tcPr>
          <w:p>
            <w:pPr>
              <w:jc w:val="right"/>
              <w:ind w:right="51"/>
              <w:spacing w:after="0" w:line="202" w:lineRule="exact"/>
              <w:rPr>
                <w:sz w:val="20"/>
                <w:szCs w:val="20"/>
                <w:color w:val="auto"/>
              </w:rPr>
            </w:pPr>
            <w:r>
              <w:rPr>
                <w:rFonts w:ascii="Arial" w:cs="Arial" w:eastAsia="Arial" w:hAnsi="Arial"/>
                <w:sz w:val="18"/>
                <w:szCs w:val="18"/>
                <w:color w:val="auto"/>
              </w:rPr>
              <w:t>203.3%</w:t>
            </w:r>
          </w:p>
        </w:tc>
        <w:tc>
          <w:tcPr>
            <w:tcW w:w="1320" w:type="dxa"/>
            <w:vAlign w:val="bottom"/>
          </w:tcPr>
          <w:p>
            <w:pPr>
              <w:jc w:val="right"/>
              <w:ind w:right="51"/>
              <w:spacing w:after="0" w:line="202" w:lineRule="exact"/>
              <w:rPr>
                <w:sz w:val="20"/>
                <w:szCs w:val="20"/>
                <w:color w:val="auto"/>
              </w:rPr>
            </w:pPr>
            <w:r>
              <w:rPr>
                <w:rFonts w:ascii="Arial" w:cs="Arial" w:eastAsia="Arial" w:hAnsi="Arial"/>
                <w:sz w:val="18"/>
                <w:szCs w:val="18"/>
                <w:color w:val="auto"/>
              </w:rPr>
              <w:t>62.0%</w:t>
            </w:r>
          </w:p>
        </w:tc>
        <w:tc>
          <w:tcPr>
            <w:tcW w:w="10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141.3%</w:t>
            </w:r>
          </w:p>
        </w:tc>
      </w:tr>
      <w:tr>
        <w:trPr>
          <w:trHeight w:val="203"/>
        </w:trPr>
        <w:tc>
          <w:tcPr>
            <w:tcW w:w="20" w:type="dxa"/>
            <w:vAlign w:val="bottom"/>
          </w:tcPr>
          <w:p>
            <w:pPr>
              <w:spacing w:after="0"/>
              <w:rPr>
                <w:sz w:val="17"/>
                <w:szCs w:val="17"/>
                <w:color w:val="auto"/>
              </w:rPr>
            </w:pPr>
          </w:p>
        </w:tc>
        <w:tc>
          <w:tcPr>
            <w:tcW w:w="3880" w:type="dxa"/>
            <w:vAlign w:val="bottom"/>
            <w:tcBorders>
              <w:bottom w:val="single" w:sz="8" w:color="939598"/>
            </w:tcBorders>
          </w:tcPr>
          <w:p>
            <w:pPr>
              <w:ind w:left="260"/>
              <w:spacing w:after="0" w:line="203" w:lineRule="exact"/>
              <w:rPr>
                <w:sz w:val="20"/>
                <w:szCs w:val="20"/>
                <w:color w:val="auto"/>
              </w:rPr>
            </w:pPr>
            <w:r>
              <w:rPr>
                <w:rFonts w:ascii="Arial" w:cs="Arial" w:eastAsia="Arial" w:hAnsi="Arial"/>
                <w:sz w:val="18"/>
                <w:szCs w:val="18"/>
                <w:color w:val="auto"/>
              </w:rPr>
              <w:t>Other Americas</w:t>
            </w:r>
          </w:p>
        </w:tc>
        <w:tc>
          <w:tcPr>
            <w:tcW w:w="440" w:type="dxa"/>
            <w:vAlign w:val="bottom"/>
            <w:tcBorders>
              <w:bottom w:val="single" w:sz="8" w:color="939598"/>
            </w:tcBorders>
          </w:tcPr>
          <w:p>
            <w:pPr>
              <w:spacing w:after="0"/>
              <w:rPr>
                <w:sz w:val="17"/>
                <w:szCs w:val="17"/>
                <w:color w:val="auto"/>
              </w:rPr>
            </w:pPr>
          </w:p>
        </w:tc>
        <w:tc>
          <w:tcPr>
            <w:tcW w:w="1160" w:type="dxa"/>
            <w:vAlign w:val="bottom"/>
            <w:tcBorders>
              <w:bottom w:val="single" w:sz="8" w:color="939598"/>
            </w:tcBorders>
          </w:tcPr>
          <w:p>
            <w:pPr>
              <w:jc w:val="right"/>
              <w:ind w:right="151"/>
              <w:spacing w:after="0" w:line="203" w:lineRule="exact"/>
              <w:rPr>
                <w:sz w:val="20"/>
                <w:szCs w:val="20"/>
                <w:color w:val="auto"/>
              </w:rPr>
            </w:pPr>
            <w:r>
              <w:rPr>
                <w:rFonts w:ascii="Arial" w:cs="Arial" w:eastAsia="Arial" w:hAnsi="Arial"/>
                <w:sz w:val="18"/>
                <w:szCs w:val="18"/>
                <w:color w:val="auto"/>
              </w:rPr>
              <w:t>36.5</w:t>
            </w:r>
          </w:p>
        </w:tc>
        <w:tc>
          <w:tcPr>
            <w:tcW w:w="1200" w:type="dxa"/>
            <w:vAlign w:val="bottom"/>
            <w:tcBorders>
              <w:bottom w:val="single" w:sz="8" w:color="939598"/>
            </w:tcBorders>
          </w:tcPr>
          <w:p>
            <w:pPr>
              <w:jc w:val="right"/>
              <w:ind w:right="231"/>
              <w:spacing w:after="0" w:line="203" w:lineRule="exact"/>
              <w:rPr>
                <w:sz w:val="20"/>
                <w:szCs w:val="20"/>
                <w:color w:val="auto"/>
              </w:rPr>
            </w:pPr>
            <w:r>
              <w:rPr>
                <w:rFonts w:ascii="Arial" w:cs="Arial" w:eastAsia="Arial" w:hAnsi="Arial"/>
                <w:sz w:val="18"/>
                <w:szCs w:val="18"/>
                <w:color w:val="auto"/>
              </w:rPr>
              <w:t>81.4</w:t>
            </w:r>
          </w:p>
        </w:tc>
        <w:tc>
          <w:tcPr>
            <w:tcW w:w="1100" w:type="dxa"/>
            <w:vAlign w:val="bottom"/>
            <w:tcBorders>
              <w:bottom w:val="single" w:sz="8" w:color="939598"/>
            </w:tcBorders>
          </w:tcPr>
          <w:p>
            <w:pPr>
              <w:jc w:val="right"/>
              <w:ind w:right="191"/>
              <w:spacing w:after="0" w:line="203" w:lineRule="exact"/>
              <w:rPr>
                <w:sz w:val="20"/>
                <w:szCs w:val="20"/>
                <w:color w:val="auto"/>
              </w:rPr>
            </w:pPr>
            <w:r>
              <w:rPr>
                <w:rFonts w:ascii="Arial" w:cs="Arial" w:eastAsia="Arial" w:hAnsi="Arial"/>
                <w:sz w:val="18"/>
                <w:szCs w:val="18"/>
                <w:color w:val="auto"/>
              </w:rPr>
              <w:t>8.5</w:t>
            </w:r>
          </w:p>
        </w:tc>
        <w:tc>
          <w:tcPr>
            <w:tcW w:w="1240" w:type="dxa"/>
            <w:vAlign w:val="bottom"/>
            <w:tcBorders>
              <w:bottom w:val="single" w:sz="8" w:color="939598"/>
            </w:tcBorders>
          </w:tcPr>
          <w:p>
            <w:pPr>
              <w:jc w:val="right"/>
              <w:ind w:right="211"/>
              <w:spacing w:after="0" w:line="203" w:lineRule="exact"/>
              <w:rPr>
                <w:sz w:val="20"/>
                <w:szCs w:val="20"/>
                <w:color w:val="auto"/>
              </w:rPr>
            </w:pPr>
            <w:r>
              <w:rPr>
                <w:rFonts w:ascii="Arial" w:cs="Arial" w:eastAsia="Arial" w:hAnsi="Arial"/>
                <w:sz w:val="18"/>
                <w:szCs w:val="18"/>
                <w:color w:val="auto"/>
              </w:rPr>
              <w:t>72.9</w:t>
            </w:r>
          </w:p>
        </w:tc>
        <w:tc>
          <w:tcPr>
            <w:tcW w:w="1320" w:type="dxa"/>
            <w:vAlign w:val="bottom"/>
            <w:tcBorders>
              <w:bottom w:val="single" w:sz="8" w:color="939598"/>
            </w:tcBorders>
          </w:tcPr>
          <w:p>
            <w:pPr>
              <w:jc w:val="right"/>
              <w:ind w:right="211"/>
              <w:spacing w:after="0" w:line="203" w:lineRule="exact"/>
              <w:rPr>
                <w:sz w:val="20"/>
                <w:szCs w:val="20"/>
                <w:color w:val="auto"/>
              </w:rPr>
            </w:pPr>
            <w:r>
              <w:rPr>
                <w:rFonts w:ascii="Arial" w:cs="Arial" w:eastAsia="Arial" w:hAnsi="Arial"/>
                <w:sz w:val="18"/>
                <w:szCs w:val="18"/>
                <w:color w:val="auto"/>
              </w:rPr>
              <w:t>–</w:t>
            </w:r>
          </w:p>
        </w:tc>
        <w:tc>
          <w:tcPr>
            <w:tcW w:w="840" w:type="dxa"/>
            <w:vAlign w:val="bottom"/>
            <w:tcBorders>
              <w:bottom w:val="single" w:sz="8" w:color="939598"/>
            </w:tcBorders>
          </w:tcPr>
          <w:p>
            <w:pPr>
              <w:jc w:val="right"/>
              <w:spacing w:after="0" w:line="203" w:lineRule="exact"/>
              <w:rPr>
                <w:sz w:val="20"/>
                <w:szCs w:val="20"/>
                <w:color w:val="auto"/>
              </w:rPr>
            </w:pPr>
            <w:r>
              <w:rPr>
                <w:rFonts w:ascii="Arial" w:cs="Arial" w:eastAsia="Arial" w:hAnsi="Arial"/>
                <w:sz w:val="18"/>
                <w:szCs w:val="18"/>
                <w:color w:val="auto"/>
              </w:rPr>
              <w:t>72.9</w:t>
            </w:r>
          </w:p>
        </w:tc>
        <w:tc>
          <w:tcPr>
            <w:tcW w:w="2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3880" w:type="dxa"/>
            <w:vAlign w:val="bottom"/>
            <w:tcBorders>
              <w:bottom w:val="single" w:sz="8" w:color="939598"/>
            </w:tcBorders>
          </w:tcPr>
          <w:p>
            <w:pPr>
              <w:spacing w:after="0"/>
              <w:rPr>
                <w:sz w:val="17"/>
                <w:szCs w:val="17"/>
                <w:color w:val="auto"/>
              </w:rPr>
            </w:pPr>
          </w:p>
        </w:tc>
        <w:tc>
          <w:tcPr>
            <w:tcW w:w="440" w:type="dxa"/>
            <w:vAlign w:val="bottom"/>
            <w:tcBorders>
              <w:bottom w:val="single" w:sz="8" w:color="939598"/>
            </w:tcBorders>
          </w:tcPr>
          <w:p>
            <w:pPr>
              <w:spacing w:after="0"/>
              <w:rPr>
                <w:sz w:val="17"/>
                <w:szCs w:val="17"/>
                <w:color w:val="auto"/>
              </w:rPr>
            </w:pPr>
          </w:p>
        </w:tc>
        <w:tc>
          <w:tcPr>
            <w:tcW w:w="1160" w:type="dxa"/>
            <w:vAlign w:val="bottom"/>
            <w:tcBorders>
              <w:bottom w:val="single" w:sz="8" w:color="939598"/>
            </w:tcBorders>
          </w:tcPr>
          <w:p>
            <w:pPr>
              <w:jc w:val="right"/>
              <w:ind w:right="151"/>
              <w:spacing w:after="0" w:line="196" w:lineRule="exact"/>
              <w:rPr>
                <w:sz w:val="20"/>
                <w:szCs w:val="20"/>
                <w:color w:val="auto"/>
              </w:rPr>
            </w:pPr>
            <w:r>
              <w:rPr>
                <w:rFonts w:ascii="Arial" w:cs="Arial" w:eastAsia="Arial" w:hAnsi="Arial"/>
                <w:sz w:val="18"/>
                <w:szCs w:val="18"/>
                <w:color w:val="auto"/>
              </w:rPr>
              <w:t>79.3</w:t>
            </w:r>
          </w:p>
        </w:tc>
        <w:tc>
          <w:tcPr>
            <w:tcW w:w="1200" w:type="dxa"/>
            <w:vAlign w:val="bottom"/>
            <w:tcBorders>
              <w:bottom w:val="single" w:sz="8" w:color="939598"/>
            </w:tcBorders>
          </w:tcPr>
          <w:p>
            <w:pPr>
              <w:jc w:val="right"/>
              <w:ind w:right="231"/>
              <w:spacing w:after="0" w:line="196" w:lineRule="exact"/>
              <w:rPr>
                <w:sz w:val="20"/>
                <w:szCs w:val="20"/>
                <w:color w:val="auto"/>
              </w:rPr>
            </w:pPr>
            <w:r>
              <w:rPr>
                <w:rFonts w:ascii="Arial" w:cs="Arial" w:eastAsia="Arial" w:hAnsi="Arial"/>
                <w:sz w:val="18"/>
                <w:szCs w:val="18"/>
                <w:color w:val="auto"/>
              </w:rPr>
              <w:t>472.2</w:t>
            </w:r>
          </w:p>
        </w:tc>
        <w:tc>
          <w:tcPr>
            <w:tcW w:w="1100" w:type="dxa"/>
            <w:vAlign w:val="bottom"/>
            <w:tcBorders>
              <w:bottom w:val="single" w:sz="8" w:color="939598"/>
            </w:tcBorders>
          </w:tcPr>
          <w:p>
            <w:pPr>
              <w:jc w:val="right"/>
              <w:ind w:right="191"/>
              <w:spacing w:after="0" w:line="196" w:lineRule="exact"/>
              <w:rPr>
                <w:sz w:val="20"/>
                <w:szCs w:val="20"/>
                <w:color w:val="auto"/>
              </w:rPr>
            </w:pPr>
            <w:r>
              <w:rPr>
                <w:rFonts w:ascii="Arial" w:cs="Arial" w:eastAsia="Arial" w:hAnsi="Arial"/>
                <w:sz w:val="18"/>
                <w:szCs w:val="18"/>
                <w:color w:val="auto"/>
              </w:rPr>
              <w:t>8.0</w:t>
            </w:r>
          </w:p>
        </w:tc>
        <w:tc>
          <w:tcPr>
            <w:tcW w:w="1240" w:type="dxa"/>
            <w:vAlign w:val="bottom"/>
            <w:tcBorders>
              <w:bottom w:val="single" w:sz="8" w:color="939598"/>
            </w:tcBorders>
          </w:tcPr>
          <w:p>
            <w:pPr>
              <w:jc w:val="right"/>
              <w:ind w:right="211"/>
              <w:spacing w:after="0" w:line="196" w:lineRule="exact"/>
              <w:rPr>
                <w:sz w:val="20"/>
                <w:szCs w:val="20"/>
                <w:color w:val="auto"/>
              </w:rPr>
            </w:pPr>
            <w:r>
              <w:rPr>
                <w:rFonts w:ascii="Arial" w:cs="Arial" w:eastAsia="Arial" w:hAnsi="Arial"/>
                <w:sz w:val="18"/>
                <w:szCs w:val="18"/>
                <w:color w:val="auto"/>
              </w:rPr>
              <w:t>464.2</w:t>
            </w:r>
          </w:p>
        </w:tc>
        <w:tc>
          <w:tcPr>
            <w:tcW w:w="1320" w:type="dxa"/>
            <w:vAlign w:val="bottom"/>
            <w:tcBorders>
              <w:bottom w:val="single" w:sz="8" w:color="939598"/>
            </w:tcBorders>
          </w:tcPr>
          <w:p>
            <w:pPr>
              <w:jc w:val="right"/>
              <w:ind w:right="211"/>
              <w:spacing w:after="0" w:line="196" w:lineRule="exact"/>
              <w:rPr>
                <w:sz w:val="20"/>
                <w:szCs w:val="20"/>
                <w:color w:val="auto"/>
              </w:rPr>
            </w:pPr>
            <w:r>
              <w:rPr>
                <w:rFonts w:ascii="Arial" w:cs="Arial" w:eastAsia="Arial" w:hAnsi="Arial"/>
                <w:sz w:val="18"/>
                <w:szCs w:val="18"/>
                <w:color w:val="auto"/>
              </w:rPr>
              <w:t>120.6</w:t>
            </w:r>
          </w:p>
        </w:tc>
        <w:tc>
          <w:tcPr>
            <w:tcW w:w="840" w:type="dxa"/>
            <w:vAlign w:val="bottom"/>
            <w:tcBorders>
              <w:bottom w:val="single" w:sz="8" w:color="939598"/>
            </w:tcBorders>
          </w:tcPr>
          <w:p>
            <w:pPr>
              <w:jc w:val="right"/>
              <w:spacing w:after="0" w:line="196" w:lineRule="exact"/>
              <w:rPr>
                <w:sz w:val="20"/>
                <w:szCs w:val="20"/>
                <w:color w:val="auto"/>
              </w:rPr>
            </w:pPr>
            <w:r>
              <w:rPr>
                <w:rFonts w:ascii="Arial" w:cs="Arial" w:eastAsia="Arial" w:hAnsi="Arial"/>
                <w:sz w:val="18"/>
                <w:szCs w:val="18"/>
                <w:color w:val="auto"/>
              </w:rPr>
              <w:t>343.6</w:t>
            </w:r>
          </w:p>
        </w:tc>
        <w:tc>
          <w:tcPr>
            <w:tcW w:w="220" w:type="dxa"/>
            <w:vAlign w:val="bottom"/>
          </w:tcPr>
          <w:p>
            <w:pPr>
              <w:spacing w:after="0"/>
              <w:rPr>
                <w:sz w:val="17"/>
                <w:szCs w:val="17"/>
                <w:color w:val="auto"/>
              </w:rPr>
            </w:pPr>
          </w:p>
        </w:tc>
      </w:tr>
      <w:tr>
        <w:trPr>
          <w:trHeight w:val="195"/>
        </w:trPr>
        <w:tc>
          <w:tcPr>
            <w:tcW w:w="20" w:type="dxa"/>
            <w:vAlign w:val="bottom"/>
          </w:tcPr>
          <w:p>
            <w:pPr>
              <w:spacing w:after="0"/>
              <w:rPr>
                <w:sz w:val="16"/>
                <w:szCs w:val="16"/>
                <w:color w:val="auto"/>
              </w:rPr>
            </w:pPr>
          </w:p>
        </w:tc>
        <w:tc>
          <w:tcPr>
            <w:tcW w:w="3880" w:type="dxa"/>
            <w:vAlign w:val="bottom"/>
          </w:tcPr>
          <w:p>
            <w:pPr>
              <w:spacing w:after="0" w:line="195" w:lineRule="exact"/>
              <w:rPr>
                <w:sz w:val="20"/>
                <w:szCs w:val="20"/>
                <w:color w:val="auto"/>
              </w:rPr>
            </w:pPr>
            <w:r>
              <w:rPr>
                <w:rFonts w:ascii="Arial" w:cs="Arial" w:eastAsia="Arial" w:hAnsi="Arial"/>
                <w:sz w:val="18"/>
                <w:szCs w:val="18"/>
                <w:color w:val="auto"/>
              </w:rPr>
              <w:t>France</w:t>
            </w:r>
          </w:p>
        </w:tc>
        <w:tc>
          <w:tcPr>
            <w:tcW w:w="440" w:type="dxa"/>
            <w:vAlign w:val="bottom"/>
          </w:tcPr>
          <w:p>
            <w:pPr>
              <w:spacing w:after="0"/>
              <w:rPr>
                <w:sz w:val="16"/>
                <w:szCs w:val="16"/>
                <w:color w:val="auto"/>
              </w:rPr>
            </w:pPr>
          </w:p>
        </w:tc>
        <w:tc>
          <w:tcPr>
            <w:tcW w:w="1160" w:type="dxa"/>
            <w:vAlign w:val="bottom"/>
          </w:tcPr>
          <w:p>
            <w:pPr>
              <w:jc w:val="right"/>
              <w:ind w:right="151"/>
              <w:spacing w:after="0" w:line="195" w:lineRule="exact"/>
              <w:rPr>
                <w:sz w:val="20"/>
                <w:szCs w:val="20"/>
                <w:color w:val="auto"/>
              </w:rPr>
            </w:pPr>
            <w:r>
              <w:rPr>
                <w:rFonts w:ascii="Arial" w:cs="Arial" w:eastAsia="Arial" w:hAnsi="Arial"/>
                <w:sz w:val="18"/>
                <w:szCs w:val="18"/>
                <w:color w:val="auto"/>
              </w:rPr>
              <w:t>47.1</w:t>
            </w:r>
          </w:p>
        </w:tc>
        <w:tc>
          <w:tcPr>
            <w:tcW w:w="1200" w:type="dxa"/>
            <w:vAlign w:val="bottom"/>
          </w:tcPr>
          <w:p>
            <w:pPr>
              <w:jc w:val="right"/>
              <w:ind w:right="231"/>
              <w:spacing w:after="0" w:line="195" w:lineRule="exact"/>
              <w:rPr>
                <w:sz w:val="20"/>
                <w:szCs w:val="20"/>
                <w:color w:val="auto"/>
              </w:rPr>
            </w:pPr>
            <w:r>
              <w:rPr>
                <w:rFonts w:ascii="Arial" w:cs="Arial" w:eastAsia="Arial" w:hAnsi="Arial"/>
                <w:sz w:val="18"/>
                <w:szCs w:val="18"/>
                <w:color w:val="auto"/>
              </w:rPr>
              <w:t>126.4</w:t>
            </w:r>
          </w:p>
        </w:tc>
        <w:tc>
          <w:tcPr>
            <w:tcW w:w="1100" w:type="dxa"/>
            <w:vAlign w:val="bottom"/>
          </w:tcPr>
          <w:p>
            <w:pPr>
              <w:jc w:val="right"/>
              <w:ind w:right="131"/>
              <w:spacing w:after="0" w:line="195" w:lineRule="exact"/>
              <w:rPr>
                <w:sz w:val="20"/>
                <w:szCs w:val="20"/>
                <w:color w:val="auto"/>
              </w:rPr>
            </w:pPr>
            <w:r>
              <w:rPr>
                <w:rFonts w:ascii="Arial" w:cs="Arial" w:eastAsia="Arial" w:hAnsi="Arial"/>
                <w:sz w:val="18"/>
                <w:szCs w:val="18"/>
                <w:color w:val="auto"/>
              </w:rPr>
              <w:t>(23.7)</w:t>
            </w:r>
          </w:p>
        </w:tc>
        <w:tc>
          <w:tcPr>
            <w:tcW w:w="1240" w:type="dxa"/>
            <w:vAlign w:val="bottom"/>
          </w:tcPr>
          <w:p>
            <w:pPr>
              <w:jc w:val="right"/>
              <w:ind w:right="211"/>
              <w:spacing w:after="0" w:line="195" w:lineRule="exact"/>
              <w:rPr>
                <w:sz w:val="20"/>
                <w:szCs w:val="20"/>
                <w:color w:val="auto"/>
              </w:rPr>
            </w:pPr>
            <w:r>
              <w:rPr>
                <w:rFonts w:ascii="Arial" w:cs="Arial" w:eastAsia="Arial" w:hAnsi="Arial"/>
                <w:sz w:val="18"/>
                <w:szCs w:val="18"/>
                <w:color w:val="auto"/>
              </w:rPr>
              <w:t>150.1</w:t>
            </w:r>
          </w:p>
        </w:tc>
        <w:tc>
          <w:tcPr>
            <w:tcW w:w="1320" w:type="dxa"/>
            <w:vAlign w:val="bottom"/>
          </w:tcPr>
          <w:p>
            <w:pPr>
              <w:jc w:val="right"/>
              <w:ind w:right="211"/>
              <w:spacing w:after="0" w:line="195" w:lineRule="exact"/>
              <w:rPr>
                <w:sz w:val="20"/>
                <w:szCs w:val="20"/>
                <w:color w:val="auto"/>
              </w:rPr>
            </w:pPr>
            <w:r>
              <w:rPr>
                <w:rFonts w:ascii="Arial" w:cs="Arial" w:eastAsia="Arial" w:hAnsi="Arial"/>
                <w:sz w:val="18"/>
                <w:szCs w:val="18"/>
                <w:color w:val="auto"/>
              </w:rPr>
              <w:t>–</w:t>
            </w:r>
          </w:p>
        </w:tc>
        <w:tc>
          <w:tcPr>
            <w:tcW w:w="840" w:type="dxa"/>
            <w:vAlign w:val="bottom"/>
          </w:tcPr>
          <w:p>
            <w:pPr>
              <w:jc w:val="right"/>
              <w:spacing w:after="0" w:line="195" w:lineRule="exact"/>
              <w:rPr>
                <w:sz w:val="20"/>
                <w:szCs w:val="20"/>
                <w:color w:val="auto"/>
              </w:rPr>
            </w:pPr>
            <w:r>
              <w:rPr>
                <w:rFonts w:ascii="Arial" w:cs="Arial" w:eastAsia="Arial" w:hAnsi="Arial"/>
                <w:sz w:val="18"/>
                <w:szCs w:val="18"/>
                <w:color w:val="auto"/>
              </w:rPr>
              <w:t>150.1</w:t>
            </w:r>
          </w:p>
        </w:tc>
        <w:tc>
          <w:tcPr>
            <w:tcW w:w="220" w:type="dxa"/>
            <w:vAlign w:val="bottom"/>
          </w:tcPr>
          <w:p>
            <w:pPr>
              <w:spacing w:after="0"/>
              <w:rPr>
                <w:sz w:val="16"/>
                <w:szCs w:val="16"/>
                <w:color w:val="auto"/>
              </w:rPr>
            </w:pPr>
          </w:p>
        </w:tc>
      </w:tr>
      <w:tr>
        <w:trPr>
          <w:trHeight w:val="203"/>
        </w:trPr>
        <w:tc>
          <w:tcPr>
            <w:tcW w:w="3900" w:type="dxa"/>
            <w:vAlign w:val="bottom"/>
            <w:gridSpan w:val="2"/>
          </w:tcPr>
          <w:p>
            <w:pPr>
              <w:spacing w:after="0" w:line="202" w:lineRule="exact"/>
              <w:rPr>
                <w:sz w:val="20"/>
                <w:szCs w:val="20"/>
                <w:color w:val="auto"/>
              </w:rPr>
            </w:pPr>
            <w:r>
              <w:rPr>
                <w:rFonts w:ascii="Arial" w:cs="Arial" w:eastAsia="Arial" w:hAnsi="Arial"/>
                <w:sz w:val="18"/>
                <w:szCs w:val="18"/>
                <w:color w:val="auto"/>
              </w:rPr>
              <w:t>EMEA:</w:t>
            </w:r>
          </w:p>
        </w:tc>
        <w:tc>
          <w:tcPr>
            <w:tcW w:w="4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880" w:type="dxa"/>
            <w:vAlign w:val="bottom"/>
          </w:tcPr>
          <w:p>
            <w:pPr>
              <w:ind w:left="260"/>
              <w:spacing w:after="0" w:line="202" w:lineRule="exact"/>
              <w:rPr>
                <w:sz w:val="20"/>
                <w:szCs w:val="20"/>
                <w:color w:val="auto"/>
              </w:rPr>
            </w:pPr>
            <w:r>
              <w:rPr>
                <w:rFonts w:ascii="Arial" w:cs="Arial" w:eastAsia="Arial" w:hAnsi="Arial"/>
                <w:sz w:val="18"/>
                <w:szCs w:val="18"/>
                <w:color w:val="auto"/>
              </w:rPr>
              <w:t>Italy</w:t>
            </w:r>
          </w:p>
        </w:tc>
        <w:tc>
          <w:tcPr>
            <w:tcW w:w="440" w:type="dxa"/>
            <w:vAlign w:val="bottom"/>
          </w:tcPr>
          <w:p>
            <w:pPr>
              <w:spacing w:after="0"/>
              <w:rPr>
                <w:sz w:val="17"/>
                <w:szCs w:val="17"/>
                <w:color w:val="auto"/>
              </w:rPr>
            </w:pPr>
          </w:p>
        </w:tc>
        <w:tc>
          <w:tcPr>
            <w:tcW w:w="1160" w:type="dxa"/>
            <w:vAlign w:val="bottom"/>
          </w:tcPr>
          <w:p>
            <w:pPr>
              <w:jc w:val="right"/>
              <w:ind w:right="151"/>
              <w:spacing w:after="0" w:line="202" w:lineRule="exact"/>
              <w:rPr>
                <w:sz w:val="20"/>
                <w:szCs w:val="20"/>
                <w:color w:val="auto"/>
              </w:rPr>
            </w:pPr>
            <w:r>
              <w:rPr>
                <w:rFonts w:ascii="Arial" w:cs="Arial" w:eastAsia="Arial" w:hAnsi="Arial"/>
                <w:sz w:val="18"/>
                <w:szCs w:val="18"/>
                <w:color w:val="auto"/>
              </w:rPr>
              <w:t>47.5</w:t>
            </w:r>
          </w:p>
        </w:tc>
        <w:tc>
          <w:tcPr>
            <w:tcW w:w="1200" w:type="dxa"/>
            <w:vAlign w:val="bottom"/>
          </w:tcPr>
          <w:p>
            <w:pPr>
              <w:jc w:val="right"/>
              <w:ind w:right="231"/>
              <w:spacing w:after="0" w:line="202" w:lineRule="exact"/>
              <w:rPr>
                <w:sz w:val="20"/>
                <w:szCs w:val="20"/>
                <w:color w:val="auto"/>
              </w:rPr>
            </w:pPr>
            <w:r>
              <w:rPr>
                <w:rFonts w:ascii="Arial" w:cs="Arial" w:eastAsia="Arial" w:hAnsi="Arial"/>
                <w:sz w:val="18"/>
                <w:szCs w:val="18"/>
                <w:color w:val="auto"/>
              </w:rPr>
              <w:t>70.2</w:t>
            </w:r>
          </w:p>
        </w:tc>
        <w:tc>
          <w:tcPr>
            <w:tcW w:w="1100" w:type="dxa"/>
            <w:vAlign w:val="bottom"/>
          </w:tcPr>
          <w:p>
            <w:pPr>
              <w:jc w:val="right"/>
              <w:ind w:right="131"/>
              <w:spacing w:after="0" w:line="202" w:lineRule="exact"/>
              <w:rPr>
                <w:sz w:val="20"/>
                <w:szCs w:val="20"/>
                <w:color w:val="auto"/>
              </w:rPr>
            </w:pPr>
            <w:r>
              <w:rPr>
                <w:rFonts w:ascii="Arial" w:cs="Arial" w:eastAsia="Arial" w:hAnsi="Arial"/>
                <w:sz w:val="18"/>
                <w:szCs w:val="18"/>
                <w:color w:val="auto"/>
              </w:rPr>
              <w:t>(11.9)</w:t>
            </w:r>
          </w:p>
        </w:tc>
        <w:tc>
          <w:tcPr>
            <w:tcW w:w="1240" w:type="dxa"/>
            <w:vAlign w:val="bottom"/>
          </w:tcPr>
          <w:p>
            <w:pPr>
              <w:jc w:val="right"/>
              <w:ind w:right="211"/>
              <w:spacing w:after="0" w:line="202" w:lineRule="exact"/>
              <w:rPr>
                <w:sz w:val="20"/>
                <w:szCs w:val="20"/>
                <w:color w:val="auto"/>
              </w:rPr>
            </w:pPr>
            <w:r>
              <w:rPr>
                <w:rFonts w:ascii="Arial" w:cs="Arial" w:eastAsia="Arial" w:hAnsi="Arial"/>
                <w:sz w:val="18"/>
                <w:szCs w:val="18"/>
                <w:color w:val="auto"/>
              </w:rPr>
              <w:t>82.1</w:t>
            </w:r>
          </w:p>
        </w:tc>
        <w:tc>
          <w:tcPr>
            <w:tcW w:w="1320" w:type="dxa"/>
            <w:vAlign w:val="bottom"/>
          </w:tcPr>
          <w:p>
            <w:pPr>
              <w:jc w:val="right"/>
              <w:ind w:right="211"/>
              <w:spacing w:after="0" w:line="202" w:lineRule="exact"/>
              <w:rPr>
                <w:sz w:val="20"/>
                <w:szCs w:val="20"/>
                <w:color w:val="auto"/>
              </w:rPr>
            </w:pPr>
            <w:r>
              <w:rPr>
                <w:rFonts w:ascii="Arial" w:cs="Arial" w:eastAsia="Arial" w:hAnsi="Arial"/>
                <w:sz w:val="18"/>
                <w:szCs w:val="18"/>
                <w:color w:val="auto"/>
              </w:rPr>
              <w:t>–</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82.1</w:t>
            </w:r>
          </w:p>
        </w:tc>
        <w:tc>
          <w:tcPr>
            <w:tcW w:w="2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880" w:type="dxa"/>
            <w:vAlign w:val="bottom"/>
            <w:tcBorders>
              <w:bottom w:val="single" w:sz="8" w:color="939598"/>
            </w:tcBorders>
          </w:tcPr>
          <w:p>
            <w:pPr>
              <w:ind w:left="260"/>
              <w:spacing w:after="0" w:line="203" w:lineRule="exact"/>
              <w:rPr>
                <w:sz w:val="20"/>
                <w:szCs w:val="20"/>
                <w:color w:val="auto"/>
              </w:rPr>
            </w:pPr>
            <w:r>
              <w:rPr>
                <w:rFonts w:ascii="Arial" w:cs="Arial" w:eastAsia="Arial" w:hAnsi="Arial"/>
                <w:sz w:val="18"/>
                <w:szCs w:val="18"/>
                <w:color w:val="auto"/>
              </w:rPr>
              <w:t>Other EMEA</w:t>
            </w:r>
          </w:p>
        </w:tc>
        <w:tc>
          <w:tcPr>
            <w:tcW w:w="440" w:type="dxa"/>
            <w:vAlign w:val="bottom"/>
            <w:tcBorders>
              <w:bottom w:val="single" w:sz="8" w:color="939598"/>
            </w:tcBorders>
          </w:tcPr>
          <w:p>
            <w:pPr>
              <w:spacing w:after="0"/>
              <w:rPr>
                <w:sz w:val="17"/>
                <w:szCs w:val="17"/>
                <w:color w:val="auto"/>
              </w:rPr>
            </w:pPr>
          </w:p>
        </w:tc>
        <w:tc>
          <w:tcPr>
            <w:tcW w:w="1160" w:type="dxa"/>
            <w:vAlign w:val="bottom"/>
            <w:tcBorders>
              <w:bottom w:val="single" w:sz="8" w:color="939598"/>
            </w:tcBorders>
          </w:tcPr>
          <w:p>
            <w:pPr>
              <w:jc w:val="right"/>
              <w:ind w:right="151"/>
              <w:spacing w:after="0" w:line="203" w:lineRule="exact"/>
              <w:rPr>
                <w:sz w:val="20"/>
                <w:szCs w:val="20"/>
                <w:color w:val="auto"/>
              </w:rPr>
            </w:pPr>
            <w:r>
              <w:rPr>
                <w:rFonts w:ascii="Arial" w:cs="Arial" w:eastAsia="Arial" w:hAnsi="Arial"/>
                <w:sz w:val="18"/>
                <w:szCs w:val="18"/>
                <w:color w:val="auto"/>
              </w:rPr>
              <w:t>157.4</w:t>
            </w:r>
          </w:p>
        </w:tc>
        <w:tc>
          <w:tcPr>
            <w:tcW w:w="1200" w:type="dxa"/>
            <w:vAlign w:val="bottom"/>
            <w:tcBorders>
              <w:bottom w:val="single" w:sz="8" w:color="939598"/>
            </w:tcBorders>
          </w:tcPr>
          <w:p>
            <w:pPr>
              <w:jc w:val="right"/>
              <w:ind w:right="231"/>
              <w:spacing w:after="0" w:line="203" w:lineRule="exact"/>
              <w:rPr>
                <w:sz w:val="20"/>
                <w:szCs w:val="20"/>
                <w:color w:val="auto"/>
              </w:rPr>
            </w:pPr>
            <w:r>
              <w:rPr>
                <w:rFonts w:ascii="Arial" w:cs="Arial" w:eastAsia="Arial" w:hAnsi="Arial"/>
                <w:sz w:val="18"/>
                <w:szCs w:val="18"/>
                <w:color w:val="auto"/>
              </w:rPr>
              <w:t>353.0</w:t>
            </w:r>
          </w:p>
        </w:tc>
        <w:tc>
          <w:tcPr>
            <w:tcW w:w="1100" w:type="dxa"/>
            <w:vAlign w:val="bottom"/>
            <w:tcBorders>
              <w:bottom w:val="single" w:sz="8" w:color="939598"/>
            </w:tcBorders>
          </w:tcPr>
          <w:p>
            <w:pPr>
              <w:jc w:val="right"/>
              <w:ind w:right="131"/>
              <w:spacing w:after="0" w:line="203" w:lineRule="exact"/>
              <w:rPr>
                <w:sz w:val="20"/>
                <w:szCs w:val="20"/>
                <w:color w:val="auto"/>
              </w:rPr>
            </w:pPr>
            <w:r>
              <w:rPr>
                <w:rFonts w:ascii="Arial" w:cs="Arial" w:eastAsia="Arial" w:hAnsi="Arial"/>
                <w:sz w:val="18"/>
                <w:szCs w:val="18"/>
                <w:color w:val="auto"/>
              </w:rPr>
              <w:t>(15.0)</w:t>
            </w:r>
          </w:p>
        </w:tc>
        <w:tc>
          <w:tcPr>
            <w:tcW w:w="1240" w:type="dxa"/>
            <w:vAlign w:val="bottom"/>
            <w:tcBorders>
              <w:bottom w:val="single" w:sz="8" w:color="939598"/>
            </w:tcBorders>
          </w:tcPr>
          <w:p>
            <w:pPr>
              <w:jc w:val="right"/>
              <w:ind w:right="211"/>
              <w:spacing w:after="0" w:line="203" w:lineRule="exact"/>
              <w:rPr>
                <w:sz w:val="20"/>
                <w:szCs w:val="20"/>
                <w:color w:val="auto"/>
              </w:rPr>
            </w:pPr>
            <w:r>
              <w:rPr>
                <w:rFonts w:ascii="Arial" w:cs="Arial" w:eastAsia="Arial" w:hAnsi="Arial"/>
                <w:sz w:val="18"/>
                <w:szCs w:val="18"/>
                <w:color w:val="auto"/>
              </w:rPr>
              <w:t>368.0</w:t>
            </w:r>
          </w:p>
        </w:tc>
        <w:tc>
          <w:tcPr>
            <w:tcW w:w="1320" w:type="dxa"/>
            <w:vAlign w:val="bottom"/>
            <w:tcBorders>
              <w:bottom w:val="single" w:sz="8" w:color="939598"/>
            </w:tcBorders>
          </w:tcPr>
          <w:p>
            <w:pPr>
              <w:jc w:val="right"/>
              <w:ind w:right="211"/>
              <w:spacing w:after="0" w:line="203" w:lineRule="exact"/>
              <w:rPr>
                <w:sz w:val="20"/>
                <w:szCs w:val="20"/>
                <w:color w:val="auto"/>
              </w:rPr>
            </w:pPr>
            <w:r>
              <w:rPr>
                <w:rFonts w:ascii="Arial" w:cs="Arial" w:eastAsia="Arial" w:hAnsi="Arial"/>
                <w:sz w:val="18"/>
                <w:szCs w:val="18"/>
                <w:color w:val="auto"/>
              </w:rPr>
              <w:t>–</w:t>
            </w:r>
          </w:p>
        </w:tc>
        <w:tc>
          <w:tcPr>
            <w:tcW w:w="840" w:type="dxa"/>
            <w:vAlign w:val="bottom"/>
            <w:tcBorders>
              <w:bottom w:val="single" w:sz="8" w:color="939598"/>
            </w:tcBorders>
          </w:tcPr>
          <w:p>
            <w:pPr>
              <w:jc w:val="right"/>
              <w:spacing w:after="0" w:line="203" w:lineRule="exact"/>
              <w:rPr>
                <w:sz w:val="20"/>
                <w:szCs w:val="20"/>
                <w:color w:val="auto"/>
              </w:rPr>
            </w:pPr>
            <w:r>
              <w:rPr>
                <w:rFonts w:ascii="Arial" w:cs="Arial" w:eastAsia="Arial" w:hAnsi="Arial"/>
                <w:sz w:val="18"/>
                <w:szCs w:val="18"/>
                <w:color w:val="auto"/>
              </w:rPr>
              <w:t>368.0</w:t>
            </w:r>
          </w:p>
        </w:tc>
        <w:tc>
          <w:tcPr>
            <w:tcW w:w="2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3880" w:type="dxa"/>
            <w:vAlign w:val="bottom"/>
            <w:tcBorders>
              <w:bottom w:val="single" w:sz="8" w:color="939598"/>
            </w:tcBorders>
          </w:tcPr>
          <w:p>
            <w:pPr>
              <w:spacing w:after="0"/>
              <w:rPr>
                <w:sz w:val="17"/>
                <w:szCs w:val="17"/>
                <w:color w:val="auto"/>
              </w:rPr>
            </w:pPr>
          </w:p>
        </w:tc>
        <w:tc>
          <w:tcPr>
            <w:tcW w:w="440" w:type="dxa"/>
            <w:vAlign w:val="bottom"/>
            <w:tcBorders>
              <w:bottom w:val="single" w:sz="8" w:color="939598"/>
            </w:tcBorders>
          </w:tcPr>
          <w:p>
            <w:pPr>
              <w:spacing w:after="0"/>
              <w:rPr>
                <w:sz w:val="17"/>
                <w:szCs w:val="17"/>
                <w:color w:val="auto"/>
              </w:rPr>
            </w:pPr>
          </w:p>
        </w:tc>
        <w:tc>
          <w:tcPr>
            <w:tcW w:w="1160" w:type="dxa"/>
            <w:vAlign w:val="bottom"/>
            <w:tcBorders>
              <w:bottom w:val="single" w:sz="8" w:color="939598"/>
            </w:tcBorders>
          </w:tcPr>
          <w:p>
            <w:pPr>
              <w:jc w:val="right"/>
              <w:ind w:right="151"/>
              <w:spacing w:after="0" w:line="196" w:lineRule="exact"/>
              <w:rPr>
                <w:sz w:val="20"/>
                <w:szCs w:val="20"/>
                <w:color w:val="auto"/>
              </w:rPr>
            </w:pPr>
            <w:r>
              <w:rPr>
                <w:rFonts w:ascii="Arial" w:cs="Arial" w:eastAsia="Arial" w:hAnsi="Arial"/>
                <w:sz w:val="18"/>
                <w:szCs w:val="18"/>
                <w:color w:val="auto"/>
              </w:rPr>
              <w:t>204.9</w:t>
            </w:r>
          </w:p>
        </w:tc>
        <w:tc>
          <w:tcPr>
            <w:tcW w:w="1200" w:type="dxa"/>
            <w:vAlign w:val="bottom"/>
            <w:tcBorders>
              <w:bottom w:val="single" w:sz="8" w:color="939598"/>
            </w:tcBorders>
          </w:tcPr>
          <w:p>
            <w:pPr>
              <w:jc w:val="right"/>
              <w:ind w:right="231"/>
              <w:spacing w:after="0" w:line="196" w:lineRule="exact"/>
              <w:rPr>
                <w:sz w:val="20"/>
                <w:szCs w:val="20"/>
                <w:color w:val="auto"/>
              </w:rPr>
            </w:pPr>
            <w:r>
              <w:rPr>
                <w:rFonts w:ascii="Arial" w:cs="Arial" w:eastAsia="Arial" w:hAnsi="Arial"/>
                <w:sz w:val="18"/>
                <w:szCs w:val="18"/>
                <w:color w:val="auto"/>
              </w:rPr>
              <w:t>227.0</w:t>
            </w:r>
          </w:p>
        </w:tc>
        <w:tc>
          <w:tcPr>
            <w:tcW w:w="1100" w:type="dxa"/>
            <w:vAlign w:val="bottom"/>
            <w:tcBorders>
              <w:bottom w:val="single" w:sz="8" w:color="939598"/>
            </w:tcBorders>
          </w:tcPr>
          <w:p>
            <w:pPr>
              <w:jc w:val="right"/>
              <w:ind w:right="131"/>
              <w:spacing w:after="0" w:line="196" w:lineRule="exact"/>
              <w:rPr>
                <w:sz w:val="20"/>
                <w:szCs w:val="20"/>
                <w:color w:val="auto"/>
              </w:rPr>
            </w:pPr>
            <w:r>
              <w:rPr>
                <w:rFonts w:ascii="Arial" w:cs="Arial" w:eastAsia="Arial" w:hAnsi="Arial"/>
                <w:sz w:val="18"/>
                <w:szCs w:val="18"/>
                <w:color w:val="auto"/>
              </w:rPr>
              <w:t>(13.7)</w:t>
            </w:r>
          </w:p>
        </w:tc>
        <w:tc>
          <w:tcPr>
            <w:tcW w:w="1240" w:type="dxa"/>
            <w:vAlign w:val="bottom"/>
            <w:tcBorders>
              <w:bottom w:val="single" w:sz="8" w:color="939598"/>
            </w:tcBorders>
          </w:tcPr>
          <w:p>
            <w:pPr>
              <w:jc w:val="right"/>
              <w:ind w:right="211"/>
              <w:spacing w:after="0" w:line="196" w:lineRule="exact"/>
              <w:rPr>
                <w:sz w:val="20"/>
                <w:szCs w:val="20"/>
                <w:color w:val="auto"/>
              </w:rPr>
            </w:pPr>
            <w:r>
              <w:rPr>
                <w:rFonts w:ascii="Arial" w:cs="Arial" w:eastAsia="Arial" w:hAnsi="Arial"/>
                <w:sz w:val="18"/>
                <w:szCs w:val="18"/>
                <w:color w:val="auto"/>
              </w:rPr>
              <w:t>240.7</w:t>
            </w:r>
          </w:p>
        </w:tc>
        <w:tc>
          <w:tcPr>
            <w:tcW w:w="1320" w:type="dxa"/>
            <w:vAlign w:val="bottom"/>
            <w:tcBorders>
              <w:bottom w:val="single" w:sz="8" w:color="939598"/>
            </w:tcBorders>
          </w:tcPr>
          <w:p>
            <w:pPr>
              <w:jc w:val="right"/>
              <w:ind w:right="211"/>
              <w:spacing w:after="0" w:line="196" w:lineRule="exact"/>
              <w:rPr>
                <w:sz w:val="20"/>
                <w:szCs w:val="20"/>
                <w:color w:val="auto"/>
              </w:rPr>
            </w:pPr>
            <w:r>
              <w:rPr>
                <w:rFonts w:ascii="Arial" w:cs="Arial" w:eastAsia="Arial" w:hAnsi="Arial"/>
                <w:sz w:val="18"/>
                <w:szCs w:val="18"/>
                <w:color w:val="auto"/>
              </w:rPr>
              <w:t>–</w:t>
            </w:r>
          </w:p>
        </w:tc>
        <w:tc>
          <w:tcPr>
            <w:tcW w:w="840" w:type="dxa"/>
            <w:vAlign w:val="bottom"/>
            <w:tcBorders>
              <w:bottom w:val="single" w:sz="8" w:color="939598"/>
            </w:tcBorders>
          </w:tcPr>
          <w:p>
            <w:pPr>
              <w:jc w:val="right"/>
              <w:spacing w:after="0" w:line="196" w:lineRule="exact"/>
              <w:rPr>
                <w:sz w:val="20"/>
                <w:szCs w:val="20"/>
                <w:color w:val="auto"/>
              </w:rPr>
            </w:pPr>
            <w:r>
              <w:rPr>
                <w:rFonts w:ascii="Arial" w:cs="Arial" w:eastAsia="Arial" w:hAnsi="Arial"/>
                <w:sz w:val="18"/>
                <w:szCs w:val="18"/>
                <w:color w:val="auto"/>
              </w:rPr>
              <w:t>240.7</w:t>
            </w:r>
          </w:p>
        </w:tc>
        <w:tc>
          <w:tcPr>
            <w:tcW w:w="220" w:type="dxa"/>
            <w:vAlign w:val="bottom"/>
          </w:tcPr>
          <w:p>
            <w:pPr>
              <w:spacing w:after="0"/>
              <w:rPr>
                <w:sz w:val="17"/>
                <w:szCs w:val="17"/>
                <w:color w:val="auto"/>
              </w:rPr>
            </w:pPr>
          </w:p>
        </w:tc>
      </w:tr>
      <w:tr>
        <w:trPr>
          <w:trHeight w:val="195"/>
        </w:trPr>
        <w:tc>
          <w:tcPr>
            <w:tcW w:w="20" w:type="dxa"/>
            <w:vAlign w:val="bottom"/>
          </w:tcPr>
          <w:p>
            <w:pPr>
              <w:spacing w:after="0"/>
              <w:rPr>
                <w:sz w:val="16"/>
                <w:szCs w:val="16"/>
                <w:color w:val="auto"/>
              </w:rPr>
            </w:pPr>
          </w:p>
        </w:tc>
        <w:tc>
          <w:tcPr>
            <w:tcW w:w="3880" w:type="dxa"/>
            <w:vAlign w:val="bottom"/>
          </w:tcPr>
          <w:p>
            <w:pPr>
              <w:spacing w:after="0" w:line="195" w:lineRule="exact"/>
              <w:rPr>
                <w:sz w:val="20"/>
                <w:szCs w:val="20"/>
                <w:color w:val="auto"/>
              </w:rPr>
            </w:pPr>
            <w:r>
              <w:rPr>
                <w:rFonts w:ascii="Arial" w:cs="Arial" w:eastAsia="Arial" w:hAnsi="Arial"/>
                <w:sz w:val="18"/>
                <w:szCs w:val="18"/>
                <w:color w:val="auto"/>
              </w:rPr>
              <w:t>Asia Pacific</w:t>
            </w:r>
          </w:p>
        </w:tc>
        <w:tc>
          <w:tcPr>
            <w:tcW w:w="440" w:type="dxa"/>
            <w:vAlign w:val="bottom"/>
          </w:tcPr>
          <w:p>
            <w:pPr>
              <w:spacing w:after="0"/>
              <w:rPr>
                <w:sz w:val="16"/>
                <w:szCs w:val="16"/>
                <w:color w:val="auto"/>
              </w:rPr>
            </w:pPr>
          </w:p>
        </w:tc>
        <w:tc>
          <w:tcPr>
            <w:tcW w:w="1160" w:type="dxa"/>
            <w:vAlign w:val="bottom"/>
          </w:tcPr>
          <w:p>
            <w:pPr>
              <w:jc w:val="right"/>
              <w:ind w:right="151"/>
              <w:spacing w:after="0" w:line="195" w:lineRule="exact"/>
              <w:rPr>
                <w:sz w:val="20"/>
                <w:szCs w:val="20"/>
                <w:color w:val="auto"/>
              </w:rPr>
            </w:pPr>
            <w:r>
              <w:rPr>
                <w:rFonts w:ascii="Arial" w:cs="Arial" w:eastAsia="Arial" w:hAnsi="Arial"/>
                <w:sz w:val="18"/>
                <w:szCs w:val="18"/>
                <w:color w:val="auto"/>
              </w:rPr>
              <w:t>47.2</w:t>
            </w:r>
          </w:p>
        </w:tc>
        <w:tc>
          <w:tcPr>
            <w:tcW w:w="1200" w:type="dxa"/>
            <w:vAlign w:val="bottom"/>
          </w:tcPr>
          <w:p>
            <w:pPr>
              <w:jc w:val="right"/>
              <w:ind w:right="231"/>
              <w:spacing w:after="0" w:line="195" w:lineRule="exact"/>
              <w:rPr>
                <w:sz w:val="20"/>
                <w:szCs w:val="20"/>
                <w:color w:val="auto"/>
              </w:rPr>
            </w:pPr>
            <w:r>
              <w:rPr>
                <w:rFonts w:ascii="Arial" w:cs="Arial" w:eastAsia="Arial" w:hAnsi="Arial"/>
                <w:sz w:val="18"/>
                <w:szCs w:val="18"/>
                <w:color w:val="auto"/>
              </w:rPr>
              <w:t>78.4</w:t>
            </w:r>
          </w:p>
        </w:tc>
        <w:tc>
          <w:tcPr>
            <w:tcW w:w="1100" w:type="dxa"/>
            <w:vAlign w:val="bottom"/>
          </w:tcPr>
          <w:p>
            <w:pPr>
              <w:jc w:val="right"/>
              <w:ind w:right="191"/>
              <w:spacing w:after="0" w:line="195" w:lineRule="exact"/>
              <w:rPr>
                <w:sz w:val="20"/>
                <w:szCs w:val="20"/>
                <w:color w:val="auto"/>
              </w:rPr>
            </w:pPr>
            <w:r>
              <w:rPr>
                <w:rFonts w:ascii="Arial" w:cs="Arial" w:eastAsia="Arial" w:hAnsi="Arial"/>
                <w:sz w:val="18"/>
                <w:szCs w:val="18"/>
                <w:color w:val="auto"/>
              </w:rPr>
              <w:t>14.8</w:t>
            </w:r>
          </w:p>
        </w:tc>
        <w:tc>
          <w:tcPr>
            <w:tcW w:w="1240" w:type="dxa"/>
            <w:vAlign w:val="bottom"/>
          </w:tcPr>
          <w:p>
            <w:pPr>
              <w:jc w:val="right"/>
              <w:ind w:right="211"/>
              <w:spacing w:after="0" w:line="195" w:lineRule="exact"/>
              <w:rPr>
                <w:sz w:val="20"/>
                <w:szCs w:val="20"/>
                <w:color w:val="auto"/>
              </w:rPr>
            </w:pPr>
            <w:r>
              <w:rPr>
                <w:rFonts w:ascii="Arial" w:cs="Arial" w:eastAsia="Arial" w:hAnsi="Arial"/>
                <w:sz w:val="18"/>
                <w:szCs w:val="18"/>
                <w:color w:val="auto"/>
              </w:rPr>
              <w:t>63.6</w:t>
            </w:r>
          </w:p>
        </w:tc>
        <w:tc>
          <w:tcPr>
            <w:tcW w:w="1320" w:type="dxa"/>
            <w:vAlign w:val="bottom"/>
          </w:tcPr>
          <w:p>
            <w:pPr>
              <w:jc w:val="right"/>
              <w:ind w:right="211"/>
              <w:spacing w:after="0" w:line="195" w:lineRule="exact"/>
              <w:rPr>
                <w:sz w:val="20"/>
                <w:szCs w:val="20"/>
                <w:color w:val="auto"/>
              </w:rPr>
            </w:pPr>
            <w:r>
              <w:rPr>
                <w:rFonts w:ascii="Arial" w:cs="Arial" w:eastAsia="Arial" w:hAnsi="Arial"/>
                <w:sz w:val="18"/>
                <w:szCs w:val="18"/>
                <w:color w:val="auto"/>
              </w:rPr>
              <w:t>–</w:t>
            </w:r>
          </w:p>
        </w:tc>
        <w:tc>
          <w:tcPr>
            <w:tcW w:w="840" w:type="dxa"/>
            <w:vAlign w:val="bottom"/>
          </w:tcPr>
          <w:p>
            <w:pPr>
              <w:jc w:val="right"/>
              <w:spacing w:after="0" w:line="195" w:lineRule="exact"/>
              <w:rPr>
                <w:sz w:val="20"/>
                <w:szCs w:val="20"/>
                <w:color w:val="auto"/>
              </w:rPr>
            </w:pPr>
            <w:r>
              <w:rPr>
                <w:rFonts w:ascii="Arial" w:cs="Arial" w:eastAsia="Arial" w:hAnsi="Arial"/>
                <w:sz w:val="18"/>
                <w:szCs w:val="18"/>
                <w:color w:val="auto"/>
              </w:rPr>
              <w:t>63.6</w:t>
            </w:r>
          </w:p>
        </w:tc>
        <w:tc>
          <w:tcPr>
            <w:tcW w:w="220" w:type="dxa"/>
            <w:vAlign w:val="bottom"/>
          </w:tcPr>
          <w:p>
            <w:pPr>
              <w:spacing w:after="0"/>
              <w:rPr>
                <w:sz w:val="16"/>
                <w:szCs w:val="16"/>
                <w:color w:val="auto"/>
              </w:rPr>
            </w:pPr>
          </w:p>
        </w:tc>
      </w:tr>
      <w:tr>
        <w:trPr>
          <w:trHeight w:val="181"/>
        </w:trPr>
        <w:tc>
          <w:tcPr>
            <w:tcW w:w="3900" w:type="dxa"/>
            <w:vAlign w:val="bottom"/>
            <w:gridSpan w:val="2"/>
          </w:tcPr>
          <w:p>
            <w:pPr>
              <w:spacing w:after="0" w:line="181" w:lineRule="exact"/>
              <w:rPr>
                <w:sz w:val="20"/>
                <w:szCs w:val="20"/>
                <w:color w:val="auto"/>
              </w:rPr>
            </w:pPr>
            <w:r>
              <w:rPr>
                <w:rFonts w:ascii="Arial" w:cs="Arial" w:eastAsia="Arial" w:hAnsi="Arial"/>
                <w:sz w:val="18"/>
                <w:szCs w:val="18"/>
                <w:color w:val="auto"/>
              </w:rPr>
              <w:t>Right Management</w:t>
            </w:r>
          </w:p>
        </w:tc>
        <w:tc>
          <w:tcPr>
            <w:tcW w:w="440" w:type="dxa"/>
            <w:vAlign w:val="bottom"/>
          </w:tcPr>
          <w:p>
            <w:pPr>
              <w:spacing w:after="0"/>
              <w:rPr>
                <w:sz w:val="15"/>
                <w:szCs w:val="15"/>
                <w:color w:val="auto"/>
              </w:rPr>
            </w:pPr>
          </w:p>
        </w:tc>
        <w:tc>
          <w:tcPr>
            <w:tcW w:w="1160" w:type="dxa"/>
            <w:vAlign w:val="bottom"/>
          </w:tcPr>
          <w:p>
            <w:pPr>
              <w:jc w:val="right"/>
              <w:ind w:right="151"/>
              <w:spacing w:after="0" w:line="181" w:lineRule="exact"/>
              <w:rPr>
                <w:sz w:val="20"/>
                <w:szCs w:val="20"/>
                <w:color w:val="auto"/>
              </w:rPr>
            </w:pPr>
            <w:r>
              <w:rPr>
                <w:rFonts w:ascii="Arial" w:cs="Arial" w:eastAsia="Arial" w:hAnsi="Arial"/>
                <w:sz w:val="18"/>
                <w:szCs w:val="18"/>
                <w:color w:val="auto"/>
              </w:rPr>
              <w:t>3.5</w:t>
            </w:r>
          </w:p>
        </w:tc>
        <w:tc>
          <w:tcPr>
            <w:tcW w:w="1200" w:type="dxa"/>
            <w:vAlign w:val="bottom"/>
          </w:tcPr>
          <w:p>
            <w:pPr>
              <w:jc w:val="right"/>
              <w:ind w:right="171"/>
              <w:spacing w:after="0" w:line="181" w:lineRule="exact"/>
              <w:rPr>
                <w:sz w:val="20"/>
                <w:szCs w:val="20"/>
                <w:color w:val="auto"/>
              </w:rPr>
            </w:pPr>
            <w:r>
              <w:rPr>
                <w:rFonts w:ascii="Arial" w:cs="Arial" w:eastAsia="Arial" w:hAnsi="Arial"/>
                <w:sz w:val="18"/>
                <w:szCs w:val="18"/>
                <w:color w:val="auto"/>
              </w:rPr>
              <w:t>(96.9)</w:t>
            </w:r>
          </w:p>
        </w:tc>
        <w:tc>
          <w:tcPr>
            <w:tcW w:w="1100" w:type="dxa"/>
            <w:vAlign w:val="bottom"/>
          </w:tcPr>
          <w:p>
            <w:pPr>
              <w:jc w:val="right"/>
              <w:ind w:right="191"/>
              <w:spacing w:after="0" w:line="181" w:lineRule="exact"/>
              <w:rPr>
                <w:sz w:val="20"/>
                <w:szCs w:val="20"/>
                <w:color w:val="auto"/>
              </w:rPr>
            </w:pPr>
            <w:r>
              <w:rPr>
                <w:rFonts w:ascii="Arial" w:cs="Arial" w:eastAsia="Arial" w:hAnsi="Arial"/>
                <w:sz w:val="18"/>
                <w:szCs w:val="18"/>
                <w:color w:val="auto"/>
              </w:rPr>
              <w:t>1.1</w:t>
            </w:r>
          </w:p>
        </w:tc>
        <w:tc>
          <w:tcPr>
            <w:tcW w:w="1240" w:type="dxa"/>
            <w:vAlign w:val="bottom"/>
          </w:tcPr>
          <w:p>
            <w:pPr>
              <w:jc w:val="right"/>
              <w:ind w:right="151"/>
              <w:spacing w:after="0" w:line="181" w:lineRule="exact"/>
              <w:rPr>
                <w:sz w:val="20"/>
                <w:szCs w:val="20"/>
                <w:color w:val="auto"/>
              </w:rPr>
            </w:pPr>
            <w:r>
              <w:rPr>
                <w:rFonts w:ascii="Arial" w:cs="Arial" w:eastAsia="Arial" w:hAnsi="Arial"/>
                <w:sz w:val="18"/>
                <w:szCs w:val="18"/>
                <w:color w:val="auto"/>
              </w:rPr>
              <w:t>(98.0)</w:t>
            </w:r>
          </w:p>
        </w:tc>
        <w:tc>
          <w:tcPr>
            <w:tcW w:w="1320" w:type="dxa"/>
            <w:vAlign w:val="bottom"/>
          </w:tcPr>
          <w:p>
            <w:pPr>
              <w:jc w:val="right"/>
              <w:ind w:right="211"/>
              <w:spacing w:after="0" w:line="181" w:lineRule="exact"/>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70"/>
              <w:spacing w:after="0" w:line="181" w:lineRule="exact"/>
              <w:rPr>
                <w:sz w:val="20"/>
                <w:szCs w:val="20"/>
                <w:color w:val="auto"/>
              </w:rPr>
            </w:pPr>
            <w:r>
              <w:rPr>
                <w:rFonts w:ascii="Arial" w:cs="Arial" w:eastAsia="Arial" w:hAnsi="Arial"/>
                <w:sz w:val="18"/>
                <w:szCs w:val="18"/>
                <w:color w:val="auto"/>
              </w:rPr>
              <w:t>(98.0)</w:t>
            </w:r>
          </w:p>
        </w:tc>
      </w:tr>
      <w:tr>
        <w:trPr>
          <w:trHeight w:val="225"/>
        </w:trPr>
        <w:tc>
          <w:tcPr>
            <w:tcW w:w="3900" w:type="dxa"/>
            <w:vAlign w:val="bottom"/>
            <w:gridSpan w:val="2"/>
          </w:tcPr>
          <w:p>
            <w:pPr>
              <w:spacing w:after="0"/>
              <w:rPr>
                <w:sz w:val="20"/>
                <w:szCs w:val="20"/>
                <w:color w:val="auto"/>
              </w:rPr>
            </w:pPr>
            <w:r>
              <w:rPr>
                <w:rFonts w:ascii="Arial" w:cs="Arial" w:eastAsia="Arial" w:hAnsi="Arial"/>
                <w:sz w:val="18"/>
                <w:szCs w:val="18"/>
                <w:b w:val="1"/>
                <w:bCs w:val="1"/>
                <w:color w:val="939598"/>
              </w:rPr>
              <w:t>Operating Loss - Manpower Inc.</w:t>
            </w:r>
          </w:p>
        </w:tc>
        <w:tc>
          <w:tcPr>
            <w:tcW w:w="440" w:type="dxa"/>
            <w:vAlign w:val="bottom"/>
          </w:tcPr>
          <w:p>
            <w:pPr>
              <w:spacing w:after="0"/>
              <w:rPr>
                <w:sz w:val="19"/>
                <w:szCs w:val="19"/>
                <w:color w:val="auto"/>
              </w:rPr>
            </w:pP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(122.0)</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(392.6)%</w:t>
            </w:r>
          </w:p>
        </w:tc>
        <w:tc>
          <w:tcPr>
            <w:tcW w:w="1100" w:type="dxa"/>
            <w:vAlign w:val="bottom"/>
          </w:tcPr>
          <w:p>
            <w:pPr>
              <w:jc w:val="right"/>
              <w:spacing w:after="0"/>
              <w:rPr>
                <w:sz w:val="20"/>
                <w:szCs w:val="20"/>
                <w:color w:val="auto"/>
              </w:rPr>
            </w:pPr>
            <w:r>
              <w:rPr>
                <w:rFonts w:ascii="Arial" w:cs="Arial" w:eastAsia="Arial" w:hAnsi="Arial"/>
                <w:sz w:val="18"/>
                <w:szCs w:val="18"/>
                <w:color w:val="auto"/>
              </w:rPr>
              <w:t>(25.7)%</w:t>
            </w:r>
          </w:p>
        </w:tc>
        <w:tc>
          <w:tcPr>
            <w:tcW w:w="1240" w:type="dxa"/>
            <w:vAlign w:val="bottom"/>
          </w:tcPr>
          <w:p>
            <w:pPr>
              <w:jc w:val="right"/>
              <w:spacing w:after="0"/>
              <w:rPr>
                <w:sz w:val="20"/>
                <w:szCs w:val="20"/>
                <w:color w:val="auto"/>
              </w:rPr>
            </w:pPr>
            <w:r>
              <w:rPr>
                <w:rFonts w:ascii="Arial" w:cs="Arial" w:eastAsia="Arial" w:hAnsi="Arial"/>
                <w:sz w:val="18"/>
                <w:szCs w:val="18"/>
                <w:color w:val="auto"/>
              </w:rPr>
              <w:t>(366.9)%</w:t>
            </w:r>
          </w:p>
        </w:tc>
        <w:tc>
          <w:tcPr>
            <w:tcW w:w="1320" w:type="dxa"/>
            <w:vAlign w:val="bottom"/>
          </w:tcPr>
          <w:p>
            <w:pPr>
              <w:jc w:val="right"/>
              <w:ind w:right="51"/>
              <w:spacing w:after="0"/>
              <w:rPr>
                <w:sz w:val="20"/>
                <w:szCs w:val="20"/>
                <w:color w:val="auto"/>
              </w:rPr>
            </w:pPr>
            <w:r>
              <w:rPr>
                <w:rFonts w:ascii="Arial" w:cs="Arial" w:eastAsia="Arial" w:hAnsi="Arial"/>
                <w:sz w:val="18"/>
                <w:szCs w:val="18"/>
                <w:color w:val="auto"/>
              </w:rPr>
              <w:t>10.3%</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(377.2)%</w:t>
            </w:r>
          </w:p>
        </w:tc>
      </w:tr>
      <w:tr>
        <w:trPr>
          <w:trHeight w:val="27"/>
        </w:trPr>
        <w:tc>
          <w:tcPr>
            <w:tcW w:w="20" w:type="dxa"/>
            <w:vAlign w:val="bottom"/>
            <w:shd w:val="clear" w:color="auto" w:fill="939598"/>
          </w:tcPr>
          <w:p>
            <w:pPr>
              <w:spacing w:after="0"/>
              <w:rPr>
                <w:sz w:val="2"/>
                <w:szCs w:val="2"/>
                <w:color w:val="auto"/>
              </w:rPr>
            </w:pPr>
          </w:p>
        </w:tc>
        <w:tc>
          <w:tcPr>
            <w:tcW w:w="3880" w:type="dxa"/>
            <w:vAlign w:val="bottom"/>
            <w:shd w:val="clear" w:color="auto" w:fill="939598"/>
          </w:tcPr>
          <w:p>
            <w:pPr>
              <w:spacing w:after="0"/>
              <w:rPr>
                <w:sz w:val="2"/>
                <w:szCs w:val="2"/>
                <w:color w:val="auto"/>
              </w:rPr>
            </w:pPr>
          </w:p>
        </w:tc>
        <w:tc>
          <w:tcPr>
            <w:tcW w:w="440" w:type="dxa"/>
            <w:vAlign w:val="bottom"/>
            <w:shd w:val="clear" w:color="auto" w:fill="939598"/>
          </w:tcPr>
          <w:p>
            <w:pPr>
              <w:spacing w:after="0"/>
              <w:rPr>
                <w:sz w:val="2"/>
                <w:szCs w:val="2"/>
                <w:color w:val="auto"/>
              </w:rPr>
            </w:pPr>
          </w:p>
        </w:tc>
        <w:tc>
          <w:tcPr>
            <w:tcW w:w="1160" w:type="dxa"/>
            <w:vAlign w:val="bottom"/>
            <w:shd w:val="clear" w:color="auto" w:fill="939598"/>
          </w:tcPr>
          <w:p>
            <w:pPr>
              <w:spacing w:after="0"/>
              <w:rPr>
                <w:sz w:val="2"/>
                <w:szCs w:val="2"/>
                <w:color w:val="auto"/>
              </w:rPr>
            </w:pPr>
          </w:p>
        </w:tc>
        <w:tc>
          <w:tcPr>
            <w:tcW w:w="1200" w:type="dxa"/>
            <w:vAlign w:val="bottom"/>
            <w:shd w:val="clear" w:color="auto" w:fill="939598"/>
          </w:tcPr>
          <w:p>
            <w:pPr>
              <w:spacing w:after="0"/>
              <w:rPr>
                <w:sz w:val="2"/>
                <w:szCs w:val="2"/>
                <w:color w:val="auto"/>
              </w:rPr>
            </w:pPr>
          </w:p>
        </w:tc>
        <w:tc>
          <w:tcPr>
            <w:tcW w:w="1100" w:type="dxa"/>
            <w:vAlign w:val="bottom"/>
            <w:shd w:val="clear" w:color="auto" w:fill="939598"/>
          </w:tcPr>
          <w:p>
            <w:pPr>
              <w:spacing w:after="0"/>
              <w:rPr>
                <w:sz w:val="2"/>
                <w:szCs w:val="2"/>
                <w:color w:val="auto"/>
              </w:rPr>
            </w:pPr>
          </w:p>
        </w:tc>
        <w:tc>
          <w:tcPr>
            <w:tcW w:w="1240" w:type="dxa"/>
            <w:vAlign w:val="bottom"/>
            <w:shd w:val="clear" w:color="auto" w:fill="939598"/>
          </w:tcPr>
          <w:p>
            <w:pPr>
              <w:spacing w:after="0"/>
              <w:rPr>
                <w:sz w:val="2"/>
                <w:szCs w:val="2"/>
                <w:color w:val="auto"/>
              </w:rPr>
            </w:pPr>
          </w:p>
        </w:tc>
        <w:tc>
          <w:tcPr>
            <w:tcW w:w="1320" w:type="dxa"/>
            <w:vAlign w:val="bottom"/>
            <w:shd w:val="clear" w:color="auto" w:fill="939598"/>
          </w:tcPr>
          <w:p>
            <w:pPr>
              <w:spacing w:after="0"/>
              <w:rPr>
                <w:sz w:val="2"/>
                <w:szCs w:val="2"/>
                <w:color w:val="auto"/>
              </w:rPr>
            </w:pPr>
          </w:p>
        </w:tc>
        <w:tc>
          <w:tcPr>
            <w:tcW w:w="840" w:type="dxa"/>
            <w:vAlign w:val="bottom"/>
            <w:shd w:val="clear" w:color="auto" w:fill="939598"/>
          </w:tcPr>
          <w:p>
            <w:pPr>
              <w:spacing w:after="0"/>
              <w:rPr>
                <w:sz w:val="2"/>
                <w:szCs w:val="2"/>
                <w:color w:val="auto"/>
              </w:rPr>
            </w:pPr>
          </w:p>
        </w:tc>
        <w:tc>
          <w:tcPr>
            <w:tcW w:w="220" w:type="dxa"/>
            <w:vAlign w:val="bottom"/>
          </w:tcPr>
          <w:p>
            <w:pPr>
              <w:spacing w:after="0"/>
              <w:rPr>
                <w:sz w:val="2"/>
                <w:szCs w:val="2"/>
                <w:color w:val="auto"/>
              </w:rPr>
            </w:pPr>
          </w:p>
        </w:tc>
      </w:tr>
    </w:tbl>
    <w:p>
      <w:pPr>
        <w:spacing w:after="0" w:line="198"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939598"/>
        </w:rPr>
        <w:t xml:space="preserve">Management’s Discussion &amp; Analysis </w:t>
      </w:r>
      <w:r>
        <w:rPr>
          <w:rFonts w:ascii="Arial" w:cs="Arial" w:eastAsia="Arial" w:hAnsi="Arial"/>
          <w:sz w:val="16"/>
          <w:szCs w:val="16"/>
          <w:color w:val="4D8ABE"/>
        </w:rPr>
        <w:t>Manpower 2010 Annual Report</w:t>
      </w:r>
      <w:r>
        <w:rPr>
          <w:rFonts w:ascii="Arial" w:cs="Arial" w:eastAsia="Arial" w:hAnsi="Arial"/>
          <w:sz w:val="16"/>
          <w:szCs w:val="16"/>
          <w:b w:val="1"/>
          <w:bCs w:val="1"/>
          <w:color w:val="939598"/>
        </w:rPr>
        <w:t xml:space="preserve"> </w:t>
      </w:r>
      <w:r>
        <w:rPr>
          <w:rFonts w:ascii="Arial" w:cs="Arial" w:eastAsia="Arial" w:hAnsi="Arial"/>
          <w:sz w:val="16"/>
          <w:szCs w:val="16"/>
          <w:b w:val="1"/>
          <w:bCs w:val="1"/>
          <w:color w:val="4D8ABE"/>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72390</wp:posOffset>
            </wp:positionV>
            <wp:extent cx="7267575" cy="469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ectPr>
          <w:pgSz w:w="11900" w:h="16838" w:orient="portrait"/>
          <w:cols w:equalWidth="0" w:num="1">
            <w:col w:w="11420"/>
          </w:cols>
          <w:pgMar w:left="240" w:top="352" w:right="239" w:bottom="1440" w:gutter="0" w:footer="0" w:header="0"/>
        </w:sectPr>
      </w:pPr>
    </w:p>
    <w:bookmarkStart w:id="59" w:name="page60"/>
    <w:bookmarkEnd w:id="59"/>
    <w:p>
      <w:pPr>
        <w:spacing w:after="0"/>
        <w:rPr>
          <w:sz w:val="20"/>
          <w:szCs w:val="20"/>
          <w:color w:val="auto"/>
        </w:rPr>
      </w:pPr>
      <w:r>
        <w:rPr>
          <w:rFonts w:ascii="Arial" w:cs="Arial" w:eastAsia="Arial" w:hAnsi="Arial"/>
          <w:sz w:val="22"/>
          <w:szCs w:val="22"/>
          <w:color w:val="4D8ABE"/>
        </w:rPr>
        <w:t>Management’s Discussion &amp; Analysis</w:t>
      </w:r>
    </w:p>
    <w:p>
      <w:pPr>
        <w:spacing w:after="0"/>
        <w:rPr>
          <w:sz w:val="20"/>
          <w:szCs w:val="20"/>
          <w:color w:val="auto"/>
        </w:rPr>
      </w:pPr>
      <w:r>
        <w:rPr>
          <w:rFonts w:ascii="Arial" w:cs="Arial" w:eastAsia="Arial" w:hAnsi="Arial"/>
          <w:sz w:val="18"/>
          <w:szCs w:val="18"/>
          <w:color w:val="4D8ABE"/>
        </w:rPr>
        <w:t>of financial condition and results of operations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38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360" w:type="dxa"/>
            <w:vAlign w:val="bottom"/>
          </w:tcPr>
          <w:p>
            <w:pPr>
              <w:jc w:val="right"/>
              <w:ind w:right="231"/>
              <w:spacing w:after="0"/>
              <w:rPr>
                <w:sz w:val="20"/>
                <w:szCs w:val="20"/>
                <w:color w:val="auto"/>
              </w:rPr>
            </w:pPr>
            <w:r>
              <w:rPr>
                <w:rFonts w:ascii="Arial" w:cs="Arial" w:eastAsia="Arial" w:hAnsi="Arial"/>
                <w:sz w:val="16"/>
                <w:szCs w:val="16"/>
                <w:b w:val="1"/>
                <w:bCs w:val="1"/>
                <w:color w:val="86B6A5"/>
              </w:rPr>
              <w:t>Impact of</w:t>
            </w:r>
          </w:p>
        </w:tc>
        <w:tc>
          <w:tcPr>
            <w:tcW w:w="1040" w:type="dxa"/>
            <w:vAlign w:val="bottom"/>
            <w:gridSpan w:val="2"/>
          </w:tcPr>
          <w:p>
            <w:pPr>
              <w:jc w:val="right"/>
              <w:ind w:right="130"/>
              <w:spacing w:after="0"/>
              <w:rPr>
                <w:sz w:val="20"/>
                <w:szCs w:val="20"/>
                <w:color w:val="auto"/>
              </w:rPr>
            </w:pPr>
            <w:r>
              <w:rPr>
                <w:rFonts w:ascii="Arial" w:cs="Arial" w:eastAsia="Arial" w:hAnsi="Arial"/>
                <w:sz w:val="16"/>
                <w:szCs w:val="16"/>
                <w:b w:val="1"/>
                <w:bCs w:val="1"/>
                <w:color w:val="86B6A5"/>
              </w:rPr>
              <w:t>Organic</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40" w:type="dxa"/>
            <w:vAlign w:val="bottom"/>
          </w:tcPr>
          <w:p>
            <w:pPr>
              <w:jc w:val="right"/>
              <w:ind w:right="151"/>
              <w:spacing w:after="0"/>
              <w:rPr>
                <w:sz w:val="20"/>
                <w:szCs w:val="20"/>
                <w:color w:val="auto"/>
              </w:rPr>
            </w:pPr>
            <w:r>
              <w:rPr>
                <w:rFonts w:ascii="Arial" w:cs="Arial" w:eastAsia="Arial" w:hAnsi="Arial"/>
                <w:sz w:val="16"/>
                <w:szCs w:val="16"/>
                <w:b w:val="1"/>
                <w:bCs w:val="1"/>
                <w:color w:val="86B6A5"/>
              </w:rPr>
              <w:t>Reported</w:t>
            </w:r>
          </w:p>
        </w:tc>
        <w:tc>
          <w:tcPr>
            <w:tcW w:w="1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40" w:type="dxa"/>
            <w:vAlign w:val="bottom"/>
          </w:tcPr>
          <w:p>
            <w:pPr>
              <w:jc w:val="right"/>
              <w:ind w:right="191"/>
              <w:spacing w:after="0"/>
              <w:rPr>
                <w:sz w:val="20"/>
                <w:szCs w:val="20"/>
                <w:color w:val="auto"/>
              </w:rPr>
            </w:pPr>
            <w:r>
              <w:rPr>
                <w:rFonts w:ascii="Arial" w:cs="Arial" w:eastAsia="Arial" w:hAnsi="Arial"/>
                <w:sz w:val="16"/>
                <w:szCs w:val="16"/>
                <w:b w:val="1"/>
                <w:bCs w:val="1"/>
                <w:color w:val="86B6A5"/>
              </w:rPr>
              <w:t>Variance</w:t>
            </w:r>
          </w:p>
        </w:tc>
        <w:tc>
          <w:tcPr>
            <w:tcW w:w="1360" w:type="dxa"/>
            <w:vAlign w:val="bottom"/>
          </w:tcPr>
          <w:p>
            <w:pPr>
              <w:jc w:val="right"/>
              <w:ind w:right="231"/>
              <w:spacing w:after="0"/>
              <w:rPr>
                <w:sz w:val="20"/>
                <w:szCs w:val="20"/>
                <w:color w:val="auto"/>
              </w:rPr>
            </w:pPr>
            <w:r>
              <w:rPr>
                <w:rFonts w:ascii="Arial" w:cs="Arial" w:eastAsia="Arial" w:hAnsi="Arial"/>
                <w:sz w:val="16"/>
                <w:szCs w:val="16"/>
                <w:b w:val="1"/>
                <w:bCs w:val="1"/>
                <w:color w:val="86B6A5"/>
              </w:rPr>
              <w:t>Acquisitions</w:t>
            </w:r>
          </w:p>
        </w:tc>
        <w:tc>
          <w:tcPr>
            <w:tcW w:w="1040" w:type="dxa"/>
            <w:vAlign w:val="bottom"/>
            <w:gridSpan w:val="2"/>
          </w:tcPr>
          <w:p>
            <w:pPr>
              <w:jc w:val="right"/>
              <w:ind w:right="130"/>
              <w:spacing w:after="0"/>
              <w:rPr>
                <w:sz w:val="20"/>
                <w:szCs w:val="20"/>
                <w:color w:val="auto"/>
              </w:rPr>
            </w:pPr>
            <w:r>
              <w:rPr>
                <w:rFonts w:ascii="Arial" w:cs="Arial" w:eastAsia="Arial" w:hAnsi="Arial"/>
                <w:sz w:val="16"/>
                <w:szCs w:val="16"/>
                <w:b w:val="1"/>
                <w:bCs w:val="1"/>
                <w:color w:val="86B6A5"/>
              </w:rPr>
              <w:t>Constant</w:t>
            </w:r>
          </w:p>
        </w:tc>
        <w:tc>
          <w:tcPr>
            <w:tcW w:w="0" w:type="dxa"/>
            <w:vAlign w:val="bottom"/>
          </w:tcPr>
          <w:p>
            <w:pPr>
              <w:spacing w:after="0"/>
              <w:rPr>
                <w:sz w:val="1"/>
                <w:szCs w:val="1"/>
                <w:color w:val="auto"/>
              </w:rPr>
            </w:pPr>
          </w:p>
        </w:tc>
      </w:tr>
      <w:tr>
        <w:trPr>
          <w:trHeight w:val="203"/>
        </w:trPr>
        <w:tc>
          <w:tcPr>
            <w:tcW w:w="3900" w:type="dxa"/>
            <w:vAlign w:val="bottom"/>
            <w:gridSpan w:val="2"/>
          </w:tcPr>
          <w:p>
            <w:pPr>
              <w:spacing w:after="0"/>
              <w:rPr>
                <w:sz w:val="20"/>
                <w:szCs w:val="20"/>
                <w:color w:val="auto"/>
              </w:rPr>
            </w:pPr>
            <w:r>
              <w:rPr>
                <w:rFonts w:ascii="Arial" w:cs="Arial" w:eastAsia="Arial" w:hAnsi="Arial"/>
                <w:sz w:val="16"/>
                <w:szCs w:val="16"/>
                <w:b w:val="1"/>
                <w:bCs w:val="1"/>
                <w:color w:val="86B6A5"/>
              </w:rPr>
              <w:t>Amounts represent 2009</w:t>
            </w:r>
          </w:p>
        </w:tc>
        <w:tc>
          <w:tcPr>
            <w:tcW w:w="440" w:type="dxa"/>
            <w:vAlign w:val="bottom"/>
          </w:tcPr>
          <w:p>
            <w:pPr>
              <w:spacing w:after="0"/>
              <w:rPr>
                <w:sz w:val="17"/>
                <w:szCs w:val="17"/>
                <w:color w:val="auto"/>
              </w:rPr>
            </w:pPr>
          </w:p>
        </w:tc>
        <w:tc>
          <w:tcPr>
            <w:tcW w:w="1140" w:type="dxa"/>
            <w:vAlign w:val="bottom"/>
          </w:tcPr>
          <w:p>
            <w:pPr>
              <w:jc w:val="right"/>
              <w:ind w:right="151"/>
              <w:spacing w:after="0"/>
              <w:rPr>
                <w:sz w:val="20"/>
                <w:szCs w:val="20"/>
                <w:color w:val="auto"/>
              </w:rPr>
            </w:pPr>
            <w:r>
              <w:rPr>
                <w:rFonts w:ascii="Arial" w:cs="Arial" w:eastAsia="Arial" w:hAnsi="Arial"/>
                <w:sz w:val="16"/>
                <w:szCs w:val="16"/>
                <w:b w:val="1"/>
                <w:bCs w:val="1"/>
                <w:color w:val="86B6A5"/>
              </w:rPr>
              <w:t>Amount</w:t>
            </w:r>
          </w:p>
        </w:tc>
        <w:tc>
          <w:tcPr>
            <w:tcW w:w="1200" w:type="dxa"/>
            <w:vAlign w:val="bottom"/>
          </w:tcPr>
          <w:p>
            <w:pPr>
              <w:jc w:val="right"/>
              <w:ind w:right="231"/>
              <w:spacing w:after="0"/>
              <w:rPr>
                <w:sz w:val="20"/>
                <w:szCs w:val="20"/>
                <w:color w:val="auto"/>
              </w:rPr>
            </w:pPr>
            <w:r>
              <w:rPr>
                <w:rFonts w:ascii="Arial" w:cs="Arial" w:eastAsia="Arial" w:hAnsi="Arial"/>
                <w:sz w:val="16"/>
                <w:szCs w:val="16"/>
                <w:b w:val="1"/>
                <w:bCs w:val="1"/>
                <w:color w:val="86B6A5"/>
              </w:rPr>
              <w:t>Reported</w:t>
            </w:r>
          </w:p>
        </w:tc>
        <w:tc>
          <w:tcPr>
            <w:tcW w:w="1100" w:type="dxa"/>
            <w:vAlign w:val="bottom"/>
          </w:tcPr>
          <w:p>
            <w:pPr>
              <w:jc w:val="right"/>
              <w:ind w:right="191"/>
              <w:spacing w:after="0"/>
              <w:rPr>
                <w:sz w:val="20"/>
                <w:szCs w:val="20"/>
                <w:color w:val="auto"/>
              </w:rPr>
            </w:pPr>
            <w:r>
              <w:rPr>
                <w:rFonts w:ascii="Arial" w:cs="Arial" w:eastAsia="Arial" w:hAnsi="Arial"/>
                <w:sz w:val="16"/>
                <w:szCs w:val="16"/>
                <w:b w:val="1"/>
                <w:bCs w:val="1"/>
                <w:color w:val="86B6A5"/>
              </w:rPr>
              <w:t>Impact of</w:t>
            </w:r>
          </w:p>
        </w:tc>
        <w:tc>
          <w:tcPr>
            <w:tcW w:w="1240" w:type="dxa"/>
            <w:vAlign w:val="bottom"/>
          </w:tcPr>
          <w:p>
            <w:pPr>
              <w:jc w:val="right"/>
              <w:ind w:right="191"/>
              <w:spacing w:after="0"/>
              <w:rPr>
                <w:sz w:val="20"/>
                <w:szCs w:val="20"/>
                <w:color w:val="auto"/>
              </w:rPr>
            </w:pPr>
            <w:r>
              <w:rPr>
                <w:rFonts w:ascii="Arial" w:cs="Arial" w:eastAsia="Arial" w:hAnsi="Arial"/>
                <w:sz w:val="16"/>
                <w:szCs w:val="16"/>
                <w:b w:val="1"/>
                <w:bCs w:val="1"/>
                <w:color w:val="86B6A5"/>
              </w:rPr>
              <w:t>in Constant</w:t>
            </w:r>
          </w:p>
        </w:tc>
        <w:tc>
          <w:tcPr>
            <w:tcW w:w="1360" w:type="dxa"/>
            <w:vAlign w:val="bottom"/>
          </w:tcPr>
          <w:p>
            <w:pPr>
              <w:jc w:val="right"/>
              <w:ind w:right="231"/>
              <w:spacing w:after="0"/>
              <w:rPr>
                <w:sz w:val="20"/>
                <w:szCs w:val="20"/>
                <w:color w:val="auto"/>
              </w:rPr>
            </w:pPr>
            <w:r>
              <w:rPr>
                <w:rFonts w:ascii="Arial" w:cs="Arial" w:eastAsia="Arial" w:hAnsi="Arial"/>
                <w:sz w:val="16"/>
                <w:szCs w:val="16"/>
                <w:b w:val="1"/>
                <w:bCs w:val="1"/>
                <w:color w:val="86B6A5"/>
              </w:rPr>
              <w:t>(In Constant</w:t>
            </w:r>
          </w:p>
        </w:tc>
        <w:tc>
          <w:tcPr>
            <w:tcW w:w="1040" w:type="dxa"/>
            <w:vAlign w:val="bottom"/>
            <w:gridSpan w:val="2"/>
          </w:tcPr>
          <w:p>
            <w:pPr>
              <w:jc w:val="right"/>
              <w:ind w:right="130"/>
              <w:spacing w:after="0"/>
              <w:rPr>
                <w:sz w:val="20"/>
                <w:szCs w:val="20"/>
                <w:color w:val="auto"/>
              </w:rPr>
            </w:pPr>
            <w:r>
              <w:rPr>
                <w:rFonts w:ascii="Arial" w:cs="Arial" w:eastAsia="Arial" w:hAnsi="Arial"/>
                <w:sz w:val="16"/>
                <w:szCs w:val="16"/>
                <w:b w:val="1"/>
                <w:bCs w:val="1"/>
                <w:color w:val="86B6A5"/>
              </w:rPr>
              <w:t>Currency</w:t>
            </w:r>
          </w:p>
        </w:tc>
        <w:tc>
          <w:tcPr>
            <w:tcW w:w="0" w:type="dxa"/>
            <w:vAlign w:val="bottom"/>
          </w:tcPr>
          <w:p>
            <w:pPr>
              <w:spacing w:after="0"/>
              <w:rPr>
                <w:sz w:val="1"/>
                <w:szCs w:val="1"/>
                <w:color w:val="auto"/>
              </w:rPr>
            </w:pPr>
          </w:p>
        </w:tc>
      </w:tr>
      <w:tr>
        <w:trPr>
          <w:trHeight w:val="228"/>
        </w:trPr>
        <w:tc>
          <w:tcPr>
            <w:tcW w:w="3900" w:type="dxa"/>
            <w:vAlign w:val="bottom"/>
            <w:gridSpan w:val="2"/>
          </w:tcPr>
          <w:p>
            <w:pPr>
              <w:spacing w:after="0"/>
              <w:rPr>
                <w:sz w:val="20"/>
                <w:szCs w:val="20"/>
                <w:color w:val="auto"/>
              </w:rPr>
            </w:pPr>
            <w:r>
              <w:rPr>
                <w:rFonts w:ascii="Arial" w:cs="Arial" w:eastAsia="Arial" w:hAnsi="Arial"/>
                <w:sz w:val="16"/>
                <w:szCs w:val="16"/>
                <w:b w:val="1"/>
                <w:bCs w:val="1"/>
                <w:color w:val="86B6A5"/>
              </w:rPr>
              <w:t>Percentages represent 2009 compared to 2008</w:t>
            </w:r>
          </w:p>
        </w:tc>
        <w:tc>
          <w:tcPr>
            <w:tcW w:w="440" w:type="dxa"/>
            <w:vAlign w:val="bottom"/>
          </w:tcPr>
          <w:p>
            <w:pPr>
              <w:spacing w:after="0"/>
              <w:rPr>
                <w:sz w:val="19"/>
                <w:szCs w:val="19"/>
                <w:color w:val="auto"/>
              </w:rPr>
            </w:pPr>
          </w:p>
        </w:tc>
        <w:tc>
          <w:tcPr>
            <w:tcW w:w="1140" w:type="dxa"/>
            <w:vAlign w:val="bottom"/>
          </w:tcPr>
          <w:p>
            <w:pPr>
              <w:jc w:val="right"/>
              <w:ind w:right="151"/>
              <w:spacing w:after="0"/>
              <w:rPr>
                <w:sz w:val="20"/>
                <w:szCs w:val="20"/>
                <w:color w:val="auto"/>
              </w:rPr>
            </w:pPr>
            <w:r>
              <w:rPr>
                <w:rFonts w:ascii="Arial" w:cs="Arial" w:eastAsia="Arial" w:hAnsi="Arial"/>
                <w:sz w:val="16"/>
                <w:szCs w:val="16"/>
                <w:b w:val="1"/>
                <w:bCs w:val="1"/>
                <w:color w:val="86B6A5"/>
                <w:w w:val="97"/>
              </w:rPr>
              <w:t>(in millions)</w:t>
            </w:r>
          </w:p>
        </w:tc>
        <w:tc>
          <w:tcPr>
            <w:tcW w:w="1200" w:type="dxa"/>
            <w:vAlign w:val="bottom"/>
          </w:tcPr>
          <w:p>
            <w:pPr>
              <w:jc w:val="right"/>
              <w:ind w:right="231"/>
              <w:spacing w:after="0"/>
              <w:rPr>
                <w:sz w:val="20"/>
                <w:szCs w:val="20"/>
                <w:color w:val="auto"/>
              </w:rPr>
            </w:pPr>
            <w:r>
              <w:rPr>
                <w:rFonts w:ascii="Arial" w:cs="Arial" w:eastAsia="Arial" w:hAnsi="Arial"/>
                <w:sz w:val="16"/>
                <w:szCs w:val="16"/>
                <w:b w:val="1"/>
                <w:bCs w:val="1"/>
                <w:color w:val="86B6A5"/>
              </w:rPr>
              <w:t>Variance</w:t>
            </w:r>
          </w:p>
        </w:tc>
        <w:tc>
          <w:tcPr>
            <w:tcW w:w="1100" w:type="dxa"/>
            <w:vAlign w:val="bottom"/>
          </w:tcPr>
          <w:p>
            <w:pPr>
              <w:jc w:val="right"/>
              <w:ind w:right="191"/>
              <w:spacing w:after="0"/>
              <w:rPr>
                <w:sz w:val="20"/>
                <w:szCs w:val="20"/>
                <w:color w:val="auto"/>
              </w:rPr>
            </w:pPr>
            <w:r>
              <w:rPr>
                <w:rFonts w:ascii="Arial" w:cs="Arial" w:eastAsia="Arial" w:hAnsi="Arial"/>
                <w:sz w:val="16"/>
                <w:szCs w:val="16"/>
                <w:b w:val="1"/>
                <w:bCs w:val="1"/>
                <w:color w:val="86B6A5"/>
              </w:rPr>
              <w:t>Currency</w:t>
            </w:r>
          </w:p>
        </w:tc>
        <w:tc>
          <w:tcPr>
            <w:tcW w:w="1240" w:type="dxa"/>
            <w:vAlign w:val="bottom"/>
          </w:tcPr>
          <w:p>
            <w:pPr>
              <w:jc w:val="right"/>
              <w:ind w:right="191"/>
              <w:spacing w:after="0"/>
              <w:rPr>
                <w:sz w:val="20"/>
                <w:szCs w:val="20"/>
                <w:color w:val="auto"/>
              </w:rPr>
            </w:pPr>
            <w:r>
              <w:rPr>
                <w:rFonts w:ascii="Arial" w:cs="Arial" w:eastAsia="Arial" w:hAnsi="Arial"/>
                <w:sz w:val="16"/>
                <w:szCs w:val="16"/>
                <w:b w:val="1"/>
                <w:bCs w:val="1"/>
                <w:color w:val="86B6A5"/>
              </w:rPr>
              <w:t>Currency</w:t>
            </w:r>
          </w:p>
        </w:tc>
        <w:tc>
          <w:tcPr>
            <w:tcW w:w="1360" w:type="dxa"/>
            <w:vAlign w:val="bottom"/>
          </w:tcPr>
          <w:p>
            <w:pPr>
              <w:jc w:val="right"/>
              <w:ind w:right="231"/>
              <w:spacing w:after="0"/>
              <w:rPr>
                <w:sz w:val="20"/>
                <w:szCs w:val="20"/>
                <w:color w:val="auto"/>
              </w:rPr>
            </w:pPr>
            <w:r>
              <w:rPr>
                <w:rFonts w:ascii="Arial" w:cs="Arial" w:eastAsia="Arial" w:hAnsi="Arial"/>
                <w:sz w:val="16"/>
                <w:szCs w:val="16"/>
                <w:b w:val="1"/>
                <w:bCs w:val="1"/>
                <w:color w:val="86B6A5"/>
              </w:rPr>
              <w:t>Currency)</w:t>
            </w:r>
          </w:p>
        </w:tc>
        <w:tc>
          <w:tcPr>
            <w:tcW w:w="1040" w:type="dxa"/>
            <w:vAlign w:val="bottom"/>
            <w:gridSpan w:val="2"/>
          </w:tcPr>
          <w:p>
            <w:pPr>
              <w:jc w:val="right"/>
              <w:ind w:right="130"/>
              <w:spacing w:after="0"/>
              <w:rPr>
                <w:sz w:val="20"/>
                <w:szCs w:val="20"/>
                <w:color w:val="auto"/>
              </w:rPr>
            </w:pPr>
            <w:r>
              <w:rPr>
                <w:rFonts w:ascii="Arial" w:cs="Arial" w:eastAsia="Arial" w:hAnsi="Arial"/>
                <w:sz w:val="16"/>
                <w:szCs w:val="16"/>
                <w:b w:val="1"/>
                <w:bCs w:val="1"/>
                <w:color w:val="86B6A5"/>
              </w:rPr>
              <w:t>Variance</w:t>
            </w:r>
          </w:p>
        </w:tc>
        <w:tc>
          <w:tcPr>
            <w:tcW w:w="0" w:type="dxa"/>
            <w:vAlign w:val="bottom"/>
          </w:tcPr>
          <w:p>
            <w:pPr>
              <w:spacing w:after="0"/>
              <w:rPr>
                <w:sz w:val="1"/>
                <w:szCs w:val="1"/>
                <w:color w:val="auto"/>
              </w:rPr>
            </w:pPr>
          </w:p>
        </w:tc>
      </w:tr>
      <w:tr>
        <w:trPr>
          <w:trHeight w:val="202"/>
        </w:trPr>
        <w:tc>
          <w:tcPr>
            <w:tcW w:w="3900" w:type="dxa"/>
            <w:vAlign w:val="bottom"/>
            <w:tcBorders>
              <w:top w:val="single" w:sz="8" w:color="86B6A5"/>
            </w:tcBorders>
            <w:gridSpan w:val="2"/>
          </w:tcPr>
          <w:p>
            <w:pPr>
              <w:spacing w:after="0" w:line="201" w:lineRule="exact"/>
              <w:rPr>
                <w:sz w:val="20"/>
                <w:szCs w:val="20"/>
                <w:color w:val="auto"/>
              </w:rPr>
            </w:pPr>
            <w:r>
              <w:rPr>
                <w:rFonts w:ascii="Arial" w:cs="Arial" w:eastAsia="Arial" w:hAnsi="Arial"/>
                <w:sz w:val="18"/>
                <w:szCs w:val="18"/>
                <w:b w:val="1"/>
                <w:bCs w:val="1"/>
                <w:color w:val="939598"/>
              </w:rPr>
              <w:t>Revenues from Services</w:t>
            </w:r>
          </w:p>
        </w:tc>
        <w:tc>
          <w:tcPr>
            <w:tcW w:w="440" w:type="dxa"/>
            <w:vAlign w:val="bottom"/>
            <w:tcBorders>
              <w:top w:val="single" w:sz="8" w:color="86B6A5"/>
            </w:tcBorders>
          </w:tcPr>
          <w:p>
            <w:pPr>
              <w:spacing w:after="0"/>
              <w:rPr>
                <w:sz w:val="17"/>
                <w:szCs w:val="17"/>
                <w:color w:val="auto"/>
              </w:rPr>
            </w:pPr>
          </w:p>
        </w:tc>
        <w:tc>
          <w:tcPr>
            <w:tcW w:w="1140" w:type="dxa"/>
            <w:vAlign w:val="bottom"/>
            <w:tcBorders>
              <w:top w:val="single" w:sz="8" w:color="86B6A5"/>
            </w:tcBorders>
          </w:tcPr>
          <w:p>
            <w:pPr>
              <w:spacing w:after="0"/>
              <w:rPr>
                <w:sz w:val="17"/>
                <w:szCs w:val="17"/>
                <w:color w:val="auto"/>
              </w:rPr>
            </w:pPr>
          </w:p>
        </w:tc>
        <w:tc>
          <w:tcPr>
            <w:tcW w:w="1200" w:type="dxa"/>
            <w:vAlign w:val="bottom"/>
            <w:tcBorders>
              <w:top w:val="single" w:sz="8" w:color="86B6A5"/>
            </w:tcBorders>
          </w:tcPr>
          <w:p>
            <w:pPr>
              <w:spacing w:after="0"/>
              <w:rPr>
                <w:sz w:val="17"/>
                <w:szCs w:val="17"/>
                <w:color w:val="auto"/>
              </w:rPr>
            </w:pPr>
          </w:p>
        </w:tc>
        <w:tc>
          <w:tcPr>
            <w:tcW w:w="1100" w:type="dxa"/>
            <w:vAlign w:val="bottom"/>
            <w:tcBorders>
              <w:top w:val="single" w:sz="8" w:color="86B6A5"/>
            </w:tcBorders>
          </w:tcPr>
          <w:p>
            <w:pPr>
              <w:spacing w:after="0"/>
              <w:rPr>
                <w:sz w:val="17"/>
                <w:szCs w:val="17"/>
                <w:color w:val="auto"/>
              </w:rPr>
            </w:pPr>
          </w:p>
        </w:tc>
        <w:tc>
          <w:tcPr>
            <w:tcW w:w="1240" w:type="dxa"/>
            <w:vAlign w:val="bottom"/>
            <w:tcBorders>
              <w:top w:val="single" w:sz="8" w:color="86B6A5"/>
            </w:tcBorders>
          </w:tcPr>
          <w:p>
            <w:pPr>
              <w:spacing w:after="0"/>
              <w:rPr>
                <w:sz w:val="17"/>
                <w:szCs w:val="17"/>
                <w:color w:val="auto"/>
              </w:rPr>
            </w:pPr>
          </w:p>
        </w:tc>
        <w:tc>
          <w:tcPr>
            <w:tcW w:w="1360" w:type="dxa"/>
            <w:vAlign w:val="bottom"/>
            <w:tcBorders>
              <w:top w:val="single" w:sz="8" w:color="86B6A5"/>
            </w:tcBorders>
          </w:tcPr>
          <w:p>
            <w:pPr>
              <w:spacing w:after="0"/>
              <w:rPr>
                <w:sz w:val="17"/>
                <w:szCs w:val="17"/>
                <w:color w:val="auto"/>
              </w:rPr>
            </w:pPr>
          </w:p>
        </w:tc>
        <w:tc>
          <w:tcPr>
            <w:tcW w:w="820" w:type="dxa"/>
            <w:vAlign w:val="bottom"/>
            <w:tcBorders>
              <w:top w:val="single" w:sz="8" w:color="86B6A5"/>
            </w:tcBorders>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00" w:type="dxa"/>
            <w:vAlign w:val="bottom"/>
            <w:gridSpan w:val="2"/>
          </w:tcPr>
          <w:p>
            <w:pPr>
              <w:spacing w:after="0" w:line="202" w:lineRule="exact"/>
              <w:rPr>
                <w:sz w:val="20"/>
                <w:szCs w:val="20"/>
                <w:color w:val="auto"/>
              </w:rPr>
            </w:pPr>
            <w:r>
              <w:rPr>
                <w:rFonts w:ascii="Arial" w:cs="Arial" w:eastAsia="Arial" w:hAnsi="Arial"/>
                <w:sz w:val="18"/>
                <w:szCs w:val="18"/>
                <w:color w:val="auto"/>
              </w:rPr>
              <w:t>Americas:</w:t>
            </w:r>
          </w:p>
        </w:tc>
        <w:tc>
          <w:tcPr>
            <w:tcW w:w="4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80" w:type="dxa"/>
            <w:vAlign w:val="bottom"/>
          </w:tcPr>
          <w:p>
            <w:pPr>
              <w:ind w:left="260"/>
              <w:spacing w:after="0" w:line="202" w:lineRule="exact"/>
              <w:rPr>
                <w:sz w:val="20"/>
                <w:szCs w:val="20"/>
                <w:color w:val="auto"/>
              </w:rPr>
            </w:pPr>
            <w:r>
              <w:rPr>
                <w:rFonts w:ascii="Arial" w:cs="Arial" w:eastAsia="Arial" w:hAnsi="Arial"/>
                <w:sz w:val="18"/>
                <w:szCs w:val="18"/>
                <w:color w:val="auto"/>
              </w:rPr>
              <w:t>United States</w:t>
            </w:r>
          </w:p>
        </w:tc>
        <w:tc>
          <w:tcPr>
            <w:tcW w:w="4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140" w:type="dxa"/>
            <w:vAlign w:val="bottom"/>
          </w:tcPr>
          <w:p>
            <w:pPr>
              <w:jc w:val="right"/>
              <w:ind w:right="151"/>
              <w:spacing w:after="0" w:line="202" w:lineRule="exact"/>
              <w:rPr>
                <w:sz w:val="20"/>
                <w:szCs w:val="20"/>
                <w:color w:val="auto"/>
              </w:rPr>
            </w:pPr>
            <w:r>
              <w:rPr>
                <w:rFonts w:ascii="Arial" w:cs="Arial" w:eastAsia="Arial" w:hAnsi="Arial"/>
                <w:sz w:val="18"/>
                <w:szCs w:val="18"/>
                <w:color w:val="auto"/>
              </w:rPr>
              <w:t>1,786.0</w:t>
            </w:r>
          </w:p>
        </w:tc>
        <w:tc>
          <w:tcPr>
            <w:tcW w:w="1200" w:type="dxa"/>
            <w:vAlign w:val="bottom"/>
          </w:tcPr>
          <w:p>
            <w:pPr>
              <w:jc w:val="right"/>
              <w:ind w:right="11"/>
              <w:spacing w:after="0" w:line="202" w:lineRule="exact"/>
              <w:rPr>
                <w:sz w:val="20"/>
                <w:szCs w:val="20"/>
                <w:color w:val="auto"/>
              </w:rPr>
            </w:pPr>
            <w:r>
              <w:rPr>
                <w:rFonts w:ascii="Arial" w:cs="Arial" w:eastAsia="Arial" w:hAnsi="Arial"/>
                <w:sz w:val="18"/>
                <w:szCs w:val="18"/>
                <w:color w:val="auto"/>
              </w:rPr>
              <w:t>(20.1)%</w:t>
            </w:r>
          </w:p>
        </w:tc>
        <w:tc>
          <w:tcPr>
            <w:tcW w:w="1100" w:type="dxa"/>
            <w:vAlign w:val="bottom"/>
          </w:tcPr>
          <w:p>
            <w:pPr>
              <w:jc w:val="right"/>
              <w:ind w:right="31"/>
              <w:spacing w:after="0" w:line="202" w:lineRule="exact"/>
              <w:rPr>
                <w:sz w:val="20"/>
                <w:szCs w:val="20"/>
                <w:color w:val="auto"/>
              </w:rPr>
            </w:pPr>
            <w:r>
              <w:rPr>
                <w:rFonts w:ascii="Arial" w:cs="Arial" w:eastAsia="Arial" w:hAnsi="Arial"/>
                <w:sz w:val="18"/>
                <w:szCs w:val="18"/>
                <w:color w:val="auto"/>
              </w:rPr>
              <w:t>–%</w:t>
            </w: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(20.1)%</w:t>
            </w:r>
          </w:p>
        </w:tc>
        <w:tc>
          <w:tcPr>
            <w:tcW w:w="1360" w:type="dxa"/>
            <w:vAlign w:val="bottom"/>
          </w:tcPr>
          <w:p>
            <w:pPr>
              <w:jc w:val="right"/>
              <w:ind w:right="71"/>
              <w:spacing w:after="0" w:line="202" w:lineRule="exact"/>
              <w:rPr>
                <w:sz w:val="20"/>
                <w:szCs w:val="20"/>
                <w:color w:val="auto"/>
              </w:rPr>
            </w:pPr>
            <w:r>
              <w:rPr>
                <w:rFonts w:ascii="Arial" w:cs="Arial" w:eastAsia="Arial" w:hAnsi="Arial"/>
                <w:sz w:val="18"/>
                <w:szCs w:val="18"/>
                <w:color w:val="auto"/>
              </w:rPr>
              <w:t>4.3%</w:t>
            </w:r>
          </w:p>
        </w:tc>
        <w:tc>
          <w:tcPr>
            <w:tcW w:w="10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80" w:type="dxa"/>
            <w:vAlign w:val="bottom"/>
          </w:tcPr>
          <w:p>
            <w:pPr>
              <w:ind w:left="260"/>
              <w:spacing w:after="0" w:line="202" w:lineRule="exact"/>
              <w:rPr>
                <w:sz w:val="20"/>
                <w:szCs w:val="20"/>
                <w:color w:val="auto"/>
              </w:rPr>
            </w:pPr>
            <w:r>
              <w:rPr>
                <w:rFonts w:ascii="Arial" w:cs="Arial" w:eastAsia="Arial" w:hAnsi="Arial"/>
                <w:sz w:val="18"/>
                <w:szCs w:val="18"/>
                <w:color w:val="auto"/>
              </w:rPr>
              <w:t>Other Americas</w:t>
            </w:r>
          </w:p>
        </w:tc>
        <w:tc>
          <w:tcPr>
            <w:tcW w:w="440" w:type="dxa"/>
            <w:vAlign w:val="bottom"/>
          </w:tcPr>
          <w:p>
            <w:pPr>
              <w:spacing w:after="0"/>
              <w:rPr>
                <w:sz w:val="17"/>
                <w:szCs w:val="17"/>
                <w:color w:val="auto"/>
              </w:rPr>
            </w:pPr>
          </w:p>
        </w:tc>
        <w:tc>
          <w:tcPr>
            <w:tcW w:w="1140" w:type="dxa"/>
            <w:vAlign w:val="bottom"/>
          </w:tcPr>
          <w:p>
            <w:pPr>
              <w:jc w:val="right"/>
              <w:ind w:right="151"/>
              <w:spacing w:after="0" w:line="202" w:lineRule="exact"/>
              <w:rPr>
                <w:sz w:val="20"/>
                <w:szCs w:val="20"/>
                <w:color w:val="auto"/>
              </w:rPr>
            </w:pPr>
            <w:r>
              <w:rPr>
                <w:rFonts w:ascii="Arial" w:cs="Arial" w:eastAsia="Arial" w:hAnsi="Arial"/>
                <w:sz w:val="18"/>
                <w:szCs w:val="18"/>
                <w:color w:val="auto"/>
              </w:rPr>
              <w:t>967.3</w:t>
            </w:r>
          </w:p>
        </w:tc>
        <w:tc>
          <w:tcPr>
            <w:tcW w:w="1200" w:type="dxa"/>
            <w:vAlign w:val="bottom"/>
          </w:tcPr>
          <w:p>
            <w:pPr>
              <w:jc w:val="right"/>
              <w:ind w:right="171"/>
              <w:spacing w:after="0" w:line="202" w:lineRule="exact"/>
              <w:rPr>
                <w:sz w:val="20"/>
                <w:szCs w:val="20"/>
                <w:color w:val="auto"/>
              </w:rPr>
            </w:pPr>
            <w:r>
              <w:rPr>
                <w:rFonts w:ascii="Arial" w:cs="Arial" w:eastAsia="Arial" w:hAnsi="Arial"/>
                <w:sz w:val="18"/>
                <w:szCs w:val="18"/>
                <w:color w:val="auto"/>
              </w:rPr>
              <w:t>(14.4)</w:t>
            </w:r>
          </w:p>
        </w:tc>
        <w:tc>
          <w:tcPr>
            <w:tcW w:w="1100" w:type="dxa"/>
            <w:vAlign w:val="bottom"/>
          </w:tcPr>
          <w:p>
            <w:pPr>
              <w:jc w:val="right"/>
              <w:ind w:right="131"/>
              <w:spacing w:after="0" w:line="202" w:lineRule="exact"/>
              <w:rPr>
                <w:sz w:val="20"/>
                <w:szCs w:val="20"/>
                <w:color w:val="auto"/>
              </w:rPr>
            </w:pPr>
            <w:r>
              <w:rPr>
                <w:rFonts w:ascii="Arial" w:cs="Arial" w:eastAsia="Arial" w:hAnsi="Arial"/>
                <w:sz w:val="18"/>
                <w:szCs w:val="18"/>
                <w:color w:val="auto"/>
              </w:rPr>
              <w:t>(11.3)</w:t>
            </w:r>
          </w:p>
        </w:tc>
        <w:tc>
          <w:tcPr>
            <w:tcW w:w="1240" w:type="dxa"/>
            <w:vAlign w:val="bottom"/>
          </w:tcPr>
          <w:p>
            <w:pPr>
              <w:jc w:val="right"/>
              <w:ind w:right="131"/>
              <w:spacing w:after="0" w:line="202" w:lineRule="exact"/>
              <w:rPr>
                <w:sz w:val="20"/>
                <w:szCs w:val="20"/>
                <w:color w:val="auto"/>
              </w:rPr>
            </w:pPr>
            <w:r>
              <w:rPr>
                <w:rFonts w:ascii="Arial" w:cs="Arial" w:eastAsia="Arial" w:hAnsi="Arial"/>
                <w:sz w:val="18"/>
                <w:szCs w:val="18"/>
                <w:color w:val="auto"/>
              </w:rPr>
              <w:t>(3.1)</w:t>
            </w:r>
          </w:p>
        </w:tc>
        <w:tc>
          <w:tcPr>
            <w:tcW w:w="1360" w:type="dxa"/>
            <w:vAlign w:val="bottom"/>
          </w:tcPr>
          <w:p>
            <w:pPr>
              <w:jc w:val="right"/>
              <w:ind w:right="231"/>
              <w:spacing w:after="0" w:line="202" w:lineRule="exact"/>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70"/>
              <w:spacing w:after="0" w:line="202"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880" w:type="dxa"/>
            <w:vAlign w:val="bottom"/>
            <w:tcBorders>
              <w:top w:val="single" w:sz="8" w:color="939598"/>
              <w:bottom w:val="single" w:sz="8" w:color="939598"/>
            </w:tcBorders>
          </w:tcPr>
          <w:p>
            <w:pPr>
              <w:spacing w:after="0"/>
              <w:rPr>
                <w:sz w:val="17"/>
                <w:szCs w:val="17"/>
                <w:color w:val="auto"/>
              </w:rPr>
            </w:pPr>
          </w:p>
        </w:tc>
        <w:tc>
          <w:tcPr>
            <w:tcW w:w="440" w:type="dxa"/>
            <w:vAlign w:val="bottom"/>
            <w:tcBorders>
              <w:top w:val="single" w:sz="8" w:color="939598"/>
              <w:bottom w:val="single" w:sz="8" w:color="939598"/>
            </w:tcBorders>
          </w:tcPr>
          <w:p>
            <w:pPr>
              <w:spacing w:after="0"/>
              <w:rPr>
                <w:sz w:val="17"/>
                <w:szCs w:val="17"/>
                <w:color w:val="auto"/>
              </w:rPr>
            </w:pPr>
          </w:p>
        </w:tc>
        <w:tc>
          <w:tcPr>
            <w:tcW w:w="1140" w:type="dxa"/>
            <w:vAlign w:val="bottom"/>
            <w:tcBorders>
              <w:top w:val="single" w:sz="8" w:color="939598"/>
              <w:bottom w:val="single" w:sz="8" w:color="939598"/>
            </w:tcBorders>
          </w:tcPr>
          <w:p>
            <w:pPr>
              <w:jc w:val="right"/>
              <w:ind w:right="151"/>
              <w:spacing w:after="0" w:line="196" w:lineRule="exact"/>
              <w:rPr>
                <w:sz w:val="20"/>
                <w:szCs w:val="20"/>
                <w:color w:val="auto"/>
              </w:rPr>
            </w:pPr>
            <w:r>
              <w:rPr>
                <w:rFonts w:ascii="Arial" w:cs="Arial" w:eastAsia="Arial" w:hAnsi="Arial"/>
                <w:sz w:val="18"/>
                <w:szCs w:val="18"/>
                <w:color w:val="auto"/>
              </w:rPr>
              <w:t>2,753.3</w:t>
            </w:r>
          </w:p>
        </w:tc>
        <w:tc>
          <w:tcPr>
            <w:tcW w:w="1200" w:type="dxa"/>
            <w:vAlign w:val="bottom"/>
            <w:tcBorders>
              <w:top w:val="single" w:sz="8" w:color="939598"/>
              <w:bottom w:val="single" w:sz="8" w:color="939598"/>
            </w:tcBorders>
          </w:tcPr>
          <w:p>
            <w:pPr>
              <w:jc w:val="right"/>
              <w:ind w:right="171"/>
              <w:spacing w:after="0" w:line="196" w:lineRule="exact"/>
              <w:rPr>
                <w:sz w:val="20"/>
                <w:szCs w:val="20"/>
                <w:color w:val="auto"/>
              </w:rPr>
            </w:pPr>
            <w:r>
              <w:rPr>
                <w:rFonts w:ascii="Arial" w:cs="Arial" w:eastAsia="Arial" w:hAnsi="Arial"/>
                <w:sz w:val="18"/>
                <w:szCs w:val="18"/>
                <w:color w:val="auto"/>
              </w:rPr>
              <w:t>(18.2)</w:t>
            </w:r>
          </w:p>
        </w:tc>
        <w:tc>
          <w:tcPr>
            <w:tcW w:w="1100" w:type="dxa"/>
            <w:vAlign w:val="bottom"/>
            <w:tcBorders>
              <w:top w:val="single" w:sz="8" w:color="939598"/>
              <w:bottom w:val="single" w:sz="8" w:color="939598"/>
            </w:tcBorders>
          </w:tcPr>
          <w:p>
            <w:pPr>
              <w:jc w:val="right"/>
              <w:ind w:right="131"/>
              <w:spacing w:after="0" w:line="196" w:lineRule="exact"/>
              <w:rPr>
                <w:sz w:val="20"/>
                <w:szCs w:val="20"/>
                <w:color w:val="auto"/>
              </w:rPr>
            </w:pPr>
            <w:r>
              <w:rPr>
                <w:rFonts w:ascii="Arial" w:cs="Arial" w:eastAsia="Arial" w:hAnsi="Arial"/>
                <w:sz w:val="18"/>
                <w:szCs w:val="18"/>
                <w:color w:val="auto"/>
              </w:rPr>
              <w:t>(3.8)</w:t>
            </w:r>
          </w:p>
        </w:tc>
        <w:tc>
          <w:tcPr>
            <w:tcW w:w="1240" w:type="dxa"/>
            <w:vAlign w:val="bottom"/>
            <w:tcBorders>
              <w:top w:val="single" w:sz="8" w:color="939598"/>
              <w:bottom w:val="single" w:sz="8" w:color="939598"/>
            </w:tcBorders>
          </w:tcPr>
          <w:p>
            <w:pPr>
              <w:jc w:val="right"/>
              <w:ind w:right="131"/>
              <w:spacing w:after="0" w:line="196" w:lineRule="exact"/>
              <w:rPr>
                <w:sz w:val="20"/>
                <w:szCs w:val="20"/>
                <w:color w:val="auto"/>
              </w:rPr>
            </w:pPr>
            <w:r>
              <w:rPr>
                <w:rFonts w:ascii="Arial" w:cs="Arial" w:eastAsia="Arial" w:hAnsi="Arial"/>
                <w:sz w:val="18"/>
                <w:szCs w:val="18"/>
                <w:color w:val="auto"/>
              </w:rPr>
              <w:t>(14.4)</w:t>
            </w:r>
          </w:p>
        </w:tc>
        <w:tc>
          <w:tcPr>
            <w:tcW w:w="1360" w:type="dxa"/>
            <w:vAlign w:val="bottom"/>
            <w:tcBorders>
              <w:top w:val="single" w:sz="8" w:color="939598"/>
              <w:bottom w:val="single" w:sz="8" w:color="939598"/>
            </w:tcBorders>
          </w:tcPr>
          <w:p>
            <w:pPr>
              <w:jc w:val="right"/>
              <w:ind w:right="231"/>
              <w:spacing w:after="0" w:line="196" w:lineRule="exact"/>
              <w:rPr>
                <w:sz w:val="20"/>
                <w:szCs w:val="20"/>
                <w:color w:val="auto"/>
              </w:rPr>
            </w:pPr>
            <w:r>
              <w:rPr>
                <w:rFonts w:ascii="Arial" w:cs="Arial" w:eastAsia="Arial" w:hAnsi="Arial"/>
                <w:sz w:val="18"/>
                <w:szCs w:val="18"/>
                <w:color w:val="auto"/>
              </w:rPr>
              <w:t>2.8</w:t>
            </w:r>
          </w:p>
        </w:tc>
        <w:tc>
          <w:tcPr>
            <w:tcW w:w="820" w:type="dxa"/>
            <w:vAlign w:val="bottom"/>
            <w:tcBorders>
              <w:top w:val="single" w:sz="8" w:color="939598"/>
              <w:bottom w:val="single" w:sz="8" w:color="939598"/>
            </w:tcBorders>
          </w:tcPr>
          <w:p>
            <w:pPr>
              <w:jc w:val="right"/>
              <w:spacing w:after="0" w:line="196" w:lineRule="exact"/>
              <w:rPr>
                <w:sz w:val="20"/>
                <w:szCs w:val="20"/>
                <w:color w:val="auto"/>
              </w:rPr>
            </w:pPr>
            <w:r>
              <w:rPr>
                <w:rFonts w:ascii="Arial" w:cs="Arial" w:eastAsia="Arial" w:hAnsi="Arial"/>
                <w:sz w:val="18"/>
                <w:szCs w:val="18"/>
                <w:color w:val="auto"/>
              </w:rPr>
              <w:t>(17.2</w:t>
            </w:r>
          </w:p>
        </w:tc>
        <w:tc>
          <w:tcPr>
            <w:tcW w:w="220" w:type="dxa"/>
            <w:vAlign w:val="bottom"/>
          </w:tcPr>
          <w:p>
            <w:pPr>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880" w:type="dxa"/>
            <w:vAlign w:val="bottom"/>
          </w:tcPr>
          <w:p>
            <w:pPr>
              <w:spacing w:after="0" w:line="196" w:lineRule="exact"/>
              <w:rPr>
                <w:sz w:val="20"/>
                <w:szCs w:val="20"/>
                <w:color w:val="auto"/>
              </w:rPr>
            </w:pPr>
            <w:r>
              <w:rPr>
                <w:rFonts w:ascii="Arial" w:cs="Arial" w:eastAsia="Arial" w:hAnsi="Arial"/>
                <w:sz w:val="18"/>
                <w:szCs w:val="18"/>
                <w:color w:val="auto"/>
              </w:rPr>
              <w:t>France</w:t>
            </w:r>
          </w:p>
        </w:tc>
        <w:tc>
          <w:tcPr>
            <w:tcW w:w="440" w:type="dxa"/>
            <w:vAlign w:val="bottom"/>
          </w:tcPr>
          <w:p>
            <w:pPr>
              <w:spacing w:after="0"/>
              <w:rPr>
                <w:sz w:val="17"/>
                <w:szCs w:val="17"/>
                <w:color w:val="auto"/>
              </w:rPr>
            </w:pPr>
          </w:p>
        </w:tc>
        <w:tc>
          <w:tcPr>
            <w:tcW w:w="1140" w:type="dxa"/>
            <w:vAlign w:val="bottom"/>
          </w:tcPr>
          <w:p>
            <w:pPr>
              <w:jc w:val="right"/>
              <w:ind w:right="151"/>
              <w:spacing w:after="0" w:line="196" w:lineRule="exact"/>
              <w:rPr>
                <w:sz w:val="20"/>
                <w:szCs w:val="20"/>
                <w:color w:val="auto"/>
              </w:rPr>
            </w:pPr>
            <w:r>
              <w:rPr>
                <w:rFonts w:ascii="Arial" w:cs="Arial" w:eastAsia="Arial" w:hAnsi="Arial"/>
                <w:sz w:val="18"/>
                <w:szCs w:val="18"/>
                <w:color w:val="auto"/>
              </w:rPr>
              <w:t>4,675.5</w:t>
            </w:r>
          </w:p>
        </w:tc>
        <w:tc>
          <w:tcPr>
            <w:tcW w:w="1200" w:type="dxa"/>
            <w:vAlign w:val="bottom"/>
          </w:tcPr>
          <w:p>
            <w:pPr>
              <w:jc w:val="right"/>
              <w:ind w:right="171"/>
              <w:spacing w:after="0" w:line="196" w:lineRule="exact"/>
              <w:rPr>
                <w:sz w:val="20"/>
                <w:szCs w:val="20"/>
                <w:color w:val="auto"/>
              </w:rPr>
            </w:pPr>
            <w:r>
              <w:rPr>
                <w:rFonts w:ascii="Arial" w:cs="Arial" w:eastAsia="Arial" w:hAnsi="Arial"/>
                <w:sz w:val="18"/>
                <w:szCs w:val="18"/>
                <w:color w:val="auto"/>
              </w:rPr>
              <w:t>(32.6)</w:t>
            </w:r>
          </w:p>
        </w:tc>
        <w:tc>
          <w:tcPr>
            <w:tcW w:w="1100" w:type="dxa"/>
            <w:vAlign w:val="bottom"/>
          </w:tcPr>
          <w:p>
            <w:pPr>
              <w:jc w:val="right"/>
              <w:ind w:right="131"/>
              <w:spacing w:after="0" w:line="196" w:lineRule="exact"/>
              <w:rPr>
                <w:sz w:val="20"/>
                <w:szCs w:val="20"/>
                <w:color w:val="auto"/>
              </w:rPr>
            </w:pPr>
            <w:r>
              <w:rPr>
                <w:rFonts w:ascii="Arial" w:cs="Arial" w:eastAsia="Arial" w:hAnsi="Arial"/>
                <w:sz w:val="18"/>
                <w:szCs w:val="18"/>
                <w:color w:val="auto"/>
              </w:rPr>
              <w:t>(3.4)</w:t>
            </w:r>
          </w:p>
        </w:tc>
        <w:tc>
          <w:tcPr>
            <w:tcW w:w="1240" w:type="dxa"/>
            <w:vAlign w:val="bottom"/>
          </w:tcPr>
          <w:p>
            <w:pPr>
              <w:jc w:val="right"/>
              <w:ind w:right="131"/>
              <w:spacing w:after="0" w:line="196" w:lineRule="exact"/>
              <w:rPr>
                <w:sz w:val="20"/>
                <w:szCs w:val="20"/>
                <w:color w:val="auto"/>
              </w:rPr>
            </w:pPr>
            <w:r>
              <w:rPr>
                <w:rFonts w:ascii="Arial" w:cs="Arial" w:eastAsia="Arial" w:hAnsi="Arial"/>
                <w:sz w:val="18"/>
                <w:szCs w:val="18"/>
                <w:color w:val="auto"/>
              </w:rPr>
              <w:t>(29.2)</w:t>
            </w:r>
          </w:p>
        </w:tc>
        <w:tc>
          <w:tcPr>
            <w:tcW w:w="1360" w:type="dxa"/>
            <w:vAlign w:val="bottom"/>
          </w:tcPr>
          <w:p>
            <w:pPr>
              <w:jc w:val="right"/>
              <w:ind w:right="231"/>
              <w:spacing w:after="0" w:line="196" w:lineRule="exact"/>
              <w:rPr>
                <w:sz w:val="20"/>
                <w:szCs w:val="20"/>
                <w:color w:val="auto"/>
              </w:rPr>
            </w:pPr>
            <w:r>
              <w:rPr>
                <w:rFonts w:ascii="Arial" w:cs="Arial" w:eastAsia="Arial" w:hAnsi="Arial"/>
                <w:sz w:val="18"/>
                <w:szCs w:val="18"/>
                <w:color w:val="auto"/>
              </w:rPr>
              <w:t>–</w:t>
            </w: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(29.2</w:t>
            </w:r>
          </w:p>
        </w:tc>
        <w:tc>
          <w:tcPr>
            <w:tcW w:w="220" w:type="dxa"/>
            <w:vAlign w:val="bottom"/>
          </w:tcPr>
          <w:p>
            <w:pPr>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3900" w:type="dxa"/>
            <w:vAlign w:val="bottom"/>
            <w:gridSpan w:val="2"/>
          </w:tcPr>
          <w:p>
            <w:pPr>
              <w:spacing w:after="0" w:line="202" w:lineRule="exact"/>
              <w:rPr>
                <w:sz w:val="20"/>
                <w:szCs w:val="20"/>
                <w:color w:val="auto"/>
              </w:rPr>
            </w:pPr>
            <w:r>
              <w:rPr>
                <w:rFonts w:ascii="Arial" w:cs="Arial" w:eastAsia="Arial" w:hAnsi="Arial"/>
                <w:sz w:val="18"/>
                <w:szCs w:val="18"/>
                <w:color w:val="auto"/>
              </w:rPr>
              <w:t>EMEA:</w:t>
            </w:r>
          </w:p>
        </w:tc>
        <w:tc>
          <w:tcPr>
            <w:tcW w:w="4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80" w:type="dxa"/>
            <w:vAlign w:val="bottom"/>
          </w:tcPr>
          <w:p>
            <w:pPr>
              <w:ind w:left="260"/>
              <w:spacing w:after="0" w:line="202" w:lineRule="exact"/>
              <w:rPr>
                <w:sz w:val="20"/>
                <w:szCs w:val="20"/>
                <w:color w:val="auto"/>
              </w:rPr>
            </w:pPr>
            <w:r>
              <w:rPr>
                <w:rFonts w:ascii="Arial" w:cs="Arial" w:eastAsia="Arial" w:hAnsi="Arial"/>
                <w:sz w:val="18"/>
                <w:szCs w:val="18"/>
                <w:color w:val="auto"/>
              </w:rPr>
              <w:t>Italy</w:t>
            </w:r>
          </w:p>
        </w:tc>
        <w:tc>
          <w:tcPr>
            <w:tcW w:w="440" w:type="dxa"/>
            <w:vAlign w:val="bottom"/>
          </w:tcPr>
          <w:p>
            <w:pPr>
              <w:spacing w:after="0"/>
              <w:rPr>
                <w:sz w:val="17"/>
                <w:szCs w:val="17"/>
                <w:color w:val="auto"/>
              </w:rPr>
            </w:pPr>
          </w:p>
        </w:tc>
        <w:tc>
          <w:tcPr>
            <w:tcW w:w="1140" w:type="dxa"/>
            <w:vAlign w:val="bottom"/>
          </w:tcPr>
          <w:p>
            <w:pPr>
              <w:jc w:val="right"/>
              <w:ind w:right="151"/>
              <w:spacing w:after="0" w:line="202" w:lineRule="exact"/>
              <w:rPr>
                <w:sz w:val="20"/>
                <w:szCs w:val="20"/>
                <w:color w:val="auto"/>
              </w:rPr>
            </w:pPr>
            <w:r>
              <w:rPr>
                <w:rFonts w:ascii="Arial" w:cs="Arial" w:eastAsia="Arial" w:hAnsi="Arial"/>
                <w:sz w:val="18"/>
                <w:szCs w:val="18"/>
                <w:color w:val="auto"/>
              </w:rPr>
              <w:t>950.8</w:t>
            </w:r>
          </w:p>
        </w:tc>
        <w:tc>
          <w:tcPr>
            <w:tcW w:w="1200" w:type="dxa"/>
            <w:vAlign w:val="bottom"/>
          </w:tcPr>
          <w:p>
            <w:pPr>
              <w:jc w:val="right"/>
              <w:ind w:right="171"/>
              <w:spacing w:after="0" w:line="202" w:lineRule="exact"/>
              <w:rPr>
                <w:sz w:val="20"/>
                <w:szCs w:val="20"/>
                <w:color w:val="auto"/>
              </w:rPr>
            </w:pPr>
            <w:r>
              <w:rPr>
                <w:rFonts w:ascii="Arial" w:cs="Arial" w:eastAsia="Arial" w:hAnsi="Arial"/>
                <w:sz w:val="18"/>
                <w:szCs w:val="18"/>
                <w:color w:val="auto"/>
              </w:rPr>
              <w:t>(37.4)</w:t>
            </w:r>
          </w:p>
        </w:tc>
        <w:tc>
          <w:tcPr>
            <w:tcW w:w="1100" w:type="dxa"/>
            <w:vAlign w:val="bottom"/>
          </w:tcPr>
          <w:p>
            <w:pPr>
              <w:jc w:val="right"/>
              <w:ind w:right="131"/>
              <w:spacing w:after="0" w:line="202" w:lineRule="exact"/>
              <w:rPr>
                <w:sz w:val="20"/>
                <w:szCs w:val="20"/>
                <w:color w:val="auto"/>
              </w:rPr>
            </w:pPr>
            <w:r>
              <w:rPr>
                <w:rFonts w:ascii="Arial" w:cs="Arial" w:eastAsia="Arial" w:hAnsi="Arial"/>
                <w:sz w:val="18"/>
                <w:szCs w:val="18"/>
                <w:color w:val="auto"/>
              </w:rPr>
              <w:t>(3.2)</w:t>
            </w:r>
          </w:p>
        </w:tc>
        <w:tc>
          <w:tcPr>
            <w:tcW w:w="1240" w:type="dxa"/>
            <w:vAlign w:val="bottom"/>
          </w:tcPr>
          <w:p>
            <w:pPr>
              <w:jc w:val="right"/>
              <w:ind w:right="131"/>
              <w:spacing w:after="0" w:line="202" w:lineRule="exact"/>
              <w:rPr>
                <w:sz w:val="20"/>
                <w:szCs w:val="20"/>
                <w:color w:val="auto"/>
              </w:rPr>
            </w:pPr>
            <w:r>
              <w:rPr>
                <w:rFonts w:ascii="Arial" w:cs="Arial" w:eastAsia="Arial" w:hAnsi="Arial"/>
                <w:sz w:val="18"/>
                <w:szCs w:val="18"/>
                <w:color w:val="auto"/>
              </w:rPr>
              <w:t>(34.2)</w:t>
            </w:r>
          </w:p>
        </w:tc>
        <w:tc>
          <w:tcPr>
            <w:tcW w:w="1360" w:type="dxa"/>
            <w:vAlign w:val="bottom"/>
          </w:tcPr>
          <w:p>
            <w:pPr>
              <w:jc w:val="right"/>
              <w:ind w:right="231"/>
              <w:spacing w:after="0" w:line="202" w:lineRule="exact"/>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70"/>
              <w:spacing w:after="0" w:line="202" w:lineRule="exact"/>
              <w:rPr>
                <w:sz w:val="20"/>
                <w:szCs w:val="20"/>
                <w:color w:val="auto"/>
              </w:rPr>
            </w:pPr>
            <w:r>
              <w:rPr>
                <w:rFonts w:ascii="Arial" w:cs="Arial" w:eastAsia="Arial" w:hAnsi="Arial"/>
                <w:sz w:val="18"/>
                <w:szCs w:val="18"/>
                <w:color w:val="auto"/>
              </w:rPr>
              <w:t>(34.2)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80" w:type="dxa"/>
            <w:vAlign w:val="bottom"/>
          </w:tcPr>
          <w:p>
            <w:pPr>
              <w:ind w:left="260"/>
              <w:spacing w:after="0" w:line="202" w:lineRule="exact"/>
              <w:rPr>
                <w:sz w:val="20"/>
                <w:szCs w:val="20"/>
                <w:color w:val="auto"/>
              </w:rPr>
            </w:pPr>
            <w:r>
              <w:rPr>
                <w:rFonts w:ascii="Arial" w:cs="Arial" w:eastAsia="Arial" w:hAnsi="Arial"/>
                <w:sz w:val="18"/>
                <w:szCs w:val="18"/>
                <w:color w:val="auto"/>
              </w:rPr>
              <w:t>Other EMEA</w:t>
            </w:r>
          </w:p>
        </w:tc>
        <w:tc>
          <w:tcPr>
            <w:tcW w:w="440" w:type="dxa"/>
            <w:vAlign w:val="bottom"/>
          </w:tcPr>
          <w:p>
            <w:pPr>
              <w:spacing w:after="0"/>
              <w:rPr>
                <w:sz w:val="17"/>
                <w:szCs w:val="17"/>
                <w:color w:val="auto"/>
              </w:rPr>
            </w:pPr>
          </w:p>
        </w:tc>
        <w:tc>
          <w:tcPr>
            <w:tcW w:w="1140" w:type="dxa"/>
            <w:vAlign w:val="bottom"/>
          </w:tcPr>
          <w:p>
            <w:pPr>
              <w:jc w:val="right"/>
              <w:ind w:right="151"/>
              <w:spacing w:after="0" w:line="202" w:lineRule="exact"/>
              <w:rPr>
                <w:sz w:val="20"/>
                <w:szCs w:val="20"/>
                <w:color w:val="auto"/>
              </w:rPr>
            </w:pPr>
            <w:r>
              <w:rPr>
                <w:rFonts w:ascii="Arial" w:cs="Arial" w:eastAsia="Arial" w:hAnsi="Arial"/>
                <w:sz w:val="18"/>
                <w:szCs w:val="18"/>
                <w:color w:val="auto"/>
              </w:rPr>
              <w:t>5,371.7</w:t>
            </w:r>
          </w:p>
        </w:tc>
        <w:tc>
          <w:tcPr>
            <w:tcW w:w="1200" w:type="dxa"/>
            <w:vAlign w:val="bottom"/>
          </w:tcPr>
          <w:p>
            <w:pPr>
              <w:jc w:val="right"/>
              <w:ind w:right="171"/>
              <w:spacing w:after="0" w:line="202" w:lineRule="exact"/>
              <w:rPr>
                <w:sz w:val="20"/>
                <w:szCs w:val="20"/>
                <w:color w:val="auto"/>
              </w:rPr>
            </w:pPr>
            <w:r>
              <w:rPr>
                <w:rFonts w:ascii="Arial" w:cs="Arial" w:eastAsia="Arial" w:hAnsi="Arial"/>
                <w:sz w:val="18"/>
                <w:szCs w:val="18"/>
                <w:color w:val="auto"/>
              </w:rPr>
              <w:t>(27.6)</w:t>
            </w:r>
          </w:p>
        </w:tc>
        <w:tc>
          <w:tcPr>
            <w:tcW w:w="1100" w:type="dxa"/>
            <w:vAlign w:val="bottom"/>
          </w:tcPr>
          <w:p>
            <w:pPr>
              <w:jc w:val="right"/>
              <w:ind w:right="131"/>
              <w:spacing w:after="0" w:line="202" w:lineRule="exact"/>
              <w:rPr>
                <w:sz w:val="20"/>
                <w:szCs w:val="20"/>
                <w:color w:val="auto"/>
              </w:rPr>
            </w:pPr>
            <w:r>
              <w:rPr>
                <w:rFonts w:ascii="Arial" w:cs="Arial" w:eastAsia="Arial" w:hAnsi="Arial"/>
                <w:sz w:val="18"/>
                <w:szCs w:val="18"/>
                <w:color w:val="auto"/>
              </w:rPr>
              <w:t>(8.4)</w:t>
            </w:r>
          </w:p>
        </w:tc>
        <w:tc>
          <w:tcPr>
            <w:tcW w:w="1240" w:type="dxa"/>
            <w:vAlign w:val="bottom"/>
          </w:tcPr>
          <w:p>
            <w:pPr>
              <w:jc w:val="right"/>
              <w:ind w:right="131"/>
              <w:spacing w:after="0" w:line="202" w:lineRule="exact"/>
              <w:rPr>
                <w:sz w:val="20"/>
                <w:szCs w:val="20"/>
                <w:color w:val="auto"/>
              </w:rPr>
            </w:pPr>
            <w:r>
              <w:rPr>
                <w:rFonts w:ascii="Arial" w:cs="Arial" w:eastAsia="Arial" w:hAnsi="Arial"/>
                <w:sz w:val="18"/>
                <w:szCs w:val="18"/>
                <w:color w:val="auto"/>
              </w:rPr>
              <w:t>(19.2)</w:t>
            </w:r>
          </w:p>
        </w:tc>
        <w:tc>
          <w:tcPr>
            <w:tcW w:w="1360" w:type="dxa"/>
            <w:vAlign w:val="bottom"/>
          </w:tcPr>
          <w:p>
            <w:pPr>
              <w:jc w:val="right"/>
              <w:ind w:right="231"/>
              <w:spacing w:after="0" w:line="202" w:lineRule="exact"/>
              <w:rPr>
                <w:sz w:val="20"/>
                <w:szCs w:val="20"/>
                <w:color w:val="auto"/>
              </w:rPr>
            </w:pPr>
            <w:r>
              <w:rPr>
                <w:rFonts w:ascii="Arial" w:cs="Arial" w:eastAsia="Arial" w:hAnsi="Arial"/>
                <w:sz w:val="18"/>
                <w:szCs w:val="18"/>
                <w:color w:val="auto"/>
              </w:rPr>
              <w:t>0.5</w:t>
            </w:r>
          </w:p>
        </w:tc>
        <w:tc>
          <w:tcPr>
            <w:tcW w:w="1040" w:type="dxa"/>
            <w:vAlign w:val="bottom"/>
            <w:gridSpan w:val="2"/>
          </w:tcPr>
          <w:p>
            <w:pPr>
              <w:jc w:val="right"/>
              <w:ind w:right="70"/>
              <w:spacing w:after="0" w:line="202" w:lineRule="exact"/>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880" w:type="dxa"/>
            <w:vAlign w:val="bottom"/>
            <w:tcBorders>
              <w:top w:val="single" w:sz="8" w:color="939598"/>
              <w:bottom w:val="single" w:sz="8" w:color="939598"/>
            </w:tcBorders>
          </w:tcPr>
          <w:p>
            <w:pPr>
              <w:spacing w:after="0"/>
              <w:rPr>
                <w:sz w:val="17"/>
                <w:szCs w:val="17"/>
                <w:color w:val="auto"/>
              </w:rPr>
            </w:pPr>
          </w:p>
        </w:tc>
        <w:tc>
          <w:tcPr>
            <w:tcW w:w="440" w:type="dxa"/>
            <w:vAlign w:val="bottom"/>
            <w:tcBorders>
              <w:top w:val="single" w:sz="8" w:color="939598"/>
              <w:bottom w:val="single" w:sz="8" w:color="939598"/>
            </w:tcBorders>
          </w:tcPr>
          <w:p>
            <w:pPr>
              <w:spacing w:after="0"/>
              <w:rPr>
                <w:sz w:val="17"/>
                <w:szCs w:val="17"/>
                <w:color w:val="auto"/>
              </w:rPr>
            </w:pPr>
          </w:p>
        </w:tc>
        <w:tc>
          <w:tcPr>
            <w:tcW w:w="1140" w:type="dxa"/>
            <w:vAlign w:val="bottom"/>
            <w:tcBorders>
              <w:top w:val="single" w:sz="8" w:color="939598"/>
              <w:bottom w:val="single" w:sz="8" w:color="939598"/>
            </w:tcBorders>
          </w:tcPr>
          <w:p>
            <w:pPr>
              <w:jc w:val="right"/>
              <w:ind w:right="151"/>
              <w:spacing w:after="0" w:line="196" w:lineRule="exact"/>
              <w:rPr>
                <w:sz w:val="20"/>
                <w:szCs w:val="20"/>
                <w:color w:val="auto"/>
              </w:rPr>
            </w:pPr>
            <w:r>
              <w:rPr>
                <w:rFonts w:ascii="Arial" w:cs="Arial" w:eastAsia="Arial" w:hAnsi="Arial"/>
                <w:sz w:val="18"/>
                <w:szCs w:val="18"/>
                <w:color w:val="auto"/>
              </w:rPr>
              <w:t>6,322.5</w:t>
            </w:r>
          </w:p>
        </w:tc>
        <w:tc>
          <w:tcPr>
            <w:tcW w:w="1200" w:type="dxa"/>
            <w:vAlign w:val="bottom"/>
            <w:tcBorders>
              <w:top w:val="single" w:sz="8" w:color="939598"/>
              <w:bottom w:val="single" w:sz="8" w:color="939598"/>
            </w:tcBorders>
          </w:tcPr>
          <w:p>
            <w:pPr>
              <w:jc w:val="right"/>
              <w:ind w:right="171"/>
              <w:spacing w:after="0" w:line="196" w:lineRule="exact"/>
              <w:rPr>
                <w:sz w:val="20"/>
                <w:szCs w:val="20"/>
                <w:color w:val="auto"/>
              </w:rPr>
            </w:pPr>
            <w:r>
              <w:rPr>
                <w:rFonts w:ascii="Arial" w:cs="Arial" w:eastAsia="Arial" w:hAnsi="Arial"/>
                <w:sz w:val="18"/>
                <w:szCs w:val="18"/>
                <w:color w:val="auto"/>
              </w:rPr>
              <w:t>(29.3)</w:t>
            </w:r>
          </w:p>
        </w:tc>
        <w:tc>
          <w:tcPr>
            <w:tcW w:w="1100" w:type="dxa"/>
            <w:vAlign w:val="bottom"/>
            <w:tcBorders>
              <w:top w:val="single" w:sz="8" w:color="939598"/>
              <w:bottom w:val="single" w:sz="8" w:color="939598"/>
            </w:tcBorders>
          </w:tcPr>
          <w:p>
            <w:pPr>
              <w:jc w:val="right"/>
              <w:ind w:right="131"/>
              <w:spacing w:after="0" w:line="196" w:lineRule="exact"/>
              <w:rPr>
                <w:sz w:val="20"/>
                <w:szCs w:val="20"/>
                <w:color w:val="auto"/>
              </w:rPr>
            </w:pPr>
            <w:r>
              <w:rPr>
                <w:rFonts w:ascii="Arial" w:cs="Arial" w:eastAsia="Arial" w:hAnsi="Arial"/>
                <w:sz w:val="18"/>
                <w:szCs w:val="18"/>
                <w:color w:val="auto"/>
              </w:rPr>
              <w:t>(7.6)</w:t>
            </w:r>
          </w:p>
        </w:tc>
        <w:tc>
          <w:tcPr>
            <w:tcW w:w="1240" w:type="dxa"/>
            <w:vAlign w:val="bottom"/>
            <w:tcBorders>
              <w:top w:val="single" w:sz="8" w:color="939598"/>
              <w:bottom w:val="single" w:sz="8" w:color="939598"/>
            </w:tcBorders>
          </w:tcPr>
          <w:p>
            <w:pPr>
              <w:jc w:val="right"/>
              <w:ind w:right="131"/>
              <w:spacing w:after="0" w:line="196" w:lineRule="exact"/>
              <w:rPr>
                <w:sz w:val="20"/>
                <w:szCs w:val="20"/>
                <w:color w:val="auto"/>
              </w:rPr>
            </w:pPr>
            <w:r>
              <w:rPr>
                <w:rFonts w:ascii="Arial" w:cs="Arial" w:eastAsia="Arial" w:hAnsi="Arial"/>
                <w:sz w:val="18"/>
                <w:szCs w:val="18"/>
                <w:color w:val="auto"/>
              </w:rPr>
              <w:t>(21.7)</w:t>
            </w:r>
          </w:p>
        </w:tc>
        <w:tc>
          <w:tcPr>
            <w:tcW w:w="1360" w:type="dxa"/>
            <w:vAlign w:val="bottom"/>
            <w:tcBorders>
              <w:top w:val="single" w:sz="8" w:color="939598"/>
              <w:bottom w:val="single" w:sz="8" w:color="939598"/>
            </w:tcBorders>
          </w:tcPr>
          <w:p>
            <w:pPr>
              <w:jc w:val="right"/>
              <w:ind w:right="231"/>
              <w:spacing w:after="0" w:line="196" w:lineRule="exact"/>
              <w:rPr>
                <w:sz w:val="20"/>
                <w:szCs w:val="20"/>
                <w:color w:val="auto"/>
              </w:rPr>
            </w:pPr>
            <w:r>
              <w:rPr>
                <w:rFonts w:ascii="Arial" w:cs="Arial" w:eastAsia="Arial" w:hAnsi="Arial"/>
                <w:sz w:val="18"/>
                <w:szCs w:val="18"/>
                <w:color w:val="auto"/>
              </w:rPr>
              <w:t>0.4</w:t>
            </w:r>
          </w:p>
        </w:tc>
        <w:tc>
          <w:tcPr>
            <w:tcW w:w="820" w:type="dxa"/>
            <w:vAlign w:val="bottom"/>
            <w:tcBorders>
              <w:top w:val="single" w:sz="8" w:color="939598"/>
              <w:bottom w:val="single" w:sz="8" w:color="939598"/>
            </w:tcBorders>
          </w:tcPr>
          <w:p>
            <w:pPr>
              <w:jc w:val="right"/>
              <w:spacing w:after="0" w:line="196" w:lineRule="exact"/>
              <w:rPr>
                <w:sz w:val="20"/>
                <w:szCs w:val="20"/>
                <w:color w:val="auto"/>
              </w:rPr>
            </w:pPr>
            <w:r>
              <w:rPr>
                <w:rFonts w:ascii="Arial" w:cs="Arial" w:eastAsia="Arial" w:hAnsi="Arial"/>
                <w:sz w:val="18"/>
                <w:szCs w:val="18"/>
                <w:color w:val="auto"/>
              </w:rPr>
              <w:t>(22.1</w:t>
            </w:r>
          </w:p>
        </w:tc>
        <w:tc>
          <w:tcPr>
            <w:tcW w:w="220" w:type="dxa"/>
            <w:vAlign w:val="bottom"/>
          </w:tcPr>
          <w:p>
            <w:pPr>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880" w:type="dxa"/>
            <w:vAlign w:val="bottom"/>
          </w:tcPr>
          <w:p>
            <w:pPr>
              <w:spacing w:after="0" w:line="196" w:lineRule="exact"/>
              <w:rPr>
                <w:sz w:val="20"/>
                <w:szCs w:val="20"/>
                <w:color w:val="auto"/>
              </w:rPr>
            </w:pPr>
            <w:r>
              <w:rPr>
                <w:rFonts w:ascii="Arial" w:cs="Arial" w:eastAsia="Arial" w:hAnsi="Arial"/>
                <w:sz w:val="18"/>
                <w:szCs w:val="18"/>
                <w:color w:val="auto"/>
              </w:rPr>
              <w:t>Asia Pacific</w:t>
            </w:r>
          </w:p>
        </w:tc>
        <w:tc>
          <w:tcPr>
            <w:tcW w:w="440" w:type="dxa"/>
            <w:vAlign w:val="bottom"/>
          </w:tcPr>
          <w:p>
            <w:pPr>
              <w:spacing w:after="0"/>
              <w:rPr>
                <w:sz w:val="17"/>
                <w:szCs w:val="17"/>
                <w:color w:val="auto"/>
              </w:rPr>
            </w:pPr>
          </w:p>
        </w:tc>
        <w:tc>
          <w:tcPr>
            <w:tcW w:w="1140" w:type="dxa"/>
            <w:vAlign w:val="bottom"/>
          </w:tcPr>
          <w:p>
            <w:pPr>
              <w:jc w:val="right"/>
              <w:ind w:right="151"/>
              <w:spacing w:after="0" w:line="196" w:lineRule="exact"/>
              <w:rPr>
                <w:sz w:val="20"/>
                <w:szCs w:val="20"/>
                <w:color w:val="auto"/>
              </w:rPr>
            </w:pPr>
            <w:r>
              <w:rPr>
                <w:rFonts w:ascii="Arial" w:cs="Arial" w:eastAsia="Arial" w:hAnsi="Arial"/>
                <w:sz w:val="18"/>
                <w:szCs w:val="18"/>
                <w:color w:val="auto"/>
              </w:rPr>
              <w:t>1,728.0</w:t>
            </w:r>
          </w:p>
        </w:tc>
        <w:tc>
          <w:tcPr>
            <w:tcW w:w="1200" w:type="dxa"/>
            <w:vAlign w:val="bottom"/>
          </w:tcPr>
          <w:p>
            <w:pPr>
              <w:jc w:val="right"/>
              <w:ind w:right="171"/>
              <w:spacing w:after="0" w:line="196" w:lineRule="exact"/>
              <w:rPr>
                <w:sz w:val="20"/>
                <w:szCs w:val="20"/>
                <w:color w:val="auto"/>
              </w:rPr>
            </w:pPr>
            <w:r>
              <w:rPr>
                <w:rFonts w:ascii="Arial" w:cs="Arial" w:eastAsia="Arial" w:hAnsi="Arial"/>
                <w:sz w:val="18"/>
                <w:szCs w:val="18"/>
                <w:color w:val="auto"/>
              </w:rPr>
              <w:t>(6.2)</w:t>
            </w:r>
          </w:p>
        </w:tc>
        <w:tc>
          <w:tcPr>
            <w:tcW w:w="1100" w:type="dxa"/>
            <w:vAlign w:val="bottom"/>
          </w:tcPr>
          <w:p>
            <w:pPr>
              <w:jc w:val="right"/>
              <w:ind w:right="191"/>
              <w:spacing w:after="0" w:line="196" w:lineRule="exact"/>
              <w:rPr>
                <w:sz w:val="20"/>
                <w:szCs w:val="20"/>
                <w:color w:val="auto"/>
              </w:rPr>
            </w:pPr>
            <w:r>
              <w:rPr>
                <w:rFonts w:ascii="Arial" w:cs="Arial" w:eastAsia="Arial" w:hAnsi="Arial"/>
                <w:sz w:val="18"/>
                <w:szCs w:val="18"/>
                <w:color w:val="auto"/>
              </w:rPr>
              <w:t>3.0</w:t>
            </w:r>
          </w:p>
        </w:tc>
        <w:tc>
          <w:tcPr>
            <w:tcW w:w="1240" w:type="dxa"/>
            <w:vAlign w:val="bottom"/>
          </w:tcPr>
          <w:p>
            <w:pPr>
              <w:jc w:val="right"/>
              <w:ind w:right="131"/>
              <w:spacing w:after="0" w:line="196" w:lineRule="exact"/>
              <w:rPr>
                <w:sz w:val="20"/>
                <w:szCs w:val="20"/>
                <w:color w:val="auto"/>
              </w:rPr>
            </w:pPr>
            <w:r>
              <w:rPr>
                <w:rFonts w:ascii="Arial" w:cs="Arial" w:eastAsia="Arial" w:hAnsi="Arial"/>
                <w:sz w:val="18"/>
                <w:szCs w:val="18"/>
                <w:color w:val="auto"/>
              </w:rPr>
              <w:t>(9.2)</w:t>
            </w:r>
          </w:p>
        </w:tc>
        <w:tc>
          <w:tcPr>
            <w:tcW w:w="1360" w:type="dxa"/>
            <w:vAlign w:val="bottom"/>
          </w:tcPr>
          <w:p>
            <w:pPr>
              <w:jc w:val="right"/>
              <w:ind w:right="231"/>
              <w:spacing w:after="0" w:line="196" w:lineRule="exact"/>
              <w:rPr>
                <w:sz w:val="20"/>
                <w:szCs w:val="20"/>
                <w:color w:val="auto"/>
              </w:rPr>
            </w:pPr>
            <w:r>
              <w:rPr>
                <w:rFonts w:ascii="Arial" w:cs="Arial" w:eastAsia="Arial" w:hAnsi="Arial"/>
                <w:sz w:val="18"/>
                <w:szCs w:val="18"/>
                <w:color w:val="auto"/>
              </w:rPr>
              <w:t>–</w:t>
            </w: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(9.2</w:t>
            </w:r>
          </w:p>
        </w:tc>
        <w:tc>
          <w:tcPr>
            <w:tcW w:w="220" w:type="dxa"/>
            <w:vAlign w:val="bottom"/>
          </w:tcPr>
          <w:p>
            <w:pPr>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3900" w:type="dxa"/>
            <w:vAlign w:val="bottom"/>
            <w:tcBorders>
              <w:bottom w:val="single" w:sz="8" w:color="939598"/>
            </w:tcBorders>
            <w:gridSpan w:val="2"/>
          </w:tcPr>
          <w:p>
            <w:pPr>
              <w:spacing w:after="0" w:line="203" w:lineRule="exact"/>
              <w:rPr>
                <w:sz w:val="20"/>
                <w:szCs w:val="20"/>
                <w:color w:val="auto"/>
              </w:rPr>
            </w:pPr>
            <w:r>
              <w:rPr>
                <w:rFonts w:ascii="Arial" w:cs="Arial" w:eastAsia="Arial" w:hAnsi="Arial"/>
                <w:sz w:val="18"/>
                <w:szCs w:val="18"/>
                <w:color w:val="auto"/>
              </w:rPr>
              <w:t>Right Management</w:t>
            </w:r>
          </w:p>
        </w:tc>
        <w:tc>
          <w:tcPr>
            <w:tcW w:w="440" w:type="dxa"/>
            <w:vAlign w:val="bottom"/>
            <w:tcBorders>
              <w:bottom w:val="single" w:sz="8" w:color="939598"/>
            </w:tcBorders>
          </w:tcPr>
          <w:p>
            <w:pPr>
              <w:spacing w:after="0"/>
              <w:rPr>
                <w:sz w:val="17"/>
                <w:szCs w:val="17"/>
                <w:color w:val="auto"/>
              </w:rPr>
            </w:pPr>
          </w:p>
        </w:tc>
        <w:tc>
          <w:tcPr>
            <w:tcW w:w="1140" w:type="dxa"/>
            <w:vAlign w:val="bottom"/>
            <w:tcBorders>
              <w:bottom w:val="single" w:sz="8" w:color="939598"/>
            </w:tcBorders>
          </w:tcPr>
          <w:p>
            <w:pPr>
              <w:jc w:val="right"/>
              <w:ind w:right="151"/>
              <w:spacing w:after="0" w:line="203" w:lineRule="exact"/>
              <w:rPr>
                <w:sz w:val="20"/>
                <w:szCs w:val="20"/>
                <w:color w:val="auto"/>
              </w:rPr>
            </w:pPr>
            <w:r>
              <w:rPr>
                <w:rFonts w:ascii="Arial" w:cs="Arial" w:eastAsia="Arial" w:hAnsi="Arial"/>
                <w:sz w:val="18"/>
                <w:szCs w:val="18"/>
                <w:color w:val="auto"/>
              </w:rPr>
              <w:t>559.4</w:t>
            </w:r>
          </w:p>
        </w:tc>
        <w:tc>
          <w:tcPr>
            <w:tcW w:w="1200" w:type="dxa"/>
            <w:vAlign w:val="bottom"/>
            <w:tcBorders>
              <w:bottom w:val="single" w:sz="8" w:color="939598"/>
            </w:tcBorders>
          </w:tcPr>
          <w:p>
            <w:pPr>
              <w:jc w:val="right"/>
              <w:ind w:right="231"/>
              <w:spacing w:after="0" w:line="203" w:lineRule="exact"/>
              <w:rPr>
                <w:sz w:val="20"/>
                <w:szCs w:val="20"/>
                <w:color w:val="auto"/>
              </w:rPr>
            </w:pPr>
            <w:r>
              <w:rPr>
                <w:rFonts w:ascii="Arial" w:cs="Arial" w:eastAsia="Arial" w:hAnsi="Arial"/>
                <w:sz w:val="18"/>
                <w:szCs w:val="18"/>
                <w:color w:val="auto"/>
              </w:rPr>
              <w:t>23.7</w:t>
            </w:r>
          </w:p>
        </w:tc>
        <w:tc>
          <w:tcPr>
            <w:tcW w:w="1100" w:type="dxa"/>
            <w:vAlign w:val="bottom"/>
            <w:tcBorders>
              <w:bottom w:val="single" w:sz="8" w:color="939598"/>
            </w:tcBorders>
          </w:tcPr>
          <w:p>
            <w:pPr>
              <w:jc w:val="right"/>
              <w:ind w:right="131"/>
              <w:spacing w:after="0" w:line="203" w:lineRule="exact"/>
              <w:rPr>
                <w:sz w:val="20"/>
                <w:szCs w:val="20"/>
                <w:color w:val="auto"/>
              </w:rPr>
            </w:pPr>
            <w:r>
              <w:rPr>
                <w:rFonts w:ascii="Arial" w:cs="Arial" w:eastAsia="Arial" w:hAnsi="Arial"/>
                <w:sz w:val="18"/>
                <w:szCs w:val="18"/>
                <w:color w:val="auto"/>
              </w:rPr>
              <w:t>(4.8)</w:t>
            </w:r>
          </w:p>
        </w:tc>
        <w:tc>
          <w:tcPr>
            <w:tcW w:w="1240" w:type="dxa"/>
            <w:vAlign w:val="bottom"/>
            <w:tcBorders>
              <w:bottom w:val="single" w:sz="8" w:color="939598"/>
            </w:tcBorders>
          </w:tcPr>
          <w:p>
            <w:pPr>
              <w:jc w:val="right"/>
              <w:ind w:right="191"/>
              <w:spacing w:after="0" w:line="203" w:lineRule="exact"/>
              <w:rPr>
                <w:sz w:val="20"/>
                <w:szCs w:val="20"/>
                <w:color w:val="auto"/>
              </w:rPr>
            </w:pPr>
            <w:r>
              <w:rPr>
                <w:rFonts w:ascii="Arial" w:cs="Arial" w:eastAsia="Arial" w:hAnsi="Arial"/>
                <w:sz w:val="18"/>
                <w:szCs w:val="18"/>
                <w:color w:val="auto"/>
              </w:rPr>
              <w:t>28.5</w:t>
            </w:r>
          </w:p>
        </w:tc>
        <w:tc>
          <w:tcPr>
            <w:tcW w:w="1360" w:type="dxa"/>
            <w:vAlign w:val="bottom"/>
            <w:tcBorders>
              <w:bottom w:val="single" w:sz="8" w:color="939598"/>
            </w:tcBorders>
          </w:tcPr>
          <w:p>
            <w:pPr>
              <w:jc w:val="right"/>
              <w:ind w:right="231"/>
              <w:spacing w:after="0" w:line="203" w:lineRule="exact"/>
              <w:rPr>
                <w:sz w:val="20"/>
                <w:szCs w:val="20"/>
                <w:color w:val="auto"/>
              </w:rPr>
            </w:pPr>
            <w:r>
              <w:rPr>
                <w:rFonts w:ascii="Arial" w:cs="Arial" w:eastAsia="Arial" w:hAnsi="Arial"/>
                <w:sz w:val="18"/>
                <w:szCs w:val="18"/>
                <w:color w:val="auto"/>
              </w:rPr>
              <w:t>–</w:t>
            </w:r>
          </w:p>
        </w:tc>
        <w:tc>
          <w:tcPr>
            <w:tcW w:w="820" w:type="dxa"/>
            <w:vAlign w:val="bottom"/>
            <w:tcBorders>
              <w:bottom w:val="single" w:sz="8" w:color="939598"/>
            </w:tcBorders>
          </w:tcPr>
          <w:p>
            <w:pPr>
              <w:jc w:val="right"/>
              <w:spacing w:after="0" w:line="203" w:lineRule="exact"/>
              <w:rPr>
                <w:sz w:val="20"/>
                <w:szCs w:val="20"/>
                <w:color w:val="auto"/>
              </w:rPr>
            </w:pPr>
            <w:r>
              <w:rPr>
                <w:rFonts w:ascii="Arial" w:cs="Arial" w:eastAsia="Arial" w:hAnsi="Arial"/>
                <w:sz w:val="18"/>
                <w:szCs w:val="18"/>
                <w:color w:val="auto"/>
              </w:rPr>
              <w:t>28.5</w:t>
            </w:r>
          </w:p>
        </w:tc>
        <w:tc>
          <w:tcPr>
            <w:tcW w:w="220" w:type="dxa"/>
            <w:vAlign w:val="bottom"/>
            <w:vMerge w:val="restart"/>
          </w:tcPr>
          <w:p>
            <w:pPr>
              <w:spacing w:after="0"/>
              <w:rPr>
                <w:sz w:val="20"/>
                <w:szCs w:val="20"/>
                <w:color w:val="auto"/>
              </w:rPr>
            </w:pPr>
            <w:r>
              <w:rPr>
                <w:rFonts w:ascii="Arial" w:cs="Arial" w:eastAsia="Arial" w:hAnsi="Arial"/>
                <w:sz w:val="18"/>
                <w:szCs w:val="18"/>
                <w:color w:val="auto"/>
                <w:w w:val="90"/>
              </w:rPr>
              <w:t>)%</w:t>
            </w:r>
          </w:p>
        </w:tc>
        <w:tc>
          <w:tcPr>
            <w:tcW w:w="0" w:type="dxa"/>
            <w:vAlign w:val="bottom"/>
          </w:tcPr>
          <w:p>
            <w:pPr>
              <w:spacing w:after="0"/>
              <w:rPr>
                <w:sz w:val="1"/>
                <w:szCs w:val="1"/>
                <w:color w:val="auto"/>
              </w:rPr>
            </w:pPr>
          </w:p>
        </w:tc>
      </w:tr>
      <w:tr>
        <w:trPr>
          <w:trHeight w:val="203"/>
        </w:trPr>
        <w:tc>
          <w:tcPr>
            <w:tcW w:w="3900" w:type="dxa"/>
            <w:vAlign w:val="bottom"/>
            <w:tcBorders>
              <w:bottom w:val="single" w:sz="8" w:color="939598"/>
            </w:tcBorders>
            <w:gridSpan w:val="2"/>
          </w:tcPr>
          <w:p>
            <w:pPr>
              <w:spacing w:after="0" w:line="196" w:lineRule="exact"/>
              <w:rPr>
                <w:sz w:val="20"/>
                <w:szCs w:val="20"/>
                <w:color w:val="auto"/>
              </w:rPr>
            </w:pPr>
            <w:r>
              <w:rPr>
                <w:rFonts w:ascii="Arial" w:cs="Arial" w:eastAsia="Arial" w:hAnsi="Arial"/>
                <w:sz w:val="18"/>
                <w:szCs w:val="18"/>
                <w:color w:val="auto"/>
              </w:rPr>
              <w:t>Manpower Inc.</w:t>
            </w:r>
          </w:p>
        </w:tc>
        <w:tc>
          <w:tcPr>
            <w:tcW w:w="440" w:type="dxa"/>
            <w:vAlign w:val="bottom"/>
            <w:tcBorders>
              <w:bottom w:val="single" w:sz="8" w:color="939598"/>
            </w:tcBorders>
          </w:tcPr>
          <w:p>
            <w:pPr>
              <w:jc w:val="right"/>
              <w:spacing w:after="0" w:line="196" w:lineRule="exact"/>
              <w:rPr>
                <w:sz w:val="20"/>
                <w:szCs w:val="20"/>
                <w:color w:val="auto"/>
              </w:rPr>
            </w:pPr>
            <w:r>
              <w:rPr>
                <w:rFonts w:ascii="Arial" w:cs="Arial" w:eastAsia="Arial" w:hAnsi="Arial"/>
                <w:sz w:val="18"/>
                <w:szCs w:val="18"/>
                <w:color w:val="auto"/>
              </w:rPr>
              <w:t>$</w:t>
            </w:r>
          </w:p>
        </w:tc>
        <w:tc>
          <w:tcPr>
            <w:tcW w:w="1140" w:type="dxa"/>
            <w:vAlign w:val="bottom"/>
            <w:tcBorders>
              <w:bottom w:val="single" w:sz="8" w:color="939598"/>
            </w:tcBorders>
          </w:tcPr>
          <w:p>
            <w:pPr>
              <w:jc w:val="right"/>
              <w:ind w:right="151"/>
              <w:spacing w:after="0" w:line="196" w:lineRule="exact"/>
              <w:rPr>
                <w:sz w:val="20"/>
                <w:szCs w:val="20"/>
                <w:color w:val="auto"/>
              </w:rPr>
            </w:pPr>
            <w:r>
              <w:rPr>
                <w:rFonts w:ascii="Arial" w:cs="Arial" w:eastAsia="Arial" w:hAnsi="Arial"/>
                <w:sz w:val="18"/>
                <w:szCs w:val="18"/>
                <w:color w:val="auto"/>
              </w:rPr>
              <w:t>16,038.7</w:t>
            </w:r>
          </w:p>
        </w:tc>
        <w:tc>
          <w:tcPr>
            <w:tcW w:w="1200" w:type="dxa"/>
            <w:vAlign w:val="bottom"/>
            <w:tcBorders>
              <w:bottom w:val="single" w:sz="8" w:color="939598"/>
            </w:tcBorders>
          </w:tcPr>
          <w:p>
            <w:pPr>
              <w:jc w:val="right"/>
              <w:ind w:right="11"/>
              <w:spacing w:after="0" w:line="196" w:lineRule="exact"/>
              <w:rPr>
                <w:sz w:val="20"/>
                <w:szCs w:val="20"/>
                <w:color w:val="auto"/>
              </w:rPr>
            </w:pPr>
            <w:r>
              <w:rPr>
                <w:rFonts w:ascii="Arial" w:cs="Arial" w:eastAsia="Arial" w:hAnsi="Arial"/>
                <w:sz w:val="18"/>
                <w:szCs w:val="18"/>
                <w:color w:val="auto"/>
              </w:rPr>
              <w:t>(25.5)%</w:t>
            </w:r>
          </w:p>
        </w:tc>
        <w:tc>
          <w:tcPr>
            <w:tcW w:w="1100" w:type="dxa"/>
            <w:vAlign w:val="bottom"/>
            <w:tcBorders>
              <w:bottom w:val="single" w:sz="8" w:color="939598"/>
            </w:tcBorders>
          </w:tcPr>
          <w:p>
            <w:pPr>
              <w:jc w:val="right"/>
              <w:spacing w:after="0" w:line="196" w:lineRule="exact"/>
              <w:rPr>
                <w:sz w:val="20"/>
                <w:szCs w:val="20"/>
                <w:color w:val="auto"/>
              </w:rPr>
            </w:pPr>
            <w:r>
              <w:rPr>
                <w:rFonts w:ascii="Arial" w:cs="Arial" w:eastAsia="Arial" w:hAnsi="Arial"/>
                <w:sz w:val="18"/>
                <w:szCs w:val="18"/>
                <w:color w:val="auto"/>
              </w:rPr>
              <w:t>(4.6)%</w:t>
            </w:r>
          </w:p>
        </w:tc>
        <w:tc>
          <w:tcPr>
            <w:tcW w:w="1240" w:type="dxa"/>
            <w:vAlign w:val="bottom"/>
            <w:tcBorders>
              <w:bottom w:val="single" w:sz="8" w:color="939598"/>
            </w:tcBorders>
          </w:tcPr>
          <w:p>
            <w:pPr>
              <w:jc w:val="right"/>
              <w:spacing w:after="0" w:line="196" w:lineRule="exact"/>
              <w:rPr>
                <w:sz w:val="20"/>
                <w:szCs w:val="20"/>
                <w:color w:val="auto"/>
              </w:rPr>
            </w:pPr>
            <w:r>
              <w:rPr>
                <w:rFonts w:ascii="Arial" w:cs="Arial" w:eastAsia="Arial" w:hAnsi="Arial"/>
                <w:sz w:val="18"/>
                <w:szCs w:val="18"/>
                <w:color w:val="auto"/>
              </w:rPr>
              <w:t>(20.9)%</w:t>
            </w:r>
          </w:p>
        </w:tc>
        <w:tc>
          <w:tcPr>
            <w:tcW w:w="1360" w:type="dxa"/>
            <w:vAlign w:val="bottom"/>
            <w:tcBorders>
              <w:bottom w:val="single" w:sz="8" w:color="939598"/>
            </w:tcBorders>
          </w:tcPr>
          <w:p>
            <w:pPr>
              <w:jc w:val="right"/>
              <w:ind w:right="71"/>
              <w:spacing w:after="0" w:line="196" w:lineRule="exact"/>
              <w:rPr>
                <w:sz w:val="20"/>
                <w:szCs w:val="20"/>
                <w:color w:val="auto"/>
              </w:rPr>
            </w:pPr>
            <w:r>
              <w:rPr>
                <w:rFonts w:ascii="Arial" w:cs="Arial" w:eastAsia="Arial" w:hAnsi="Arial"/>
                <w:sz w:val="18"/>
                <w:szCs w:val="18"/>
                <w:color w:val="auto"/>
              </w:rPr>
              <w:t>0.6%</w:t>
            </w:r>
          </w:p>
        </w:tc>
        <w:tc>
          <w:tcPr>
            <w:tcW w:w="820" w:type="dxa"/>
            <w:vAlign w:val="bottom"/>
            <w:tcBorders>
              <w:bottom w:val="single" w:sz="8" w:color="939598"/>
            </w:tcBorders>
          </w:tcPr>
          <w:p>
            <w:pPr>
              <w:jc w:val="right"/>
              <w:spacing w:after="0" w:line="196" w:lineRule="exact"/>
              <w:rPr>
                <w:sz w:val="20"/>
                <w:szCs w:val="20"/>
                <w:color w:val="auto"/>
              </w:rPr>
            </w:pPr>
            <w:r>
              <w:rPr>
                <w:rFonts w:ascii="Arial" w:cs="Arial" w:eastAsia="Arial" w:hAnsi="Arial"/>
                <w:sz w:val="18"/>
                <w:szCs w:val="18"/>
                <w:color w:val="auto"/>
              </w:rPr>
              <w:t>(21.5</w:t>
            </w:r>
          </w:p>
        </w:tc>
        <w:tc>
          <w:tcPr>
            <w:tcW w:w="2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3900" w:type="dxa"/>
            <w:vAlign w:val="bottom"/>
            <w:gridSpan w:val="2"/>
          </w:tcPr>
          <w:p>
            <w:pPr>
              <w:spacing w:after="0" w:line="180" w:lineRule="exact"/>
              <w:rPr>
                <w:sz w:val="20"/>
                <w:szCs w:val="20"/>
                <w:color w:val="auto"/>
              </w:rPr>
            </w:pPr>
            <w:r>
              <w:rPr>
                <w:rFonts w:ascii="Arial" w:cs="Arial" w:eastAsia="Arial" w:hAnsi="Arial"/>
                <w:sz w:val="18"/>
                <w:szCs w:val="18"/>
                <w:b w:val="1"/>
                <w:bCs w:val="1"/>
                <w:color w:val="939598"/>
              </w:rPr>
              <w:t>Gross Profit - Manpower Inc.</w:t>
            </w:r>
          </w:p>
        </w:tc>
        <w:tc>
          <w:tcPr>
            <w:tcW w:w="440" w:type="dxa"/>
            <w:vAlign w:val="bottom"/>
          </w:tcPr>
          <w:p>
            <w:pPr>
              <w:jc w:val="right"/>
              <w:spacing w:after="0" w:line="180" w:lineRule="exact"/>
              <w:rPr>
                <w:sz w:val="20"/>
                <w:szCs w:val="20"/>
                <w:color w:val="auto"/>
              </w:rPr>
            </w:pPr>
            <w:r>
              <w:rPr>
                <w:rFonts w:ascii="Arial" w:cs="Arial" w:eastAsia="Arial" w:hAnsi="Arial"/>
                <w:sz w:val="18"/>
                <w:szCs w:val="18"/>
                <w:color w:val="auto"/>
              </w:rPr>
              <w:t>$</w:t>
            </w:r>
          </w:p>
        </w:tc>
        <w:tc>
          <w:tcPr>
            <w:tcW w:w="1140" w:type="dxa"/>
            <w:vAlign w:val="bottom"/>
          </w:tcPr>
          <w:p>
            <w:pPr>
              <w:jc w:val="right"/>
              <w:ind w:right="151"/>
              <w:spacing w:after="0" w:line="180" w:lineRule="exact"/>
              <w:rPr>
                <w:sz w:val="20"/>
                <w:szCs w:val="20"/>
                <w:color w:val="auto"/>
              </w:rPr>
            </w:pPr>
            <w:r>
              <w:rPr>
                <w:rFonts w:ascii="Arial" w:cs="Arial" w:eastAsia="Arial" w:hAnsi="Arial"/>
                <w:sz w:val="18"/>
                <w:szCs w:val="18"/>
                <w:color w:val="auto"/>
              </w:rPr>
              <w:t>2,818.2</w:t>
            </w:r>
          </w:p>
        </w:tc>
        <w:tc>
          <w:tcPr>
            <w:tcW w:w="1200" w:type="dxa"/>
            <w:vAlign w:val="bottom"/>
          </w:tcPr>
          <w:p>
            <w:pPr>
              <w:jc w:val="right"/>
              <w:ind w:right="11"/>
              <w:spacing w:after="0" w:line="180" w:lineRule="exact"/>
              <w:rPr>
                <w:sz w:val="20"/>
                <w:szCs w:val="20"/>
                <w:color w:val="auto"/>
              </w:rPr>
            </w:pPr>
            <w:r>
              <w:rPr>
                <w:rFonts w:ascii="Arial" w:cs="Arial" w:eastAsia="Arial" w:hAnsi="Arial"/>
                <w:sz w:val="18"/>
                <w:szCs w:val="18"/>
                <w:color w:val="auto"/>
              </w:rPr>
              <w:t>(31.0)%</w:t>
            </w:r>
          </w:p>
        </w:tc>
        <w:tc>
          <w:tcPr>
            <w:tcW w:w="1100" w:type="dxa"/>
            <w:vAlign w:val="bottom"/>
          </w:tcPr>
          <w:p>
            <w:pPr>
              <w:jc w:val="right"/>
              <w:spacing w:after="0" w:line="180" w:lineRule="exact"/>
              <w:rPr>
                <w:sz w:val="20"/>
                <w:szCs w:val="20"/>
                <w:color w:val="auto"/>
              </w:rPr>
            </w:pPr>
            <w:r>
              <w:rPr>
                <w:rFonts w:ascii="Arial" w:cs="Arial" w:eastAsia="Arial" w:hAnsi="Arial"/>
                <w:sz w:val="18"/>
                <w:szCs w:val="18"/>
                <w:color w:val="auto"/>
              </w:rPr>
              <w:t>(4.0)%</w:t>
            </w:r>
          </w:p>
        </w:tc>
        <w:tc>
          <w:tcPr>
            <w:tcW w:w="1240" w:type="dxa"/>
            <w:vAlign w:val="bottom"/>
          </w:tcPr>
          <w:p>
            <w:pPr>
              <w:jc w:val="right"/>
              <w:spacing w:after="0" w:line="180" w:lineRule="exact"/>
              <w:rPr>
                <w:sz w:val="20"/>
                <w:szCs w:val="20"/>
                <w:color w:val="auto"/>
              </w:rPr>
            </w:pPr>
            <w:r>
              <w:rPr>
                <w:rFonts w:ascii="Arial" w:cs="Arial" w:eastAsia="Arial" w:hAnsi="Arial"/>
                <w:sz w:val="18"/>
                <w:szCs w:val="18"/>
                <w:color w:val="auto"/>
              </w:rPr>
              <w:t>(27.0)%</w:t>
            </w:r>
          </w:p>
        </w:tc>
        <w:tc>
          <w:tcPr>
            <w:tcW w:w="1360" w:type="dxa"/>
            <w:vAlign w:val="bottom"/>
          </w:tcPr>
          <w:p>
            <w:pPr>
              <w:jc w:val="right"/>
              <w:ind w:right="71"/>
              <w:spacing w:after="0" w:line="180" w:lineRule="exact"/>
              <w:rPr>
                <w:sz w:val="20"/>
                <w:szCs w:val="20"/>
                <w:color w:val="auto"/>
              </w:rPr>
            </w:pPr>
            <w:r>
              <w:rPr>
                <w:rFonts w:ascii="Arial" w:cs="Arial" w:eastAsia="Arial" w:hAnsi="Arial"/>
                <w:sz w:val="18"/>
                <w:szCs w:val="18"/>
                <w:color w:val="auto"/>
              </w:rPr>
              <w:t>0.7%</w:t>
            </w:r>
          </w:p>
        </w:tc>
        <w:tc>
          <w:tcPr>
            <w:tcW w:w="820" w:type="dxa"/>
            <w:vAlign w:val="bottom"/>
          </w:tcPr>
          <w:p>
            <w:pPr>
              <w:jc w:val="right"/>
              <w:spacing w:after="0" w:line="180" w:lineRule="exact"/>
              <w:rPr>
                <w:sz w:val="20"/>
                <w:szCs w:val="20"/>
                <w:color w:val="auto"/>
              </w:rPr>
            </w:pPr>
            <w:r>
              <w:rPr>
                <w:rFonts w:ascii="Arial" w:cs="Arial" w:eastAsia="Arial" w:hAnsi="Arial"/>
                <w:sz w:val="18"/>
                <w:szCs w:val="18"/>
                <w:color w:val="auto"/>
              </w:rPr>
              <w:t>(27.7</w:t>
            </w:r>
          </w:p>
        </w:tc>
        <w:tc>
          <w:tcPr>
            <w:tcW w:w="220" w:type="dxa"/>
            <w:vAlign w:val="bottom"/>
          </w:tcPr>
          <w:p>
            <w:pPr>
              <w:spacing w:after="0" w:line="180" w:lineRule="exact"/>
              <w:rPr>
                <w:sz w:val="20"/>
                <w:szCs w:val="20"/>
                <w:color w:val="auto"/>
              </w:rPr>
            </w:pPr>
            <w:r>
              <w:rPr>
                <w:rFonts w:ascii="Arial" w:cs="Arial" w:eastAsia="Arial" w:hAnsi="Arial"/>
                <w:sz w:val="18"/>
                <w:szCs w:val="18"/>
                <w:color w:val="auto"/>
                <w:w w:val="90"/>
              </w:rPr>
              <w:t>)%</w:t>
            </w:r>
          </w:p>
        </w:tc>
        <w:tc>
          <w:tcPr>
            <w:tcW w:w="0" w:type="dxa"/>
            <w:vAlign w:val="bottom"/>
          </w:tcPr>
          <w:p>
            <w:pPr>
              <w:spacing w:after="0"/>
              <w:rPr>
                <w:sz w:val="1"/>
                <w:szCs w:val="1"/>
                <w:color w:val="auto"/>
              </w:rPr>
            </w:pPr>
          </w:p>
        </w:tc>
      </w:tr>
      <w:tr>
        <w:trPr>
          <w:trHeight w:val="225"/>
        </w:trPr>
        <w:tc>
          <w:tcPr>
            <w:tcW w:w="3900" w:type="dxa"/>
            <w:vAlign w:val="bottom"/>
            <w:gridSpan w:val="2"/>
          </w:tcPr>
          <w:p>
            <w:pPr>
              <w:spacing w:after="0"/>
              <w:rPr>
                <w:sz w:val="20"/>
                <w:szCs w:val="20"/>
                <w:color w:val="auto"/>
              </w:rPr>
            </w:pPr>
            <w:r>
              <w:rPr>
                <w:rFonts w:ascii="Arial" w:cs="Arial" w:eastAsia="Arial" w:hAnsi="Arial"/>
                <w:sz w:val="18"/>
                <w:szCs w:val="18"/>
                <w:b w:val="1"/>
                <w:bCs w:val="1"/>
                <w:color w:val="939598"/>
              </w:rPr>
              <w:t>Operating Unit (Loss) Profit</w:t>
            </w:r>
          </w:p>
        </w:tc>
        <w:tc>
          <w:tcPr>
            <w:tcW w:w="4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3900" w:type="dxa"/>
            <w:vAlign w:val="bottom"/>
            <w:gridSpan w:val="2"/>
          </w:tcPr>
          <w:p>
            <w:pPr>
              <w:spacing w:after="0" w:line="202" w:lineRule="exact"/>
              <w:rPr>
                <w:sz w:val="20"/>
                <w:szCs w:val="20"/>
                <w:color w:val="auto"/>
              </w:rPr>
            </w:pPr>
            <w:r>
              <w:rPr>
                <w:rFonts w:ascii="Arial" w:cs="Arial" w:eastAsia="Arial" w:hAnsi="Arial"/>
                <w:sz w:val="18"/>
                <w:szCs w:val="18"/>
                <w:color w:val="auto"/>
              </w:rPr>
              <w:t>Americas:</w:t>
            </w:r>
          </w:p>
        </w:tc>
        <w:tc>
          <w:tcPr>
            <w:tcW w:w="4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80" w:type="dxa"/>
            <w:vAlign w:val="bottom"/>
          </w:tcPr>
          <w:p>
            <w:pPr>
              <w:ind w:left="260"/>
              <w:spacing w:after="0" w:line="202" w:lineRule="exact"/>
              <w:rPr>
                <w:sz w:val="20"/>
                <w:szCs w:val="20"/>
                <w:color w:val="auto"/>
              </w:rPr>
            </w:pPr>
            <w:r>
              <w:rPr>
                <w:rFonts w:ascii="Arial" w:cs="Arial" w:eastAsia="Arial" w:hAnsi="Arial"/>
                <w:sz w:val="18"/>
                <w:szCs w:val="18"/>
                <w:color w:val="auto"/>
              </w:rPr>
              <w:t>United States</w:t>
            </w:r>
          </w:p>
        </w:tc>
        <w:tc>
          <w:tcPr>
            <w:tcW w:w="4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140" w:type="dxa"/>
            <w:vAlign w:val="bottom"/>
          </w:tcPr>
          <w:p>
            <w:pPr>
              <w:jc w:val="right"/>
              <w:ind w:right="91"/>
              <w:spacing w:after="0" w:line="202" w:lineRule="exact"/>
              <w:rPr>
                <w:sz w:val="20"/>
                <w:szCs w:val="20"/>
                <w:color w:val="auto"/>
              </w:rPr>
            </w:pPr>
            <w:r>
              <w:rPr>
                <w:rFonts w:ascii="Arial" w:cs="Arial" w:eastAsia="Arial" w:hAnsi="Arial"/>
                <w:sz w:val="18"/>
                <w:szCs w:val="18"/>
                <w:color w:val="auto"/>
              </w:rPr>
              <w:t>(41.4)</w:t>
            </w:r>
          </w:p>
        </w:tc>
        <w:tc>
          <w:tcPr>
            <w:tcW w:w="1200" w:type="dxa"/>
            <w:vAlign w:val="bottom"/>
          </w:tcPr>
          <w:p>
            <w:pPr>
              <w:jc w:val="right"/>
              <w:ind w:right="11"/>
              <w:spacing w:after="0" w:line="202" w:lineRule="exact"/>
              <w:rPr>
                <w:sz w:val="20"/>
                <w:szCs w:val="20"/>
                <w:color w:val="auto"/>
              </w:rPr>
            </w:pPr>
            <w:r>
              <w:rPr>
                <w:rFonts w:ascii="Arial" w:cs="Arial" w:eastAsia="Arial" w:hAnsi="Arial"/>
                <w:sz w:val="18"/>
                <w:szCs w:val="18"/>
                <w:color w:val="auto"/>
              </w:rPr>
              <w:t>(338.1)%</w:t>
            </w:r>
          </w:p>
        </w:tc>
        <w:tc>
          <w:tcPr>
            <w:tcW w:w="1100" w:type="dxa"/>
            <w:vAlign w:val="bottom"/>
          </w:tcPr>
          <w:p>
            <w:pPr>
              <w:jc w:val="right"/>
              <w:ind w:right="31"/>
              <w:spacing w:after="0" w:line="202" w:lineRule="exact"/>
              <w:rPr>
                <w:sz w:val="20"/>
                <w:szCs w:val="20"/>
                <w:color w:val="auto"/>
              </w:rPr>
            </w:pPr>
            <w:r>
              <w:rPr>
                <w:rFonts w:ascii="Arial" w:cs="Arial" w:eastAsia="Arial" w:hAnsi="Arial"/>
                <w:sz w:val="18"/>
                <w:szCs w:val="18"/>
                <w:color w:val="auto"/>
              </w:rPr>
              <w:t>–%</w:t>
            </w: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(338.1)%</w:t>
            </w:r>
          </w:p>
        </w:tc>
        <w:tc>
          <w:tcPr>
            <w:tcW w:w="1360" w:type="dxa"/>
            <w:vAlign w:val="bottom"/>
          </w:tcPr>
          <w:p>
            <w:pPr>
              <w:jc w:val="right"/>
              <w:ind w:right="11"/>
              <w:spacing w:after="0" w:line="202" w:lineRule="exact"/>
              <w:rPr>
                <w:sz w:val="20"/>
                <w:szCs w:val="20"/>
                <w:color w:val="auto"/>
              </w:rPr>
            </w:pPr>
            <w:r>
              <w:rPr>
                <w:rFonts w:ascii="Arial" w:cs="Arial" w:eastAsia="Arial" w:hAnsi="Arial"/>
                <w:sz w:val="18"/>
                <w:szCs w:val="18"/>
                <w:color w:val="auto"/>
              </w:rPr>
              <w:t>(19.0)%</w:t>
            </w:r>
          </w:p>
        </w:tc>
        <w:tc>
          <w:tcPr>
            <w:tcW w:w="10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(319.1)%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80" w:type="dxa"/>
            <w:vAlign w:val="bottom"/>
          </w:tcPr>
          <w:p>
            <w:pPr>
              <w:ind w:left="260"/>
              <w:spacing w:after="0" w:line="202" w:lineRule="exact"/>
              <w:rPr>
                <w:sz w:val="20"/>
                <w:szCs w:val="20"/>
                <w:color w:val="auto"/>
              </w:rPr>
            </w:pPr>
            <w:r>
              <w:rPr>
                <w:rFonts w:ascii="Arial" w:cs="Arial" w:eastAsia="Arial" w:hAnsi="Arial"/>
                <w:sz w:val="18"/>
                <w:szCs w:val="18"/>
                <w:color w:val="auto"/>
              </w:rPr>
              <w:t>Other Americas</w:t>
            </w:r>
          </w:p>
        </w:tc>
        <w:tc>
          <w:tcPr>
            <w:tcW w:w="440" w:type="dxa"/>
            <w:vAlign w:val="bottom"/>
          </w:tcPr>
          <w:p>
            <w:pPr>
              <w:spacing w:after="0"/>
              <w:rPr>
                <w:sz w:val="17"/>
                <w:szCs w:val="17"/>
                <w:color w:val="auto"/>
              </w:rPr>
            </w:pPr>
          </w:p>
        </w:tc>
        <w:tc>
          <w:tcPr>
            <w:tcW w:w="1140" w:type="dxa"/>
            <w:vAlign w:val="bottom"/>
          </w:tcPr>
          <w:p>
            <w:pPr>
              <w:jc w:val="right"/>
              <w:ind w:right="151"/>
              <w:spacing w:after="0" w:line="202" w:lineRule="exact"/>
              <w:rPr>
                <w:sz w:val="20"/>
                <w:szCs w:val="20"/>
                <w:color w:val="auto"/>
              </w:rPr>
            </w:pPr>
            <w:r>
              <w:rPr>
                <w:rFonts w:ascii="Arial" w:cs="Arial" w:eastAsia="Arial" w:hAnsi="Arial"/>
                <w:sz w:val="18"/>
                <w:szCs w:val="18"/>
                <w:color w:val="auto"/>
              </w:rPr>
              <w:t>20.1</w:t>
            </w:r>
          </w:p>
        </w:tc>
        <w:tc>
          <w:tcPr>
            <w:tcW w:w="1200" w:type="dxa"/>
            <w:vAlign w:val="bottom"/>
          </w:tcPr>
          <w:p>
            <w:pPr>
              <w:jc w:val="right"/>
              <w:ind w:right="171"/>
              <w:spacing w:after="0" w:line="202" w:lineRule="exact"/>
              <w:rPr>
                <w:sz w:val="20"/>
                <w:szCs w:val="20"/>
                <w:color w:val="auto"/>
              </w:rPr>
            </w:pPr>
            <w:r>
              <w:rPr>
                <w:rFonts w:ascii="Arial" w:cs="Arial" w:eastAsia="Arial" w:hAnsi="Arial"/>
                <w:sz w:val="18"/>
                <w:szCs w:val="18"/>
                <w:color w:val="auto"/>
              </w:rPr>
              <w:t>(22.2)</w:t>
            </w:r>
          </w:p>
        </w:tc>
        <w:tc>
          <w:tcPr>
            <w:tcW w:w="1100" w:type="dxa"/>
            <w:vAlign w:val="bottom"/>
          </w:tcPr>
          <w:p>
            <w:pPr>
              <w:jc w:val="right"/>
              <w:ind w:right="131"/>
              <w:spacing w:after="0" w:line="202" w:lineRule="exact"/>
              <w:rPr>
                <w:sz w:val="20"/>
                <w:szCs w:val="20"/>
                <w:color w:val="auto"/>
              </w:rPr>
            </w:pPr>
            <w:r>
              <w:rPr>
                <w:rFonts w:ascii="Arial" w:cs="Arial" w:eastAsia="Arial" w:hAnsi="Arial"/>
                <w:sz w:val="18"/>
                <w:szCs w:val="18"/>
                <w:color w:val="auto"/>
              </w:rPr>
              <w:t>(11.7)</w:t>
            </w:r>
          </w:p>
        </w:tc>
        <w:tc>
          <w:tcPr>
            <w:tcW w:w="1240" w:type="dxa"/>
            <w:vAlign w:val="bottom"/>
          </w:tcPr>
          <w:p>
            <w:pPr>
              <w:jc w:val="right"/>
              <w:ind w:right="131"/>
              <w:spacing w:after="0" w:line="202" w:lineRule="exact"/>
              <w:rPr>
                <w:sz w:val="20"/>
                <w:szCs w:val="20"/>
                <w:color w:val="auto"/>
              </w:rPr>
            </w:pPr>
            <w:r>
              <w:rPr>
                <w:rFonts w:ascii="Arial" w:cs="Arial" w:eastAsia="Arial" w:hAnsi="Arial"/>
                <w:sz w:val="18"/>
                <w:szCs w:val="18"/>
                <w:color w:val="auto"/>
              </w:rPr>
              <w:t>(10.5)</w:t>
            </w:r>
          </w:p>
        </w:tc>
        <w:tc>
          <w:tcPr>
            <w:tcW w:w="1360" w:type="dxa"/>
            <w:vAlign w:val="bottom"/>
          </w:tcPr>
          <w:p>
            <w:pPr>
              <w:jc w:val="right"/>
              <w:ind w:right="231"/>
              <w:spacing w:after="0" w:line="202" w:lineRule="exact"/>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70"/>
              <w:spacing w:after="0" w:line="202" w:lineRule="exact"/>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880" w:type="dxa"/>
            <w:vAlign w:val="bottom"/>
            <w:tcBorders>
              <w:top w:val="single" w:sz="8" w:color="939598"/>
              <w:bottom w:val="single" w:sz="8" w:color="939598"/>
            </w:tcBorders>
          </w:tcPr>
          <w:p>
            <w:pPr>
              <w:spacing w:after="0"/>
              <w:rPr>
                <w:sz w:val="17"/>
                <w:szCs w:val="17"/>
                <w:color w:val="auto"/>
              </w:rPr>
            </w:pPr>
          </w:p>
        </w:tc>
        <w:tc>
          <w:tcPr>
            <w:tcW w:w="440" w:type="dxa"/>
            <w:vAlign w:val="bottom"/>
            <w:tcBorders>
              <w:top w:val="single" w:sz="8" w:color="939598"/>
              <w:bottom w:val="single" w:sz="8" w:color="939598"/>
            </w:tcBorders>
          </w:tcPr>
          <w:p>
            <w:pPr>
              <w:spacing w:after="0"/>
              <w:rPr>
                <w:sz w:val="17"/>
                <w:szCs w:val="17"/>
                <w:color w:val="auto"/>
              </w:rPr>
            </w:pPr>
          </w:p>
        </w:tc>
        <w:tc>
          <w:tcPr>
            <w:tcW w:w="1140" w:type="dxa"/>
            <w:vAlign w:val="bottom"/>
            <w:tcBorders>
              <w:top w:val="single" w:sz="8" w:color="939598"/>
              <w:bottom w:val="single" w:sz="8" w:color="939598"/>
            </w:tcBorders>
          </w:tcPr>
          <w:p>
            <w:pPr>
              <w:jc w:val="right"/>
              <w:ind w:right="91"/>
              <w:spacing w:after="0" w:line="196" w:lineRule="exact"/>
              <w:rPr>
                <w:sz w:val="20"/>
                <w:szCs w:val="20"/>
                <w:color w:val="auto"/>
              </w:rPr>
            </w:pPr>
            <w:r>
              <w:rPr>
                <w:rFonts w:ascii="Arial" w:cs="Arial" w:eastAsia="Arial" w:hAnsi="Arial"/>
                <w:sz w:val="18"/>
                <w:szCs w:val="18"/>
                <w:color w:val="auto"/>
              </w:rPr>
              <w:t>(21.3)</w:t>
            </w:r>
          </w:p>
        </w:tc>
        <w:tc>
          <w:tcPr>
            <w:tcW w:w="1200" w:type="dxa"/>
            <w:vAlign w:val="bottom"/>
            <w:tcBorders>
              <w:top w:val="single" w:sz="8" w:color="939598"/>
              <w:bottom w:val="single" w:sz="8" w:color="939598"/>
            </w:tcBorders>
          </w:tcPr>
          <w:p>
            <w:pPr>
              <w:jc w:val="right"/>
              <w:ind w:right="171"/>
              <w:spacing w:after="0" w:line="196" w:lineRule="exact"/>
              <w:rPr>
                <w:sz w:val="20"/>
                <w:szCs w:val="20"/>
                <w:color w:val="auto"/>
              </w:rPr>
            </w:pPr>
            <w:r>
              <w:rPr>
                <w:rFonts w:ascii="Arial" w:cs="Arial" w:eastAsia="Arial" w:hAnsi="Arial"/>
                <w:sz w:val="18"/>
                <w:szCs w:val="18"/>
                <w:color w:val="auto"/>
              </w:rPr>
              <w:t>(149.3)</w:t>
            </w:r>
          </w:p>
        </w:tc>
        <w:tc>
          <w:tcPr>
            <w:tcW w:w="1100" w:type="dxa"/>
            <w:vAlign w:val="bottom"/>
            <w:tcBorders>
              <w:top w:val="single" w:sz="8" w:color="939598"/>
              <w:bottom w:val="single" w:sz="8" w:color="939598"/>
            </w:tcBorders>
          </w:tcPr>
          <w:p>
            <w:pPr>
              <w:jc w:val="right"/>
              <w:ind w:right="131"/>
              <w:spacing w:after="0" w:line="196" w:lineRule="exact"/>
              <w:rPr>
                <w:sz w:val="20"/>
                <w:szCs w:val="20"/>
                <w:color w:val="auto"/>
              </w:rPr>
            </w:pPr>
            <w:r>
              <w:rPr>
                <w:rFonts w:ascii="Arial" w:cs="Arial" w:eastAsia="Arial" w:hAnsi="Arial"/>
                <w:sz w:val="18"/>
                <w:szCs w:val="18"/>
                <w:color w:val="auto"/>
              </w:rPr>
              <w:t>(7.0)</w:t>
            </w:r>
          </w:p>
        </w:tc>
        <w:tc>
          <w:tcPr>
            <w:tcW w:w="1240" w:type="dxa"/>
            <w:vAlign w:val="bottom"/>
            <w:tcBorders>
              <w:top w:val="single" w:sz="8" w:color="939598"/>
              <w:bottom w:val="single" w:sz="8" w:color="939598"/>
            </w:tcBorders>
          </w:tcPr>
          <w:p>
            <w:pPr>
              <w:jc w:val="right"/>
              <w:ind w:right="131"/>
              <w:spacing w:after="0" w:line="196" w:lineRule="exact"/>
              <w:rPr>
                <w:sz w:val="20"/>
                <w:szCs w:val="20"/>
                <w:color w:val="auto"/>
              </w:rPr>
            </w:pPr>
            <w:r>
              <w:rPr>
                <w:rFonts w:ascii="Arial" w:cs="Arial" w:eastAsia="Arial" w:hAnsi="Arial"/>
                <w:sz w:val="18"/>
                <w:szCs w:val="18"/>
                <w:color w:val="auto"/>
              </w:rPr>
              <w:t>(142.3)</w:t>
            </w:r>
          </w:p>
        </w:tc>
        <w:tc>
          <w:tcPr>
            <w:tcW w:w="1360" w:type="dxa"/>
            <w:vAlign w:val="bottom"/>
            <w:tcBorders>
              <w:top w:val="single" w:sz="8" w:color="939598"/>
              <w:bottom w:val="single" w:sz="8" w:color="939598"/>
            </w:tcBorders>
          </w:tcPr>
          <w:p>
            <w:pPr>
              <w:jc w:val="right"/>
              <w:ind w:right="171"/>
              <w:spacing w:after="0" w:line="196" w:lineRule="exact"/>
              <w:rPr>
                <w:sz w:val="20"/>
                <w:szCs w:val="20"/>
                <w:color w:val="auto"/>
              </w:rPr>
            </w:pPr>
            <w:r>
              <w:rPr>
                <w:rFonts w:ascii="Arial" w:cs="Arial" w:eastAsia="Arial" w:hAnsi="Arial"/>
                <w:sz w:val="18"/>
                <w:szCs w:val="18"/>
                <w:color w:val="auto"/>
              </w:rPr>
              <w:t>(7.6)</w:t>
            </w:r>
          </w:p>
        </w:tc>
        <w:tc>
          <w:tcPr>
            <w:tcW w:w="820" w:type="dxa"/>
            <w:vAlign w:val="bottom"/>
            <w:tcBorders>
              <w:top w:val="single" w:sz="8" w:color="939598"/>
              <w:bottom w:val="single" w:sz="8" w:color="939598"/>
            </w:tcBorders>
          </w:tcPr>
          <w:p>
            <w:pPr>
              <w:jc w:val="right"/>
              <w:spacing w:after="0" w:line="196" w:lineRule="exact"/>
              <w:rPr>
                <w:sz w:val="20"/>
                <w:szCs w:val="20"/>
                <w:color w:val="auto"/>
              </w:rPr>
            </w:pPr>
            <w:r>
              <w:rPr>
                <w:rFonts w:ascii="Arial" w:cs="Arial" w:eastAsia="Arial" w:hAnsi="Arial"/>
                <w:sz w:val="18"/>
                <w:szCs w:val="18"/>
                <w:color w:val="auto"/>
              </w:rPr>
              <w:t>(134.7</w:t>
            </w:r>
          </w:p>
        </w:tc>
        <w:tc>
          <w:tcPr>
            <w:tcW w:w="220" w:type="dxa"/>
            <w:vAlign w:val="bottom"/>
          </w:tcPr>
          <w:p>
            <w:pPr>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880" w:type="dxa"/>
            <w:vAlign w:val="bottom"/>
          </w:tcPr>
          <w:p>
            <w:pPr>
              <w:spacing w:after="0" w:line="196" w:lineRule="exact"/>
              <w:rPr>
                <w:sz w:val="20"/>
                <w:szCs w:val="20"/>
                <w:color w:val="auto"/>
              </w:rPr>
            </w:pPr>
            <w:r>
              <w:rPr>
                <w:rFonts w:ascii="Arial" w:cs="Arial" w:eastAsia="Arial" w:hAnsi="Arial"/>
                <w:sz w:val="18"/>
                <w:szCs w:val="18"/>
                <w:color w:val="auto"/>
              </w:rPr>
              <w:t>France</w:t>
            </w:r>
          </w:p>
        </w:tc>
        <w:tc>
          <w:tcPr>
            <w:tcW w:w="440" w:type="dxa"/>
            <w:vAlign w:val="bottom"/>
          </w:tcPr>
          <w:p>
            <w:pPr>
              <w:spacing w:after="0"/>
              <w:rPr>
                <w:sz w:val="17"/>
                <w:szCs w:val="17"/>
                <w:color w:val="auto"/>
              </w:rPr>
            </w:pPr>
          </w:p>
        </w:tc>
        <w:tc>
          <w:tcPr>
            <w:tcW w:w="1140" w:type="dxa"/>
            <w:vAlign w:val="bottom"/>
          </w:tcPr>
          <w:p>
            <w:pPr>
              <w:jc w:val="right"/>
              <w:ind w:right="151"/>
              <w:spacing w:after="0" w:line="196" w:lineRule="exact"/>
              <w:rPr>
                <w:sz w:val="20"/>
                <w:szCs w:val="20"/>
                <w:color w:val="auto"/>
              </w:rPr>
            </w:pPr>
            <w:r>
              <w:rPr>
                <w:rFonts w:ascii="Arial" w:cs="Arial" w:eastAsia="Arial" w:hAnsi="Arial"/>
                <w:sz w:val="18"/>
                <w:szCs w:val="18"/>
                <w:color w:val="auto"/>
              </w:rPr>
              <w:t>20.8</w:t>
            </w:r>
          </w:p>
        </w:tc>
        <w:tc>
          <w:tcPr>
            <w:tcW w:w="1200" w:type="dxa"/>
            <w:vAlign w:val="bottom"/>
          </w:tcPr>
          <w:p>
            <w:pPr>
              <w:jc w:val="right"/>
              <w:ind w:right="171"/>
              <w:spacing w:after="0" w:line="196" w:lineRule="exact"/>
              <w:rPr>
                <w:sz w:val="20"/>
                <w:szCs w:val="20"/>
                <w:color w:val="auto"/>
              </w:rPr>
            </w:pPr>
            <w:r>
              <w:rPr>
                <w:rFonts w:ascii="Arial" w:cs="Arial" w:eastAsia="Arial" w:hAnsi="Arial"/>
                <w:sz w:val="18"/>
                <w:szCs w:val="18"/>
                <w:color w:val="auto"/>
              </w:rPr>
              <w:t>(93.0)</w:t>
            </w:r>
          </w:p>
        </w:tc>
        <w:tc>
          <w:tcPr>
            <w:tcW w:w="1100" w:type="dxa"/>
            <w:vAlign w:val="bottom"/>
          </w:tcPr>
          <w:p>
            <w:pPr>
              <w:jc w:val="right"/>
              <w:ind w:right="131"/>
              <w:spacing w:after="0" w:line="196" w:lineRule="exact"/>
              <w:rPr>
                <w:sz w:val="20"/>
                <w:szCs w:val="20"/>
                <w:color w:val="auto"/>
              </w:rPr>
            </w:pPr>
            <w:r>
              <w:rPr>
                <w:rFonts w:ascii="Arial" w:cs="Arial" w:eastAsia="Arial" w:hAnsi="Arial"/>
                <w:sz w:val="18"/>
                <w:szCs w:val="18"/>
                <w:color w:val="auto"/>
              </w:rPr>
              <w:t>(0.4)</w:t>
            </w:r>
          </w:p>
        </w:tc>
        <w:tc>
          <w:tcPr>
            <w:tcW w:w="1240" w:type="dxa"/>
            <w:vAlign w:val="bottom"/>
          </w:tcPr>
          <w:p>
            <w:pPr>
              <w:jc w:val="right"/>
              <w:ind w:right="131"/>
              <w:spacing w:after="0" w:line="196" w:lineRule="exact"/>
              <w:rPr>
                <w:sz w:val="20"/>
                <w:szCs w:val="20"/>
                <w:color w:val="auto"/>
              </w:rPr>
            </w:pPr>
            <w:r>
              <w:rPr>
                <w:rFonts w:ascii="Arial" w:cs="Arial" w:eastAsia="Arial" w:hAnsi="Arial"/>
                <w:sz w:val="18"/>
                <w:szCs w:val="18"/>
                <w:color w:val="auto"/>
              </w:rPr>
              <w:t>(92.6)</w:t>
            </w:r>
          </w:p>
        </w:tc>
        <w:tc>
          <w:tcPr>
            <w:tcW w:w="1360" w:type="dxa"/>
            <w:vAlign w:val="bottom"/>
          </w:tcPr>
          <w:p>
            <w:pPr>
              <w:jc w:val="right"/>
              <w:ind w:right="231"/>
              <w:spacing w:after="0" w:line="196" w:lineRule="exact"/>
              <w:rPr>
                <w:sz w:val="20"/>
                <w:szCs w:val="20"/>
                <w:color w:val="auto"/>
              </w:rPr>
            </w:pPr>
            <w:r>
              <w:rPr>
                <w:rFonts w:ascii="Arial" w:cs="Arial" w:eastAsia="Arial" w:hAnsi="Arial"/>
                <w:sz w:val="18"/>
                <w:szCs w:val="18"/>
                <w:color w:val="auto"/>
              </w:rPr>
              <w:t>–</w:t>
            </w: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(92.6</w:t>
            </w:r>
          </w:p>
        </w:tc>
        <w:tc>
          <w:tcPr>
            <w:tcW w:w="220" w:type="dxa"/>
            <w:vAlign w:val="bottom"/>
          </w:tcPr>
          <w:p>
            <w:pPr>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3900" w:type="dxa"/>
            <w:vAlign w:val="bottom"/>
            <w:gridSpan w:val="2"/>
          </w:tcPr>
          <w:p>
            <w:pPr>
              <w:spacing w:after="0" w:line="202" w:lineRule="exact"/>
              <w:rPr>
                <w:sz w:val="20"/>
                <w:szCs w:val="20"/>
                <w:color w:val="auto"/>
              </w:rPr>
            </w:pPr>
            <w:r>
              <w:rPr>
                <w:rFonts w:ascii="Arial" w:cs="Arial" w:eastAsia="Arial" w:hAnsi="Arial"/>
                <w:sz w:val="18"/>
                <w:szCs w:val="18"/>
                <w:color w:val="auto"/>
              </w:rPr>
              <w:t>EMEA:</w:t>
            </w:r>
          </w:p>
        </w:tc>
        <w:tc>
          <w:tcPr>
            <w:tcW w:w="4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80" w:type="dxa"/>
            <w:vAlign w:val="bottom"/>
          </w:tcPr>
          <w:p>
            <w:pPr>
              <w:ind w:left="260"/>
              <w:spacing w:after="0" w:line="202" w:lineRule="exact"/>
              <w:rPr>
                <w:sz w:val="20"/>
                <w:szCs w:val="20"/>
                <w:color w:val="auto"/>
              </w:rPr>
            </w:pPr>
            <w:r>
              <w:rPr>
                <w:rFonts w:ascii="Arial" w:cs="Arial" w:eastAsia="Arial" w:hAnsi="Arial"/>
                <w:sz w:val="18"/>
                <w:szCs w:val="18"/>
                <w:color w:val="auto"/>
              </w:rPr>
              <w:t>Italy</w:t>
            </w:r>
          </w:p>
        </w:tc>
        <w:tc>
          <w:tcPr>
            <w:tcW w:w="440" w:type="dxa"/>
            <w:vAlign w:val="bottom"/>
          </w:tcPr>
          <w:p>
            <w:pPr>
              <w:spacing w:after="0"/>
              <w:rPr>
                <w:sz w:val="17"/>
                <w:szCs w:val="17"/>
                <w:color w:val="auto"/>
              </w:rPr>
            </w:pPr>
          </w:p>
        </w:tc>
        <w:tc>
          <w:tcPr>
            <w:tcW w:w="1140" w:type="dxa"/>
            <w:vAlign w:val="bottom"/>
          </w:tcPr>
          <w:p>
            <w:pPr>
              <w:jc w:val="right"/>
              <w:ind w:right="151"/>
              <w:spacing w:after="0" w:line="202" w:lineRule="exact"/>
              <w:rPr>
                <w:sz w:val="20"/>
                <w:szCs w:val="20"/>
                <w:color w:val="auto"/>
              </w:rPr>
            </w:pPr>
            <w:r>
              <w:rPr>
                <w:rFonts w:ascii="Arial" w:cs="Arial" w:eastAsia="Arial" w:hAnsi="Arial"/>
                <w:sz w:val="18"/>
                <w:szCs w:val="18"/>
                <w:color w:val="auto"/>
              </w:rPr>
              <w:t>27.9</w:t>
            </w:r>
          </w:p>
        </w:tc>
        <w:tc>
          <w:tcPr>
            <w:tcW w:w="1200" w:type="dxa"/>
            <w:vAlign w:val="bottom"/>
          </w:tcPr>
          <w:p>
            <w:pPr>
              <w:jc w:val="right"/>
              <w:ind w:right="171"/>
              <w:spacing w:after="0" w:line="202" w:lineRule="exact"/>
              <w:rPr>
                <w:sz w:val="20"/>
                <w:szCs w:val="20"/>
                <w:color w:val="auto"/>
              </w:rPr>
            </w:pPr>
            <w:r>
              <w:rPr>
                <w:rFonts w:ascii="Arial" w:cs="Arial" w:eastAsia="Arial" w:hAnsi="Arial"/>
                <w:sz w:val="18"/>
                <w:szCs w:val="18"/>
                <w:color w:val="auto"/>
              </w:rPr>
              <w:t>(76.8)</w:t>
            </w:r>
          </w:p>
        </w:tc>
        <w:tc>
          <w:tcPr>
            <w:tcW w:w="1100" w:type="dxa"/>
            <w:vAlign w:val="bottom"/>
          </w:tcPr>
          <w:p>
            <w:pPr>
              <w:jc w:val="right"/>
              <w:ind w:right="131"/>
              <w:spacing w:after="0" w:line="202" w:lineRule="exact"/>
              <w:rPr>
                <w:sz w:val="20"/>
                <w:szCs w:val="20"/>
                <w:color w:val="auto"/>
              </w:rPr>
            </w:pPr>
            <w:r>
              <w:rPr>
                <w:rFonts w:ascii="Arial" w:cs="Arial" w:eastAsia="Arial" w:hAnsi="Arial"/>
                <w:sz w:val="18"/>
                <w:szCs w:val="18"/>
                <w:color w:val="auto"/>
              </w:rPr>
              <w:t>(0.3)</w:t>
            </w:r>
          </w:p>
        </w:tc>
        <w:tc>
          <w:tcPr>
            <w:tcW w:w="1240" w:type="dxa"/>
            <w:vAlign w:val="bottom"/>
          </w:tcPr>
          <w:p>
            <w:pPr>
              <w:jc w:val="right"/>
              <w:ind w:right="131"/>
              <w:spacing w:after="0" w:line="202" w:lineRule="exact"/>
              <w:rPr>
                <w:sz w:val="20"/>
                <w:szCs w:val="20"/>
                <w:color w:val="auto"/>
              </w:rPr>
            </w:pPr>
            <w:r>
              <w:rPr>
                <w:rFonts w:ascii="Arial" w:cs="Arial" w:eastAsia="Arial" w:hAnsi="Arial"/>
                <w:sz w:val="18"/>
                <w:szCs w:val="18"/>
                <w:color w:val="auto"/>
              </w:rPr>
              <w:t>(76.5)</w:t>
            </w:r>
          </w:p>
        </w:tc>
        <w:tc>
          <w:tcPr>
            <w:tcW w:w="1360" w:type="dxa"/>
            <w:vAlign w:val="bottom"/>
          </w:tcPr>
          <w:p>
            <w:pPr>
              <w:jc w:val="right"/>
              <w:ind w:right="231"/>
              <w:spacing w:after="0" w:line="202" w:lineRule="exact"/>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70"/>
              <w:spacing w:after="0" w:line="202" w:lineRule="exact"/>
              <w:rPr>
                <w:sz w:val="20"/>
                <w:szCs w:val="20"/>
                <w:color w:val="auto"/>
              </w:rPr>
            </w:pPr>
            <w:r>
              <w:rPr>
                <w:rFonts w:ascii="Arial" w:cs="Arial" w:eastAsia="Arial" w:hAnsi="Arial"/>
                <w:sz w:val="18"/>
                <w:szCs w:val="18"/>
                <w:color w:val="auto"/>
              </w:rPr>
              <w:t>(76.5)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80" w:type="dxa"/>
            <w:vAlign w:val="bottom"/>
          </w:tcPr>
          <w:p>
            <w:pPr>
              <w:ind w:left="260"/>
              <w:spacing w:after="0" w:line="202" w:lineRule="exact"/>
              <w:rPr>
                <w:sz w:val="20"/>
                <w:szCs w:val="20"/>
                <w:color w:val="auto"/>
              </w:rPr>
            </w:pPr>
            <w:r>
              <w:rPr>
                <w:rFonts w:ascii="Arial" w:cs="Arial" w:eastAsia="Arial" w:hAnsi="Arial"/>
                <w:sz w:val="18"/>
                <w:szCs w:val="18"/>
                <w:color w:val="auto"/>
              </w:rPr>
              <w:t>Other EMEA</w:t>
            </w:r>
          </w:p>
        </w:tc>
        <w:tc>
          <w:tcPr>
            <w:tcW w:w="440" w:type="dxa"/>
            <w:vAlign w:val="bottom"/>
          </w:tcPr>
          <w:p>
            <w:pPr>
              <w:spacing w:after="0"/>
              <w:rPr>
                <w:sz w:val="17"/>
                <w:szCs w:val="17"/>
                <w:color w:val="auto"/>
              </w:rPr>
            </w:pPr>
          </w:p>
        </w:tc>
        <w:tc>
          <w:tcPr>
            <w:tcW w:w="1140" w:type="dxa"/>
            <w:vAlign w:val="bottom"/>
          </w:tcPr>
          <w:p>
            <w:pPr>
              <w:jc w:val="right"/>
              <w:ind w:right="151"/>
              <w:spacing w:after="0" w:line="202" w:lineRule="exact"/>
              <w:rPr>
                <w:sz w:val="20"/>
                <w:szCs w:val="20"/>
                <w:color w:val="auto"/>
              </w:rPr>
            </w:pPr>
            <w:r>
              <w:rPr>
                <w:rFonts w:ascii="Arial" w:cs="Arial" w:eastAsia="Arial" w:hAnsi="Arial"/>
                <w:sz w:val="18"/>
                <w:szCs w:val="18"/>
                <w:color w:val="auto"/>
              </w:rPr>
              <w:t>34.7</w:t>
            </w:r>
          </w:p>
        </w:tc>
        <w:tc>
          <w:tcPr>
            <w:tcW w:w="1200" w:type="dxa"/>
            <w:vAlign w:val="bottom"/>
          </w:tcPr>
          <w:p>
            <w:pPr>
              <w:jc w:val="right"/>
              <w:ind w:right="171"/>
              <w:spacing w:after="0" w:line="202" w:lineRule="exact"/>
              <w:rPr>
                <w:sz w:val="20"/>
                <w:szCs w:val="20"/>
                <w:color w:val="auto"/>
              </w:rPr>
            </w:pPr>
            <w:r>
              <w:rPr>
                <w:rFonts w:ascii="Arial" w:cs="Arial" w:eastAsia="Arial" w:hAnsi="Arial"/>
                <w:sz w:val="18"/>
                <w:szCs w:val="18"/>
                <w:color w:val="auto"/>
              </w:rPr>
              <w:t>(85.4)</w:t>
            </w:r>
          </w:p>
        </w:tc>
        <w:tc>
          <w:tcPr>
            <w:tcW w:w="1100" w:type="dxa"/>
            <w:vAlign w:val="bottom"/>
          </w:tcPr>
          <w:p>
            <w:pPr>
              <w:jc w:val="right"/>
              <w:ind w:right="191"/>
              <w:spacing w:after="0" w:line="202" w:lineRule="exact"/>
              <w:rPr>
                <w:sz w:val="20"/>
                <w:szCs w:val="20"/>
                <w:color w:val="auto"/>
              </w:rPr>
            </w:pPr>
            <w:r>
              <w:rPr>
                <w:rFonts w:ascii="Arial" w:cs="Arial" w:eastAsia="Arial" w:hAnsi="Arial"/>
                <w:sz w:val="18"/>
                <w:szCs w:val="18"/>
                <w:color w:val="auto"/>
              </w:rPr>
              <w:t>1.0</w:t>
            </w:r>
          </w:p>
        </w:tc>
        <w:tc>
          <w:tcPr>
            <w:tcW w:w="1240" w:type="dxa"/>
            <w:vAlign w:val="bottom"/>
          </w:tcPr>
          <w:p>
            <w:pPr>
              <w:jc w:val="right"/>
              <w:ind w:right="131"/>
              <w:spacing w:after="0" w:line="202" w:lineRule="exact"/>
              <w:rPr>
                <w:sz w:val="20"/>
                <w:szCs w:val="20"/>
                <w:color w:val="auto"/>
              </w:rPr>
            </w:pPr>
            <w:r>
              <w:rPr>
                <w:rFonts w:ascii="Arial" w:cs="Arial" w:eastAsia="Arial" w:hAnsi="Arial"/>
                <w:sz w:val="18"/>
                <w:szCs w:val="18"/>
                <w:color w:val="auto"/>
              </w:rPr>
              <w:t>(86.4)</w:t>
            </w:r>
          </w:p>
        </w:tc>
        <w:tc>
          <w:tcPr>
            <w:tcW w:w="1360" w:type="dxa"/>
            <w:vAlign w:val="bottom"/>
          </w:tcPr>
          <w:p>
            <w:pPr>
              <w:jc w:val="right"/>
              <w:ind w:right="231"/>
              <w:spacing w:after="0" w:line="202" w:lineRule="exact"/>
              <w:rPr>
                <w:sz w:val="20"/>
                <w:szCs w:val="20"/>
                <w:color w:val="auto"/>
              </w:rPr>
            </w:pPr>
            <w:r>
              <w:rPr>
                <w:rFonts w:ascii="Arial" w:cs="Arial" w:eastAsia="Arial" w:hAnsi="Arial"/>
                <w:sz w:val="18"/>
                <w:szCs w:val="18"/>
                <w:color w:val="auto"/>
              </w:rPr>
              <w:t>2.6</w:t>
            </w:r>
          </w:p>
        </w:tc>
        <w:tc>
          <w:tcPr>
            <w:tcW w:w="1040" w:type="dxa"/>
            <w:vAlign w:val="bottom"/>
            <w:gridSpan w:val="2"/>
          </w:tcPr>
          <w:p>
            <w:pPr>
              <w:jc w:val="right"/>
              <w:ind w:right="70"/>
              <w:spacing w:after="0" w:line="202" w:lineRule="exact"/>
              <w:rPr>
                <w:sz w:val="20"/>
                <w:szCs w:val="20"/>
                <w:color w:val="auto"/>
              </w:rPr>
            </w:pPr>
            <w:r>
              <w:rPr>
                <w:rFonts w:ascii="Arial" w:cs="Arial" w:eastAsia="Arial" w:hAnsi="Arial"/>
                <w:sz w:val="18"/>
                <w:szCs w:val="18"/>
                <w:color w:val="auto"/>
              </w:rPr>
              <w:t>(89.0)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880" w:type="dxa"/>
            <w:vAlign w:val="bottom"/>
            <w:tcBorders>
              <w:top w:val="single" w:sz="8" w:color="939598"/>
              <w:bottom w:val="single" w:sz="8" w:color="939598"/>
            </w:tcBorders>
          </w:tcPr>
          <w:p>
            <w:pPr>
              <w:spacing w:after="0"/>
              <w:rPr>
                <w:sz w:val="17"/>
                <w:szCs w:val="17"/>
                <w:color w:val="auto"/>
              </w:rPr>
            </w:pPr>
          </w:p>
        </w:tc>
        <w:tc>
          <w:tcPr>
            <w:tcW w:w="440" w:type="dxa"/>
            <w:vAlign w:val="bottom"/>
            <w:tcBorders>
              <w:top w:val="single" w:sz="8" w:color="939598"/>
              <w:bottom w:val="single" w:sz="8" w:color="939598"/>
            </w:tcBorders>
          </w:tcPr>
          <w:p>
            <w:pPr>
              <w:spacing w:after="0"/>
              <w:rPr>
                <w:sz w:val="17"/>
                <w:szCs w:val="17"/>
                <w:color w:val="auto"/>
              </w:rPr>
            </w:pPr>
          </w:p>
        </w:tc>
        <w:tc>
          <w:tcPr>
            <w:tcW w:w="1140" w:type="dxa"/>
            <w:vAlign w:val="bottom"/>
            <w:tcBorders>
              <w:top w:val="single" w:sz="8" w:color="939598"/>
              <w:bottom w:val="single" w:sz="8" w:color="939598"/>
            </w:tcBorders>
          </w:tcPr>
          <w:p>
            <w:pPr>
              <w:jc w:val="right"/>
              <w:ind w:right="151"/>
              <w:spacing w:after="0" w:line="196" w:lineRule="exact"/>
              <w:rPr>
                <w:sz w:val="20"/>
                <w:szCs w:val="20"/>
                <w:color w:val="auto"/>
              </w:rPr>
            </w:pPr>
            <w:r>
              <w:rPr>
                <w:rFonts w:ascii="Arial" w:cs="Arial" w:eastAsia="Arial" w:hAnsi="Arial"/>
                <w:sz w:val="18"/>
                <w:szCs w:val="18"/>
                <w:color w:val="auto"/>
              </w:rPr>
              <w:t>62.6</w:t>
            </w:r>
          </w:p>
        </w:tc>
        <w:tc>
          <w:tcPr>
            <w:tcW w:w="1200" w:type="dxa"/>
            <w:vAlign w:val="bottom"/>
            <w:tcBorders>
              <w:top w:val="single" w:sz="8" w:color="939598"/>
              <w:bottom w:val="single" w:sz="8" w:color="939598"/>
            </w:tcBorders>
          </w:tcPr>
          <w:p>
            <w:pPr>
              <w:jc w:val="right"/>
              <w:ind w:right="171"/>
              <w:spacing w:after="0" w:line="196" w:lineRule="exact"/>
              <w:rPr>
                <w:sz w:val="20"/>
                <w:szCs w:val="20"/>
                <w:color w:val="auto"/>
              </w:rPr>
            </w:pPr>
            <w:r>
              <w:rPr>
                <w:rFonts w:ascii="Arial" w:cs="Arial" w:eastAsia="Arial" w:hAnsi="Arial"/>
                <w:sz w:val="18"/>
                <w:szCs w:val="18"/>
                <w:color w:val="auto"/>
              </w:rPr>
              <w:t>(82.5)</w:t>
            </w:r>
          </w:p>
        </w:tc>
        <w:tc>
          <w:tcPr>
            <w:tcW w:w="1100" w:type="dxa"/>
            <w:vAlign w:val="bottom"/>
            <w:tcBorders>
              <w:top w:val="single" w:sz="8" w:color="939598"/>
              <w:bottom w:val="single" w:sz="8" w:color="939598"/>
            </w:tcBorders>
          </w:tcPr>
          <w:p>
            <w:pPr>
              <w:jc w:val="right"/>
              <w:ind w:right="191"/>
              <w:spacing w:after="0" w:line="196" w:lineRule="exact"/>
              <w:rPr>
                <w:sz w:val="20"/>
                <w:szCs w:val="20"/>
                <w:color w:val="auto"/>
              </w:rPr>
            </w:pPr>
            <w:r>
              <w:rPr>
                <w:rFonts w:ascii="Arial" w:cs="Arial" w:eastAsia="Arial" w:hAnsi="Arial"/>
                <w:sz w:val="18"/>
                <w:szCs w:val="18"/>
                <w:color w:val="auto"/>
              </w:rPr>
              <w:t>0.6</w:t>
            </w:r>
          </w:p>
        </w:tc>
        <w:tc>
          <w:tcPr>
            <w:tcW w:w="1240" w:type="dxa"/>
            <w:vAlign w:val="bottom"/>
            <w:tcBorders>
              <w:top w:val="single" w:sz="8" w:color="939598"/>
              <w:bottom w:val="single" w:sz="8" w:color="939598"/>
            </w:tcBorders>
          </w:tcPr>
          <w:p>
            <w:pPr>
              <w:jc w:val="right"/>
              <w:ind w:right="131"/>
              <w:spacing w:after="0" w:line="196" w:lineRule="exact"/>
              <w:rPr>
                <w:sz w:val="20"/>
                <w:szCs w:val="20"/>
                <w:color w:val="auto"/>
              </w:rPr>
            </w:pPr>
            <w:r>
              <w:rPr>
                <w:rFonts w:ascii="Arial" w:cs="Arial" w:eastAsia="Arial" w:hAnsi="Arial"/>
                <w:sz w:val="18"/>
                <w:szCs w:val="18"/>
                <w:color w:val="auto"/>
              </w:rPr>
              <w:t>(83.1)</w:t>
            </w:r>
          </w:p>
        </w:tc>
        <w:tc>
          <w:tcPr>
            <w:tcW w:w="1360" w:type="dxa"/>
            <w:vAlign w:val="bottom"/>
            <w:tcBorders>
              <w:top w:val="single" w:sz="8" w:color="939598"/>
              <w:bottom w:val="single" w:sz="8" w:color="939598"/>
            </w:tcBorders>
          </w:tcPr>
          <w:p>
            <w:pPr>
              <w:jc w:val="right"/>
              <w:ind w:right="231"/>
              <w:spacing w:after="0" w:line="196" w:lineRule="exact"/>
              <w:rPr>
                <w:sz w:val="20"/>
                <w:szCs w:val="20"/>
                <w:color w:val="auto"/>
              </w:rPr>
            </w:pPr>
            <w:r>
              <w:rPr>
                <w:rFonts w:ascii="Arial" w:cs="Arial" w:eastAsia="Arial" w:hAnsi="Arial"/>
                <w:sz w:val="18"/>
                <w:szCs w:val="18"/>
                <w:color w:val="auto"/>
              </w:rPr>
              <w:t>1.7</w:t>
            </w:r>
          </w:p>
        </w:tc>
        <w:tc>
          <w:tcPr>
            <w:tcW w:w="820" w:type="dxa"/>
            <w:vAlign w:val="bottom"/>
            <w:tcBorders>
              <w:top w:val="single" w:sz="8" w:color="939598"/>
              <w:bottom w:val="single" w:sz="8" w:color="939598"/>
            </w:tcBorders>
          </w:tcPr>
          <w:p>
            <w:pPr>
              <w:jc w:val="right"/>
              <w:spacing w:after="0" w:line="196" w:lineRule="exact"/>
              <w:rPr>
                <w:sz w:val="20"/>
                <w:szCs w:val="20"/>
                <w:color w:val="auto"/>
              </w:rPr>
            </w:pPr>
            <w:r>
              <w:rPr>
                <w:rFonts w:ascii="Arial" w:cs="Arial" w:eastAsia="Arial" w:hAnsi="Arial"/>
                <w:sz w:val="18"/>
                <w:szCs w:val="18"/>
                <w:color w:val="auto"/>
              </w:rPr>
              <w:t>(84.8</w:t>
            </w:r>
          </w:p>
        </w:tc>
        <w:tc>
          <w:tcPr>
            <w:tcW w:w="220" w:type="dxa"/>
            <w:vAlign w:val="bottom"/>
          </w:tcPr>
          <w:p>
            <w:pPr>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880" w:type="dxa"/>
            <w:vAlign w:val="bottom"/>
          </w:tcPr>
          <w:p>
            <w:pPr>
              <w:spacing w:after="0" w:line="196" w:lineRule="exact"/>
              <w:rPr>
                <w:sz w:val="20"/>
                <w:szCs w:val="20"/>
                <w:color w:val="auto"/>
              </w:rPr>
            </w:pPr>
            <w:r>
              <w:rPr>
                <w:rFonts w:ascii="Arial" w:cs="Arial" w:eastAsia="Arial" w:hAnsi="Arial"/>
                <w:sz w:val="18"/>
                <w:szCs w:val="18"/>
                <w:color w:val="auto"/>
              </w:rPr>
              <w:t>Asia Pacific</w:t>
            </w:r>
          </w:p>
        </w:tc>
        <w:tc>
          <w:tcPr>
            <w:tcW w:w="440" w:type="dxa"/>
            <w:vAlign w:val="bottom"/>
          </w:tcPr>
          <w:p>
            <w:pPr>
              <w:spacing w:after="0"/>
              <w:rPr>
                <w:sz w:val="17"/>
                <w:szCs w:val="17"/>
                <w:color w:val="auto"/>
              </w:rPr>
            </w:pPr>
          </w:p>
        </w:tc>
        <w:tc>
          <w:tcPr>
            <w:tcW w:w="1140" w:type="dxa"/>
            <w:vAlign w:val="bottom"/>
          </w:tcPr>
          <w:p>
            <w:pPr>
              <w:jc w:val="right"/>
              <w:ind w:right="151"/>
              <w:spacing w:after="0" w:line="196" w:lineRule="exact"/>
              <w:rPr>
                <w:sz w:val="20"/>
                <w:szCs w:val="20"/>
                <w:color w:val="auto"/>
              </w:rPr>
            </w:pPr>
            <w:r>
              <w:rPr>
                <w:rFonts w:ascii="Arial" w:cs="Arial" w:eastAsia="Arial" w:hAnsi="Arial"/>
                <w:sz w:val="18"/>
                <w:szCs w:val="18"/>
                <w:color w:val="auto"/>
              </w:rPr>
              <w:t>26.5</w:t>
            </w:r>
          </w:p>
        </w:tc>
        <w:tc>
          <w:tcPr>
            <w:tcW w:w="1200" w:type="dxa"/>
            <w:vAlign w:val="bottom"/>
          </w:tcPr>
          <w:p>
            <w:pPr>
              <w:jc w:val="right"/>
              <w:ind w:right="171"/>
              <w:spacing w:after="0" w:line="196" w:lineRule="exact"/>
              <w:rPr>
                <w:sz w:val="20"/>
                <w:szCs w:val="20"/>
                <w:color w:val="auto"/>
              </w:rPr>
            </w:pPr>
            <w:r>
              <w:rPr>
                <w:rFonts w:ascii="Arial" w:cs="Arial" w:eastAsia="Arial" w:hAnsi="Arial"/>
                <w:sz w:val="18"/>
                <w:szCs w:val="18"/>
                <w:color w:val="auto"/>
              </w:rPr>
              <w:t>(9.3)</w:t>
            </w:r>
          </w:p>
        </w:tc>
        <w:tc>
          <w:tcPr>
            <w:tcW w:w="1100" w:type="dxa"/>
            <w:vAlign w:val="bottom"/>
          </w:tcPr>
          <w:p>
            <w:pPr>
              <w:jc w:val="right"/>
              <w:ind w:right="191"/>
              <w:spacing w:after="0" w:line="196" w:lineRule="exact"/>
              <w:rPr>
                <w:sz w:val="20"/>
                <w:szCs w:val="20"/>
                <w:color w:val="auto"/>
              </w:rPr>
            </w:pPr>
            <w:r>
              <w:rPr>
                <w:rFonts w:ascii="Arial" w:cs="Arial" w:eastAsia="Arial" w:hAnsi="Arial"/>
                <w:sz w:val="18"/>
                <w:szCs w:val="18"/>
                <w:color w:val="auto"/>
              </w:rPr>
              <w:t>10.6</w:t>
            </w:r>
          </w:p>
        </w:tc>
        <w:tc>
          <w:tcPr>
            <w:tcW w:w="1240" w:type="dxa"/>
            <w:vAlign w:val="bottom"/>
          </w:tcPr>
          <w:p>
            <w:pPr>
              <w:jc w:val="right"/>
              <w:ind w:right="131"/>
              <w:spacing w:after="0" w:line="196" w:lineRule="exact"/>
              <w:rPr>
                <w:sz w:val="20"/>
                <w:szCs w:val="20"/>
                <w:color w:val="auto"/>
              </w:rPr>
            </w:pPr>
            <w:r>
              <w:rPr>
                <w:rFonts w:ascii="Arial" w:cs="Arial" w:eastAsia="Arial" w:hAnsi="Arial"/>
                <w:sz w:val="18"/>
                <w:szCs w:val="18"/>
                <w:color w:val="auto"/>
              </w:rPr>
              <w:t>(19.9)</w:t>
            </w:r>
          </w:p>
        </w:tc>
        <w:tc>
          <w:tcPr>
            <w:tcW w:w="1360" w:type="dxa"/>
            <w:vAlign w:val="bottom"/>
          </w:tcPr>
          <w:p>
            <w:pPr>
              <w:jc w:val="right"/>
              <w:ind w:right="231"/>
              <w:spacing w:after="0" w:line="196" w:lineRule="exact"/>
              <w:rPr>
                <w:sz w:val="20"/>
                <w:szCs w:val="20"/>
                <w:color w:val="auto"/>
              </w:rPr>
            </w:pPr>
            <w:r>
              <w:rPr>
                <w:rFonts w:ascii="Arial" w:cs="Arial" w:eastAsia="Arial" w:hAnsi="Arial"/>
                <w:sz w:val="18"/>
                <w:szCs w:val="18"/>
                <w:color w:val="auto"/>
              </w:rPr>
              <w:t>–</w:t>
            </w: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(19.9</w:t>
            </w:r>
          </w:p>
        </w:tc>
        <w:tc>
          <w:tcPr>
            <w:tcW w:w="220" w:type="dxa"/>
            <w:vAlign w:val="bottom"/>
          </w:tcPr>
          <w:p>
            <w:pPr>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1"/>
        </w:trPr>
        <w:tc>
          <w:tcPr>
            <w:tcW w:w="3900" w:type="dxa"/>
            <w:vAlign w:val="bottom"/>
            <w:gridSpan w:val="2"/>
          </w:tcPr>
          <w:p>
            <w:pPr>
              <w:spacing w:after="0" w:line="181" w:lineRule="exact"/>
              <w:rPr>
                <w:sz w:val="20"/>
                <w:szCs w:val="20"/>
                <w:color w:val="auto"/>
              </w:rPr>
            </w:pPr>
            <w:r>
              <w:rPr>
                <w:rFonts w:ascii="Arial" w:cs="Arial" w:eastAsia="Arial" w:hAnsi="Arial"/>
                <w:sz w:val="18"/>
                <w:szCs w:val="18"/>
                <w:color w:val="auto"/>
              </w:rPr>
              <w:t>Right Management</w:t>
            </w:r>
          </w:p>
        </w:tc>
        <w:tc>
          <w:tcPr>
            <w:tcW w:w="440" w:type="dxa"/>
            <w:vAlign w:val="bottom"/>
          </w:tcPr>
          <w:p>
            <w:pPr>
              <w:spacing w:after="0"/>
              <w:rPr>
                <w:sz w:val="15"/>
                <w:szCs w:val="15"/>
                <w:color w:val="auto"/>
              </w:rPr>
            </w:pPr>
          </w:p>
        </w:tc>
        <w:tc>
          <w:tcPr>
            <w:tcW w:w="1140" w:type="dxa"/>
            <w:vAlign w:val="bottom"/>
          </w:tcPr>
          <w:p>
            <w:pPr>
              <w:jc w:val="right"/>
              <w:ind w:right="151"/>
              <w:spacing w:after="0" w:line="181" w:lineRule="exact"/>
              <w:rPr>
                <w:sz w:val="20"/>
                <w:szCs w:val="20"/>
                <w:color w:val="auto"/>
              </w:rPr>
            </w:pPr>
            <w:r>
              <w:rPr>
                <w:rFonts w:ascii="Arial" w:cs="Arial" w:eastAsia="Arial" w:hAnsi="Arial"/>
                <w:sz w:val="18"/>
                <w:szCs w:val="18"/>
                <w:color w:val="auto"/>
              </w:rPr>
              <w:t>113.4</w:t>
            </w:r>
          </w:p>
        </w:tc>
        <w:tc>
          <w:tcPr>
            <w:tcW w:w="1200" w:type="dxa"/>
            <w:vAlign w:val="bottom"/>
          </w:tcPr>
          <w:p>
            <w:pPr>
              <w:jc w:val="right"/>
              <w:ind w:right="231"/>
              <w:spacing w:after="0" w:line="181" w:lineRule="exact"/>
              <w:rPr>
                <w:sz w:val="20"/>
                <w:szCs w:val="20"/>
                <w:color w:val="auto"/>
              </w:rPr>
            </w:pPr>
            <w:r>
              <w:rPr>
                <w:rFonts w:ascii="Arial" w:cs="Arial" w:eastAsia="Arial" w:hAnsi="Arial"/>
                <w:sz w:val="18"/>
                <w:szCs w:val="18"/>
                <w:color w:val="auto"/>
              </w:rPr>
              <w:t>153.6</w:t>
            </w:r>
          </w:p>
        </w:tc>
        <w:tc>
          <w:tcPr>
            <w:tcW w:w="1100" w:type="dxa"/>
            <w:vAlign w:val="bottom"/>
          </w:tcPr>
          <w:p>
            <w:pPr>
              <w:jc w:val="right"/>
              <w:ind w:right="131"/>
              <w:spacing w:after="0" w:line="181" w:lineRule="exact"/>
              <w:rPr>
                <w:sz w:val="20"/>
                <w:szCs w:val="20"/>
                <w:color w:val="auto"/>
              </w:rPr>
            </w:pPr>
            <w:r>
              <w:rPr>
                <w:rFonts w:ascii="Arial" w:cs="Arial" w:eastAsia="Arial" w:hAnsi="Arial"/>
                <w:sz w:val="18"/>
                <w:szCs w:val="18"/>
                <w:color w:val="auto"/>
              </w:rPr>
              <w:t>(5.2)</w:t>
            </w:r>
          </w:p>
        </w:tc>
        <w:tc>
          <w:tcPr>
            <w:tcW w:w="1240" w:type="dxa"/>
            <w:vAlign w:val="bottom"/>
          </w:tcPr>
          <w:p>
            <w:pPr>
              <w:jc w:val="right"/>
              <w:ind w:right="191"/>
              <w:spacing w:after="0" w:line="181" w:lineRule="exact"/>
              <w:rPr>
                <w:sz w:val="20"/>
                <w:szCs w:val="20"/>
                <w:color w:val="auto"/>
              </w:rPr>
            </w:pPr>
            <w:r>
              <w:rPr>
                <w:rFonts w:ascii="Arial" w:cs="Arial" w:eastAsia="Arial" w:hAnsi="Arial"/>
                <w:sz w:val="18"/>
                <w:szCs w:val="18"/>
                <w:color w:val="auto"/>
              </w:rPr>
              <w:t>158.8</w:t>
            </w:r>
          </w:p>
        </w:tc>
        <w:tc>
          <w:tcPr>
            <w:tcW w:w="1360" w:type="dxa"/>
            <w:vAlign w:val="bottom"/>
          </w:tcPr>
          <w:p>
            <w:pPr>
              <w:jc w:val="right"/>
              <w:ind w:right="231"/>
              <w:spacing w:after="0" w:line="181" w:lineRule="exact"/>
              <w:rPr>
                <w:sz w:val="20"/>
                <w:szCs w:val="20"/>
                <w:color w:val="auto"/>
              </w:rPr>
            </w:pPr>
            <w:r>
              <w:rPr>
                <w:rFonts w:ascii="Arial" w:cs="Arial" w:eastAsia="Arial" w:hAnsi="Arial"/>
                <w:sz w:val="18"/>
                <w:szCs w:val="18"/>
                <w:color w:val="auto"/>
              </w:rPr>
              <w:t>–</w:t>
            </w:r>
          </w:p>
        </w:tc>
        <w:tc>
          <w:tcPr>
            <w:tcW w:w="820" w:type="dxa"/>
            <w:vAlign w:val="bottom"/>
          </w:tcPr>
          <w:p>
            <w:pPr>
              <w:jc w:val="right"/>
              <w:spacing w:after="0" w:line="181" w:lineRule="exact"/>
              <w:rPr>
                <w:sz w:val="20"/>
                <w:szCs w:val="20"/>
                <w:color w:val="auto"/>
              </w:rPr>
            </w:pPr>
            <w:r>
              <w:rPr>
                <w:rFonts w:ascii="Arial" w:cs="Arial" w:eastAsia="Arial" w:hAnsi="Arial"/>
                <w:sz w:val="18"/>
                <w:szCs w:val="18"/>
                <w:color w:val="auto"/>
              </w:rPr>
              <w:t>158.8</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3900" w:type="dxa"/>
            <w:vAlign w:val="bottom"/>
            <w:gridSpan w:val="2"/>
          </w:tcPr>
          <w:p>
            <w:pPr>
              <w:spacing w:after="0"/>
              <w:rPr>
                <w:sz w:val="20"/>
                <w:szCs w:val="20"/>
                <w:color w:val="auto"/>
              </w:rPr>
            </w:pPr>
            <w:r>
              <w:rPr>
                <w:rFonts w:ascii="Arial" w:cs="Arial" w:eastAsia="Arial" w:hAnsi="Arial"/>
                <w:sz w:val="18"/>
                <w:szCs w:val="18"/>
                <w:b w:val="1"/>
                <w:bCs w:val="1"/>
                <w:color w:val="939598"/>
              </w:rPr>
              <w:t>Operating Profit - Manpower Inc.</w:t>
            </w:r>
          </w:p>
        </w:tc>
        <w:tc>
          <w:tcPr>
            <w:tcW w:w="440" w:type="dxa"/>
            <w:vAlign w:val="bottom"/>
          </w:tcPr>
          <w:p>
            <w:pPr>
              <w:spacing w:after="0"/>
              <w:rPr>
                <w:sz w:val="19"/>
                <w:szCs w:val="19"/>
                <w:color w:val="auto"/>
              </w:rPr>
            </w:pPr>
          </w:p>
        </w:tc>
        <w:tc>
          <w:tcPr>
            <w:tcW w:w="1140" w:type="dxa"/>
            <w:vAlign w:val="bottom"/>
          </w:tcPr>
          <w:p>
            <w:pPr>
              <w:jc w:val="right"/>
              <w:ind w:right="151"/>
              <w:spacing w:after="0"/>
              <w:rPr>
                <w:sz w:val="20"/>
                <w:szCs w:val="20"/>
                <w:color w:val="auto"/>
              </w:rPr>
            </w:pPr>
            <w:r>
              <w:rPr>
                <w:rFonts w:ascii="Arial" w:cs="Arial" w:eastAsia="Arial" w:hAnsi="Arial"/>
                <w:sz w:val="18"/>
                <w:szCs w:val="18"/>
                <w:color w:val="auto"/>
              </w:rPr>
              <w:t>41.7</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(91.5)%</w:t>
            </w:r>
          </w:p>
        </w:tc>
        <w:tc>
          <w:tcPr>
            <w:tcW w:w="1100" w:type="dxa"/>
            <w:vAlign w:val="bottom"/>
          </w:tcPr>
          <w:p>
            <w:pPr>
              <w:jc w:val="right"/>
              <w:spacing w:after="0"/>
              <w:rPr>
                <w:sz w:val="20"/>
                <w:szCs w:val="20"/>
                <w:color w:val="auto"/>
              </w:rPr>
            </w:pPr>
            <w:r>
              <w:rPr>
                <w:rFonts w:ascii="Arial" w:cs="Arial" w:eastAsia="Arial" w:hAnsi="Arial"/>
                <w:sz w:val="18"/>
                <w:szCs w:val="18"/>
                <w:color w:val="auto"/>
              </w:rPr>
              <w:t>(0.2)%</w:t>
            </w:r>
          </w:p>
        </w:tc>
        <w:tc>
          <w:tcPr>
            <w:tcW w:w="1240" w:type="dxa"/>
            <w:vAlign w:val="bottom"/>
          </w:tcPr>
          <w:p>
            <w:pPr>
              <w:jc w:val="right"/>
              <w:spacing w:after="0"/>
              <w:rPr>
                <w:sz w:val="20"/>
                <w:szCs w:val="20"/>
                <w:color w:val="auto"/>
              </w:rPr>
            </w:pPr>
            <w:r>
              <w:rPr>
                <w:rFonts w:ascii="Arial" w:cs="Arial" w:eastAsia="Arial" w:hAnsi="Arial"/>
                <w:sz w:val="18"/>
                <w:szCs w:val="18"/>
                <w:color w:val="auto"/>
              </w:rPr>
              <w:t>(91.3)%</w:t>
            </w:r>
          </w:p>
        </w:tc>
        <w:tc>
          <w:tcPr>
            <w:tcW w:w="1360" w:type="dxa"/>
            <w:vAlign w:val="bottom"/>
          </w:tcPr>
          <w:p>
            <w:pPr>
              <w:jc w:val="right"/>
              <w:ind w:right="71"/>
              <w:spacing w:after="0"/>
              <w:rPr>
                <w:sz w:val="20"/>
                <w:szCs w:val="20"/>
                <w:color w:val="auto"/>
              </w:rPr>
            </w:pPr>
            <w:r>
              <w:rPr>
                <w:rFonts w:ascii="Arial" w:cs="Arial" w:eastAsia="Arial" w:hAnsi="Arial"/>
                <w:sz w:val="18"/>
                <w:szCs w:val="18"/>
                <w:color w:val="auto"/>
              </w:rPr>
              <w:t>0.6%</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(91.9)%</w:t>
            </w:r>
          </w:p>
        </w:tc>
        <w:tc>
          <w:tcPr>
            <w:tcW w:w="0" w:type="dxa"/>
            <w:vAlign w:val="bottom"/>
          </w:tcPr>
          <w:p>
            <w:pPr>
              <w:spacing w:after="0"/>
              <w:rPr>
                <w:sz w:val="1"/>
                <w:szCs w:val="1"/>
                <w:color w:val="auto"/>
              </w:rPr>
            </w:pPr>
          </w:p>
        </w:tc>
      </w:tr>
      <w:tr>
        <w:trPr>
          <w:trHeight w:val="27"/>
        </w:trPr>
        <w:tc>
          <w:tcPr>
            <w:tcW w:w="20" w:type="dxa"/>
            <w:vAlign w:val="bottom"/>
            <w:shd w:val="clear" w:color="auto" w:fill="939598"/>
          </w:tcPr>
          <w:p>
            <w:pPr>
              <w:spacing w:after="0"/>
              <w:rPr>
                <w:sz w:val="2"/>
                <w:szCs w:val="2"/>
                <w:color w:val="auto"/>
              </w:rPr>
            </w:pPr>
          </w:p>
        </w:tc>
        <w:tc>
          <w:tcPr>
            <w:tcW w:w="3880" w:type="dxa"/>
            <w:vAlign w:val="bottom"/>
            <w:shd w:val="clear" w:color="auto" w:fill="939598"/>
          </w:tcPr>
          <w:p>
            <w:pPr>
              <w:spacing w:after="0"/>
              <w:rPr>
                <w:sz w:val="2"/>
                <w:szCs w:val="2"/>
                <w:color w:val="auto"/>
              </w:rPr>
            </w:pPr>
          </w:p>
        </w:tc>
        <w:tc>
          <w:tcPr>
            <w:tcW w:w="440" w:type="dxa"/>
            <w:vAlign w:val="bottom"/>
            <w:shd w:val="clear" w:color="auto" w:fill="939598"/>
          </w:tcPr>
          <w:p>
            <w:pPr>
              <w:spacing w:after="0"/>
              <w:rPr>
                <w:sz w:val="2"/>
                <w:szCs w:val="2"/>
                <w:color w:val="auto"/>
              </w:rPr>
            </w:pPr>
          </w:p>
        </w:tc>
        <w:tc>
          <w:tcPr>
            <w:tcW w:w="1140" w:type="dxa"/>
            <w:vAlign w:val="bottom"/>
            <w:shd w:val="clear" w:color="auto" w:fill="939598"/>
          </w:tcPr>
          <w:p>
            <w:pPr>
              <w:spacing w:after="0"/>
              <w:rPr>
                <w:sz w:val="2"/>
                <w:szCs w:val="2"/>
                <w:color w:val="auto"/>
              </w:rPr>
            </w:pPr>
          </w:p>
        </w:tc>
        <w:tc>
          <w:tcPr>
            <w:tcW w:w="1200" w:type="dxa"/>
            <w:vAlign w:val="bottom"/>
            <w:shd w:val="clear" w:color="auto" w:fill="939598"/>
          </w:tcPr>
          <w:p>
            <w:pPr>
              <w:spacing w:after="0"/>
              <w:rPr>
                <w:sz w:val="2"/>
                <w:szCs w:val="2"/>
                <w:color w:val="auto"/>
              </w:rPr>
            </w:pPr>
          </w:p>
        </w:tc>
        <w:tc>
          <w:tcPr>
            <w:tcW w:w="1100" w:type="dxa"/>
            <w:vAlign w:val="bottom"/>
            <w:shd w:val="clear" w:color="auto" w:fill="939598"/>
          </w:tcPr>
          <w:p>
            <w:pPr>
              <w:spacing w:after="0"/>
              <w:rPr>
                <w:sz w:val="2"/>
                <w:szCs w:val="2"/>
                <w:color w:val="auto"/>
              </w:rPr>
            </w:pPr>
          </w:p>
        </w:tc>
        <w:tc>
          <w:tcPr>
            <w:tcW w:w="1240" w:type="dxa"/>
            <w:vAlign w:val="bottom"/>
            <w:shd w:val="clear" w:color="auto" w:fill="939598"/>
          </w:tcPr>
          <w:p>
            <w:pPr>
              <w:spacing w:after="0"/>
              <w:rPr>
                <w:sz w:val="2"/>
                <w:szCs w:val="2"/>
                <w:color w:val="auto"/>
              </w:rPr>
            </w:pPr>
          </w:p>
        </w:tc>
        <w:tc>
          <w:tcPr>
            <w:tcW w:w="1360" w:type="dxa"/>
            <w:vAlign w:val="bottom"/>
            <w:shd w:val="clear" w:color="auto" w:fill="939598"/>
          </w:tcPr>
          <w:p>
            <w:pPr>
              <w:spacing w:after="0"/>
              <w:rPr>
                <w:sz w:val="2"/>
                <w:szCs w:val="2"/>
                <w:color w:val="auto"/>
              </w:rPr>
            </w:pPr>
          </w:p>
        </w:tc>
        <w:tc>
          <w:tcPr>
            <w:tcW w:w="820" w:type="dxa"/>
            <w:vAlign w:val="bottom"/>
            <w:shd w:val="clear" w:color="auto" w:fill="939598"/>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12" w:lineRule="exact"/>
        <w:rPr>
          <w:sz w:val="20"/>
          <w:szCs w:val="20"/>
          <w:color w:val="auto"/>
        </w:rPr>
      </w:pPr>
    </w:p>
    <w:p>
      <w:pPr>
        <w:spacing w:after="0"/>
        <w:rPr>
          <w:sz w:val="20"/>
          <w:szCs w:val="20"/>
          <w:color w:val="auto"/>
        </w:rPr>
      </w:pPr>
      <w:r>
        <w:rPr>
          <w:rFonts w:ascii="Arial" w:cs="Arial" w:eastAsia="Arial" w:hAnsi="Arial"/>
          <w:sz w:val="24"/>
          <w:szCs w:val="24"/>
          <w:color w:val="86B6A5"/>
        </w:rPr>
        <w:t>Cash Sources And Uses</w:t>
      </w:r>
    </w:p>
    <w:p>
      <w:pPr>
        <w:spacing w:after="0" w:line="227"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Cash used to fund our operations is primarily generated through operating activities and our existing credit facilities. We believe that our available cash and our existing credit facilities are sufficient to cover our cash needs for the foreseeable future. We assess and monitor our liquidity and capital resources globally. We use a global cash pooling arrangement, intercompany lending, and some local credit lines to meet funding needs and allocate our capital resources among our various entities. We anticipate cash repatriations to the United States from certain international subsidiaries and have provided for deferred taxes related to those foreign earnings not considered to be permanently invested. As of December 31, 2010 we have identified approximately $ 330.0 million of non-U.S. funds that will likely be repatriated, the majority of which is related to Manpower France. We may repatriate additional funds in the future as cash needs arise.</w:t>
      </w:r>
    </w:p>
    <w:p>
      <w:pPr>
        <w:spacing w:after="0" w:line="203" w:lineRule="exact"/>
        <w:rPr>
          <w:sz w:val="20"/>
          <w:szCs w:val="20"/>
          <w:color w:val="auto"/>
        </w:rPr>
      </w:pPr>
    </w:p>
    <w:p>
      <w:pPr>
        <w:jc w:val="both"/>
        <w:spacing w:after="0"/>
        <w:rPr>
          <w:sz w:val="20"/>
          <w:szCs w:val="20"/>
          <w:color w:val="auto"/>
        </w:rPr>
      </w:pPr>
      <w:r>
        <w:rPr>
          <w:rFonts w:ascii="Arial" w:cs="Arial" w:eastAsia="Arial" w:hAnsi="Arial"/>
          <w:sz w:val="18"/>
          <w:szCs w:val="18"/>
          <w:color w:val="auto"/>
        </w:rPr>
        <w:t>Our principal ongoing cash needs are to finance working capital, capital expenditures, debt payments, interest expense, share repurchases, dividends and acquisitions. Working capital is primarily in the form of trade receivables, which generally increase as revenues increase. The amount of financing necessary to support revenue growth depends on receivables turnover, which differs in each market where we operate.</w:t>
      </w:r>
    </w:p>
    <w:p>
      <w:pPr>
        <w:spacing w:after="0" w:line="203"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During 2010, cash provided by operating activities was $182.1 million, compared to $414.3 million for 2009 and $792.0 million for 2008. The decrease in cash generated from operating activities in 2010 from 2009 was primarily attributable to increased working capital needs as the result of our business recovering from the global economic downturn that has impacted the demand for our services over the past two years. Changes in operating assets and liabilities utilized approximately $76.4 million of cash in 2010 as compared to providing cash of $239.4 million in 2009 and $305.1 million in 2008. This cash decrease through changes in net operating assets in 2010 was primarily due to the increase in the accounts receivable given the impact of the economic growth on demand for our services.</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color w:val="4D8ABE"/>
        </w:rPr>
        <w:t xml:space="preserve">30 </w:t>
      </w:r>
      <w:r>
        <w:rPr>
          <w:rFonts w:ascii="Arial" w:cs="Arial" w:eastAsia="Arial" w:hAnsi="Arial"/>
          <w:sz w:val="16"/>
          <w:szCs w:val="16"/>
          <w:color w:val="4D8ABE"/>
        </w:rPr>
        <w:t>Manpower 2010 Annual Report</w:t>
      </w:r>
      <w:r>
        <w:rPr>
          <w:rFonts w:ascii="Arial" w:cs="Arial" w:eastAsia="Arial" w:hAnsi="Arial"/>
          <w:sz w:val="16"/>
          <w:szCs w:val="16"/>
          <w:b w:val="1"/>
          <w:bCs w:val="1"/>
          <w:color w:val="4D8ABE"/>
        </w:rPr>
        <w:t xml:space="preserve"> </w:t>
      </w:r>
      <w:r>
        <w:rPr>
          <w:rFonts w:ascii="Arial" w:cs="Arial" w:eastAsia="Arial" w:hAnsi="Arial"/>
          <w:sz w:val="16"/>
          <w:szCs w:val="16"/>
          <w:b w:val="1"/>
          <w:bCs w:val="1"/>
          <w:color w:val="939598"/>
        </w:rPr>
        <w:t>Management’s Discussion &amp;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72390</wp:posOffset>
            </wp:positionV>
            <wp:extent cx="7267575" cy="469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ectPr>
          <w:pgSz w:w="11900" w:h="16838" w:orient="portrait"/>
          <w:cols w:equalWidth="0" w:num="1">
            <w:col w:w="11420"/>
          </w:cols>
          <w:pgMar w:left="240" w:top="349" w:right="239" w:bottom="1440" w:gutter="0" w:footer="0" w:header="0"/>
        </w:sectPr>
      </w:pPr>
    </w:p>
    <w:bookmarkStart w:id="60" w:name="page61"/>
    <w:bookmarkEnd w:id="60"/>
    <w:p>
      <w:pPr>
        <w:jc w:val="both"/>
        <w:spacing w:after="0"/>
        <w:rPr>
          <w:sz w:val="20"/>
          <w:szCs w:val="20"/>
          <w:color w:val="auto"/>
        </w:rPr>
      </w:pPr>
      <w:r>
        <w:rPr>
          <w:rFonts w:ascii="Arial" w:cs="Arial" w:eastAsia="Arial" w:hAnsi="Arial"/>
          <w:sz w:val="18"/>
          <w:szCs w:val="18"/>
          <w:color w:val="auto"/>
        </w:rPr>
        <w:t>Accounts receivable increased to $3,844.1 million as of December 31, 2010 from $3,070.8 million as of December 31, 2009. The increase in accounts receivable was due to increased business volumes, offset by changes in foreign currency exchange rates. At exchange rates as of December 31, 2009, the December 31, 2010 balance would have been approximately $115.6 million higher than reported.</w:t>
      </w:r>
    </w:p>
    <w:p>
      <w:pPr>
        <w:spacing w:after="0" w:line="203"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Offsetting these working capital increases was the unfavorable impact in 2009 of the €42.0 million ($55.6 million) competition investigation fine payment in France. (See Note 13 to the Consolidated Financial Statements for further information.)</w:t>
      </w:r>
    </w:p>
    <w:p>
      <w:pPr>
        <w:spacing w:after="0" w:line="197" w:lineRule="exact"/>
        <w:rPr>
          <w:sz w:val="20"/>
          <w:szCs w:val="20"/>
          <w:color w:val="auto"/>
        </w:rPr>
      </w:pPr>
    </w:p>
    <w:p>
      <w:pPr>
        <w:jc w:val="both"/>
        <w:spacing w:after="0"/>
        <w:rPr>
          <w:sz w:val="20"/>
          <w:szCs w:val="20"/>
          <w:color w:val="auto"/>
        </w:rPr>
      </w:pPr>
      <w:r>
        <w:rPr>
          <w:rFonts w:ascii="Arial" w:cs="Arial" w:eastAsia="Arial" w:hAnsi="Arial"/>
          <w:sz w:val="18"/>
          <w:szCs w:val="18"/>
          <w:color w:val="auto"/>
        </w:rPr>
        <w:t>Capital expenditures were $58.5 million, $35.1 million and $93.1 million during 2010, 2009 and 2008, respectively. These expenditures were primarily comprised of purchases of computer equipment, office furniture and other costs related to office openings and refurbishments, as well as capitalized software costs of $1.4 million, $2.0 million and $6.3 million in 2010, 2009 and 2008, respectively.</w:t>
      </w:r>
    </w:p>
    <w:p>
      <w:pPr>
        <w:spacing w:after="0" w:line="203"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In April 2010, we acquired COMSYS IT Partners, Inc. (“COMSYS”), a leading professional staffing firm in the U.S., from its existing shareholders. The value of the consideration for each outstanding share of COMSYS common stock was approximately $17.65, for a total enterprise value of $427.0 million, including debt of $47.1 million, which we repaid upon closing. The consideration was approximately 50% Manpower common stock (3.2 million shares with a fair value of $188.5 million upon closing) and approximately 50% cash (consideration of $191.4 million). In addition, we incurred approximately $10.8 million of transaction costs associated with the acquisition during the year ended December 31, 2010, which have been classified in Selling and Administrative Expenses. Goodwill and intangible assets related to this transaction were $281.6 million and $106.3 million, respectively, as of December 31 , 2010.</w:t>
      </w:r>
    </w:p>
    <w:p>
      <w:pPr>
        <w:spacing w:after="0" w:line="203"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April 2008, we acquired Vitae, a leading professional placement firm in the Netherlands, for total consideration, net of cash acquired, of $114.7 million (€72.6 million). Goodwill and intangible assets related to this transaction were $81.9 million and $12.2 million, respectively, as of December 31, 2010 and $87.6 million and $15.9 million, respectively, as of December 31, 2009.</w:t>
      </w:r>
    </w:p>
    <w:p>
      <w:pPr>
        <w:spacing w:after="0" w:line="203"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From time to time, we acquire and invest in companies throughout the world, including franchises. Excluding COMSYS and Vitae, the total cash consideration paid for acquisitions, net of cash acquired for the years ended December 31, 2010, 2009 and 2008 was $32.3 million, $21.6 million and $127.3 million, respectively. Goodwill and intangible assets resulting from these 2010 acquisitions were $26.2 million and $6.4 million, respectively, as of December 31, 2010.</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In September 2009, we sold an equity investment in Japan for cash proceeds of $13.3 million, which resulted in a loss of $10.3 million.</w:t>
      </w:r>
    </w:p>
    <w:p>
      <w:pPr>
        <w:spacing w:after="0" w:line="212"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Repayments of debt were $14.9 million in 2010 compared to $227.4 million in 2009 and borrowings of $79.0 million for 2008. We use excess cash to pay down borrowings under facilities when appropriate.</w:t>
      </w:r>
    </w:p>
    <w:p>
      <w:pPr>
        <w:spacing w:after="0" w:line="197"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In December 2010, the Board of Directors authorized the repurchase of 3.0 million shares of our common stock. This authorization is in addition to the 2007 authorization to repurchase 5.0 million shares of our common stock, not to exceed a total purchase price of $400.0 million, on which there were 0.2 million shares, at a cost of up to $147.3 million, remaining for repurchase as of December 31, 2010. Share repurchases may be made from time to time and may be implemented through a variety of methods, including open market purchases, block transactions, privately negotiated transactions, accelerated share repurchase programs, forward repurchase agreements or similar facilities. Under the 2007 authorization, we repurchased 0.9 million, 2.2 million and 1.7 million shares of common stock at a total cost of $34.8 million, $112.2 million and $105.7 million during 2010, 2008 and 2007, respectively. No shares were repurchased in 2009.</w:t>
      </w:r>
    </w:p>
    <w:p>
      <w:pPr>
        <w:spacing w:after="0" w:line="203"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During each of 2010, 2009 and 2008, the Board of Directors declared total cash dividends of $0.74 per share, resulting in total dividend payments of $60.8 million, $58.0 million and $58.1 million, respectively.</w:t>
      </w:r>
    </w:p>
    <w:p>
      <w:pPr>
        <w:spacing w:after="0" w:line="180"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939598"/>
        </w:rPr>
        <w:t xml:space="preserve">Management’s Discussion &amp; Analysis </w:t>
      </w:r>
      <w:r>
        <w:rPr>
          <w:rFonts w:ascii="Arial" w:cs="Arial" w:eastAsia="Arial" w:hAnsi="Arial"/>
          <w:sz w:val="16"/>
          <w:szCs w:val="16"/>
          <w:color w:val="4D8ABE"/>
        </w:rPr>
        <w:t>Manpower 2010 Annual Report</w:t>
      </w:r>
      <w:r>
        <w:rPr>
          <w:rFonts w:ascii="Arial" w:cs="Arial" w:eastAsia="Arial" w:hAnsi="Arial"/>
          <w:sz w:val="16"/>
          <w:szCs w:val="16"/>
          <w:b w:val="1"/>
          <w:bCs w:val="1"/>
          <w:color w:val="939598"/>
        </w:rPr>
        <w:t xml:space="preserve"> </w:t>
      </w:r>
      <w:r>
        <w:rPr>
          <w:rFonts w:ascii="Arial" w:cs="Arial" w:eastAsia="Arial" w:hAnsi="Arial"/>
          <w:sz w:val="16"/>
          <w:szCs w:val="16"/>
          <w:b w:val="1"/>
          <w:bCs w:val="1"/>
          <w:color w:val="4D8ABE"/>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72390</wp:posOffset>
            </wp:positionV>
            <wp:extent cx="7267575" cy="469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61" w:name="page62"/>
    <w:bookmarkEnd w:id="61"/>
    <w:p>
      <w:pPr>
        <w:spacing w:after="0"/>
        <w:rPr>
          <w:sz w:val="20"/>
          <w:szCs w:val="20"/>
          <w:color w:val="auto"/>
        </w:rPr>
      </w:pPr>
      <w:r>
        <w:rPr>
          <w:rFonts w:ascii="Arial" w:cs="Arial" w:eastAsia="Arial" w:hAnsi="Arial"/>
          <w:sz w:val="22"/>
          <w:szCs w:val="22"/>
          <w:color w:val="4D8ABE"/>
        </w:rPr>
        <w:t>Management’s Discussion &amp; Analysis</w:t>
      </w:r>
    </w:p>
    <w:p>
      <w:pPr>
        <w:spacing w:after="0"/>
        <w:rPr>
          <w:sz w:val="20"/>
          <w:szCs w:val="20"/>
          <w:color w:val="auto"/>
        </w:rPr>
      </w:pPr>
      <w:r>
        <w:rPr>
          <w:rFonts w:ascii="Arial" w:cs="Arial" w:eastAsia="Arial" w:hAnsi="Arial"/>
          <w:sz w:val="18"/>
          <w:szCs w:val="18"/>
          <w:color w:val="4D8ABE"/>
        </w:rPr>
        <w:t>of financial condition and results of operations</w:t>
      </w:r>
    </w:p>
    <w:p>
      <w:pPr>
        <w:spacing w:after="0" w:line="208"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We have aggregate commitments of $1,680.6 million related to debt, operating leases, severances and office closure costs, and certain other commitments,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460" w:type="dxa"/>
            <w:vAlign w:val="bottom"/>
          </w:tcPr>
          <w:p>
            <w:pPr>
              <w:spacing w:after="0"/>
              <w:rPr>
                <w:sz w:val="20"/>
                <w:szCs w:val="20"/>
                <w:color w:val="auto"/>
              </w:rPr>
            </w:pPr>
            <w:r>
              <w:rPr>
                <w:rFonts w:ascii="Arial" w:cs="Arial" w:eastAsia="Arial" w:hAnsi="Arial"/>
                <w:sz w:val="16"/>
                <w:szCs w:val="16"/>
                <w:b w:val="1"/>
                <w:bCs w:val="1"/>
                <w:color w:val="86B6A5"/>
              </w:rPr>
              <w:t>(in millions)</w:t>
            </w:r>
          </w:p>
        </w:tc>
        <w:tc>
          <w:tcPr>
            <w:tcW w:w="1580" w:type="dxa"/>
            <w:vAlign w:val="bottom"/>
          </w:tcPr>
          <w:p>
            <w:pPr>
              <w:spacing w:after="0"/>
              <w:rPr>
                <w:sz w:val="19"/>
                <w:szCs w:val="19"/>
                <w:color w:val="auto"/>
              </w:rPr>
            </w:pPr>
          </w:p>
        </w:tc>
        <w:tc>
          <w:tcPr>
            <w:tcW w:w="900" w:type="dxa"/>
            <w:vAlign w:val="bottom"/>
          </w:tcPr>
          <w:p>
            <w:pPr>
              <w:jc w:val="right"/>
              <w:ind w:right="31"/>
              <w:spacing w:after="0"/>
              <w:rPr>
                <w:sz w:val="20"/>
                <w:szCs w:val="20"/>
                <w:color w:val="auto"/>
              </w:rPr>
            </w:pPr>
            <w:r>
              <w:rPr>
                <w:rFonts w:ascii="Arial" w:cs="Arial" w:eastAsia="Arial" w:hAnsi="Arial"/>
                <w:sz w:val="16"/>
                <w:szCs w:val="16"/>
                <w:b w:val="1"/>
                <w:bCs w:val="1"/>
                <w:color w:val="86B6A5"/>
              </w:rPr>
              <w:t>2011</w:t>
            </w:r>
          </w:p>
        </w:tc>
        <w:tc>
          <w:tcPr>
            <w:tcW w:w="380" w:type="dxa"/>
            <w:vAlign w:val="bottom"/>
          </w:tcPr>
          <w:p>
            <w:pPr>
              <w:spacing w:after="0"/>
              <w:rPr>
                <w:sz w:val="19"/>
                <w:szCs w:val="19"/>
                <w:color w:val="auto"/>
              </w:rPr>
            </w:pPr>
          </w:p>
        </w:tc>
        <w:tc>
          <w:tcPr>
            <w:tcW w:w="1080" w:type="dxa"/>
            <w:vAlign w:val="bottom"/>
          </w:tcPr>
          <w:p>
            <w:pPr>
              <w:jc w:val="right"/>
              <w:ind w:right="31"/>
              <w:spacing w:after="0"/>
              <w:rPr>
                <w:sz w:val="20"/>
                <w:szCs w:val="20"/>
                <w:color w:val="auto"/>
              </w:rPr>
            </w:pPr>
            <w:r>
              <w:rPr>
                <w:rFonts w:ascii="Arial" w:cs="Arial" w:eastAsia="Arial" w:hAnsi="Arial"/>
                <w:sz w:val="16"/>
                <w:szCs w:val="16"/>
                <w:b w:val="1"/>
                <w:bCs w:val="1"/>
                <w:color w:val="86B6A5"/>
              </w:rPr>
              <w:t>2012-2013</w:t>
            </w:r>
          </w:p>
        </w:tc>
        <w:tc>
          <w:tcPr>
            <w:tcW w:w="380" w:type="dxa"/>
            <w:vAlign w:val="bottom"/>
          </w:tcPr>
          <w:p>
            <w:pPr>
              <w:spacing w:after="0"/>
              <w:rPr>
                <w:sz w:val="19"/>
                <w:szCs w:val="19"/>
                <w:color w:val="auto"/>
              </w:rPr>
            </w:pPr>
          </w:p>
        </w:tc>
        <w:tc>
          <w:tcPr>
            <w:tcW w:w="1080" w:type="dxa"/>
            <w:vAlign w:val="bottom"/>
          </w:tcPr>
          <w:p>
            <w:pPr>
              <w:jc w:val="right"/>
              <w:ind w:right="31"/>
              <w:spacing w:after="0"/>
              <w:rPr>
                <w:sz w:val="20"/>
                <w:szCs w:val="20"/>
                <w:color w:val="auto"/>
              </w:rPr>
            </w:pPr>
            <w:r>
              <w:rPr>
                <w:rFonts w:ascii="Arial" w:cs="Arial" w:eastAsia="Arial" w:hAnsi="Arial"/>
                <w:sz w:val="16"/>
                <w:szCs w:val="16"/>
                <w:b w:val="1"/>
                <w:bCs w:val="1"/>
                <w:color w:val="86B6A5"/>
              </w:rPr>
              <w:t>2014-2015</w:t>
            </w:r>
          </w:p>
        </w:tc>
        <w:tc>
          <w:tcPr>
            <w:tcW w:w="38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6"/>
                <w:szCs w:val="16"/>
                <w:b w:val="1"/>
                <w:bCs w:val="1"/>
                <w:color w:val="86B6A5"/>
              </w:rPr>
              <w:t>Thereafter</w:t>
            </w:r>
          </w:p>
        </w:tc>
      </w:tr>
      <w:tr>
        <w:trPr>
          <w:trHeight w:val="202"/>
        </w:trPr>
        <w:tc>
          <w:tcPr>
            <w:tcW w:w="4460" w:type="dxa"/>
            <w:vAlign w:val="bottom"/>
            <w:tcBorders>
              <w:top w:val="single" w:sz="8" w:color="86B6A5"/>
            </w:tcBorders>
          </w:tcPr>
          <w:p>
            <w:pPr>
              <w:spacing w:after="0" w:line="201" w:lineRule="exact"/>
              <w:rPr>
                <w:sz w:val="20"/>
                <w:szCs w:val="20"/>
                <w:color w:val="auto"/>
              </w:rPr>
            </w:pPr>
            <w:r>
              <w:rPr>
                <w:rFonts w:ascii="Arial" w:cs="Arial" w:eastAsia="Arial" w:hAnsi="Arial"/>
                <w:sz w:val="18"/>
                <w:szCs w:val="18"/>
                <w:color w:val="auto"/>
              </w:rPr>
              <w:t>Long-term debt including interest</w:t>
            </w:r>
          </w:p>
        </w:tc>
        <w:tc>
          <w:tcPr>
            <w:tcW w:w="1580" w:type="dxa"/>
            <w:vAlign w:val="bottom"/>
            <w:tcBorders>
              <w:top w:val="single" w:sz="8" w:color="86B6A5"/>
            </w:tcBorders>
          </w:tcPr>
          <w:p>
            <w:pPr>
              <w:jc w:val="right"/>
              <w:ind w:right="270"/>
              <w:spacing w:after="0" w:line="201" w:lineRule="exact"/>
              <w:rPr>
                <w:sz w:val="20"/>
                <w:szCs w:val="20"/>
                <w:color w:val="auto"/>
              </w:rPr>
            </w:pPr>
            <w:r>
              <w:rPr>
                <w:rFonts w:ascii="Arial" w:cs="Arial" w:eastAsia="Arial" w:hAnsi="Arial"/>
                <w:sz w:val="18"/>
                <w:szCs w:val="18"/>
                <w:color w:val="auto"/>
              </w:rPr>
              <w:t>$</w:t>
            </w:r>
          </w:p>
        </w:tc>
        <w:tc>
          <w:tcPr>
            <w:tcW w:w="900" w:type="dxa"/>
            <w:vAlign w:val="bottom"/>
            <w:tcBorders>
              <w:top w:val="single" w:sz="8" w:color="86B6A5"/>
            </w:tcBorders>
          </w:tcPr>
          <w:p>
            <w:pPr>
              <w:jc w:val="right"/>
              <w:ind w:right="31"/>
              <w:spacing w:after="0" w:line="201" w:lineRule="exact"/>
              <w:rPr>
                <w:sz w:val="20"/>
                <w:szCs w:val="20"/>
                <w:color w:val="auto"/>
              </w:rPr>
            </w:pPr>
            <w:r>
              <w:rPr>
                <w:rFonts w:ascii="Arial" w:cs="Arial" w:eastAsia="Arial" w:hAnsi="Arial"/>
                <w:sz w:val="18"/>
                <w:szCs w:val="18"/>
                <w:color w:val="auto"/>
              </w:rPr>
              <w:t>30.4</w:t>
            </w:r>
          </w:p>
        </w:tc>
        <w:tc>
          <w:tcPr>
            <w:tcW w:w="380" w:type="dxa"/>
            <w:vAlign w:val="bottom"/>
            <w:tcBorders>
              <w:top w:val="single" w:sz="8" w:color="86B6A5"/>
            </w:tcBorders>
          </w:tcPr>
          <w:p>
            <w:pPr>
              <w:jc w:val="right"/>
              <w:ind w:right="90"/>
              <w:spacing w:after="0" w:line="201" w:lineRule="exact"/>
              <w:rPr>
                <w:sz w:val="20"/>
                <w:szCs w:val="20"/>
                <w:color w:val="auto"/>
              </w:rPr>
            </w:pPr>
            <w:r>
              <w:rPr>
                <w:rFonts w:ascii="Arial" w:cs="Arial" w:eastAsia="Arial" w:hAnsi="Arial"/>
                <w:sz w:val="18"/>
                <w:szCs w:val="18"/>
                <w:color w:val="auto"/>
              </w:rPr>
              <w:t>$</w:t>
            </w:r>
          </w:p>
        </w:tc>
        <w:tc>
          <w:tcPr>
            <w:tcW w:w="1080" w:type="dxa"/>
            <w:vAlign w:val="bottom"/>
            <w:tcBorders>
              <w:top w:val="single" w:sz="8" w:color="86B6A5"/>
            </w:tcBorders>
          </w:tcPr>
          <w:p>
            <w:pPr>
              <w:jc w:val="right"/>
              <w:ind w:right="31"/>
              <w:spacing w:after="0" w:line="201" w:lineRule="exact"/>
              <w:rPr>
                <w:sz w:val="20"/>
                <w:szCs w:val="20"/>
                <w:color w:val="auto"/>
              </w:rPr>
            </w:pPr>
            <w:r>
              <w:rPr>
                <w:rFonts w:ascii="Arial" w:cs="Arial" w:eastAsia="Arial" w:hAnsi="Arial"/>
                <w:sz w:val="18"/>
                <w:szCs w:val="18"/>
                <w:color w:val="auto"/>
              </w:rPr>
              <w:t>695.1</w:t>
            </w:r>
          </w:p>
        </w:tc>
        <w:tc>
          <w:tcPr>
            <w:tcW w:w="380" w:type="dxa"/>
            <w:vAlign w:val="bottom"/>
            <w:tcBorders>
              <w:top w:val="single" w:sz="8" w:color="86B6A5"/>
            </w:tcBorders>
          </w:tcPr>
          <w:p>
            <w:pPr>
              <w:jc w:val="right"/>
              <w:ind w:right="90"/>
              <w:spacing w:after="0" w:line="201" w:lineRule="exact"/>
              <w:rPr>
                <w:sz w:val="20"/>
                <w:szCs w:val="20"/>
                <w:color w:val="auto"/>
              </w:rPr>
            </w:pPr>
            <w:r>
              <w:rPr>
                <w:rFonts w:ascii="Arial" w:cs="Arial" w:eastAsia="Arial" w:hAnsi="Arial"/>
                <w:sz w:val="18"/>
                <w:szCs w:val="18"/>
                <w:color w:val="auto"/>
              </w:rPr>
              <w:t>$</w:t>
            </w:r>
          </w:p>
        </w:tc>
        <w:tc>
          <w:tcPr>
            <w:tcW w:w="1080" w:type="dxa"/>
            <w:vAlign w:val="bottom"/>
            <w:tcBorders>
              <w:top w:val="single" w:sz="8" w:color="86B6A5"/>
            </w:tcBorders>
          </w:tcPr>
          <w:p>
            <w:pPr>
              <w:jc w:val="right"/>
              <w:ind w:right="31"/>
              <w:spacing w:after="0" w:line="201" w:lineRule="exact"/>
              <w:rPr>
                <w:sz w:val="20"/>
                <w:szCs w:val="20"/>
                <w:color w:val="auto"/>
              </w:rPr>
            </w:pPr>
            <w:r>
              <w:rPr>
                <w:rFonts w:ascii="Arial" w:cs="Arial" w:eastAsia="Arial" w:hAnsi="Arial"/>
                <w:sz w:val="18"/>
                <w:szCs w:val="18"/>
                <w:color w:val="auto"/>
              </w:rPr>
              <w:t>–</w:t>
            </w:r>
          </w:p>
        </w:tc>
        <w:tc>
          <w:tcPr>
            <w:tcW w:w="380" w:type="dxa"/>
            <w:vAlign w:val="bottom"/>
            <w:tcBorders>
              <w:top w:val="single" w:sz="8" w:color="86B6A5"/>
            </w:tcBorders>
          </w:tcPr>
          <w:p>
            <w:pPr>
              <w:jc w:val="right"/>
              <w:ind w:right="90"/>
              <w:spacing w:after="0" w:line="201" w:lineRule="exact"/>
              <w:rPr>
                <w:sz w:val="20"/>
                <w:szCs w:val="20"/>
                <w:color w:val="auto"/>
              </w:rPr>
            </w:pPr>
            <w:r>
              <w:rPr>
                <w:rFonts w:ascii="Arial" w:cs="Arial" w:eastAsia="Arial" w:hAnsi="Arial"/>
                <w:sz w:val="18"/>
                <w:szCs w:val="18"/>
                <w:color w:val="auto"/>
              </w:rPr>
              <w:t>$</w:t>
            </w:r>
          </w:p>
        </w:tc>
        <w:tc>
          <w:tcPr>
            <w:tcW w:w="960" w:type="dxa"/>
            <w:vAlign w:val="bottom"/>
            <w:tcBorders>
              <w:top w:val="single" w:sz="8" w:color="86B6A5"/>
            </w:tcBorders>
          </w:tcPr>
          <w:p>
            <w:pPr>
              <w:jc w:val="right"/>
              <w:spacing w:after="0" w:line="201"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r>
      <w:tr>
        <w:trPr>
          <w:trHeight w:val="203"/>
        </w:trPr>
        <w:tc>
          <w:tcPr>
            <w:tcW w:w="4460" w:type="dxa"/>
            <w:vAlign w:val="bottom"/>
          </w:tcPr>
          <w:p>
            <w:pPr>
              <w:spacing w:after="0" w:line="202" w:lineRule="exact"/>
              <w:rPr>
                <w:sz w:val="20"/>
                <w:szCs w:val="20"/>
                <w:color w:val="auto"/>
              </w:rPr>
            </w:pPr>
            <w:r>
              <w:rPr>
                <w:rFonts w:ascii="Arial" w:cs="Arial" w:eastAsia="Arial" w:hAnsi="Arial"/>
                <w:sz w:val="18"/>
                <w:szCs w:val="18"/>
                <w:color w:val="auto"/>
              </w:rPr>
              <w:t>Short-term borrowings</w:t>
            </w:r>
          </w:p>
        </w:tc>
        <w:tc>
          <w:tcPr>
            <w:tcW w:w="1580" w:type="dxa"/>
            <w:vAlign w:val="bottom"/>
          </w:tcPr>
          <w:p>
            <w:pPr>
              <w:spacing w:after="0"/>
              <w:rPr>
                <w:sz w:val="17"/>
                <w:szCs w:val="17"/>
                <w:color w:val="auto"/>
              </w:rPr>
            </w:pPr>
          </w:p>
        </w:tc>
        <w:tc>
          <w:tcPr>
            <w:tcW w:w="900" w:type="dxa"/>
            <w:vAlign w:val="bottom"/>
          </w:tcPr>
          <w:p>
            <w:pPr>
              <w:jc w:val="right"/>
              <w:ind w:right="31"/>
              <w:spacing w:after="0" w:line="202" w:lineRule="exact"/>
              <w:rPr>
                <w:sz w:val="20"/>
                <w:szCs w:val="20"/>
                <w:color w:val="auto"/>
              </w:rPr>
            </w:pPr>
            <w:r>
              <w:rPr>
                <w:rFonts w:ascii="Arial" w:cs="Arial" w:eastAsia="Arial" w:hAnsi="Arial"/>
                <w:sz w:val="18"/>
                <w:szCs w:val="18"/>
                <w:color w:val="auto"/>
              </w:rPr>
              <w:t>28.0</w:t>
            </w:r>
          </w:p>
        </w:tc>
        <w:tc>
          <w:tcPr>
            <w:tcW w:w="380" w:type="dxa"/>
            <w:vAlign w:val="bottom"/>
          </w:tcPr>
          <w:p>
            <w:pPr>
              <w:spacing w:after="0"/>
              <w:rPr>
                <w:sz w:val="17"/>
                <w:szCs w:val="17"/>
                <w:color w:val="auto"/>
              </w:rPr>
            </w:pPr>
          </w:p>
        </w:tc>
        <w:tc>
          <w:tcPr>
            <w:tcW w:w="1080" w:type="dxa"/>
            <w:vAlign w:val="bottom"/>
          </w:tcPr>
          <w:p>
            <w:pPr>
              <w:jc w:val="right"/>
              <w:ind w:right="31"/>
              <w:spacing w:after="0" w:line="202" w:lineRule="exact"/>
              <w:rPr>
                <w:sz w:val="20"/>
                <w:szCs w:val="20"/>
                <w:color w:val="auto"/>
              </w:rPr>
            </w:pPr>
            <w:r>
              <w:rPr>
                <w:rFonts w:ascii="Arial" w:cs="Arial" w:eastAsia="Arial" w:hAnsi="Arial"/>
                <w:sz w:val="18"/>
                <w:szCs w:val="18"/>
                <w:color w:val="auto"/>
              </w:rPr>
              <w:t>–</w:t>
            </w:r>
          </w:p>
        </w:tc>
        <w:tc>
          <w:tcPr>
            <w:tcW w:w="380" w:type="dxa"/>
            <w:vAlign w:val="bottom"/>
          </w:tcPr>
          <w:p>
            <w:pPr>
              <w:spacing w:after="0"/>
              <w:rPr>
                <w:sz w:val="17"/>
                <w:szCs w:val="17"/>
                <w:color w:val="auto"/>
              </w:rPr>
            </w:pPr>
          </w:p>
        </w:tc>
        <w:tc>
          <w:tcPr>
            <w:tcW w:w="1080" w:type="dxa"/>
            <w:vAlign w:val="bottom"/>
          </w:tcPr>
          <w:p>
            <w:pPr>
              <w:jc w:val="right"/>
              <w:ind w:right="31"/>
              <w:spacing w:after="0" w:line="202" w:lineRule="exact"/>
              <w:rPr>
                <w:sz w:val="20"/>
                <w:szCs w:val="20"/>
                <w:color w:val="auto"/>
              </w:rPr>
            </w:pPr>
            <w:r>
              <w:rPr>
                <w:rFonts w:ascii="Arial" w:cs="Arial" w:eastAsia="Arial" w:hAnsi="Arial"/>
                <w:sz w:val="18"/>
                <w:szCs w:val="18"/>
                <w:color w:val="auto"/>
              </w:rPr>
              <w:t>–</w:t>
            </w:r>
          </w:p>
        </w:tc>
        <w:tc>
          <w:tcPr>
            <w:tcW w:w="380" w:type="dxa"/>
            <w:vAlign w:val="bottom"/>
          </w:tcPr>
          <w:p>
            <w:pPr>
              <w:spacing w:after="0"/>
              <w:rPr>
                <w:sz w:val="17"/>
                <w:szCs w:val="17"/>
                <w:color w:val="auto"/>
              </w:rPr>
            </w:pPr>
          </w:p>
        </w:tc>
        <w:tc>
          <w:tcPr>
            <w:tcW w:w="9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r>
      <w:tr>
        <w:trPr>
          <w:trHeight w:val="203"/>
        </w:trPr>
        <w:tc>
          <w:tcPr>
            <w:tcW w:w="4460" w:type="dxa"/>
            <w:vAlign w:val="bottom"/>
          </w:tcPr>
          <w:p>
            <w:pPr>
              <w:spacing w:after="0" w:line="202" w:lineRule="exact"/>
              <w:rPr>
                <w:sz w:val="20"/>
                <w:szCs w:val="20"/>
                <w:color w:val="auto"/>
              </w:rPr>
            </w:pPr>
            <w:r>
              <w:rPr>
                <w:rFonts w:ascii="Arial" w:cs="Arial" w:eastAsia="Arial" w:hAnsi="Arial"/>
                <w:sz w:val="18"/>
                <w:szCs w:val="18"/>
                <w:color w:val="auto"/>
              </w:rPr>
              <w:t>Operating leases</w:t>
            </w:r>
          </w:p>
        </w:tc>
        <w:tc>
          <w:tcPr>
            <w:tcW w:w="1580" w:type="dxa"/>
            <w:vAlign w:val="bottom"/>
          </w:tcPr>
          <w:p>
            <w:pPr>
              <w:spacing w:after="0"/>
              <w:rPr>
                <w:sz w:val="17"/>
                <w:szCs w:val="17"/>
                <w:color w:val="auto"/>
              </w:rPr>
            </w:pPr>
          </w:p>
        </w:tc>
        <w:tc>
          <w:tcPr>
            <w:tcW w:w="900" w:type="dxa"/>
            <w:vAlign w:val="bottom"/>
          </w:tcPr>
          <w:p>
            <w:pPr>
              <w:jc w:val="right"/>
              <w:ind w:right="31"/>
              <w:spacing w:after="0" w:line="202" w:lineRule="exact"/>
              <w:rPr>
                <w:sz w:val="20"/>
                <w:szCs w:val="20"/>
                <w:color w:val="auto"/>
              </w:rPr>
            </w:pPr>
            <w:r>
              <w:rPr>
                <w:rFonts w:ascii="Arial" w:cs="Arial" w:eastAsia="Arial" w:hAnsi="Arial"/>
                <w:sz w:val="18"/>
                <w:szCs w:val="18"/>
                <w:color w:val="auto"/>
              </w:rPr>
              <w:t>208.0</w:t>
            </w:r>
          </w:p>
        </w:tc>
        <w:tc>
          <w:tcPr>
            <w:tcW w:w="380" w:type="dxa"/>
            <w:vAlign w:val="bottom"/>
          </w:tcPr>
          <w:p>
            <w:pPr>
              <w:spacing w:after="0"/>
              <w:rPr>
                <w:sz w:val="17"/>
                <w:szCs w:val="17"/>
                <w:color w:val="auto"/>
              </w:rPr>
            </w:pPr>
          </w:p>
        </w:tc>
        <w:tc>
          <w:tcPr>
            <w:tcW w:w="1080" w:type="dxa"/>
            <w:vAlign w:val="bottom"/>
          </w:tcPr>
          <w:p>
            <w:pPr>
              <w:jc w:val="right"/>
              <w:ind w:right="31"/>
              <w:spacing w:after="0" w:line="202" w:lineRule="exact"/>
              <w:rPr>
                <w:sz w:val="20"/>
                <w:szCs w:val="20"/>
                <w:color w:val="auto"/>
              </w:rPr>
            </w:pPr>
            <w:r>
              <w:rPr>
                <w:rFonts w:ascii="Arial" w:cs="Arial" w:eastAsia="Arial" w:hAnsi="Arial"/>
                <w:sz w:val="18"/>
                <w:szCs w:val="18"/>
                <w:color w:val="auto"/>
              </w:rPr>
              <w:t>266.4</w:t>
            </w:r>
          </w:p>
        </w:tc>
        <w:tc>
          <w:tcPr>
            <w:tcW w:w="380" w:type="dxa"/>
            <w:vAlign w:val="bottom"/>
          </w:tcPr>
          <w:p>
            <w:pPr>
              <w:spacing w:after="0"/>
              <w:rPr>
                <w:sz w:val="17"/>
                <w:szCs w:val="17"/>
                <w:color w:val="auto"/>
              </w:rPr>
            </w:pPr>
          </w:p>
        </w:tc>
        <w:tc>
          <w:tcPr>
            <w:tcW w:w="1080" w:type="dxa"/>
            <w:vAlign w:val="bottom"/>
          </w:tcPr>
          <w:p>
            <w:pPr>
              <w:jc w:val="right"/>
              <w:ind w:right="31"/>
              <w:spacing w:after="0" w:line="202" w:lineRule="exact"/>
              <w:rPr>
                <w:sz w:val="20"/>
                <w:szCs w:val="20"/>
                <w:color w:val="auto"/>
              </w:rPr>
            </w:pPr>
            <w:r>
              <w:rPr>
                <w:rFonts w:ascii="Arial" w:cs="Arial" w:eastAsia="Arial" w:hAnsi="Arial"/>
                <w:sz w:val="18"/>
                <w:szCs w:val="18"/>
                <w:color w:val="auto"/>
              </w:rPr>
              <w:t>141.2</w:t>
            </w:r>
          </w:p>
        </w:tc>
        <w:tc>
          <w:tcPr>
            <w:tcW w:w="380" w:type="dxa"/>
            <w:vAlign w:val="bottom"/>
          </w:tcPr>
          <w:p>
            <w:pPr>
              <w:spacing w:after="0"/>
              <w:rPr>
                <w:sz w:val="17"/>
                <w:szCs w:val="17"/>
                <w:color w:val="auto"/>
              </w:rPr>
            </w:pPr>
          </w:p>
        </w:tc>
        <w:tc>
          <w:tcPr>
            <w:tcW w:w="9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137.4</w:t>
            </w:r>
          </w:p>
        </w:tc>
      </w:tr>
      <w:tr>
        <w:trPr>
          <w:trHeight w:val="203"/>
        </w:trPr>
        <w:tc>
          <w:tcPr>
            <w:tcW w:w="4460" w:type="dxa"/>
            <w:vAlign w:val="bottom"/>
          </w:tcPr>
          <w:p>
            <w:pPr>
              <w:spacing w:after="0" w:line="202" w:lineRule="exact"/>
              <w:rPr>
                <w:sz w:val="20"/>
                <w:szCs w:val="20"/>
                <w:color w:val="auto"/>
              </w:rPr>
            </w:pPr>
            <w:r>
              <w:rPr>
                <w:rFonts w:ascii="Arial" w:cs="Arial" w:eastAsia="Arial" w:hAnsi="Arial"/>
                <w:sz w:val="18"/>
                <w:szCs w:val="18"/>
                <w:color w:val="auto"/>
              </w:rPr>
              <w:t>Severances and other office closure costs</w:t>
            </w:r>
          </w:p>
        </w:tc>
        <w:tc>
          <w:tcPr>
            <w:tcW w:w="1580" w:type="dxa"/>
            <w:vAlign w:val="bottom"/>
          </w:tcPr>
          <w:p>
            <w:pPr>
              <w:spacing w:after="0"/>
              <w:rPr>
                <w:sz w:val="17"/>
                <w:szCs w:val="17"/>
                <w:color w:val="auto"/>
              </w:rPr>
            </w:pPr>
          </w:p>
        </w:tc>
        <w:tc>
          <w:tcPr>
            <w:tcW w:w="900" w:type="dxa"/>
            <w:vAlign w:val="bottom"/>
          </w:tcPr>
          <w:p>
            <w:pPr>
              <w:jc w:val="right"/>
              <w:ind w:right="31"/>
              <w:spacing w:after="0" w:line="202" w:lineRule="exact"/>
              <w:rPr>
                <w:sz w:val="20"/>
                <w:szCs w:val="20"/>
                <w:color w:val="auto"/>
              </w:rPr>
            </w:pPr>
            <w:r>
              <w:rPr>
                <w:rFonts w:ascii="Arial" w:cs="Arial" w:eastAsia="Arial" w:hAnsi="Arial"/>
                <w:sz w:val="18"/>
                <w:szCs w:val="18"/>
                <w:color w:val="auto"/>
              </w:rPr>
              <w:t>25.9</w:t>
            </w:r>
          </w:p>
        </w:tc>
        <w:tc>
          <w:tcPr>
            <w:tcW w:w="380" w:type="dxa"/>
            <w:vAlign w:val="bottom"/>
          </w:tcPr>
          <w:p>
            <w:pPr>
              <w:spacing w:after="0"/>
              <w:rPr>
                <w:sz w:val="17"/>
                <w:szCs w:val="17"/>
                <w:color w:val="auto"/>
              </w:rPr>
            </w:pPr>
          </w:p>
        </w:tc>
        <w:tc>
          <w:tcPr>
            <w:tcW w:w="1080" w:type="dxa"/>
            <w:vAlign w:val="bottom"/>
          </w:tcPr>
          <w:p>
            <w:pPr>
              <w:jc w:val="right"/>
              <w:ind w:right="31"/>
              <w:spacing w:after="0" w:line="202" w:lineRule="exact"/>
              <w:rPr>
                <w:sz w:val="20"/>
                <w:szCs w:val="20"/>
                <w:color w:val="auto"/>
              </w:rPr>
            </w:pPr>
            <w:r>
              <w:rPr>
                <w:rFonts w:ascii="Arial" w:cs="Arial" w:eastAsia="Arial" w:hAnsi="Arial"/>
                <w:sz w:val="18"/>
                <w:szCs w:val="18"/>
                <w:color w:val="auto"/>
              </w:rPr>
              <w:t>6.7</w:t>
            </w:r>
          </w:p>
        </w:tc>
        <w:tc>
          <w:tcPr>
            <w:tcW w:w="380" w:type="dxa"/>
            <w:vAlign w:val="bottom"/>
          </w:tcPr>
          <w:p>
            <w:pPr>
              <w:spacing w:after="0"/>
              <w:rPr>
                <w:sz w:val="17"/>
                <w:szCs w:val="17"/>
                <w:color w:val="auto"/>
              </w:rPr>
            </w:pPr>
          </w:p>
        </w:tc>
        <w:tc>
          <w:tcPr>
            <w:tcW w:w="1080" w:type="dxa"/>
            <w:vAlign w:val="bottom"/>
          </w:tcPr>
          <w:p>
            <w:pPr>
              <w:jc w:val="right"/>
              <w:ind w:right="31"/>
              <w:spacing w:after="0" w:line="202" w:lineRule="exact"/>
              <w:rPr>
                <w:sz w:val="20"/>
                <w:szCs w:val="20"/>
                <w:color w:val="auto"/>
              </w:rPr>
            </w:pPr>
            <w:r>
              <w:rPr>
                <w:rFonts w:ascii="Arial" w:cs="Arial" w:eastAsia="Arial" w:hAnsi="Arial"/>
                <w:sz w:val="18"/>
                <w:szCs w:val="18"/>
                <w:color w:val="auto"/>
              </w:rPr>
              <w:t>1.6</w:t>
            </w:r>
          </w:p>
        </w:tc>
        <w:tc>
          <w:tcPr>
            <w:tcW w:w="380" w:type="dxa"/>
            <w:vAlign w:val="bottom"/>
          </w:tcPr>
          <w:p>
            <w:pPr>
              <w:spacing w:after="0"/>
              <w:rPr>
                <w:sz w:val="17"/>
                <w:szCs w:val="17"/>
                <w:color w:val="auto"/>
              </w:rPr>
            </w:pPr>
          </w:p>
        </w:tc>
        <w:tc>
          <w:tcPr>
            <w:tcW w:w="9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r>
      <w:tr>
        <w:trPr>
          <w:trHeight w:val="203"/>
        </w:trPr>
        <w:tc>
          <w:tcPr>
            <w:tcW w:w="4460" w:type="dxa"/>
            <w:vAlign w:val="bottom"/>
            <w:tcBorders>
              <w:bottom w:val="single" w:sz="8" w:color="939598"/>
            </w:tcBorders>
          </w:tcPr>
          <w:p>
            <w:pPr>
              <w:spacing w:after="0" w:line="203" w:lineRule="exact"/>
              <w:rPr>
                <w:sz w:val="20"/>
                <w:szCs w:val="20"/>
                <w:color w:val="auto"/>
              </w:rPr>
            </w:pPr>
            <w:r>
              <w:rPr>
                <w:rFonts w:ascii="Arial" w:cs="Arial" w:eastAsia="Arial" w:hAnsi="Arial"/>
                <w:sz w:val="18"/>
                <w:szCs w:val="18"/>
                <w:color w:val="auto"/>
              </w:rPr>
              <w:t>Other</w:t>
            </w:r>
          </w:p>
        </w:tc>
        <w:tc>
          <w:tcPr>
            <w:tcW w:w="1580" w:type="dxa"/>
            <w:vAlign w:val="bottom"/>
            <w:tcBorders>
              <w:bottom w:val="single" w:sz="8" w:color="939598"/>
            </w:tcBorders>
          </w:tcPr>
          <w:p>
            <w:pPr>
              <w:spacing w:after="0"/>
              <w:rPr>
                <w:sz w:val="17"/>
                <w:szCs w:val="17"/>
                <w:color w:val="auto"/>
              </w:rPr>
            </w:pPr>
          </w:p>
        </w:tc>
        <w:tc>
          <w:tcPr>
            <w:tcW w:w="900" w:type="dxa"/>
            <w:vAlign w:val="bottom"/>
            <w:tcBorders>
              <w:bottom w:val="single" w:sz="8" w:color="939598"/>
            </w:tcBorders>
          </w:tcPr>
          <w:p>
            <w:pPr>
              <w:jc w:val="right"/>
              <w:ind w:right="31"/>
              <w:spacing w:after="0" w:line="203" w:lineRule="exact"/>
              <w:rPr>
                <w:sz w:val="20"/>
                <w:szCs w:val="20"/>
                <w:color w:val="auto"/>
              </w:rPr>
            </w:pPr>
            <w:r>
              <w:rPr>
                <w:rFonts w:ascii="Arial" w:cs="Arial" w:eastAsia="Arial" w:hAnsi="Arial"/>
                <w:sz w:val="18"/>
                <w:szCs w:val="18"/>
                <w:color w:val="auto"/>
              </w:rPr>
              <w:t>40.3</w:t>
            </w:r>
          </w:p>
        </w:tc>
        <w:tc>
          <w:tcPr>
            <w:tcW w:w="380" w:type="dxa"/>
            <w:vAlign w:val="bottom"/>
            <w:tcBorders>
              <w:bottom w:val="single" w:sz="8" w:color="939598"/>
            </w:tcBorders>
          </w:tcPr>
          <w:p>
            <w:pPr>
              <w:spacing w:after="0"/>
              <w:rPr>
                <w:sz w:val="17"/>
                <w:szCs w:val="17"/>
                <w:color w:val="auto"/>
              </w:rPr>
            </w:pPr>
          </w:p>
        </w:tc>
        <w:tc>
          <w:tcPr>
            <w:tcW w:w="1080" w:type="dxa"/>
            <w:vAlign w:val="bottom"/>
            <w:tcBorders>
              <w:bottom w:val="single" w:sz="8" w:color="939598"/>
            </w:tcBorders>
          </w:tcPr>
          <w:p>
            <w:pPr>
              <w:jc w:val="right"/>
              <w:ind w:right="31"/>
              <w:spacing w:after="0" w:line="203" w:lineRule="exact"/>
              <w:rPr>
                <w:sz w:val="20"/>
                <w:szCs w:val="20"/>
                <w:color w:val="auto"/>
              </w:rPr>
            </w:pPr>
            <w:r>
              <w:rPr>
                <w:rFonts w:ascii="Arial" w:cs="Arial" w:eastAsia="Arial" w:hAnsi="Arial"/>
                <w:sz w:val="18"/>
                <w:szCs w:val="18"/>
                <w:color w:val="auto"/>
              </w:rPr>
              <w:t>55.0</w:t>
            </w:r>
          </w:p>
        </w:tc>
        <w:tc>
          <w:tcPr>
            <w:tcW w:w="380" w:type="dxa"/>
            <w:vAlign w:val="bottom"/>
            <w:tcBorders>
              <w:bottom w:val="single" w:sz="8" w:color="939598"/>
            </w:tcBorders>
          </w:tcPr>
          <w:p>
            <w:pPr>
              <w:spacing w:after="0"/>
              <w:rPr>
                <w:sz w:val="17"/>
                <w:szCs w:val="17"/>
                <w:color w:val="auto"/>
              </w:rPr>
            </w:pPr>
          </w:p>
        </w:tc>
        <w:tc>
          <w:tcPr>
            <w:tcW w:w="1080" w:type="dxa"/>
            <w:vAlign w:val="bottom"/>
            <w:tcBorders>
              <w:bottom w:val="single" w:sz="8" w:color="939598"/>
            </w:tcBorders>
          </w:tcPr>
          <w:p>
            <w:pPr>
              <w:jc w:val="right"/>
              <w:ind w:right="31"/>
              <w:spacing w:after="0" w:line="203" w:lineRule="exact"/>
              <w:rPr>
                <w:sz w:val="20"/>
                <w:szCs w:val="20"/>
                <w:color w:val="auto"/>
              </w:rPr>
            </w:pPr>
            <w:r>
              <w:rPr>
                <w:rFonts w:ascii="Arial" w:cs="Arial" w:eastAsia="Arial" w:hAnsi="Arial"/>
                <w:sz w:val="18"/>
                <w:szCs w:val="18"/>
                <w:color w:val="auto"/>
              </w:rPr>
              <w:t>17.0</w:t>
            </w:r>
          </w:p>
        </w:tc>
        <w:tc>
          <w:tcPr>
            <w:tcW w:w="380" w:type="dxa"/>
            <w:vAlign w:val="bottom"/>
            <w:tcBorders>
              <w:bottom w:val="single" w:sz="8" w:color="939598"/>
            </w:tcBorders>
          </w:tcPr>
          <w:p>
            <w:pPr>
              <w:spacing w:after="0"/>
              <w:rPr>
                <w:sz w:val="17"/>
                <w:szCs w:val="17"/>
                <w:color w:val="auto"/>
              </w:rPr>
            </w:pPr>
          </w:p>
        </w:tc>
        <w:tc>
          <w:tcPr>
            <w:tcW w:w="960" w:type="dxa"/>
            <w:vAlign w:val="bottom"/>
            <w:tcBorders>
              <w:bottom w:val="single" w:sz="8" w:color="939598"/>
            </w:tcBorders>
          </w:tcPr>
          <w:p>
            <w:pPr>
              <w:jc w:val="right"/>
              <w:spacing w:after="0" w:line="203" w:lineRule="exact"/>
              <w:rPr>
                <w:sz w:val="20"/>
                <w:szCs w:val="20"/>
                <w:color w:val="auto"/>
              </w:rPr>
            </w:pPr>
            <w:r>
              <w:rPr>
                <w:rFonts w:ascii="Arial" w:cs="Arial" w:eastAsia="Arial" w:hAnsi="Arial"/>
                <w:sz w:val="18"/>
                <w:szCs w:val="18"/>
                <w:color w:val="auto"/>
              </w:rPr>
              <w:t>27.6</w:t>
            </w:r>
          </w:p>
        </w:tc>
        <w:tc>
          <w:tcPr>
            <w:tcW w:w="20" w:type="dxa"/>
            <w:vAlign w:val="bottom"/>
          </w:tcPr>
          <w:p>
            <w:pPr>
              <w:spacing w:after="0"/>
              <w:rPr>
                <w:sz w:val="17"/>
                <w:szCs w:val="17"/>
                <w:color w:val="auto"/>
              </w:rPr>
            </w:pPr>
          </w:p>
        </w:tc>
      </w:tr>
      <w:tr>
        <w:trPr>
          <w:trHeight w:val="203"/>
        </w:trPr>
        <w:tc>
          <w:tcPr>
            <w:tcW w:w="4460" w:type="dxa"/>
            <w:vAlign w:val="bottom"/>
            <w:tcBorders>
              <w:bottom w:val="single" w:sz="8" w:color="939598"/>
            </w:tcBorders>
          </w:tcPr>
          <w:p>
            <w:pPr>
              <w:spacing w:after="0"/>
              <w:rPr>
                <w:sz w:val="17"/>
                <w:szCs w:val="17"/>
                <w:color w:val="auto"/>
              </w:rPr>
            </w:pPr>
          </w:p>
        </w:tc>
        <w:tc>
          <w:tcPr>
            <w:tcW w:w="1580" w:type="dxa"/>
            <w:vAlign w:val="bottom"/>
            <w:tcBorders>
              <w:bottom w:val="single" w:sz="8" w:color="939598"/>
            </w:tcBorders>
          </w:tcPr>
          <w:p>
            <w:pPr>
              <w:jc w:val="right"/>
              <w:ind w:right="270"/>
              <w:spacing w:after="0" w:line="196" w:lineRule="exact"/>
              <w:rPr>
                <w:sz w:val="20"/>
                <w:szCs w:val="20"/>
                <w:color w:val="auto"/>
              </w:rPr>
            </w:pPr>
            <w:r>
              <w:rPr>
                <w:rFonts w:ascii="Arial" w:cs="Arial" w:eastAsia="Arial" w:hAnsi="Arial"/>
                <w:sz w:val="18"/>
                <w:szCs w:val="18"/>
                <w:color w:val="auto"/>
              </w:rPr>
              <w:t>$</w:t>
            </w:r>
          </w:p>
        </w:tc>
        <w:tc>
          <w:tcPr>
            <w:tcW w:w="900" w:type="dxa"/>
            <w:vAlign w:val="bottom"/>
            <w:tcBorders>
              <w:bottom w:val="single" w:sz="8" w:color="939598"/>
            </w:tcBorders>
          </w:tcPr>
          <w:p>
            <w:pPr>
              <w:jc w:val="right"/>
              <w:ind w:right="31"/>
              <w:spacing w:after="0" w:line="196" w:lineRule="exact"/>
              <w:rPr>
                <w:sz w:val="20"/>
                <w:szCs w:val="20"/>
                <w:color w:val="auto"/>
              </w:rPr>
            </w:pPr>
            <w:r>
              <w:rPr>
                <w:rFonts w:ascii="Arial" w:cs="Arial" w:eastAsia="Arial" w:hAnsi="Arial"/>
                <w:sz w:val="18"/>
                <w:szCs w:val="18"/>
                <w:color w:val="auto"/>
              </w:rPr>
              <w:t>332.6</w:t>
            </w:r>
          </w:p>
        </w:tc>
        <w:tc>
          <w:tcPr>
            <w:tcW w:w="380" w:type="dxa"/>
            <w:vAlign w:val="bottom"/>
            <w:tcBorders>
              <w:bottom w:val="single" w:sz="8" w:color="939598"/>
            </w:tcBorders>
          </w:tcPr>
          <w:p>
            <w:pPr>
              <w:jc w:val="right"/>
              <w:ind w:right="90"/>
              <w:spacing w:after="0" w:line="196" w:lineRule="exact"/>
              <w:rPr>
                <w:sz w:val="20"/>
                <w:szCs w:val="20"/>
                <w:color w:val="auto"/>
              </w:rPr>
            </w:pPr>
            <w:r>
              <w:rPr>
                <w:rFonts w:ascii="Arial" w:cs="Arial" w:eastAsia="Arial" w:hAnsi="Arial"/>
                <w:sz w:val="18"/>
                <w:szCs w:val="18"/>
                <w:color w:val="auto"/>
              </w:rPr>
              <w:t>$</w:t>
            </w:r>
          </w:p>
        </w:tc>
        <w:tc>
          <w:tcPr>
            <w:tcW w:w="1080" w:type="dxa"/>
            <w:vAlign w:val="bottom"/>
            <w:tcBorders>
              <w:bottom w:val="single" w:sz="8" w:color="939598"/>
            </w:tcBorders>
          </w:tcPr>
          <w:p>
            <w:pPr>
              <w:jc w:val="right"/>
              <w:ind w:right="31"/>
              <w:spacing w:after="0" w:line="196" w:lineRule="exact"/>
              <w:rPr>
                <w:sz w:val="20"/>
                <w:szCs w:val="20"/>
                <w:color w:val="auto"/>
              </w:rPr>
            </w:pPr>
            <w:r>
              <w:rPr>
                <w:rFonts w:ascii="Arial" w:cs="Arial" w:eastAsia="Arial" w:hAnsi="Arial"/>
                <w:sz w:val="18"/>
                <w:szCs w:val="18"/>
                <w:color w:val="auto"/>
              </w:rPr>
              <w:t>1,023.2</w:t>
            </w:r>
          </w:p>
        </w:tc>
        <w:tc>
          <w:tcPr>
            <w:tcW w:w="380" w:type="dxa"/>
            <w:vAlign w:val="bottom"/>
            <w:tcBorders>
              <w:bottom w:val="single" w:sz="8" w:color="939598"/>
            </w:tcBorders>
          </w:tcPr>
          <w:p>
            <w:pPr>
              <w:jc w:val="right"/>
              <w:ind w:right="90"/>
              <w:spacing w:after="0" w:line="196" w:lineRule="exact"/>
              <w:rPr>
                <w:sz w:val="20"/>
                <w:szCs w:val="20"/>
                <w:color w:val="auto"/>
              </w:rPr>
            </w:pPr>
            <w:r>
              <w:rPr>
                <w:rFonts w:ascii="Arial" w:cs="Arial" w:eastAsia="Arial" w:hAnsi="Arial"/>
                <w:sz w:val="18"/>
                <w:szCs w:val="18"/>
                <w:color w:val="auto"/>
              </w:rPr>
              <w:t>$</w:t>
            </w:r>
          </w:p>
        </w:tc>
        <w:tc>
          <w:tcPr>
            <w:tcW w:w="1080" w:type="dxa"/>
            <w:vAlign w:val="bottom"/>
            <w:tcBorders>
              <w:bottom w:val="single" w:sz="8" w:color="939598"/>
            </w:tcBorders>
          </w:tcPr>
          <w:p>
            <w:pPr>
              <w:jc w:val="right"/>
              <w:ind w:right="31"/>
              <w:spacing w:after="0" w:line="196" w:lineRule="exact"/>
              <w:rPr>
                <w:sz w:val="20"/>
                <w:szCs w:val="20"/>
                <w:color w:val="auto"/>
              </w:rPr>
            </w:pPr>
            <w:r>
              <w:rPr>
                <w:rFonts w:ascii="Arial" w:cs="Arial" w:eastAsia="Arial" w:hAnsi="Arial"/>
                <w:sz w:val="18"/>
                <w:szCs w:val="18"/>
                <w:color w:val="auto"/>
              </w:rPr>
              <w:t>159.8</w:t>
            </w:r>
          </w:p>
        </w:tc>
        <w:tc>
          <w:tcPr>
            <w:tcW w:w="380" w:type="dxa"/>
            <w:vAlign w:val="bottom"/>
            <w:tcBorders>
              <w:bottom w:val="single" w:sz="8" w:color="939598"/>
            </w:tcBorders>
          </w:tcPr>
          <w:p>
            <w:pPr>
              <w:jc w:val="right"/>
              <w:ind w:right="90"/>
              <w:spacing w:after="0" w:line="196" w:lineRule="exact"/>
              <w:rPr>
                <w:sz w:val="20"/>
                <w:szCs w:val="20"/>
                <w:color w:val="auto"/>
              </w:rPr>
            </w:pPr>
            <w:r>
              <w:rPr>
                <w:rFonts w:ascii="Arial" w:cs="Arial" w:eastAsia="Arial" w:hAnsi="Arial"/>
                <w:sz w:val="18"/>
                <w:szCs w:val="18"/>
                <w:color w:val="auto"/>
              </w:rPr>
              <w:t>$</w:t>
            </w:r>
          </w:p>
        </w:tc>
        <w:tc>
          <w:tcPr>
            <w:tcW w:w="960" w:type="dxa"/>
            <w:vAlign w:val="bottom"/>
            <w:tcBorders>
              <w:bottom w:val="single" w:sz="8" w:color="939598"/>
            </w:tcBorders>
          </w:tcPr>
          <w:p>
            <w:pPr>
              <w:jc w:val="right"/>
              <w:spacing w:after="0" w:line="196" w:lineRule="exact"/>
              <w:rPr>
                <w:sz w:val="20"/>
                <w:szCs w:val="20"/>
                <w:color w:val="auto"/>
              </w:rPr>
            </w:pPr>
            <w:r>
              <w:rPr>
                <w:rFonts w:ascii="Arial" w:cs="Arial" w:eastAsia="Arial" w:hAnsi="Arial"/>
                <w:sz w:val="18"/>
                <w:szCs w:val="18"/>
                <w:color w:val="auto"/>
              </w:rPr>
              <w:t>165.0</w:t>
            </w:r>
          </w:p>
        </w:tc>
        <w:tc>
          <w:tcPr>
            <w:tcW w:w="20" w:type="dxa"/>
            <w:vAlign w:val="bottom"/>
            <w:tcBorders>
              <w:bottom w:val="single" w:sz="8" w:color="939598"/>
            </w:tcBorders>
          </w:tcPr>
          <w:p>
            <w:pPr>
              <w:spacing w:after="0"/>
              <w:rPr>
                <w:sz w:val="17"/>
                <w:szCs w:val="17"/>
                <w:color w:val="auto"/>
              </w:rPr>
            </w:pPr>
          </w:p>
        </w:tc>
      </w:tr>
    </w:tbl>
    <w:p>
      <w:pPr>
        <w:spacing w:after="0" w:line="215"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Our liability for unrecognized tax benefits, including related interest and penalties, of $22.1 million is excluded from the commitments above as we cannot determine the years in which these positions might ultimately be settled.</w:t>
      </w:r>
    </w:p>
    <w:p>
      <w:pPr>
        <w:spacing w:after="0" w:line="197"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We recorded reorganization costs of $36.1 million, $33.5 million and $37.2 million in 2010, 2009 and 2008, respectively, in Selling and Administrative Expenses, primarily related to severances and office closures and consolidations in several countries. As of December 31, 2010, $80.9 million has been paid out of these reserves, of which $23.1 million was paid during 2010. We expect a majority of the remaining $34.2 million will be paid in 2011. (See Note 1 to the Consolidated Financial Statements for further information.)</w:t>
      </w:r>
    </w:p>
    <w:p>
      <w:pPr>
        <w:spacing w:after="0" w:line="202"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also have entered into guarantee contracts and stand-by letters of credit that total approximately $168.1 million and $163.3 million as of December 31, 2010 and 2009, respectively ($131.4 million and $120.3 million for guarantees, respectively, and $36.7 million and $43.0 million for stand-by letters of credit, respectively). Guarantees primarily relate to bank accounts, operating leases and indebtedness. The stand-by letters of credit relate to workers’ compensation, operating leases and indebtedness. If certain conditions were met under these arrangements, we would be required to satisfy our obligation in cash. Due to the nature of these arrangements and our historical experience, we do not expect to make any significant payments under these arrangements. Therefore, they have been excluded from our aggregate commitments identified above. The cost of these guarantees and letters of credit wa s $1.8 million and $1.6 million in 2010 and 2009, respectively.</w:t>
      </w:r>
    </w:p>
    <w:p>
      <w:pPr>
        <w:spacing w:after="0" w:line="200" w:lineRule="exact"/>
        <w:rPr>
          <w:sz w:val="20"/>
          <w:szCs w:val="20"/>
          <w:color w:val="auto"/>
        </w:rPr>
      </w:pPr>
    </w:p>
    <w:p>
      <w:pPr>
        <w:spacing w:after="0"/>
        <w:rPr>
          <w:sz w:val="20"/>
          <w:szCs w:val="20"/>
          <w:color w:val="auto"/>
        </w:rPr>
      </w:pPr>
      <w:r>
        <w:rPr>
          <w:rFonts w:ascii="Arial" w:cs="Arial" w:eastAsia="Arial" w:hAnsi="Arial"/>
          <w:sz w:val="24"/>
          <w:szCs w:val="24"/>
          <w:color w:val="86B6A5"/>
        </w:rPr>
        <w:t>Capital Resources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144780</wp:posOffset>
            </wp:positionV>
            <wp:extent cx="1998345" cy="86614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998345" cy="866140"/>
                    </a:xfrm>
                    <a:prstGeom prst="rect">
                      <a:avLst/>
                    </a:prstGeom>
                    <a:noFill/>
                  </pic:spPr>
                </pic:pic>
              </a:graphicData>
            </a:graphic>
          </wp:anchor>
        </w:drawing>
      </w:r>
    </w:p>
    <w:p>
      <w:pPr>
        <w:spacing w:after="0" w:line="211" w:lineRule="exact"/>
        <w:rPr>
          <w:sz w:val="20"/>
          <w:szCs w:val="20"/>
          <w:color w:val="auto"/>
        </w:rPr>
      </w:pPr>
    </w:p>
    <w:p>
      <w:pPr>
        <w:ind w:right="3980"/>
        <w:spacing w:after="0" w:line="234" w:lineRule="auto"/>
        <w:rPr>
          <w:sz w:val="20"/>
          <w:szCs w:val="20"/>
          <w:color w:val="auto"/>
        </w:rPr>
      </w:pPr>
      <w:r>
        <w:rPr>
          <w:rFonts w:ascii="Arial" w:cs="Arial" w:eastAsia="Arial" w:hAnsi="Arial"/>
          <w:sz w:val="18"/>
          <w:szCs w:val="18"/>
          <w:color w:val="auto"/>
        </w:rPr>
        <w:t>Total capitalization as of December 31, 2010 was $3,095.2 million, comprised of $698.0 million in debt and $2,397.2 million in equity. Debt as a percentage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of total capitalization was 23% as of both December 31, 2010 and 2009.</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b w:val="1"/>
          <w:bCs w:val="1"/>
          <w:color w:val="4D8ABE"/>
        </w:rPr>
        <w:t>EURO NOTES</w:t>
      </w:r>
    </w:p>
    <w:p>
      <w:pPr>
        <w:spacing w:after="0" w:line="229" w:lineRule="exact"/>
        <w:rPr>
          <w:sz w:val="20"/>
          <w:szCs w:val="20"/>
          <w:color w:val="auto"/>
        </w:rPr>
      </w:pPr>
    </w:p>
    <w:p>
      <w:pPr>
        <w:ind w:right="4000"/>
        <w:spacing w:after="0" w:line="234" w:lineRule="auto"/>
        <w:rPr>
          <w:sz w:val="20"/>
          <w:szCs w:val="20"/>
          <w:color w:val="auto"/>
        </w:rPr>
      </w:pPr>
      <w:r>
        <w:rPr>
          <w:rFonts w:ascii="Arial" w:cs="Arial" w:eastAsia="Arial" w:hAnsi="Arial"/>
          <w:sz w:val="18"/>
          <w:szCs w:val="18"/>
          <w:color w:val="auto"/>
        </w:rPr>
        <w:t>We have €300.0 million aggregate principal amount of 4.50% notes due June 1, 2012 (the “€300.0 million Notes”). The €300.0 million Notes were issued at</w:t>
      </w:r>
    </w:p>
    <w:p>
      <w:pPr>
        <w:spacing w:after="0" w:line="2" w:lineRule="exact"/>
        <w:rPr>
          <w:sz w:val="20"/>
          <w:szCs w:val="20"/>
          <w:color w:val="auto"/>
        </w:rPr>
      </w:pPr>
    </w:p>
    <w:p>
      <w:pPr>
        <w:ind w:right="3980"/>
        <w:spacing w:after="0" w:line="234" w:lineRule="auto"/>
        <w:rPr>
          <w:sz w:val="20"/>
          <w:szCs w:val="20"/>
          <w:color w:val="auto"/>
        </w:rPr>
      </w:pPr>
      <w:r>
        <w:rPr>
          <w:rFonts w:ascii="Arial" w:cs="Arial" w:eastAsia="Arial" w:hAnsi="Arial"/>
          <w:sz w:val="18"/>
          <w:szCs w:val="18"/>
          <w:color w:val="auto"/>
        </w:rPr>
        <w:t>a price of 99.518% to yield an effective interest rate of 4.58%. The discount of €1.4 million ($1.8 million) is being amortized to interest expense over the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term of the €300.0 million Notes. Interest is payable annually on June 1.</w:t>
      </w:r>
    </w:p>
    <w:p>
      <w:pPr>
        <w:spacing w:after="0" w:line="208"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also have €200.0 million aggregate principal amount of 4.75% notes due June 14, 2013 (the “€200.0 million Notes”). The €200.0 million Notes were issued at a price of 99.349% to yield an effective interest rate of 4.862%. The discount of €1.3 million ($1.6 million) is being amortized to interest expense over the term of the €200.0 million Notes. Interest is payable annually on June 14.</w:t>
      </w:r>
    </w:p>
    <w:p>
      <w:pPr>
        <w:spacing w:after="0" w:line="203"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Both the €300.0 million Notes and the €200.0 million Notes are unsecured senior obligations and rank equally with all of our existing and future senior unsecured debt and other liabilities. We may redeem these notes, in whole but not in part, at our option at any time for a redemption price determined in accordance with the term of the notes. These notes also contain certain customary non-financial restrictive covenants and events of default.</w:t>
      </w:r>
    </w:p>
    <w:p>
      <w:pPr>
        <w:spacing w:after="0" w:line="20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When these facilities mature, we plan to repay these amounts with available cash or refinance them with new long-term facilities. In the event that the economy declines again for an extended period of time, we may be unable to repay these amounts with available cash and, as such, we may need to replace these borrowings with new long-term facilities. The credit terms, including interest rate and facility fees, of any replacement borrowings will be dependent upon the condition of the credit markets at that time. We currently do not anticipate any problems accessing the credit markets should we need to replace our facilities.</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color w:val="4D8ABE"/>
        </w:rPr>
        <w:t xml:space="preserve">32 </w:t>
      </w:r>
      <w:r>
        <w:rPr>
          <w:rFonts w:ascii="Arial" w:cs="Arial" w:eastAsia="Arial" w:hAnsi="Arial"/>
          <w:sz w:val="16"/>
          <w:szCs w:val="16"/>
          <w:color w:val="4D8ABE"/>
        </w:rPr>
        <w:t>Manpower 2010 Annual Report</w:t>
      </w:r>
      <w:r>
        <w:rPr>
          <w:rFonts w:ascii="Arial" w:cs="Arial" w:eastAsia="Arial" w:hAnsi="Arial"/>
          <w:sz w:val="16"/>
          <w:szCs w:val="16"/>
          <w:b w:val="1"/>
          <w:bCs w:val="1"/>
          <w:color w:val="4D8ABE"/>
        </w:rPr>
        <w:t xml:space="preserve"> </w:t>
      </w:r>
      <w:r>
        <w:rPr>
          <w:rFonts w:ascii="Arial" w:cs="Arial" w:eastAsia="Arial" w:hAnsi="Arial"/>
          <w:sz w:val="16"/>
          <w:szCs w:val="16"/>
          <w:b w:val="1"/>
          <w:bCs w:val="1"/>
          <w:color w:val="939598"/>
        </w:rPr>
        <w:t>Management’s Discussion &amp;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72390</wp:posOffset>
            </wp:positionV>
            <wp:extent cx="7267575" cy="469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ectPr>
          <w:pgSz w:w="11900" w:h="16838" w:orient="portrait"/>
          <w:cols w:equalWidth="0" w:num="1">
            <w:col w:w="11420"/>
          </w:cols>
          <w:pgMar w:left="240" w:top="349" w:right="239" w:bottom="1440" w:gutter="0" w:footer="0" w:header="0"/>
        </w:sectPr>
      </w:pPr>
    </w:p>
    <w:bookmarkStart w:id="62" w:name="page63"/>
    <w:bookmarkEnd w:id="62"/>
    <w:p>
      <w:pPr>
        <w:jc w:val="both"/>
        <w:spacing w:after="0" w:line="239" w:lineRule="auto"/>
        <w:rPr>
          <w:sz w:val="20"/>
          <w:szCs w:val="20"/>
          <w:color w:val="auto"/>
        </w:rPr>
      </w:pPr>
      <w:r>
        <w:rPr>
          <w:rFonts w:ascii="Arial" w:cs="Arial" w:eastAsia="Arial" w:hAnsi="Arial"/>
          <w:sz w:val="18"/>
          <w:szCs w:val="18"/>
          <w:color w:val="auto"/>
        </w:rPr>
        <w:t>Our Euro-denominated notes have been designated as a hedge of our net investment in subsidiaries with a Euro-functional currency. Since our net investment in these subsidiaries exceeds the respective amount of the designated borrowings, all foreign exchange gains or losses related to these borrowings are included as a component of Accumulated Other Comprehensive Income (Loss). (See Significant Matters Affecting Results of Operations and Notes 7 and 12 to the Consolidated Financial Statements for further information.)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4D8ABE"/>
        </w:rPr>
        <w:t>REVOLVING CREDIT AGREEMENT</w:t>
      </w:r>
    </w:p>
    <w:p>
      <w:pPr>
        <w:spacing w:after="0" w:line="234"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have a $400.0 million revolving credit agreement (the “credit agreement”) with a syndicate of commercial banks that expires November 2012. The credit agreement allows for borrowings in various currencies and up to $150.0 million may be used for the issuance of standby letters of credit.</w:t>
      </w:r>
    </w:p>
    <w:p>
      <w:pPr>
        <w:spacing w:after="0" w:line="203"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On October 16, 2009, we amended our revolving credit agreement (“Revolving Credit Agreement”) to revise certain terms and financial covenants, including a reduction in the size of the facility from $ 625.0 million to $ 400.0 million. The Revolving Credit Agreement requires that we comply with maximum Debt-to-EBITDA ratios, ranging from 3.25 to 1 to 6.00 to 1 beginning with the quarter ended September 30, 2009 through the quarter ending June 30, 2010, returning to a ratio of 3.25 to 1 for the quarter ending September 30, 2011 and each quarter thereafter. The Revolving Credit Agreement also requires that we comply with minimum Fixed Charge Coverage ratios of 1.25 to 1 beginning with the quarter ended December 31, 2009, gradually returning to a ratio of 2.0 to 1 for the quarter ending March 31, 2012 and each quarter thereafter.</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As defined in the Revolving Credit Agreement, we had a Debt-to-EBITDA ratio of 1.60 to 1 (compared to a maximum allowable ratio of 5.25 to</w:t>
      </w:r>
    </w:p>
    <w:p>
      <w:pPr>
        <w:ind w:firstLine="8"/>
        <w:spacing w:after="0" w:line="246" w:lineRule="auto"/>
        <w:tabs>
          <w:tab w:leader="none" w:pos="238" w:val="left"/>
        </w:tabs>
        <w:numPr>
          <w:ilvl w:val="0"/>
          <w:numId w:val="43"/>
        </w:numPr>
        <w:rPr>
          <w:rFonts w:ascii="Arial" w:cs="Arial" w:eastAsia="Arial" w:hAnsi="Arial"/>
          <w:sz w:val="18"/>
          <w:szCs w:val="18"/>
          <w:color w:val="auto"/>
        </w:rPr>
      </w:pPr>
      <w:r>
        <w:rPr>
          <w:rFonts w:ascii="Arial" w:cs="Arial" w:eastAsia="Arial" w:hAnsi="Arial"/>
          <w:sz w:val="18"/>
          <w:szCs w:val="18"/>
          <w:color w:val="auto"/>
        </w:rPr>
        <w:t>as of December 31, 2010 and a Fixed Charge Coverage ratio of 2.41 to 1 (compared to a minimum required ratio of 1.25 to 1) as of December 31, 2010. Based on our current forecast, we expect to be in compliance with our financial covenants for the next 12 months.</w:t>
      </w:r>
    </w:p>
    <w:p>
      <w:pPr>
        <w:spacing w:after="0" w:line="197"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Under our Revolving Credit Agreement, we have a ratings-based pricing grid which determines the facility fee and the credit spread that we add to the applicable interbank borrowing rate on all borrowings. At our current credit ratings, the facility fee is 45 bps, and the credit spread is 255 bps. Any downgrades from the credit agencies would unfavorably impact our facility fees and result in additional costs ranging from approximately $0.6 million to $1.3 million annually. As of December 31, 2010, the interest rate under the agreement was Libor plus 2.55% (for U.S. Dollar borrowings, or alternative base rate for foreign currency borrowings).</w:t>
      </w:r>
    </w:p>
    <w:p>
      <w:pPr>
        <w:spacing w:after="0" w:line="203"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On October 16, 2009, we repaid the € 100.0 million ($ 146.4 million) borrowings outstanding under our Revolving Credit Agreement, and terminated the related interest rate swap agreements. As a result, we incurred approximately $7.5 million in fees classified as interest expense, which was recorded in the third quarter ended September 30, 2009. We have no borrowings under this credit agreement as of December 31, 2010. (See Significant Matters Affecting Results of Operations for further information.)</w:t>
      </w:r>
    </w:p>
    <w:p>
      <w:pPr>
        <w:spacing w:after="0" w:line="202"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Outstanding letters of credit issued under the credit agreement totaled $2.2 million and $8.6 million as of December 31, 2010 and 2009, respectively. Additional borrowings of $397.8 million were available to us under the credit agreement as of December 31, 2010.</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4D8ABE"/>
        </w:rPr>
        <w:t>OTHER</w:t>
      </w:r>
    </w:p>
    <w:p>
      <w:pPr>
        <w:spacing w:after="0" w:line="23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addition to the previously mentioned facilities, we maintain separate bank credit lines with financial institutions to meet working capital needs of our subsidiary operations. As of December 31, 2010, such uncommitted credit lines totaled $395.7 million, of which $367.7 million was unused. Under the credit agreement, total subsidiary borrowings cannot exceed $300.0 million in the first, second and fourth quarters, and $600.0 million in the third quarter of each year. Due to these limitations, additional borrowings of $271.8 million could have been made under these lines as of December 31, 2010.</w:t>
      </w:r>
    </w:p>
    <w:p>
      <w:pPr>
        <w:spacing w:after="0" w:line="203"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In December 2010, Standard and Poor’s raised our credit outlook from negative to stable, while maintaining the BBB- credit rating. Our credit rating from Moody’s Investors Services is Baa3 with a stable outlook. The rating agencies use a proprietary methodology in determining their ratings and outlook which includes, among other things, financial ratios based upon debt levels and earnings performance. Both of the current credit ratings are investment grade.</w:t>
      </w:r>
    </w:p>
    <w:p>
      <w:pPr>
        <w:spacing w:after="0" w:line="185"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939598"/>
        </w:rPr>
        <w:t xml:space="preserve">Management’s Discussion &amp; Analysis </w:t>
      </w:r>
      <w:r>
        <w:rPr>
          <w:rFonts w:ascii="Arial" w:cs="Arial" w:eastAsia="Arial" w:hAnsi="Arial"/>
          <w:sz w:val="16"/>
          <w:szCs w:val="16"/>
          <w:color w:val="4D8ABE"/>
        </w:rPr>
        <w:t>Manpower 2010 Annual Report</w:t>
      </w:r>
      <w:r>
        <w:rPr>
          <w:rFonts w:ascii="Arial" w:cs="Arial" w:eastAsia="Arial" w:hAnsi="Arial"/>
          <w:sz w:val="16"/>
          <w:szCs w:val="16"/>
          <w:b w:val="1"/>
          <w:bCs w:val="1"/>
          <w:color w:val="939598"/>
        </w:rPr>
        <w:t xml:space="preserve"> </w:t>
      </w:r>
      <w:r>
        <w:rPr>
          <w:rFonts w:ascii="Arial" w:cs="Arial" w:eastAsia="Arial" w:hAnsi="Arial"/>
          <w:sz w:val="16"/>
          <w:szCs w:val="16"/>
          <w:b w:val="1"/>
          <w:bCs w:val="1"/>
          <w:color w:val="4D8ABE"/>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72390</wp:posOffset>
            </wp:positionV>
            <wp:extent cx="7267575" cy="469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63" w:name="page64"/>
    <w:bookmarkEnd w:id="63"/>
    <w:p>
      <w:pPr>
        <w:spacing w:after="0"/>
        <w:rPr>
          <w:sz w:val="20"/>
          <w:szCs w:val="20"/>
          <w:color w:val="auto"/>
        </w:rPr>
      </w:pPr>
      <w:r>
        <w:rPr>
          <w:rFonts w:ascii="Arial" w:cs="Arial" w:eastAsia="Arial" w:hAnsi="Arial"/>
          <w:sz w:val="22"/>
          <w:szCs w:val="22"/>
          <w:color w:val="4D8ABE"/>
        </w:rPr>
        <w:t>Management’s Discussion &amp; Analysis</w:t>
      </w:r>
    </w:p>
    <w:p>
      <w:pPr>
        <w:spacing w:after="0"/>
        <w:rPr>
          <w:sz w:val="20"/>
          <w:szCs w:val="20"/>
          <w:color w:val="auto"/>
        </w:rPr>
      </w:pPr>
      <w:r>
        <w:rPr>
          <w:rFonts w:ascii="Arial" w:cs="Arial" w:eastAsia="Arial" w:hAnsi="Arial"/>
          <w:sz w:val="18"/>
          <w:szCs w:val="18"/>
          <w:color w:val="4D8ABE"/>
        </w:rPr>
        <w:t>of financial condition and results of operations</w:t>
      </w:r>
    </w:p>
    <w:p>
      <w:pPr>
        <w:spacing w:after="0" w:line="205" w:lineRule="exact"/>
        <w:rPr>
          <w:sz w:val="20"/>
          <w:szCs w:val="20"/>
          <w:color w:val="auto"/>
        </w:rPr>
      </w:pPr>
    </w:p>
    <w:p>
      <w:pPr>
        <w:spacing w:after="0"/>
        <w:rPr>
          <w:sz w:val="20"/>
          <w:szCs w:val="20"/>
          <w:color w:val="auto"/>
        </w:rPr>
      </w:pPr>
      <w:r>
        <w:rPr>
          <w:rFonts w:ascii="Arial" w:cs="Arial" w:eastAsia="Arial" w:hAnsi="Arial"/>
          <w:sz w:val="24"/>
          <w:szCs w:val="24"/>
          <w:color w:val="86B6A5"/>
        </w:rPr>
        <w:t>Application Of Critical Accounting Policies</w:t>
      </w:r>
    </w:p>
    <w:p>
      <w:pPr>
        <w:spacing w:after="0" w:line="227"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preparation of our financial statements in conformity with accounting principles generally accepted in the United States requires us to make estimates and assumptions that affect the reported amounts. A discussion of the more significant estimates follows. Management has discussed the development, selection and disclosure of these estimates and assumptions with the Audit Committee of our Board of Directors.</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b w:val="1"/>
          <w:bCs w:val="1"/>
          <w:color w:val="4D8ABE"/>
        </w:rPr>
        <w:t>ALLOWANCE FOR DOUBTFUL ACCOUNTS</w:t>
      </w:r>
    </w:p>
    <w:p>
      <w:pPr>
        <w:spacing w:after="0" w:line="23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We have an Allowance for Doubtful Accounts recorded as an estimate of the Accounts Receivable balance that may not be collected. This allowance is calculated on an entity-by-entity basis with consideration for historical write-off experience, the current aging of receivables and a specific review for potential bad debts. Items that affect this balance mainly include bad debt expense and write-offs of Accounts Receivable balances.</w:t>
      </w:r>
    </w:p>
    <w:p>
      <w:pPr>
        <w:spacing w:after="0" w:line="202"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Bad Debt Expense, which increases our Allowance for Doubtful Accounts, is recorded as a Selling and Administrative Expense and was $28.9 million, $ 27.8 million and $23.4 million for 2010, 2009 and 2008, respectively. Factors that would cause this provision to increase primarily relate to increased bankruptcies by our clients and other difficulties collecting amounts billed. On the other hand, an improved write-off experience and aging of receivables would result in a decrease to the provision.</w:t>
      </w:r>
    </w:p>
    <w:p>
      <w:pPr>
        <w:spacing w:after="0" w:line="202"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Write-offs, which decrease our Allowance for Doubtful Accounts, are recorded as a reduction to our Accounts Receivable balance and were $33.5 million, $39.0 million and $21.5 million for 2010, 2009 and 2008, respectively.</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color w:val="4D8ABE"/>
        </w:rPr>
        <w:t>EMPLOYMENT-RELATED ITEMS</w:t>
      </w:r>
    </w:p>
    <w:p>
      <w:pPr>
        <w:spacing w:after="0" w:line="23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employment of contingent workers and permanent staff throughout the world results in the recognition of liabilities related to defined benefit pension plans, self-insured workers’ compensation, social program remittances and payroll tax audit exposures that require us to make estimates and assumptions in determining the proper reserve levels. These reserves involve significant estimates or judgments that are material to our financial statements.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939598"/>
        </w:rPr>
        <w:t>Defined Benefit Pension Plans</w:t>
      </w:r>
    </w:p>
    <w:p>
      <w:pPr>
        <w:spacing w:after="0" w:line="23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sponsor several qualified and nonqualified pension plans covering permanent employees. The most significant plans are located in the United Kingdom, the U.S., Norway and other European countries. Annual expense relating to these plans is recorded as Selling and Administrative Expense and is estimated to be approximately $10.8 million in 2011, compared to $9.2 million, $6.7 million and $15.5 million in 2010, 2009 and 2008, respectively. This expense decreased subsequent to 2008 as we terminated our Japanese plan in January 2009 and replaced it with a defined contribution plan. The termination resulted in a curtailment and settlement gain of $4.3 million in 2009, which also decreased the 2009 expense.</w:t>
      </w:r>
    </w:p>
    <w:p>
      <w:pPr>
        <w:spacing w:after="0" w:line="20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calculations of annual pension expense and the pension liability required at year-end include various actuarial assumptions such as discount rates, expected rate of return on plan assets, compensation increases and employee turnover rates. We determine our assumption for the discount rate to be used for purposes of computing annual service and interest costs based on an index of high-quality corporate bond yields and matched-funding yield curve analysis as of the measurement date. We review the actuarial assumptions on an annual basis and make modifications to the assumptions as necessary. We review peer data and historical rates, on a country-by-country basis, to check for reasonableness in setting both the discount rate and the expected return on plan assets. We estimate compensation increases and employee turnover rates for each plan based on the historical rates and the expected future rates f or each respective country. Changes to any of these assumptions will impact the level of annual expense recorded related to the plans.</w:t>
      </w:r>
    </w:p>
    <w:p>
      <w:pPr>
        <w:spacing w:after="0" w:line="20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used a weighted-average discount rate of 5.1% for both the U.S. and non-U.S. plans in determining the estimated pension expense for 2011. These rates compare to the 5.7% and 5.5% weighted-average discount rates for the U.S. plans and non-U.S. plans, respectively, used in determining the estimated pension expense for 2010, and reflect the current interest rate environment. Absent any other changes, a 25 basis point increase and decrease in the weighted-average discount rate would impact 2011 consolidated pension expense by approximately $2.0 million and $1.1 million, respectively, for the non-U.S. plans. The change would have a minimal impact for the U.S. plans. We have selected a weighted-average expected return on plan assets of 7.0% for the U.S. plans and 5.3% for the non-U.S. plans in determining the estimated pension expense for 2011. The comparable rates used for the calculation of the 2010 pe nsion expense were 7.3% and 5.5% for the U.S. plans and non-U.S. plans, respectively. A 25 basis point change in the weighted-average expected return on plan assets would impact 2011 consolidated pension expense by approximately $0.1 million for the U.S. plans and $0.6 million for the non-U.S plans. Changes to these assumptions have historically not been significant in any jurisdiction for any reporting period, and no significant adjustments to the amounts recorded have been required in the past or are expected in the future. (See Note 8 to the Consolidated Financial Statements for further information.)</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color w:val="4D8ABE"/>
        </w:rPr>
        <w:t xml:space="preserve">34 </w:t>
      </w:r>
      <w:r>
        <w:rPr>
          <w:rFonts w:ascii="Arial" w:cs="Arial" w:eastAsia="Arial" w:hAnsi="Arial"/>
          <w:sz w:val="16"/>
          <w:szCs w:val="16"/>
          <w:color w:val="4D8ABE"/>
        </w:rPr>
        <w:t>Manpower 2010 Annual Report</w:t>
      </w:r>
      <w:r>
        <w:rPr>
          <w:rFonts w:ascii="Arial" w:cs="Arial" w:eastAsia="Arial" w:hAnsi="Arial"/>
          <w:sz w:val="16"/>
          <w:szCs w:val="16"/>
          <w:b w:val="1"/>
          <w:bCs w:val="1"/>
          <w:color w:val="4D8ABE"/>
        </w:rPr>
        <w:t xml:space="preserve"> </w:t>
      </w:r>
      <w:r>
        <w:rPr>
          <w:rFonts w:ascii="Arial" w:cs="Arial" w:eastAsia="Arial" w:hAnsi="Arial"/>
          <w:sz w:val="16"/>
          <w:szCs w:val="16"/>
          <w:b w:val="1"/>
          <w:bCs w:val="1"/>
          <w:color w:val="939598"/>
        </w:rPr>
        <w:t>Management’s Discussion &amp;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72390</wp:posOffset>
            </wp:positionV>
            <wp:extent cx="7267575" cy="469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ectPr>
          <w:pgSz w:w="11900" w:h="16838" w:orient="portrait"/>
          <w:cols w:equalWidth="0" w:num="1">
            <w:col w:w="11420"/>
          </w:cols>
          <w:pgMar w:left="240" w:top="349" w:right="23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color w:val="939598"/>
        </w:rPr>
        <w:t>U.S. Workers’ Compensation</w:t>
      </w:r>
    </w:p>
    <w:p>
      <w:pPr>
        <w:spacing w:after="0" w:line="234"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In the U.S., we are self-insured in most states for workers’ compensation claims for our contingent workers. We determine the proper reserve balance using an actuarial valuation, which considers our historical payment experience and current employee demographics. Our reserve for such claims as of December 31, 2010 and 2009 was $74.9 million and $71.3 million, respectively. Workers’ compensation expense is recorded as a component of Cost of Services.</w:t>
      </w:r>
    </w:p>
    <w:p>
      <w:pPr>
        <w:spacing w:after="0" w:line="20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There are two main factors that impact workers’ compensation expense: the number of claims and the cost per claim. The number of claims is driven by the volume of hours worked, the business mix which reflects the type of work performed (for example, office and professional work have fewer claims than industrial work), and the safety of the environment where the work is performed. The cost per claim is driven primarily by the severity of the injury, related medical costs and lost-time wage costs. A 10% change in the number of claims or cost per claim would impact workers’ compensation expense in the U.S. by approximately $3.1 million.</w:t>
      </w:r>
    </w:p>
    <w:p>
      <w:pPr>
        <w:spacing w:after="0" w:line="203"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Historically, we have not had significant changes in our assumptions used in calculating our reserve balance or significant adjustments to our reserve level. During 2010, we saw an increase in our industrial and light industrial business, which was mitigated by an increase in our professional business, primarily due to the COMSYS acquisition. In addition, we continued our focus on safety, which includes training of contingent workers and client site reviews. Given our current claims experience and cost per claim, we do not expect a significant change in our workers’ compensation reserve in the near future. However, we have historically experienced an increase in claims frequency (defined as number of claims per 10,000 billable hours) following a recessionary period. While we did not see this occur in 2010, we could potentially experience higher costs for a 1 to 2 year period starting in 2011.</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939598"/>
        </w:rPr>
        <w:t>Social Program Remittances and Payroll Tax Audit Exposure</w:t>
      </w:r>
    </w:p>
    <w:p>
      <w:pPr>
        <w:spacing w:after="0" w:line="234"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On a routine basis, various governmental agencies in some of the countries in which we operate audit our payroll tax calculations and our compliance with other payroll-related regulations. These audits focus primarily on documentation requirements and our support for our payroll tax remittances. Due to the nature of our business, the number of people that we employ, and the complexity of some payroll tax regulations, we may have some adjustments to the payroll tax remittances as a result of these audits.</w:t>
      </w:r>
    </w:p>
    <w:p>
      <w:pPr>
        <w:spacing w:after="0" w:line="202"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particular, the French government has various social programs that are aimed at reducing the cost of labor and encouraging employment, particularly for low-wage workers, through the reduction of payroll taxes (or social contribution). Due to the number of new programs or program changes, and the complexity of compliance, we may have adjustments to the amount of reductions claimed as a result of the audits.</w:t>
      </w:r>
    </w:p>
    <w:p>
      <w:pPr>
        <w:spacing w:after="0" w:line="203"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make an estimate of the additional remittances that may be required on a country-by-country basis, and record the estimate as a component of Cost of Services or Selling and Administrative Expenses, as appropriate. Each country’s estimate is based on the results of past audits and the number of years that have not yet been audited, with consideration for changing business volumes and changes to the payroll tax regulations. To the extent that our actual experience differs from our estimates, we will need to make adjustments to our reserve balance, which will impact the results of the related operation and the operating segment in which it is reported. Other than France, we have not had any significant adjustments to the amounts recorded as a result of any payroll tax audits, and we do not expect any significant adjustments to the recorded amounts in the near term.</w:t>
      </w:r>
    </w:p>
    <w:p>
      <w:pPr>
        <w:spacing w:after="0" w:line="203"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France, we currently maintain a reserve for the unaudited years of 2007 through 2010, which has been estimated based on the results of past audits, changes in business volumes and the recently received assessment related to the audit of 2007 and 2008. While some adjustment may be appropriate as we finalize the audit, we do not expect any significant adjustments to the recorded amount in the near term.</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b w:val="1"/>
          <w:bCs w:val="1"/>
          <w:color w:val="4D8ABE"/>
        </w:rPr>
        <w:t>DEFERRED REVENUE</w:t>
      </w:r>
    </w:p>
    <w:p>
      <w:pPr>
        <w:spacing w:after="0" w:line="23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recognize revenue under the current accounting guidance on revenue recognition. The accounting guidance generally provides that revenue for time-based services be recognized over the average length of the services being provided. For the outplacement line of business, we recognize revenue from individual programs over the estimated period in which services are rendered to candidates. For large projects within the outplacement line of business, we recognize revenue over the period in which the services are provided. In our consulting business, revenue is recognized upon the performance of the service under the consulting service contract. For performance-based contracts, we defer recognizing revenue until the performance criteria has been met.</w:t>
      </w:r>
    </w:p>
    <w:p>
      <w:pPr>
        <w:spacing w:after="0" w:line="188" w:lineRule="exact"/>
        <w:rPr>
          <w:sz w:val="20"/>
          <w:szCs w:val="20"/>
          <w:color w:val="auto"/>
        </w:rPr>
      </w:pPr>
    </w:p>
    <w:p>
      <w:pPr>
        <w:ind w:left="6000"/>
        <w:spacing w:after="0"/>
        <w:rPr>
          <w:sz w:val="20"/>
          <w:szCs w:val="20"/>
          <w:color w:val="auto"/>
        </w:rPr>
      </w:pPr>
      <w:r>
        <w:rPr>
          <w:rFonts w:ascii="Arial" w:cs="Arial" w:eastAsia="Arial" w:hAnsi="Arial"/>
          <w:sz w:val="16"/>
          <w:szCs w:val="16"/>
          <w:b w:val="1"/>
          <w:bCs w:val="1"/>
          <w:color w:val="939598"/>
        </w:rPr>
        <w:t xml:space="preserve">Management’s Discussion &amp; Analysis </w:t>
      </w:r>
      <w:r>
        <w:rPr>
          <w:rFonts w:ascii="Arial" w:cs="Arial" w:eastAsia="Arial" w:hAnsi="Arial"/>
          <w:sz w:val="16"/>
          <w:szCs w:val="16"/>
          <w:color w:val="4D8ABE"/>
        </w:rPr>
        <w:t>Manpower 2010 Annual Report</w:t>
      </w:r>
      <w:r>
        <w:rPr>
          <w:rFonts w:ascii="Arial" w:cs="Arial" w:eastAsia="Arial" w:hAnsi="Arial"/>
          <w:sz w:val="16"/>
          <w:szCs w:val="16"/>
          <w:b w:val="1"/>
          <w:bCs w:val="1"/>
          <w:color w:val="939598"/>
        </w:rPr>
        <w:t xml:space="preserve"> </w:t>
      </w:r>
      <w:r>
        <w:rPr>
          <w:rFonts w:ascii="Arial" w:cs="Arial" w:eastAsia="Arial" w:hAnsi="Arial"/>
          <w:sz w:val="16"/>
          <w:szCs w:val="16"/>
          <w:b w:val="1"/>
          <w:bCs w:val="1"/>
          <w:color w:val="4D8ABE"/>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72390</wp:posOffset>
            </wp:positionV>
            <wp:extent cx="7267575" cy="469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65" w:name="page66"/>
    <w:bookmarkEnd w:id="65"/>
    <w:p>
      <w:pPr>
        <w:spacing w:after="0"/>
        <w:rPr>
          <w:sz w:val="20"/>
          <w:szCs w:val="20"/>
          <w:color w:val="auto"/>
        </w:rPr>
      </w:pPr>
      <w:r>
        <w:rPr>
          <w:rFonts w:ascii="Arial" w:cs="Arial" w:eastAsia="Arial" w:hAnsi="Arial"/>
          <w:sz w:val="22"/>
          <w:szCs w:val="22"/>
          <w:color w:val="4D8ABE"/>
        </w:rPr>
        <w:t>Management’s Discussion &amp; Analysis</w:t>
      </w:r>
    </w:p>
    <w:p>
      <w:pPr>
        <w:spacing w:after="0"/>
        <w:rPr>
          <w:sz w:val="20"/>
          <w:szCs w:val="20"/>
          <w:color w:val="auto"/>
        </w:rPr>
      </w:pPr>
      <w:r>
        <w:rPr>
          <w:rFonts w:ascii="Arial" w:cs="Arial" w:eastAsia="Arial" w:hAnsi="Arial"/>
          <w:sz w:val="18"/>
          <w:szCs w:val="18"/>
          <w:color w:val="4D8ABE"/>
        </w:rPr>
        <w:t>of financial condition and results of operations</w:t>
      </w:r>
    </w:p>
    <w:p>
      <w:pPr>
        <w:spacing w:after="0" w:line="208"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amount billed for outplacement, consulting services and performance-based contracts in excess of the amount recognized as revenue is recorded as Deferred Revenue and included in Accrued Liabilities for the current portion and Other Long-Term Liabilities for the long-term portion in our Consolidated Balance Sheets.</w:t>
      </w:r>
    </w:p>
    <w:p>
      <w:pPr>
        <w:spacing w:after="0" w:line="20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Significant factors impacting Deferred Revenue are the type of programs and projects sold and the volume of current billings for new programs and projects. Over time, an increasing volume of new billings will generally result in higher amounts of Deferred Revenue, while decreasing levels of new billings will generally result in lower amounts of Deferred Revenue. As of December 31, 2010 and 2009, the current portion of Deferred Revenue was $53.8 million and $54.3 million, respectively, and the long-term portion of Deferred Revenue was $29.8 million and $25.2 million, respectively.</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color w:val="4D8ABE"/>
        </w:rPr>
        <w:t>INCOME TAXES</w:t>
      </w:r>
    </w:p>
    <w:p>
      <w:pPr>
        <w:spacing w:after="0" w:line="23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account for income taxes in accordance with the accounting guidance on income taxes. Deferred tax assets and liabilities are recognized for the future tax consequences attributable to differences between financial statement carrying amounts of existing assets and liabilities and their respective tax bases, and net operating loss and tax credit carryforwards. Deferred tax assets and liabilities are measured using enacted tax rates expected to apply to taxable income in the years in which those temporary differences are expected to be recovered or settled. We record a valuation allowance against deferred tax assets for which utilization of the asset is not likely.</w:t>
      </w:r>
    </w:p>
    <w:p>
      <w:pPr>
        <w:spacing w:after="0" w:line="203"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accounting guidance related to uncertain tax positions requires an evaluation process for all tax positions taken that involves a review of probability for sustaining a tax position. If the probability for sustaining a tax position is more likely than not, which is a 50% threshold, then the tax position is warranted and the largest amount that would be realized upon ultimate settlement is recognized. An uncertain tax position will not be recognized in the financial statements unless it is more likely than not of being sustained.</w:t>
      </w:r>
    </w:p>
    <w:p>
      <w:pPr>
        <w:spacing w:after="0" w:line="202"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Our judgment is required in determining our deferred tax assets and liabilities, and any valuation allowances recorded. Our net deferred tax assets may need to be adjusted in the event that tax rates are modified, or our estimates of future taxable income change, such that deferred tax assets or liabilities are expected to be recovered or settled at a different tax rate than currently estimated. In addition, valuation allowances may need to be adjusted in the event that our estimate of future taxable income changes from the amounts currently estimated. We have unrecognized tax benefits related to items in various countries. To the extent these items are settled for an amount different than we currently expect, the unrecognized tax benefit will be adjusted.</w:t>
      </w:r>
    </w:p>
    <w:p>
      <w:pPr>
        <w:spacing w:after="0" w:line="205"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We provide for income taxes on a quarterly basis based on an estimated annual tax rate. In determining this rate, we make estimates about taxable income for each of our largest locations worldwide, as well as the tax rate that will be in effect for each location. To the extent these estimates change during the year, or actual results differ from these estimates, our estimated annual tax rate may change between quarterly periods and may differ from the actual effective tax rate for the year.</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color w:val="4D8ABE"/>
        </w:rPr>
        <w:t>GOODWILL AND INDEFINITE-LIVED INTANGIBLE ASSET IMPAIRMENT</w:t>
      </w:r>
    </w:p>
    <w:p>
      <w:pPr>
        <w:spacing w:after="0" w:line="238"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accordance with the accounting guidance on goodwill and other intangible assets, we perform an annual impairment test of goodwill at our reporting unit level and indefinite-lived intangible assets at our unit of account level during the third quarter, or more frequently if events or circumstances change that would more likely than not reduce the fair value of our reporting units below their carrying value.</w:t>
      </w:r>
    </w:p>
    <w:p>
      <w:pPr>
        <w:spacing w:after="0" w:line="203"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We performed our annual impairment test of our goodwill and indefinite-lived intangible assets during the third quarter of 2010. There was no impairment of our goodwill or indefinite-lived intangible assets recorded in the third quarter of 2010.</w:t>
      </w:r>
    </w:p>
    <w:p>
      <w:pPr>
        <w:spacing w:after="0" w:line="197"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In the fourth quarter of 2010, two of our reporting units, Right Management and Jefferson Wells, each experienced strong indicators of impairment due to continued deterioration in market conditions for both reporting units as they experienced further than anticipated profitability declines in the fourth quarter, which led us to adjust our long-term outlooks for each reporting unit. As a result, we performed an impairment test of our goodwill and indefinite-lived intangible assets during the fourth quarter of 2010, which resulted in a non-cash impairment charge of $311.6 million ($ 311.6 million after-tax) for goodwill associated with Right Management and Jefferson Wells. In addition, we incurred a non-cash impairment charge of $117.2 million for the tradenames associated with these two reporting units. We recorded a $44.5 million deferred tax asset related to the tradename impairment in the fourth quar ter of 2010.</w:t>
      </w:r>
    </w:p>
    <w:p>
      <w:pPr>
        <w:spacing w:after="0" w:line="203"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 goodwill and intangible asset impairment charge was non-cash in nature and does not impact our liquidity, cash flows provided by operating activities or future operations. (See Note 1 to the Consolidated Financial Statements for further information.)</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color w:val="4D8ABE"/>
        </w:rPr>
        <w:t xml:space="preserve">36 </w:t>
      </w:r>
      <w:r>
        <w:rPr>
          <w:rFonts w:ascii="Arial" w:cs="Arial" w:eastAsia="Arial" w:hAnsi="Arial"/>
          <w:sz w:val="16"/>
          <w:szCs w:val="16"/>
          <w:color w:val="4D8ABE"/>
        </w:rPr>
        <w:t>Manpower 2010 Annual Report</w:t>
      </w:r>
      <w:r>
        <w:rPr>
          <w:rFonts w:ascii="Arial" w:cs="Arial" w:eastAsia="Arial" w:hAnsi="Arial"/>
          <w:sz w:val="16"/>
          <w:szCs w:val="16"/>
          <w:b w:val="1"/>
          <w:bCs w:val="1"/>
          <w:color w:val="4D8ABE"/>
        </w:rPr>
        <w:t xml:space="preserve"> </w:t>
      </w:r>
      <w:r>
        <w:rPr>
          <w:rFonts w:ascii="Arial" w:cs="Arial" w:eastAsia="Arial" w:hAnsi="Arial"/>
          <w:sz w:val="16"/>
          <w:szCs w:val="16"/>
          <w:b w:val="1"/>
          <w:bCs w:val="1"/>
          <w:color w:val="939598"/>
        </w:rPr>
        <w:t>Management’s Discussion &amp;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72390</wp:posOffset>
            </wp:positionV>
            <wp:extent cx="7267575" cy="469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ectPr>
          <w:pgSz w:w="11900" w:h="16838" w:orient="portrait"/>
          <w:cols w:equalWidth="0" w:num="1">
            <w:col w:w="11420"/>
          </w:cols>
          <w:pgMar w:left="240" w:top="349" w:right="239" w:bottom="1440" w:gutter="0" w:footer="0" w:header="0"/>
        </w:sectPr>
      </w:pPr>
    </w:p>
    <w:bookmarkStart w:id="66" w:name="page67"/>
    <w:bookmarkEnd w:id="66"/>
    <w:p>
      <w:pPr>
        <w:jc w:val="both"/>
        <w:ind w:right="20"/>
        <w:spacing w:after="0" w:line="239" w:lineRule="auto"/>
        <w:rPr>
          <w:sz w:val="20"/>
          <w:szCs w:val="20"/>
          <w:color w:val="auto"/>
        </w:rPr>
      </w:pPr>
      <w:r>
        <w:rPr>
          <w:rFonts w:ascii="Arial" w:cs="Arial" w:eastAsia="Arial" w:hAnsi="Arial"/>
          <w:sz w:val="18"/>
          <w:szCs w:val="18"/>
          <w:color w:val="auto"/>
        </w:rPr>
        <w:t>For Right Management, our anticipated revenues and income decreased to a level which required us to adjust the size premium included in our discount rate. In addition, the beta used to calculate the discount rate changed slightly due to a change in the mix of our comparable companies as one of the companies utilized in our annual testing had been acquired during the fourth quarter. These changes resulted in a 3% increase in the discount rate to 13%, being utilized in our fourth quarter impairment testing for Right Management.</w:t>
      </w:r>
    </w:p>
    <w:p>
      <w:pPr>
        <w:spacing w:after="0" w:line="202"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For Jefferson Wells, our discount rate was relatively flat in our fourth quarter impairment testing at 12.5% as compared to 12.4% utilized in our annual testing performed in 2010.</w:t>
      </w:r>
    </w:p>
    <w:p>
      <w:pPr>
        <w:spacing w:after="0" w:line="197"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We performed our annual impairment test of our goodwill and indefinite-lived intangible assets during the third quarter of 2009 and 2008, which resulted in non-cash impairment charges of $61.0 million in 2009 for goodwill associated with our Jefferson Wells reporting unit and $163.1 million in 2008 for goodwill ($140.8 million) and tradename ($22.3 million) associated with our Right Management reporting unit. We also recorded an $8.5 million deferred tax asset related to the tradename impairment in 2008.</w:t>
      </w:r>
    </w:p>
    <w:p>
      <w:pPr>
        <w:spacing w:after="0" w:line="202"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2009 impairment was due in part to continued deterioration in market conditions, which resulted in Jefferson Wells experiencing significant revenue declines during 2009 and 2008. The discount rate was also impacted unfavorably by a 1% increase to our equity risk premium as a result of the market conditions and economic uncertainty at that time.</w:t>
      </w:r>
    </w:p>
    <w:p>
      <w:pPr>
        <w:spacing w:after="0" w:line="203"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2008 impairment was a result of deteriorating market conditions and general economic uncertainty. Market comparables and forecasted cash flows for the Right Management reporting unit were lower than in previous years, which led to a determination that the goodwill and tradename recorded for Right Management was impaired.</w:t>
      </w:r>
    </w:p>
    <w:p>
      <w:pPr>
        <w:spacing w:after="0" w:line="203"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accounting guidance requires a two-step method for determining goodwill impairment. In the first step, we determined the fair value of each reporting unit, generally by utilizing an income approach derived from a discounted cash flow methodology. For certain of our reporting units, a combination of the income approach (weighted 75%) and the market approach (weighted 25%) derived from comparable public companies was utilized. The income approach is developed from management’s forecasted cash flow data. Therefore, it represents an indication of fair market value reflecting management’s internal outlook for the reporting unit. The market approach utilizes the Guideline Public Company Method to quantify the respective reporting unit’s fair value based on revenue and earnings multiples realized by similar public companies. The market approach is more volatile as an indicator of fair v alue as compared to the income approach. We believe that each approach has its merits. However in the instances where we have utilized both approaches, we have weighted the income approach more heavily than the market approach because we believe that management’s assumptions generally provide greater insight into the reporting unit’s fair value.</w:t>
      </w:r>
    </w:p>
    <w:p>
      <w:pPr>
        <w:spacing w:after="0" w:line="379"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Significant assumptions used in our goodwill impairment tests during the third quarter and fourth quarter of 2010 included: expected revenue growth rates, operating unit profit margins, and working capital levels; discount rates ranging from 9.7% to 21.2%; and a terminal value multiple. The discount rate was impacted favorably as compared to our previous valuations primarily by the utilization of a lower risk free rate in 2010. The expected future revenue growth rates and the expected operating unit profit margins were determined after considering our historical revenue growth rates and operating unit profit margins, our assessment of future market potential, and our expectations of future business performance.</w:t>
      </w:r>
    </w:p>
    <w:p>
      <w:pPr>
        <w:spacing w:after="0" w:line="205" w:lineRule="exact"/>
        <w:rPr>
          <w:sz w:val="20"/>
          <w:szCs w:val="20"/>
          <w:color w:val="auto"/>
        </w:rPr>
      </w:pPr>
    </w:p>
    <w:p>
      <w:pPr>
        <w:jc w:val="both"/>
        <w:spacing w:after="0"/>
        <w:rPr>
          <w:sz w:val="20"/>
          <w:szCs w:val="20"/>
          <w:color w:val="auto"/>
        </w:rPr>
      </w:pPr>
      <w:r>
        <w:rPr>
          <w:rFonts w:ascii="Arial" w:cs="Arial" w:eastAsia="Arial" w:hAnsi="Arial"/>
          <w:sz w:val="18"/>
          <w:szCs w:val="18"/>
          <w:color w:val="auto"/>
        </w:rPr>
        <w:t>If the reporting unit’s fair value is less than its carrying value, as was the case for Right Management and Jefferson Wells in the fourth quarter 2010, we are required to perform a second step. In the second step, we allocate the fair value of the reporting unit to all of the assets and liabilities of the reporting unit, including any unrecognized intangibles assets, in a “hypothetical” calculation to determine the implied fair value of the goodwill. The impairment charge, if any, is measured as the difference between the implied fair value of the goodwill and its carrying value.</w:t>
      </w:r>
    </w:p>
    <w:p>
      <w:pPr>
        <w:spacing w:after="0" w:line="200" w:lineRule="exact"/>
        <w:rPr>
          <w:sz w:val="20"/>
          <w:szCs w:val="20"/>
          <w:color w:val="auto"/>
        </w:rPr>
      </w:pPr>
    </w:p>
    <w:p>
      <w:pPr>
        <w:spacing w:after="0" w:line="201"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table below provides select reporting units’ estimated fair values and carrying values, which were determined as part of our annual goodwill impairment test performed in the third quarter ended September 30, 2010, except for Right Management and Jefferson Wells, which were also tested in the fourth quarter ended December 31, 2010. Only those reporting units that have a significant amount of goodwill have been included.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32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100" w:type="dxa"/>
            <w:vAlign w:val="bottom"/>
          </w:tcPr>
          <w:p>
            <w:pPr>
              <w:jc w:val="right"/>
              <w:ind w:right="14"/>
              <w:spacing w:after="0"/>
              <w:rPr>
                <w:sz w:val="20"/>
                <w:szCs w:val="20"/>
                <w:color w:val="auto"/>
              </w:rPr>
            </w:pPr>
            <w:r>
              <w:rPr>
                <w:rFonts w:ascii="Arial" w:cs="Arial" w:eastAsia="Arial" w:hAnsi="Arial"/>
                <w:sz w:val="16"/>
                <w:szCs w:val="16"/>
                <w:b w:val="1"/>
                <w:bCs w:val="1"/>
                <w:color w:val="86B6A5"/>
              </w:rPr>
              <w:t>Right</w:t>
            </w:r>
          </w:p>
        </w:tc>
        <w:tc>
          <w:tcPr>
            <w:tcW w:w="340" w:type="dxa"/>
            <w:vAlign w:val="bottom"/>
          </w:tcPr>
          <w:p>
            <w:pPr>
              <w:spacing w:after="0"/>
              <w:rPr>
                <w:sz w:val="16"/>
                <w:szCs w:val="16"/>
                <w:color w:val="auto"/>
              </w:rPr>
            </w:pPr>
          </w:p>
        </w:tc>
        <w:tc>
          <w:tcPr>
            <w:tcW w:w="780" w:type="dxa"/>
            <w:vAlign w:val="bottom"/>
          </w:tcPr>
          <w:p>
            <w:pPr>
              <w:jc w:val="right"/>
              <w:ind w:right="74"/>
              <w:spacing w:after="0"/>
              <w:rPr>
                <w:sz w:val="20"/>
                <w:szCs w:val="20"/>
                <w:color w:val="auto"/>
              </w:rPr>
            </w:pPr>
            <w:r>
              <w:rPr>
                <w:rFonts w:ascii="Arial" w:cs="Arial" w:eastAsia="Arial" w:hAnsi="Arial"/>
                <w:sz w:val="16"/>
                <w:szCs w:val="16"/>
                <w:b w:val="1"/>
                <w:bCs w:val="1"/>
                <w:color w:val="86B6A5"/>
              </w:rPr>
              <w:t>United</w:t>
            </w:r>
          </w:p>
        </w:tc>
        <w:tc>
          <w:tcPr>
            <w:tcW w:w="3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jc w:val="right"/>
              <w:ind w:right="34"/>
              <w:spacing w:after="0"/>
              <w:rPr>
                <w:sz w:val="20"/>
                <w:szCs w:val="20"/>
                <w:color w:val="auto"/>
              </w:rPr>
            </w:pPr>
            <w:r>
              <w:rPr>
                <w:rFonts w:ascii="Arial" w:cs="Arial" w:eastAsia="Arial" w:hAnsi="Arial"/>
                <w:sz w:val="16"/>
                <w:szCs w:val="16"/>
                <w:b w:val="1"/>
                <w:bCs w:val="1"/>
                <w:color w:val="86B6A5"/>
                <w:w w:val="99"/>
              </w:rPr>
              <w:t>Netherlands</w:t>
            </w:r>
          </w:p>
        </w:tc>
        <w:tc>
          <w:tcPr>
            <w:tcW w:w="26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14"/>
        </w:trPr>
        <w:tc>
          <w:tcPr>
            <w:tcW w:w="3320" w:type="dxa"/>
            <w:vAlign w:val="bottom"/>
            <w:tcBorders>
              <w:bottom w:val="single" w:sz="8" w:color="86B6A5"/>
            </w:tcBorders>
          </w:tcPr>
          <w:p>
            <w:pPr>
              <w:spacing w:after="0"/>
              <w:rPr>
                <w:sz w:val="20"/>
                <w:szCs w:val="20"/>
                <w:color w:val="auto"/>
              </w:rPr>
            </w:pPr>
            <w:r>
              <w:rPr>
                <w:rFonts w:ascii="Arial" w:cs="Arial" w:eastAsia="Arial" w:hAnsi="Arial"/>
                <w:sz w:val="16"/>
                <w:szCs w:val="16"/>
                <w:b w:val="1"/>
                <w:bCs w:val="1"/>
                <w:color w:val="86B6A5"/>
              </w:rPr>
              <w:t>(in millions)</w:t>
            </w:r>
          </w:p>
        </w:tc>
        <w:tc>
          <w:tcPr>
            <w:tcW w:w="1760" w:type="dxa"/>
            <w:vAlign w:val="bottom"/>
            <w:tcBorders>
              <w:bottom w:val="single" w:sz="8" w:color="86B6A5"/>
            </w:tcBorders>
          </w:tcPr>
          <w:p>
            <w:pPr>
              <w:spacing w:after="0"/>
              <w:rPr>
                <w:sz w:val="18"/>
                <w:szCs w:val="18"/>
                <w:color w:val="auto"/>
              </w:rPr>
            </w:pPr>
          </w:p>
        </w:tc>
        <w:tc>
          <w:tcPr>
            <w:tcW w:w="1100" w:type="dxa"/>
            <w:vAlign w:val="bottom"/>
            <w:tcBorders>
              <w:bottom w:val="single" w:sz="8" w:color="86B6A5"/>
            </w:tcBorders>
          </w:tcPr>
          <w:p>
            <w:pPr>
              <w:jc w:val="right"/>
              <w:ind w:right="14"/>
              <w:spacing w:after="0"/>
              <w:rPr>
                <w:sz w:val="20"/>
                <w:szCs w:val="20"/>
                <w:color w:val="auto"/>
              </w:rPr>
            </w:pPr>
            <w:r>
              <w:rPr>
                <w:rFonts w:ascii="Arial" w:cs="Arial" w:eastAsia="Arial" w:hAnsi="Arial"/>
                <w:sz w:val="16"/>
                <w:szCs w:val="16"/>
                <w:b w:val="1"/>
                <w:bCs w:val="1"/>
                <w:color w:val="86B6A5"/>
              </w:rPr>
              <w:t>Management</w:t>
            </w:r>
          </w:p>
        </w:tc>
        <w:tc>
          <w:tcPr>
            <w:tcW w:w="340" w:type="dxa"/>
            <w:vAlign w:val="bottom"/>
            <w:tcBorders>
              <w:bottom w:val="single" w:sz="8" w:color="86B6A5"/>
            </w:tcBorders>
          </w:tcPr>
          <w:p>
            <w:pPr>
              <w:spacing w:after="0"/>
              <w:rPr>
                <w:sz w:val="18"/>
                <w:szCs w:val="18"/>
                <w:color w:val="auto"/>
              </w:rPr>
            </w:pPr>
          </w:p>
        </w:tc>
        <w:tc>
          <w:tcPr>
            <w:tcW w:w="780" w:type="dxa"/>
            <w:vAlign w:val="bottom"/>
            <w:tcBorders>
              <w:bottom w:val="single" w:sz="8" w:color="86B6A5"/>
            </w:tcBorders>
          </w:tcPr>
          <w:p>
            <w:pPr>
              <w:jc w:val="right"/>
              <w:ind w:right="14"/>
              <w:spacing w:after="0"/>
              <w:rPr>
                <w:sz w:val="20"/>
                <w:szCs w:val="20"/>
                <w:color w:val="auto"/>
              </w:rPr>
            </w:pPr>
            <w:r>
              <w:rPr>
                <w:rFonts w:ascii="Arial" w:cs="Arial" w:eastAsia="Arial" w:hAnsi="Arial"/>
                <w:sz w:val="16"/>
                <w:szCs w:val="16"/>
                <w:b w:val="1"/>
                <w:bCs w:val="1"/>
                <w:color w:val="86B6A5"/>
              </w:rPr>
              <w:t>States</w:t>
            </w:r>
          </w:p>
        </w:tc>
        <w:tc>
          <w:tcPr>
            <w:tcW w:w="380" w:type="dxa"/>
            <w:vAlign w:val="bottom"/>
            <w:tcBorders>
              <w:bottom w:val="single" w:sz="8" w:color="86B6A5"/>
            </w:tcBorders>
          </w:tcPr>
          <w:p>
            <w:pPr>
              <w:spacing w:after="0"/>
              <w:rPr>
                <w:sz w:val="18"/>
                <w:szCs w:val="18"/>
                <w:color w:val="auto"/>
              </w:rPr>
            </w:pPr>
          </w:p>
        </w:tc>
        <w:tc>
          <w:tcPr>
            <w:tcW w:w="740" w:type="dxa"/>
            <w:vAlign w:val="bottom"/>
            <w:tcBorders>
              <w:bottom w:val="single" w:sz="8" w:color="86B6A5"/>
            </w:tcBorders>
          </w:tcPr>
          <w:p>
            <w:pPr>
              <w:jc w:val="right"/>
              <w:ind w:right="13"/>
              <w:spacing w:after="0"/>
              <w:rPr>
                <w:sz w:val="20"/>
                <w:szCs w:val="20"/>
                <w:color w:val="auto"/>
              </w:rPr>
            </w:pPr>
            <w:r>
              <w:rPr>
                <w:rFonts w:ascii="Arial" w:cs="Arial" w:eastAsia="Arial" w:hAnsi="Arial"/>
                <w:sz w:val="16"/>
                <w:szCs w:val="16"/>
                <w:b w:val="1"/>
                <w:bCs w:val="1"/>
                <w:color w:val="86B6A5"/>
              </w:rPr>
              <w:t>Elan</w:t>
            </w:r>
          </w:p>
        </w:tc>
        <w:tc>
          <w:tcPr>
            <w:tcW w:w="220" w:type="dxa"/>
            <w:vAlign w:val="bottom"/>
            <w:tcBorders>
              <w:bottom w:val="single" w:sz="8" w:color="86B6A5"/>
            </w:tcBorders>
          </w:tcPr>
          <w:p>
            <w:pPr>
              <w:spacing w:after="0"/>
              <w:rPr>
                <w:sz w:val="18"/>
                <w:szCs w:val="18"/>
                <w:color w:val="auto"/>
              </w:rPr>
            </w:pPr>
          </w:p>
        </w:tc>
        <w:tc>
          <w:tcPr>
            <w:tcW w:w="1060" w:type="dxa"/>
            <w:vAlign w:val="bottom"/>
            <w:tcBorders>
              <w:bottom w:val="single" w:sz="8" w:color="86B6A5"/>
            </w:tcBorders>
          </w:tcPr>
          <w:p>
            <w:pPr>
              <w:jc w:val="right"/>
              <w:ind w:right="34"/>
              <w:spacing w:after="0"/>
              <w:rPr>
                <w:sz w:val="20"/>
                <w:szCs w:val="20"/>
                <w:color w:val="auto"/>
              </w:rPr>
            </w:pPr>
            <w:r>
              <w:rPr>
                <w:rFonts w:ascii="Arial" w:cs="Arial" w:eastAsia="Arial" w:hAnsi="Arial"/>
                <w:sz w:val="16"/>
                <w:szCs w:val="16"/>
                <w:b w:val="1"/>
                <w:bCs w:val="1"/>
                <w:color w:val="86B6A5"/>
              </w:rPr>
              <w:t>(Vitae)</w:t>
            </w:r>
          </w:p>
        </w:tc>
        <w:tc>
          <w:tcPr>
            <w:tcW w:w="260" w:type="dxa"/>
            <w:vAlign w:val="bottom"/>
            <w:tcBorders>
              <w:bottom w:val="single" w:sz="8" w:color="86B6A5"/>
            </w:tcBorders>
          </w:tcPr>
          <w:p>
            <w:pPr>
              <w:spacing w:after="0"/>
              <w:rPr>
                <w:sz w:val="18"/>
                <w:szCs w:val="18"/>
                <w:color w:val="auto"/>
              </w:rPr>
            </w:pPr>
          </w:p>
        </w:tc>
        <w:tc>
          <w:tcPr>
            <w:tcW w:w="1240" w:type="dxa"/>
            <w:vAlign w:val="bottom"/>
            <w:tcBorders>
              <w:bottom w:val="single" w:sz="8" w:color="86B6A5"/>
            </w:tcBorders>
          </w:tcPr>
          <w:p>
            <w:pPr>
              <w:jc w:val="right"/>
              <w:spacing w:after="0"/>
              <w:rPr>
                <w:sz w:val="20"/>
                <w:szCs w:val="20"/>
                <w:color w:val="auto"/>
              </w:rPr>
            </w:pPr>
            <w:r>
              <w:rPr>
                <w:rFonts w:ascii="Arial" w:cs="Arial" w:eastAsia="Arial" w:hAnsi="Arial"/>
                <w:sz w:val="16"/>
                <w:szCs w:val="16"/>
                <w:b w:val="1"/>
                <w:bCs w:val="1"/>
                <w:color w:val="86B6A5"/>
              </w:rPr>
              <w:t>Jefferson Wells</w:t>
            </w:r>
          </w:p>
        </w:tc>
      </w:tr>
      <w:tr>
        <w:trPr>
          <w:trHeight w:val="202"/>
        </w:trPr>
        <w:tc>
          <w:tcPr>
            <w:tcW w:w="3320" w:type="dxa"/>
            <w:vAlign w:val="bottom"/>
          </w:tcPr>
          <w:p>
            <w:pPr>
              <w:spacing w:after="0" w:line="201" w:lineRule="exact"/>
              <w:rPr>
                <w:sz w:val="20"/>
                <w:szCs w:val="20"/>
                <w:color w:val="auto"/>
              </w:rPr>
            </w:pPr>
            <w:r>
              <w:rPr>
                <w:rFonts w:ascii="Arial" w:cs="Arial" w:eastAsia="Arial" w:hAnsi="Arial"/>
                <w:sz w:val="18"/>
                <w:szCs w:val="18"/>
                <w:color w:val="auto"/>
              </w:rPr>
              <w:t>Estimated fair values</w:t>
            </w:r>
          </w:p>
        </w:tc>
        <w:tc>
          <w:tcPr>
            <w:tcW w:w="176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1100" w:type="dxa"/>
            <w:vAlign w:val="bottom"/>
          </w:tcPr>
          <w:p>
            <w:pPr>
              <w:jc w:val="right"/>
              <w:ind w:right="14"/>
              <w:spacing w:after="0" w:line="201" w:lineRule="exact"/>
              <w:rPr>
                <w:sz w:val="20"/>
                <w:szCs w:val="20"/>
                <w:color w:val="auto"/>
              </w:rPr>
            </w:pPr>
            <w:r>
              <w:rPr>
                <w:rFonts w:ascii="Arial" w:cs="Arial" w:eastAsia="Arial" w:hAnsi="Arial"/>
                <w:sz w:val="18"/>
                <w:szCs w:val="18"/>
                <w:color w:val="auto"/>
              </w:rPr>
              <w:t>140.4</w:t>
            </w:r>
          </w:p>
        </w:tc>
        <w:tc>
          <w:tcPr>
            <w:tcW w:w="340" w:type="dxa"/>
            <w:vAlign w:val="bottom"/>
          </w:tcPr>
          <w:p>
            <w:pPr>
              <w:jc w:val="right"/>
              <w:ind w:right="50"/>
              <w:spacing w:after="0" w:line="201" w:lineRule="exact"/>
              <w:rPr>
                <w:sz w:val="20"/>
                <w:szCs w:val="20"/>
                <w:color w:val="auto"/>
              </w:rPr>
            </w:pPr>
            <w:r>
              <w:rPr>
                <w:rFonts w:ascii="Arial" w:cs="Arial" w:eastAsia="Arial" w:hAnsi="Arial"/>
                <w:sz w:val="18"/>
                <w:szCs w:val="18"/>
                <w:color w:val="auto"/>
              </w:rPr>
              <w:t>$</w:t>
            </w:r>
          </w:p>
        </w:tc>
        <w:tc>
          <w:tcPr>
            <w:tcW w:w="780" w:type="dxa"/>
            <w:vAlign w:val="bottom"/>
          </w:tcPr>
          <w:p>
            <w:pPr>
              <w:jc w:val="right"/>
              <w:ind w:right="14"/>
              <w:spacing w:after="0" w:line="201" w:lineRule="exact"/>
              <w:rPr>
                <w:sz w:val="20"/>
                <w:szCs w:val="20"/>
                <w:color w:val="auto"/>
              </w:rPr>
            </w:pPr>
            <w:r>
              <w:rPr>
                <w:rFonts w:ascii="Arial" w:cs="Arial" w:eastAsia="Arial" w:hAnsi="Arial"/>
                <w:sz w:val="18"/>
                <w:szCs w:val="18"/>
                <w:color w:val="auto"/>
              </w:rPr>
              <w:t>991.1</w:t>
            </w:r>
          </w:p>
        </w:tc>
        <w:tc>
          <w:tcPr>
            <w:tcW w:w="380" w:type="dxa"/>
            <w:vAlign w:val="bottom"/>
          </w:tcPr>
          <w:p>
            <w:pPr>
              <w:jc w:val="right"/>
              <w:ind w:right="90"/>
              <w:spacing w:after="0" w:line="201" w:lineRule="exact"/>
              <w:rPr>
                <w:sz w:val="20"/>
                <w:szCs w:val="20"/>
                <w:color w:val="auto"/>
              </w:rPr>
            </w:pPr>
            <w:r>
              <w:rPr>
                <w:rFonts w:ascii="Arial" w:cs="Arial" w:eastAsia="Arial" w:hAnsi="Arial"/>
                <w:sz w:val="18"/>
                <w:szCs w:val="18"/>
                <w:color w:val="auto"/>
              </w:rPr>
              <w:t>$</w:t>
            </w:r>
          </w:p>
        </w:tc>
        <w:tc>
          <w:tcPr>
            <w:tcW w:w="740" w:type="dxa"/>
            <w:vAlign w:val="bottom"/>
          </w:tcPr>
          <w:p>
            <w:pPr>
              <w:jc w:val="right"/>
              <w:ind w:right="13"/>
              <w:spacing w:after="0" w:line="201" w:lineRule="exact"/>
              <w:rPr>
                <w:sz w:val="20"/>
                <w:szCs w:val="20"/>
                <w:color w:val="auto"/>
              </w:rPr>
            </w:pPr>
            <w:r>
              <w:rPr>
                <w:rFonts w:ascii="Arial" w:cs="Arial" w:eastAsia="Arial" w:hAnsi="Arial"/>
                <w:sz w:val="18"/>
                <w:szCs w:val="18"/>
                <w:color w:val="auto"/>
              </w:rPr>
              <w:t>429.3</w:t>
            </w:r>
          </w:p>
        </w:tc>
        <w:tc>
          <w:tcPr>
            <w:tcW w:w="22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1060" w:type="dxa"/>
            <w:vAlign w:val="bottom"/>
          </w:tcPr>
          <w:p>
            <w:pPr>
              <w:jc w:val="right"/>
              <w:ind w:right="34"/>
              <w:spacing w:after="0" w:line="201" w:lineRule="exact"/>
              <w:rPr>
                <w:sz w:val="20"/>
                <w:szCs w:val="20"/>
                <w:color w:val="auto"/>
              </w:rPr>
            </w:pPr>
            <w:r>
              <w:rPr>
                <w:rFonts w:ascii="Arial" w:cs="Arial" w:eastAsia="Arial" w:hAnsi="Arial"/>
                <w:sz w:val="18"/>
                <w:szCs w:val="18"/>
                <w:color w:val="auto"/>
              </w:rPr>
              <w:t>174.7</w:t>
            </w:r>
          </w:p>
        </w:tc>
        <w:tc>
          <w:tcPr>
            <w:tcW w:w="26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1240" w:type="dxa"/>
            <w:vAlign w:val="bottom"/>
          </w:tcPr>
          <w:p>
            <w:pPr>
              <w:jc w:val="right"/>
              <w:spacing w:after="0" w:line="201" w:lineRule="exact"/>
              <w:rPr>
                <w:sz w:val="20"/>
                <w:szCs w:val="20"/>
                <w:color w:val="auto"/>
              </w:rPr>
            </w:pPr>
            <w:r>
              <w:rPr>
                <w:rFonts w:ascii="Arial" w:cs="Arial" w:eastAsia="Arial" w:hAnsi="Arial"/>
                <w:sz w:val="18"/>
                <w:szCs w:val="18"/>
                <w:color w:val="auto"/>
              </w:rPr>
              <w:t>96.6</w:t>
            </w:r>
          </w:p>
        </w:tc>
      </w:tr>
      <w:tr>
        <w:trPr>
          <w:trHeight w:val="210"/>
        </w:trPr>
        <w:tc>
          <w:tcPr>
            <w:tcW w:w="3320" w:type="dxa"/>
            <w:vAlign w:val="bottom"/>
            <w:tcBorders>
              <w:bottom w:val="single" w:sz="8" w:color="939598"/>
            </w:tcBorders>
          </w:tcPr>
          <w:p>
            <w:pPr>
              <w:spacing w:after="0" w:line="203" w:lineRule="exact"/>
              <w:rPr>
                <w:sz w:val="20"/>
                <w:szCs w:val="20"/>
                <w:color w:val="auto"/>
              </w:rPr>
            </w:pPr>
            <w:r>
              <w:rPr>
                <w:rFonts w:ascii="Arial" w:cs="Arial" w:eastAsia="Arial" w:hAnsi="Arial"/>
                <w:sz w:val="18"/>
                <w:szCs w:val="18"/>
                <w:color w:val="auto"/>
              </w:rPr>
              <w:t>Carrying values</w:t>
            </w:r>
          </w:p>
        </w:tc>
        <w:tc>
          <w:tcPr>
            <w:tcW w:w="1760" w:type="dxa"/>
            <w:vAlign w:val="bottom"/>
            <w:tcBorders>
              <w:bottom w:val="single" w:sz="8" w:color="939598"/>
            </w:tcBorders>
          </w:tcPr>
          <w:p>
            <w:pPr>
              <w:spacing w:after="0"/>
              <w:rPr>
                <w:sz w:val="18"/>
                <w:szCs w:val="18"/>
                <w:color w:val="auto"/>
              </w:rPr>
            </w:pPr>
          </w:p>
        </w:tc>
        <w:tc>
          <w:tcPr>
            <w:tcW w:w="1100" w:type="dxa"/>
            <w:vAlign w:val="bottom"/>
            <w:tcBorders>
              <w:bottom w:val="single" w:sz="8" w:color="939598"/>
            </w:tcBorders>
          </w:tcPr>
          <w:p>
            <w:pPr>
              <w:jc w:val="right"/>
              <w:ind w:right="14"/>
              <w:spacing w:after="0" w:line="203" w:lineRule="exact"/>
              <w:rPr>
                <w:sz w:val="20"/>
                <w:szCs w:val="20"/>
                <w:color w:val="auto"/>
              </w:rPr>
            </w:pPr>
            <w:r>
              <w:rPr>
                <w:rFonts w:ascii="Arial" w:cs="Arial" w:eastAsia="Arial" w:hAnsi="Arial"/>
                <w:sz w:val="18"/>
                <w:szCs w:val="18"/>
                <w:color w:val="auto"/>
              </w:rPr>
              <w:t>146.7</w:t>
            </w:r>
          </w:p>
        </w:tc>
        <w:tc>
          <w:tcPr>
            <w:tcW w:w="340" w:type="dxa"/>
            <w:vAlign w:val="bottom"/>
            <w:tcBorders>
              <w:bottom w:val="single" w:sz="8" w:color="939598"/>
            </w:tcBorders>
          </w:tcPr>
          <w:p>
            <w:pPr>
              <w:spacing w:after="0"/>
              <w:rPr>
                <w:sz w:val="18"/>
                <w:szCs w:val="18"/>
                <w:color w:val="auto"/>
              </w:rPr>
            </w:pPr>
          </w:p>
        </w:tc>
        <w:tc>
          <w:tcPr>
            <w:tcW w:w="780" w:type="dxa"/>
            <w:vAlign w:val="bottom"/>
            <w:tcBorders>
              <w:bottom w:val="single" w:sz="8" w:color="939598"/>
            </w:tcBorders>
          </w:tcPr>
          <w:p>
            <w:pPr>
              <w:jc w:val="right"/>
              <w:ind w:right="14"/>
              <w:spacing w:after="0" w:line="203" w:lineRule="exact"/>
              <w:rPr>
                <w:sz w:val="20"/>
                <w:szCs w:val="20"/>
                <w:color w:val="auto"/>
              </w:rPr>
            </w:pPr>
            <w:r>
              <w:rPr>
                <w:rFonts w:ascii="Arial" w:cs="Arial" w:eastAsia="Arial" w:hAnsi="Arial"/>
                <w:sz w:val="18"/>
                <w:szCs w:val="18"/>
                <w:color w:val="auto"/>
              </w:rPr>
              <w:t>841.3</w:t>
            </w:r>
          </w:p>
        </w:tc>
        <w:tc>
          <w:tcPr>
            <w:tcW w:w="380" w:type="dxa"/>
            <w:vAlign w:val="bottom"/>
            <w:tcBorders>
              <w:bottom w:val="single" w:sz="8" w:color="939598"/>
            </w:tcBorders>
          </w:tcPr>
          <w:p>
            <w:pPr>
              <w:spacing w:after="0"/>
              <w:rPr>
                <w:sz w:val="18"/>
                <w:szCs w:val="18"/>
                <w:color w:val="auto"/>
              </w:rPr>
            </w:pPr>
          </w:p>
        </w:tc>
        <w:tc>
          <w:tcPr>
            <w:tcW w:w="740" w:type="dxa"/>
            <w:vAlign w:val="bottom"/>
            <w:tcBorders>
              <w:bottom w:val="single" w:sz="8" w:color="939598"/>
            </w:tcBorders>
          </w:tcPr>
          <w:p>
            <w:pPr>
              <w:jc w:val="right"/>
              <w:ind w:right="13"/>
              <w:spacing w:after="0" w:line="203" w:lineRule="exact"/>
              <w:rPr>
                <w:sz w:val="20"/>
                <w:szCs w:val="20"/>
                <w:color w:val="auto"/>
              </w:rPr>
            </w:pPr>
            <w:r>
              <w:rPr>
                <w:rFonts w:ascii="Arial" w:cs="Arial" w:eastAsia="Arial" w:hAnsi="Arial"/>
                <w:sz w:val="18"/>
                <w:szCs w:val="18"/>
                <w:color w:val="auto"/>
              </w:rPr>
              <w:t>233.1</w:t>
            </w:r>
          </w:p>
        </w:tc>
        <w:tc>
          <w:tcPr>
            <w:tcW w:w="220" w:type="dxa"/>
            <w:vAlign w:val="bottom"/>
            <w:tcBorders>
              <w:bottom w:val="single" w:sz="8" w:color="939598"/>
            </w:tcBorders>
          </w:tcPr>
          <w:p>
            <w:pPr>
              <w:spacing w:after="0"/>
              <w:rPr>
                <w:sz w:val="18"/>
                <w:szCs w:val="18"/>
                <w:color w:val="auto"/>
              </w:rPr>
            </w:pPr>
          </w:p>
        </w:tc>
        <w:tc>
          <w:tcPr>
            <w:tcW w:w="1060" w:type="dxa"/>
            <w:vAlign w:val="bottom"/>
            <w:tcBorders>
              <w:bottom w:val="single" w:sz="8" w:color="939598"/>
            </w:tcBorders>
          </w:tcPr>
          <w:p>
            <w:pPr>
              <w:jc w:val="right"/>
              <w:ind w:right="34"/>
              <w:spacing w:after="0" w:line="203" w:lineRule="exact"/>
              <w:rPr>
                <w:sz w:val="20"/>
                <w:szCs w:val="20"/>
                <w:color w:val="auto"/>
              </w:rPr>
            </w:pPr>
            <w:r>
              <w:rPr>
                <w:rFonts w:ascii="Arial" w:cs="Arial" w:eastAsia="Arial" w:hAnsi="Arial"/>
                <w:sz w:val="18"/>
                <w:szCs w:val="18"/>
                <w:color w:val="auto"/>
              </w:rPr>
              <w:t>119.0</w:t>
            </w:r>
          </w:p>
        </w:tc>
        <w:tc>
          <w:tcPr>
            <w:tcW w:w="260" w:type="dxa"/>
            <w:vAlign w:val="bottom"/>
            <w:tcBorders>
              <w:bottom w:val="single" w:sz="8" w:color="939598"/>
            </w:tcBorders>
          </w:tcPr>
          <w:p>
            <w:pPr>
              <w:spacing w:after="0"/>
              <w:rPr>
                <w:sz w:val="18"/>
                <w:szCs w:val="18"/>
                <w:color w:val="auto"/>
              </w:rPr>
            </w:pPr>
          </w:p>
        </w:tc>
        <w:tc>
          <w:tcPr>
            <w:tcW w:w="1240" w:type="dxa"/>
            <w:vAlign w:val="bottom"/>
            <w:tcBorders>
              <w:bottom w:val="single" w:sz="8" w:color="939598"/>
            </w:tcBorders>
          </w:tcPr>
          <w:p>
            <w:pPr>
              <w:jc w:val="right"/>
              <w:spacing w:after="0" w:line="203" w:lineRule="exact"/>
              <w:rPr>
                <w:sz w:val="20"/>
                <w:szCs w:val="20"/>
                <w:color w:val="auto"/>
              </w:rPr>
            </w:pPr>
            <w:r>
              <w:rPr>
                <w:rFonts w:ascii="Arial" w:cs="Arial" w:eastAsia="Arial" w:hAnsi="Arial"/>
                <w:sz w:val="18"/>
                <w:szCs w:val="18"/>
                <w:color w:val="auto"/>
              </w:rPr>
              <w:t>80.0</w:t>
            </w:r>
          </w:p>
        </w:tc>
      </w:tr>
    </w:tbl>
    <w:p>
      <w:pPr>
        <w:spacing w:after="0" w:line="198"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939598"/>
        </w:rPr>
        <w:t xml:space="preserve">Management’s Discussion &amp; Analysis </w:t>
      </w:r>
      <w:r>
        <w:rPr>
          <w:rFonts w:ascii="Arial" w:cs="Arial" w:eastAsia="Arial" w:hAnsi="Arial"/>
          <w:sz w:val="16"/>
          <w:szCs w:val="16"/>
          <w:color w:val="4D8ABE"/>
        </w:rPr>
        <w:t>Manpower 2010 Annual Report</w:t>
      </w:r>
      <w:r>
        <w:rPr>
          <w:rFonts w:ascii="Arial" w:cs="Arial" w:eastAsia="Arial" w:hAnsi="Arial"/>
          <w:sz w:val="16"/>
          <w:szCs w:val="16"/>
          <w:b w:val="1"/>
          <w:bCs w:val="1"/>
          <w:color w:val="939598"/>
        </w:rPr>
        <w:t xml:space="preserve"> </w:t>
      </w:r>
      <w:r>
        <w:rPr>
          <w:rFonts w:ascii="Arial" w:cs="Arial" w:eastAsia="Arial" w:hAnsi="Arial"/>
          <w:sz w:val="16"/>
          <w:szCs w:val="16"/>
          <w:b w:val="1"/>
          <w:bCs w:val="1"/>
          <w:color w:val="4D8ABE"/>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72390</wp:posOffset>
            </wp:positionV>
            <wp:extent cx="7267575" cy="469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67" w:name="page68"/>
    <w:bookmarkEnd w:id="67"/>
    <w:p>
      <w:pPr>
        <w:spacing w:after="0"/>
        <w:rPr>
          <w:sz w:val="20"/>
          <w:szCs w:val="20"/>
          <w:color w:val="auto"/>
        </w:rPr>
      </w:pPr>
      <w:r>
        <w:rPr>
          <w:rFonts w:ascii="Arial" w:cs="Arial" w:eastAsia="Arial" w:hAnsi="Arial"/>
          <w:sz w:val="22"/>
          <w:szCs w:val="22"/>
          <w:color w:val="4D8ABE"/>
        </w:rPr>
        <w:t>Management’s Discussion &amp; Analysis</w:t>
      </w:r>
    </w:p>
    <w:p>
      <w:pPr>
        <w:spacing w:after="0"/>
        <w:rPr>
          <w:sz w:val="20"/>
          <w:szCs w:val="20"/>
          <w:color w:val="auto"/>
        </w:rPr>
      </w:pPr>
      <w:r>
        <w:rPr>
          <w:rFonts w:ascii="Arial" w:cs="Arial" w:eastAsia="Arial" w:hAnsi="Arial"/>
          <w:sz w:val="18"/>
          <w:szCs w:val="18"/>
          <w:color w:val="4D8ABE"/>
        </w:rPr>
        <w:t>of financial condition and results of operations</w:t>
      </w:r>
    </w:p>
    <w:p>
      <w:pPr>
        <w:spacing w:after="0" w:line="208" w:lineRule="exact"/>
        <w:rPr>
          <w:sz w:val="20"/>
          <w:szCs w:val="20"/>
          <w:color w:val="auto"/>
        </w:rPr>
      </w:pPr>
    </w:p>
    <w:p>
      <w:pPr>
        <w:jc w:val="both"/>
        <w:spacing w:after="0"/>
        <w:rPr>
          <w:sz w:val="20"/>
          <w:szCs w:val="20"/>
          <w:color w:val="auto"/>
        </w:rPr>
      </w:pPr>
      <w:r>
        <w:rPr>
          <w:rFonts w:ascii="Arial" w:cs="Arial" w:eastAsia="Arial" w:hAnsi="Arial"/>
          <w:sz w:val="18"/>
          <w:szCs w:val="18"/>
          <w:color w:val="auto"/>
        </w:rPr>
        <w:t>Under the current accounting guidance, we are also required to test our indefinite-lived intangible assets for impairment by comparing the fair value of the intangible asset with its carrying value. If the intangible asset’s fair value is less than its carrying value, an impairment loss is recognized for the difference.</w:t>
      </w:r>
    </w:p>
    <w:p>
      <w:pPr>
        <w:spacing w:after="0" w:line="203" w:lineRule="exact"/>
        <w:rPr>
          <w:sz w:val="20"/>
          <w:szCs w:val="20"/>
          <w:color w:val="auto"/>
        </w:rPr>
      </w:pPr>
    </w:p>
    <w:p>
      <w:pPr>
        <w:jc w:val="both"/>
        <w:spacing w:after="0"/>
        <w:rPr>
          <w:sz w:val="20"/>
          <w:szCs w:val="20"/>
          <w:color w:val="auto"/>
        </w:rPr>
      </w:pPr>
      <w:r>
        <w:rPr>
          <w:rFonts w:ascii="Arial" w:cs="Arial" w:eastAsia="Arial" w:hAnsi="Arial"/>
          <w:sz w:val="18"/>
          <w:szCs w:val="18"/>
          <w:color w:val="auto"/>
        </w:rPr>
        <w:t>During the fourth quarter of 2010, we also performed an impairment test of our long-lived tangible and intangible assets for Right Management at the asset group level and determined that the undiscounted cash flows were in excess of the carrying value. As such, no impairment of these assets was recognized.</w:t>
      </w:r>
    </w:p>
    <w:p>
      <w:pPr>
        <w:spacing w:after="0" w:line="203"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We did not perform an interim impairment test on any of our other reporting units with goodwill and indefinite-lived intangible assets in the fourth quarter of 2010 as we noted no significant indicators of impairment as of December 31, 2010.</w:t>
      </w:r>
    </w:p>
    <w:p>
      <w:pPr>
        <w:spacing w:after="0" w:line="194" w:lineRule="exact"/>
        <w:rPr>
          <w:sz w:val="20"/>
          <w:szCs w:val="20"/>
          <w:color w:val="auto"/>
        </w:rPr>
      </w:pPr>
    </w:p>
    <w:p>
      <w:pPr>
        <w:spacing w:after="0"/>
        <w:rPr>
          <w:sz w:val="20"/>
          <w:szCs w:val="20"/>
          <w:color w:val="auto"/>
        </w:rPr>
      </w:pPr>
      <w:r>
        <w:rPr>
          <w:rFonts w:ascii="Arial" w:cs="Arial" w:eastAsia="Arial" w:hAnsi="Arial"/>
          <w:sz w:val="24"/>
          <w:szCs w:val="24"/>
          <w:color w:val="86B6A5"/>
        </w:rPr>
        <w:t>Significant Matters Affecting Results Of Operations</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color w:val="4D8ABE"/>
        </w:rPr>
        <w:t>MARKET RISKS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We are exposed to the impact of foreign currency exchange rate fluctuations and interest rate changes.</w:t>
      </w:r>
    </w:p>
    <w:p>
      <w:pPr>
        <w:spacing w:after="0" w:line="19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color w:val="939598"/>
        </w:rPr>
        <w:t xml:space="preserve">Exchange Rates – </w:t>
      </w:r>
      <w:r>
        <w:rPr>
          <w:rFonts w:ascii="Arial" w:cs="Arial" w:eastAsia="Arial" w:hAnsi="Arial"/>
          <w:sz w:val="18"/>
          <w:szCs w:val="18"/>
          <w:color w:val="000000"/>
        </w:rPr>
        <w:t>Our exposure to foreign currency exchange rates relates primarily to our foreign subsidiaries and our Euro-denominated</w:t>
      </w:r>
      <w:r>
        <w:rPr>
          <w:rFonts w:ascii="Arial" w:cs="Arial" w:eastAsia="Arial" w:hAnsi="Arial"/>
          <w:sz w:val="18"/>
          <w:szCs w:val="18"/>
          <w:b w:val="1"/>
          <w:bCs w:val="1"/>
          <w:color w:val="939598"/>
        </w:rPr>
        <w:t xml:space="preserve"> </w:t>
      </w:r>
      <w:r>
        <w:rPr>
          <w:rFonts w:ascii="Arial" w:cs="Arial" w:eastAsia="Arial" w:hAnsi="Arial"/>
          <w:sz w:val="18"/>
          <w:szCs w:val="18"/>
          <w:color w:val="000000"/>
        </w:rPr>
        <w:t>borrowings. For our foreign subsidiaries, exchange rates impact the U.S. Dollar value of our reported earnings, our investments in the subsidiaries and the intercompany transactions with the subsidiaries.</w:t>
      </w:r>
    </w:p>
    <w:p>
      <w:pPr>
        <w:spacing w:after="0" w:line="19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Approximately 84% of our revenues and profits are generated outside of the U.S., with approximately 46% generated from our European operations that use the Euro as their functional currency. As a result, fluctuations in the value of foreign currencies against the U.S. Dollar, particularly the Euro, may have a significant impact on our reported results. Revenues and expenses denominated in foreign currencies are translated into U.S. Dollars at the monthly weighted-average exchange rates for the year. Consequently, as the value of the U.S. Dollar changes relative to the currencies of our major markets, our reported results vary.</w:t>
      </w:r>
    </w:p>
    <w:p>
      <w:pPr>
        <w:spacing w:after="0" w:line="203"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Throughout 2010, the U.S. Dollar was volatile, but generally strengthened, against many of the currencies of our major markets. Revenues from Services in constant currency were approximately 1.6% higher than reported. If the U.S. Dollar had strengthened an additional 10% during 2010, Revenues from Services would have decreased by approximately 8.4% from the amounts reported.</w:t>
      </w:r>
    </w:p>
    <w:p>
      <w:pPr>
        <w:spacing w:after="0" w:line="203"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Fluctuations in currency exchange rates also impact the U.S. Dollar amount of our Shareholders’ Equity. The assets and liabilities of our non-U.S. subsidiaries are translated into U.S. Dollars at the exchange rates in effect at year-end. The resulting translation adjustments are recorded in Shareholders’ Equity as a component of Accumulated Other Comprehensive Income (Loss). The U.S. Dollar strengthened relative to many foreign currencies as of December 31, 2010 compared to December 31, 2009. Consequently, Shareholders’ Equity decreased by $14.4 million as a result of the foreign currency translation during the year. If the U.S. Dollar had strengthened an additional 10% as of December 31, 2010, resulting translation adjustments recorded in Shareholders’ Equity would have decreased by approximately $45.5 million from the amounts reported.</w:t>
      </w:r>
    </w:p>
    <w:p>
      <w:pPr>
        <w:spacing w:after="0" w:line="203"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Although currency fluctuations impact our reported results and Shareholders’ Equity, such fluctuations generally do not affect our cash flow or result in actual economic gains or losses. Substantially all of our subsidiaries derive revenues and incur expenses within a single country and, consequently, do not generally incur currency risks in connection with the conduct of their normal business operations. We generally have few cross-border transfers of funds, except for transfers to the U.S. for payment of license fees and interest expense on intercompany loans, working capital loans made between the U.S. and our foreign subsidiaries, dividends from our foreign subsidiaries, and payments between certain countries for services provided. To reduce the currency risk related to these transactions, we may borrow funds in the relevant foreign currency under our revolving credit agreement or we may ent er into a forward contract to hedge the transfer.</w:t>
      </w:r>
    </w:p>
    <w:p>
      <w:pPr>
        <w:spacing w:after="0" w:line="203" w:lineRule="exact"/>
        <w:rPr>
          <w:sz w:val="20"/>
          <w:szCs w:val="20"/>
          <w:color w:val="auto"/>
        </w:rPr>
      </w:pPr>
    </w:p>
    <w:p>
      <w:pPr>
        <w:jc w:val="both"/>
        <w:spacing w:after="0"/>
        <w:rPr>
          <w:sz w:val="20"/>
          <w:szCs w:val="20"/>
          <w:color w:val="auto"/>
        </w:rPr>
      </w:pPr>
      <w:r>
        <w:rPr>
          <w:rFonts w:ascii="Arial" w:cs="Arial" w:eastAsia="Arial" w:hAnsi="Arial"/>
          <w:sz w:val="18"/>
          <w:szCs w:val="18"/>
          <w:color w:val="auto"/>
        </w:rPr>
        <w:t>As of December 31, 2010, there were £2.9 million ($4.5 million) of forward contracts that relate to cash flows owed to our foreign subsidiaries in 2011. Our forward contracts are not designated as hedges. Consequently, any gain or loss resulting from the change in fair value is recognized in the current period earnings.</w:t>
      </w:r>
    </w:p>
    <w:p>
      <w:pPr>
        <w:spacing w:after="0" w:line="20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As of December 31, 2010, we had $668.3 million of long-term borrowings denominated in Euros (€500.0 million) which have been designated as a hedge of our net investment in subsidiaries with the Euro-functional currency. Since our net investment in these subsidiaries exceeds the respective amount of the designated borrowings, translation gains or losses related to these borrowings are included as a component of Accumulated Other Comprehensive Income (Loss). Shareholders’ Equity decreased by $30.5 million, net of tax, due to changes in Accumulated Other Comprehensive Income (Loss) during the year due to the currency impact on these borrowings.</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color w:val="4D8ABE"/>
        </w:rPr>
        <w:t xml:space="preserve">38 </w:t>
      </w:r>
      <w:r>
        <w:rPr>
          <w:rFonts w:ascii="Arial" w:cs="Arial" w:eastAsia="Arial" w:hAnsi="Arial"/>
          <w:sz w:val="16"/>
          <w:szCs w:val="16"/>
          <w:color w:val="4D8ABE"/>
        </w:rPr>
        <w:t>Manpower 2010 Annual Report</w:t>
      </w:r>
      <w:r>
        <w:rPr>
          <w:rFonts w:ascii="Arial" w:cs="Arial" w:eastAsia="Arial" w:hAnsi="Arial"/>
          <w:sz w:val="16"/>
          <w:szCs w:val="16"/>
          <w:b w:val="1"/>
          <w:bCs w:val="1"/>
          <w:color w:val="4D8ABE"/>
        </w:rPr>
        <w:t xml:space="preserve"> </w:t>
      </w:r>
      <w:r>
        <w:rPr>
          <w:rFonts w:ascii="Arial" w:cs="Arial" w:eastAsia="Arial" w:hAnsi="Arial"/>
          <w:sz w:val="16"/>
          <w:szCs w:val="16"/>
          <w:b w:val="1"/>
          <w:bCs w:val="1"/>
          <w:color w:val="939598"/>
        </w:rPr>
        <w:t>Management’s Discussion &amp;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72390</wp:posOffset>
            </wp:positionV>
            <wp:extent cx="7267575" cy="469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ectPr>
          <w:pgSz w:w="11900" w:h="16838" w:orient="portrait"/>
          <w:cols w:equalWidth="0" w:num="1">
            <w:col w:w="11420"/>
          </w:cols>
          <w:pgMar w:left="240" w:top="349" w:right="239" w:bottom="1440" w:gutter="0" w:footer="0" w:header="0"/>
        </w:sectPr>
      </w:pPr>
    </w:p>
    <w:bookmarkStart w:id="68" w:name="page69"/>
    <w:bookmarkEnd w:id="68"/>
    <w:p>
      <w:pPr>
        <w:jc w:val="both"/>
        <w:spacing w:after="0" w:line="238" w:lineRule="auto"/>
        <w:rPr>
          <w:sz w:val="20"/>
          <w:szCs w:val="20"/>
          <w:color w:val="auto"/>
        </w:rPr>
      </w:pPr>
      <w:r>
        <w:rPr>
          <w:rFonts w:ascii="Arial" w:cs="Arial" w:eastAsia="Arial" w:hAnsi="Arial"/>
          <w:sz w:val="18"/>
          <w:szCs w:val="18"/>
          <w:color w:val="auto"/>
        </w:rPr>
        <w:t>On January 7, 2010, Venezuela’s National Consumer Price Index for December 2009 was released, which noted that the cumulative three-year inflation rates for both of Venezuela’s inflation indices were over 100%. Under the current accounting guidance, since the country’s economy is considered highly inflationary, the functional currency of the foreign entity (Bolivar Fuerte) must be remeasured to the functional currency of the reporting entity (U.S. Dollar) effective January 1, 2010. As such, all currency adjustments related to the assets and liabilities of our Venezuelan subsidiary are now reported as translation gains or losses in our Consolidated Statements of Operations.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In addition, the Venezuelan government announced on January 8, 2010 that it was devaluing their currency in half as compared to the U.S.</w:t>
      </w:r>
    </w:p>
    <w:p>
      <w:pPr>
        <w:spacing w:after="0"/>
        <w:rPr>
          <w:sz w:val="20"/>
          <w:szCs w:val="20"/>
          <w:color w:val="auto"/>
        </w:rPr>
      </w:pPr>
      <w:r>
        <w:rPr>
          <w:rFonts w:ascii="Arial" w:cs="Arial" w:eastAsia="Arial" w:hAnsi="Arial"/>
          <w:sz w:val="18"/>
          <w:szCs w:val="18"/>
          <w:color w:val="auto"/>
        </w:rPr>
        <w:t>Dollar. As a result, we recorded a translation loss of $1.2 million in the first quarter of 2010.</w:t>
      </w:r>
    </w:p>
    <w:p>
      <w:pPr>
        <w:spacing w:after="0" w:line="19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color w:val="939598"/>
        </w:rPr>
        <w:t xml:space="preserve">Interest Rates – </w:t>
      </w:r>
      <w:r>
        <w:rPr>
          <w:rFonts w:ascii="Arial" w:cs="Arial" w:eastAsia="Arial" w:hAnsi="Arial"/>
          <w:sz w:val="18"/>
          <w:szCs w:val="18"/>
          <w:color w:val="000000"/>
        </w:rPr>
        <w:t>Our exposure to market risk for changes in interest rates relates primarily to our variable rate long-term debt obligations. We</w:t>
      </w:r>
      <w:r>
        <w:rPr>
          <w:rFonts w:ascii="Arial" w:cs="Arial" w:eastAsia="Arial" w:hAnsi="Arial"/>
          <w:sz w:val="18"/>
          <w:szCs w:val="18"/>
          <w:b w:val="1"/>
          <w:bCs w:val="1"/>
          <w:color w:val="939598"/>
        </w:rPr>
        <w:t xml:space="preserve"> </w:t>
      </w:r>
      <w:r>
        <w:rPr>
          <w:rFonts w:ascii="Arial" w:cs="Arial" w:eastAsia="Arial" w:hAnsi="Arial"/>
          <w:sz w:val="18"/>
          <w:szCs w:val="18"/>
          <w:color w:val="000000"/>
        </w:rPr>
        <w:t>have historically managed interest rates through the use of a combination of fixed- and variable-rate borrowings and interest rate swap agreements. As of December 31, 2010, we had the following fixed- and variable-rate borrowings: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000" w:type="dxa"/>
            <w:vAlign w:val="bottom"/>
          </w:tcPr>
          <w:p>
            <w:pPr>
              <w:spacing w:after="0"/>
              <w:rPr>
                <w:sz w:val="17"/>
                <w:szCs w:val="17"/>
                <w:color w:val="auto"/>
              </w:rPr>
            </w:pPr>
          </w:p>
        </w:tc>
        <w:tc>
          <w:tcPr>
            <w:tcW w:w="35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b w:val="1"/>
                <w:bCs w:val="1"/>
                <w:color w:val="86B6A5"/>
              </w:rPr>
              <w:t>Weighted-</w:t>
            </w:r>
          </w:p>
        </w:tc>
      </w:tr>
      <w:tr>
        <w:trPr>
          <w:trHeight w:val="203"/>
        </w:trPr>
        <w:tc>
          <w:tcPr>
            <w:tcW w:w="5000" w:type="dxa"/>
            <w:vAlign w:val="bottom"/>
          </w:tcPr>
          <w:p>
            <w:pPr>
              <w:spacing w:after="0"/>
              <w:rPr>
                <w:sz w:val="17"/>
                <w:szCs w:val="17"/>
                <w:color w:val="auto"/>
              </w:rPr>
            </w:pPr>
          </w:p>
        </w:tc>
        <w:tc>
          <w:tcPr>
            <w:tcW w:w="35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b w:val="1"/>
                <w:bCs w:val="1"/>
                <w:color w:val="86B6A5"/>
              </w:rPr>
              <w:t>Average</w:t>
            </w:r>
          </w:p>
        </w:tc>
      </w:tr>
      <w:tr>
        <w:trPr>
          <w:trHeight w:val="228"/>
        </w:trPr>
        <w:tc>
          <w:tcPr>
            <w:tcW w:w="5000" w:type="dxa"/>
            <w:vAlign w:val="bottom"/>
            <w:tcBorders>
              <w:bottom w:val="single" w:sz="8" w:color="86B6A5"/>
            </w:tcBorders>
          </w:tcPr>
          <w:p>
            <w:pPr>
              <w:spacing w:after="0"/>
              <w:rPr>
                <w:sz w:val="20"/>
                <w:szCs w:val="20"/>
                <w:color w:val="auto"/>
              </w:rPr>
            </w:pPr>
            <w:r>
              <w:rPr>
                <w:rFonts w:ascii="Arial" w:cs="Arial" w:eastAsia="Arial" w:hAnsi="Arial"/>
                <w:sz w:val="16"/>
                <w:szCs w:val="16"/>
                <w:b w:val="1"/>
                <w:bCs w:val="1"/>
                <w:color w:val="86B6A5"/>
              </w:rPr>
              <w:t>(in millions)</w:t>
            </w:r>
          </w:p>
        </w:tc>
        <w:tc>
          <w:tcPr>
            <w:tcW w:w="3520" w:type="dxa"/>
            <w:vAlign w:val="bottom"/>
            <w:tcBorders>
              <w:bottom w:val="single" w:sz="8" w:color="86B6A5"/>
            </w:tcBorders>
          </w:tcPr>
          <w:p>
            <w:pPr>
              <w:spacing w:after="0"/>
              <w:rPr>
                <w:sz w:val="19"/>
                <w:szCs w:val="19"/>
                <w:color w:val="auto"/>
              </w:rPr>
            </w:pPr>
          </w:p>
        </w:tc>
        <w:tc>
          <w:tcPr>
            <w:tcW w:w="1280" w:type="dxa"/>
            <w:vAlign w:val="bottom"/>
            <w:tcBorders>
              <w:bottom w:val="single" w:sz="8" w:color="86B6A5"/>
            </w:tcBorders>
          </w:tcPr>
          <w:p>
            <w:pPr>
              <w:jc w:val="right"/>
              <w:ind w:right="192"/>
              <w:spacing w:after="0"/>
              <w:rPr>
                <w:sz w:val="20"/>
                <w:szCs w:val="20"/>
                <w:color w:val="auto"/>
              </w:rPr>
            </w:pPr>
            <w:r>
              <w:rPr>
                <w:rFonts w:ascii="Arial" w:cs="Arial" w:eastAsia="Arial" w:hAnsi="Arial"/>
                <w:sz w:val="16"/>
                <w:szCs w:val="16"/>
                <w:b w:val="1"/>
                <w:bCs w:val="1"/>
                <w:color w:val="86B6A5"/>
              </w:rPr>
              <w:t>Amount</w:t>
            </w:r>
          </w:p>
        </w:tc>
        <w:tc>
          <w:tcPr>
            <w:tcW w:w="1400" w:type="dxa"/>
            <w:vAlign w:val="bottom"/>
            <w:tcBorders>
              <w:bottom w:val="single" w:sz="8" w:color="86B6A5"/>
            </w:tcBorders>
          </w:tcPr>
          <w:p>
            <w:pPr>
              <w:jc w:val="right"/>
              <w:spacing w:after="0" w:line="221" w:lineRule="exact"/>
              <w:rPr>
                <w:sz w:val="20"/>
                <w:szCs w:val="20"/>
                <w:color w:val="auto"/>
              </w:rPr>
            </w:pPr>
            <w:r>
              <w:rPr>
                <w:rFonts w:ascii="Arial" w:cs="Arial" w:eastAsia="Arial" w:hAnsi="Arial"/>
                <w:sz w:val="16"/>
                <w:szCs w:val="16"/>
                <w:b w:val="1"/>
                <w:bCs w:val="1"/>
                <w:color w:val="86B6A5"/>
              </w:rPr>
              <w:t>Interest Rate</w:t>
            </w:r>
            <w:r>
              <w:rPr>
                <w:rFonts w:ascii="Arial" w:cs="Arial" w:eastAsia="Arial" w:hAnsi="Arial"/>
                <w:sz w:val="22"/>
                <w:szCs w:val="22"/>
                <w:b w:val="1"/>
                <w:bCs w:val="1"/>
                <w:color w:val="86B6A5"/>
                <w:vertAlign w:val="superscript"/>
              </w:rPr>
              <w:t>(1)</w:t>
            </w:r>
          </w:p>
        </w:tc>
      </w:tr>
      <w:tr>
        <w:trPr>
          <w:trHeight w:val="202"/>
        </w:trPr>
        <w:tc>
          <w:tcPr>
            <w:tcW w:w="5000" w:type="dxa"/>
            <w:vAlign w:val="bottom"/>
          </w:tcPr>
          <w:p>
            <w:pPr>
              <w:spacing w:after="0" w:line="201" w:lineRule="exact"/>
              <w:rPr>
                <w:sz w:val="20"/>
                <w:szCs w:val="20"/>
                <w:color w:val="auto"/>
              </w:rPr>
            </w:pPr>
            <w:r>
              <w:rPr>
                <w:rFonts w:ascii="Arial" w:cs="Arial" w:eastAsia="Arial" w:hAnsi="Arial"/>
                <w:sz w:val="18"/>
                <w:szCs w:val="18"/>
                <w:color w:val="auto"/>
              </w:rPr>
              <w:t>Variable-rate borrowings</w:t>
            </w:r>
          </w:p>
        </w:tc>
        <w:tc>
          <w:tcPr>
            <w:tcW w:w="3520" w:type="dxa"/>
            <w:vAlign w:val="bottom"/>
          </w:tcPr>
          <w:p>
            <w:pPr>
              <w:jc w:val="right"/>
              <w:ind w:right="290"/>
              <w:spacing w:after="0" w:line="201" w:lineRule="exact"/>
              <w:rPr>
                <w:sz w:val="20"/>
                <w:szCs w:val="20"/>
                <w:color w:val="auto"/>
              </w:rPr>
            </w:pPr>
            <w:r>
              <w:rPr>
                <w:rFonts w:ascii="Arial" w:cs="Arial" w:eastAsia="Arial" w:hAnsi="Arial"/>
                <w:sz w:val="18"/>
                <w:szCs w:val="18"/>
                <w:color w:val="auto"/>
              </w:rPr>
              <w:t>$</w:t>
            </w:r>
          </w:p>
        </w:tc>
        <w:tc>
          <w:tcPr>
            <w:tcW w:w="1280" w:type="dxa"/>
            <w:vAlign w:val="bottom"/>
          </w:tcPr>
          <w:p>
            <w:pPr>
              <w:jc w:val="right"/>
              <w:ind w:right="192"/>
              <w:spacing w:after="0" w:line="201" w:lineRule="exact"/>
              <w:rPr>
                <w:sz w:val="20"/>
                <w:szCs w:val="20"/>
                <w:color w:val="auto"/>
              </w:rPr>
            </w:pPr>
            <w:r>
              <w:rPr>
                <w:rFonts w:ascii="Arial" w:cs="Arial" w:eastAsia="Arial" w:hAnsi="Arial"/>
                <w:sz w:val="18"/>
                <w:szCs w:val="18"/>
                <w:color w:val="auto"/>
              </w:rPr>
              <w:t>28.0</w:t>
            </w:r>
          </w:p>
        </w:tc>
        <w:tc>
          <w:tcPr>
            <w:tcW w:w="1400" w:type="dxa"/>
            <w:vAlign w:val="bottom"/>
          </w:tcPr>
          <w:p>
            <w:pPr>
              <w:jc w:val="right"/>
              <w:spacing w:after="0" w:line="201" w:lineRule="exact"/>
              <w:rPr>
                <w:sz w:val="20"/>
                <w:szCs w:val="20"/>
                <w:color w:val="auto"/>
              </w:rPr>
            </w:pPr>
            <w:r>
              <w:rPr>
                <w:rFonts w:ascii="Arial" w:cs="Arial" w:eastAsia="Arial" w:hAnsi="Arial"/>
                <w:sz w:val="18"/>
                <w:szCs w:val="18"/>
                <w:color w:val="auto"/>
              </w:rPr>
              <w:t>7.0%</w:t>
            </w:r>
          </w:p>
        </w:tc>
      </w:tr>
      <w:tr>
        <w:trPr>
          <w:trHeight w:val="203"/>
        </w:trPr>
        <w:tc>
          <w:tcPr>
            <w:tcW w:w="5000" w:type="dxa"/>
            <w:vAlign w:val="bottom"/>
            <w:tcBorders>
              <w:bottom w:val="single" w:sz="8" w:color="939598"/>
            </w:tcBorders>
          </w:tcPr>
          <w:p>
            <w:pPr>
              <w:spacing w:after="0" w:line="203" w:lineRule="exact"/>
              <w:rPr>
                <w:sz w:val="20"/>
                <w:szCs w:val="20"/>
                <w:color w:val="auto"/>
              </w:rPr>
            </w:pPr>
            <w:r>
              <w:rPr>
                <w:rFonts w:ascii="Arial" w:cs="Arial" w:eastAsia="Arial" w:hAnsi="Arial"/>
                <w:sz w:val="18"/>
                <w:szCs w:val="18"/>
                <w:color w:val="auto"/>
              </w:rPr>
              <w:t>Fixed-rate borrowings</w:t>
            </w:r>
          </w:p>
        </w:tc>
        <w:tc>
          <w:tcPr>
            <w:tcW w:w="3520" w:type="dxa"/>
            <w:vAlign w:val="bottom"/>
            <w:tcBorders>
              <w:bottom w:val="single" w:sz="8" w:color="939598"/>
            </w:tcBorders>
          </w:tcPr>
          <w:p>
            <w:pPr>
              <w:spacing w:after="0"/>
              <w:rPr>
                <w:sz w:val="17"/>
                <w:szCs w:val="17"/>
                <w:color w:val="auto"/>
              </w:rPr>
            </w:pPr>
          </w:p>
        </w:tc>
        <w:tc>
          <w:tcPr>
            <w:tcW w:w="1280" w:type="dxa"/>
            <w:vAlign w:val="bottom"/>
            <w:tcBorders>
              <w:bottom w:val="single" w:sz="8" w:color="939598"/>
            </w:tcBorders>
          </w:tcPr>
          <w:p>
            <w:pPr>
              <w:jc w:val="right"/>
              <w:ind w:right="192"/>
              <w:spacing w:after="0" w:line="203" w:lineRule="exact"/>
              <w:rPr>
                <w:sz w:val="20"/>
                <w:szCs w:val="20"/>
                <w:color w:val="auto"/>
              </w:rPr>
            </w:pPr>
            <w:r>
              <w:rPr>
                <w:rFonts w:ascii="Arial" w:cs="Arial" w:eastAsia="Arial" w:hAnsi="Arial"/>
                <w:sz w:val="18"/>
                <w:szCs w:val="18"/>
                <w:color w:val="auto"/>
              </w:rPr>
              <w:t>670.0</w:t>
            </w:r>
          </w:p>
        </w:tc>
        <w:tc>
          <w:tcPr>
            <w:tcW w:w="1400" w:type="dxa"/>
            <w:vAlign w:val="bottom"/>
            <w:tcBorders>
              <w:bottom w:val="single" w:sz="8" w:color="939598"/>
            </w:tcBorders>
          </w:tcPr>
          <w:p>
            <w:pPr>
              <w:jc w:val="right"/>
              <w:spacing w:after="0" w:line="203" w:lineRule="exact"/>
              <w:rPr>
                <w:sz w:val="20"/>
                <w:szCs w:val="20"/>
                <w:color w:val="auto"/>
              </w:rPr>
            </w:pPr>
            <w:r>
              <w:rPr>
                <w:rFonts w:ascii="Arial" w:cs="Arial" w:eastAsia="Arial" w:hAnsi="Arial"/>
                <w:sz w:val="18"/>
                <w:szCs w:val="18"/>
                <w:color w:val="auto"/>
              </w:rPr>
              <w:t>4.64%</w:t>
            </w:r>
          </w:p>
        </w:tc>
      </w:tr>
      <w:tr>
        <w:trPr>
          <w:trHeight w:val="203"/>
        </w:trPr>
        <w:tc>
          <w:tcPr>
            <w:tcW w:w="5000" w:type="dxa"/>
            <w:vAlign w:val="bottom"/>
            <w:tcBorders>
              <w:bottom w:val="single" w:sz="8" w:color="939598"/>
            </w:tcBorders>
          </w:tcPr>
          <w:p>
            <w:pPr>
              <w:spacing w:after="0" w:line="196" w:lineRule="exact"/>
              <w:rPr>
                <w:sz w:val="20"/>
                <w:szCs w:val="20"/>
                <w:color w:val="auto"/>
              </w:rPr>
            </w:pPr>
            <w:r>
              <w:rPr>
                <w:rFonts w:ascii="Arial" w:cs="Arial" w:eastAsia="Arial" w:hAnsi="Arial"/>
                <w:sz w:val="18"/>
                <w:szCs w:val="18"/>
                <w:color w:val="auto"/>
              </w:rPr>
              <w:t>Total debt</w:t>
            </w:r>
          </w:p>
        </w:tc>
        <w:tc>
          <w:tcPr>
            <w:tcW w:w="3520" w:type="dxa"/>
            <w:vAlign w:val="bottom"/>
            <w:tcBorders>
              <w:bottom w:val="single" w:sz="8" w:color="939598"/>
            </w:tcBorders>
          </w:tcPr>
          <w:p>
            <w:pPr>
              <w:jc w:val="right"/>
              <w:ind w:right="290"/>
              <w:spacing w:after="0" w:line="196" w:lineRule="exact"/>
              <w:rPr>
                <w:sz w:val="20"/>
                <w:szCs w:val="20"/>
                <w:color w:val="auto"/>
              </w:rPr>
            </w:pPr>
            <w:r>
              <w:rPr>
                <w:rFonts w:ascii="Arial" w:cs="Arial" w:eastAsia="Arial" w:hAnsi="Arial"/>
                <w:sz w:val="18"/>
                <w:szCs w:val="18"/>
                <w:color w:val="auto"/>
              </w:rPr>
              <w:t>$</w:t>
            </w:r>
          </w:p>
        </w:tc>
        <w:tc>
          <w:tcPr>
            <w:tcW w:w="1280" w:type="dxa"/>
            <w:vAlign w:val="bottom"/>
            <w:tcBorders>
              <w:bottom w:val="single" w:sz="8" w:color="939598"/>
            </w:tcBorders>
          </w:tcPr>
          <w:p>
            <w:pPr>
              <w:jc w:val="right"/>
              <w:ind w:right="192"/>
              <w:spacing w:after="0" w:line="196" w:lineRule="exact"/>
              <w:rPr>
                <w:sz w:val="20"/>
                <w:szCs w:val="20"/>
                <w:color w:val="auto"/>
              </w:rPr>
            </w:pPr>
            <w:r>
              <w:rPr>
                <w:rFonts w:ascii="Arial" w:cs="Arial" w:eastAsia="Arial" w:hAnsi="Arial"/>
                <w:sz w:val="18"/>
                <w:szCs w:val="18"/>
                <w:color w:val="auto"/>
              </w:rPr>
              <w:t>698.0</w:t>
            </w:r>
          </w:p>
        </w:tc>
        <w:tc>
          <w:tcPr>
            <w:tcW w:w="1400" w:type="dxa"/>
            <w:vAlign w:val="bottom"/>
            <w:tcBorders>
              <w:bottom w:val="single" w:sz="8" w:color="939598"/>
            </w:tcBorders>
          </w:tcPr>
          <w:p>
            <w:pPr>
              <w:jc w:val="right"/>
              <w:spacing w:after="0" w:line="196" w:lineRule="exact"/>
              <w:rPr>
                <w:sz w:val="20"/>
                <w:szCs w:val="20"/>
                <w:color w:val="auto"/>
              </w:rPr>
            </w:pPr>
            <w:r>
              <w:rPr>
                <w:rFonts w:ascii="Arial" w:cs="Arial" w:eastAsia="Arial" w:hAnsi="Arial"/>
                <w:sz w:val="18"/>
                <w:szCs w:val="18"/>
                <w:color w:val="auto"/>
              </w:rPr>
              <w:t>4.74%</w:t>
            </w:r>
          </w:p>
        </w:tc>
      </w:tr>
    </w:tbl>
    <w:p>
      <w:pPr>
        <w:spacing w:after="0" w:line="204" w:lineRule="exact"/>
        <w:rPr>
          <w:sz w:val="20"/>
          <w:szCs w:val="20"/>
          <w:color w:val="auto"/>
        </w:rPr>
      </w:pPr>
    </w:p>
    <w:p>
      <w:pPr>
        <w:ind w:left="580" w:hanging="572"/>
        <w:spacing w:after="0"/>
        <w:tabs>
          <w:tab w:leader="none" w:pos="58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rates are impacted by currency exchange rate movements.</w:t>
      </w:r>
    </w:p>
    <w:p>
      <w:pPr>
        <w:spacing w:after="0" w:line="218" w:lineRule="exact"/>
        <w:rPr>
          <w:sz w:val="20"/>
          <w:szCs w:val="20"/>
          <w:color w:val="auto"/>
        </w:rPr>
      </w:pPr>
    </w:p>
    <w:p>
      <w:pPr>
        <w:jc w:val="both"/>
        <w:spacing w:after="0"/>
        <w:rPr>
          <w:sz w:val="20"/>
          <w:szCs w:val="20"/>
          <w:color w:val="auto"/>
        </w:rPr>
      </w:pPr>
      <w:r>
        <w:rPr>
          <w:rFonts w:ascii="Arial" w:cs="Arial" w:eastAsia="Arial" w:hAnsi="Arial"/>
          <w:sz w:val="18"/>
          <w:szCs w:val="18"/>
          <w:color w:val="auto"/>
        </w:rPr>
        <w:t>Prior to the fourth quarter of 2009, we had various interest rate swap agreements in order to fix our interest costs on €100.0 million of Euro-denominated variable rate borrowings. We repaid the borrowings and terminated the related interest rate swap agreements in the fourth quarter of 2009.</w:t>
      </w:r>
    </w:p>
    <w:p>
      <w:pPr>
        <w:spacing w:after="0" w:line="203" w:lineRule="exact"/>
        <w:rPr>
          <w:sz w:val="20"/>
          <w:szCs w:val="20"/>
          <w:color w:val="auto"/>
        </w:rPr>
      </w:pPr>
    </w:p>
    <w:p>
      <w:pPr>
        <w:jc w:val="both"/>
        <w:spacing w:after="0"/>
        <w:rPr>
          <w:sz w:val="20"/>
          <w:szCs w:val="20"/>
          <w:color w:val="auto"/>
        </w:rPr>
      </w:pPr>
      <w:r>
        <w:rPr>
          <w:rFonts w:ascii="Arial" w:cs="Arial" w:eastAsia="Arial" w:hAnsi="Arial"/>
          <w:sz w:val="18"/>
          <w:szCs w:val="18"/>
          <w:color w:val="auto"/>
        </w:rPr>
        <w:t>Sensitivity Analysis – The following table summarizes our debt and derivative instruments that are sensitive to foreign currency exchange rate and interest rate movements. All computations below are based on the U.S. Dollar spot rate as of December 31, 2010. The exchange rate computations assume a 10% appreciation or 10% depreciation of the Euro and British Pound to the U.S. Dollar.</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The hypothetical impact on 2010 earnings and Accumulated Other Comprehensive Income (Loss) of the stated change in rates is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42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86B6A5"/>
              </w:rPr>
              <w:t>Movements In</w:t>
            </w:r>
          </w:p>
        </w:tc>
        <w:tc>
          <w:tcPr>
            <w:tcW w:w="0" w:type="dxa"/>
            <w:vAlign w:val="bottom"/>
          </w:tcPr>
          <w:p>
            <w:pPr>
              <w:spacing w:after="0"/>
              <w:rPr>
                <w:sz w:val="1"/>
                <w:szCs w:val="1"/>
                <w:color w:val="auto"/>
              </w:rPr>
            </w:pPr>
          </w:p>
        </w:tc>
      </w:tr>
      <w:tr>
        <w:trPr>
          <w:trHeight w:val="218"/>
        </w:trPr>
        <w:tc>
          <w:tcPr>
            <w:tcW w:w="5420" w:type="dxa"/>
            <w:vAlign w:val="bottom"/>
          </w:tcPr>
          <w:p>
            <w:pPr>
              <w:spacing w:after="0"/>
              <w:rPr>
                <w:sz w:val="20"/>
                <w:szCs w:val="20"/>
                <w:color w:val="auto"/>
              </w:rPr>
            </w:pPr>
            <w:r>
              <w:rPr>
                <w:rFonts w:ascii="Arial" w:cs="Arial" w:eastAsia="Arial" w:hAnsi="Arial"/>
                <w:sz w:val="16"/>
                <w:szCs w:val="16"/>
                <w:b w:val="1"/>
                <w:bCs w:val="1"/>
                <w:color w:val="86B6A5"/>
              </w:rPr>
              <w:t>(in millions)</w:t>
            </w:r>
          </w:p>
        </w:tc>
        <w:tc>
          <w:tcPr>
            <w:tcW w:w="29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86B6A5"/>
              </w:rPr>
              <w:t>Exchange Rates</w:t>
            </w:r>
          </w:p>
        </w:tc>
        <w:tc>
          <w:tcPr>
            <w:tcW w:w="0" w:type="dxa"/>
            <w:vAlign w:val="bottom"/>
          </w:tcPr>
          <w:p>
            <w:pPr>
              <w:spacing w:after="0"/>
              <w:rPr>
                <w:sz w:val="1"/>
                <w:szCs w:val="1"/>
                <w:color w:val="auto"/>
              </w:rPr>
            </w:pPr>
          </w:p>
        </w:tc>
      </w:tr>
      <w:tr>
        <w:trPr>
          <w:trHeight w:val="181"/>
        </w:trPr>
        <w:tc>
          <w:tcPr>
            <w:tcW w:w="5420" w:type="dxa"/>
            <w:vAlign w:val="bottom"/>
            <w:tcBorders>
              <w:top w:val="single" w:sz="8" w:color="86B6A5"/>
            </w:tcBorders>
          </w:tcPr>
          <w:p>
            <w:pPr>
              <w:spacing w:after="0"/>
              <w:rPr>
                <w:sz w:val="15"/>
                <w:szCs w:val="15"/>
                <w:color w:val="auto"/>
              </w:rPr>
            </w:pPr>
          </w:p>
        </w:tc>
        <w:tc>
          <w:tcPr>
            <w:tcW w:w="2920" w:type="dxa"/>
            <w:vAlign w:val="bottom"/>
            <w:tcBorders>
              <w:top w:val="single" w:sz="8" w:color="86B6A5"/>
            </w:tcBorders>
          </w:tcPr>
          <w:p>
            <w:pPr>
              <w:spacing w:after="0"/>
              <w:rPr>
                <w:sz w:val="15"/>
                <w:szCs w:val="15"/>
                <w:color w:val="auto"/>
              </w:rPr>
            </w:pPr>
          </w:p>
        </w:tc>
        <w:tc>
          <w:tcPr>
            <w:tcW w:w="1360" w:type="dxa"/>
            <w:vAlign w:val="bottom"/>
            <w:tcBorders>
              <w:top w:val="single" w:sz="8" w:color="86B6A5"/>
            </w:tcBorders>
          </w:tcPr>
          <w:p>
            <w:pPr>
              <w:jc w:val="right"/>
              <w:ind w:right="93"/>
              <w:spacing w:after="0" w:line="181" w:lineRule="exact"/>
              <w:rPr>
                <w:sz w:val="20"/>
                <w:szCs w:val="20"/>
                <w:color w:val="auto"/>
              </w:rPr>
            </w:pPr>
            <w:r>
              <w:rPr>
                <w:rFonts w:ascii="Arial" w:cs="Arial" w:eastAsia="Arial" w:hAnsi="Arial"/>
                <w:sz w:val="16"/>
                <w:szCs w:val="16"/>
                <w:b w:val="1"/>
                <w:bCs w:val="1"/>
                <w:color w:val="86B6A5"/>
              </w:rPr>
              <w:t>10%</w:t>
            </w:r>
          </w:p>
        </w:tc>
        <w:tc>
          <w:tcPr>
            <w:tcW w:w="200" w:type="dxa"/>
            <w:vAlign w:val="bottom"/>
            <w:tcBorders>
              <w:top w:val="single" w:sz="8" w:color="86B6A5"/>
            </w:tcBorders>
          </w:tcPr>
          <w:p>
            <w:pPr>
              <w:spacing w:after="0"/>
              <w:rPr>
                <w:sz w:val="15"/>
                <w:szCs w:val="15"/>
                <w:color w:val="auto"/>
              </w:rPr>
            </w:pPr>
          </w:p>
        </w:tc>
        <w:tc>
          <w:tcPr>
            <w:tcW w:w="1300" w:type="dxa"/>
            <w:vAlign w:val="bottom"/>
            <w:tcBorders>
              <w:top w:val="single" w:sz="8" w:color="86B6A5"/>
            </w:tcBorders>
          </w:tcPr>
          <w:p>
            <w:pPr>
              <w:jc w:val="right"/>
              <w:spacing w:after="0" w:line="181" w:lineRule="exact"/>
              <w:rPr>
                <w:sz w:val="20"/>
                <w:szCs w:val="20"/>
                <w:color w:val="auto"/>
              </w:rPr>
            </w:pPr>
            <w:r>
              <w:rPr>
                <w:rFonts w:ascii="Arial" w:cs="Arial" w:eastAsia="Arial" w:hAnsi="Arial"/>
                <w:sz w:val="16"/>
                <w:szCs w:val="16"/>
                <w:b w:val="1"/>
                <w:bCs w:val="1"/>
                <w:color w:val="86B6A5"/>
              </w:rPr>
              <w:t>10%</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5420" w:type="dxa"/>
            <w:vAlign w:val="bottom"/>
          </w:tcPr>
          <w:p>
            <w:pPr>
              <w:spacing w:after="0"/>
              <w:rPr>
                <w:sz w:val="20"/>
                <w:szCs w:val="20"/>
                <w:color w:val="auto"/>
              </w:rPr>
            </w:pPr>
            <w:r>
              <w:rPr>
                <w:rFonts w:ascii="Arial" w:cs="Arial" w:eastAsia="Arial" w:hAnsi="Arial"/>
                <w:sz w:val="16"/>
                <w:szCs w:val="16"/>
                <w:b w:val="1"/>
                <w:bCs w:val="1"/>
                <w:color w:val="86B6A5"/>
              </w:rPr>
              <w:t>Market Sensitive Instrument</w:t>
            </w:r>
          </w:p>
        </w:tc>
        <w:tc>
          <w:tcPr>
            <w:tcW w:w="2920" w:type="dxa"/>
            <w:vAlign w:val="bottom"/>
          </w:tcPr>
          <w:p>
            <w:pPr>
              <w:spacing w:after="0"/>
              <w:rPr>
                <w:sz w:val="18"/>
                <w:szCs w:val="18"/>
                <w:color w:val="auto"/>
              </w:rPr>
            </w:pPr>
          </w:p>
        </w:tc>
        <w:tc>
          <w:tcPr>
            <w:tcW w:w="1360" w:type="dxa"/>
            <w:vAlign w:val="bottom"/>
          </w:tcPr>
          <w:p>
            <w:pPr>
              <w:jc w:val="right"/>
              <w:ind w:right="93"/>
              <w:spacing w:after="0"/>
              <w:rPr>
                <w:sz w:val="20"/>
                <w:szCs w:val="20"/>
                <w:color w:val="auto"/>
              </w:rPr>
            </w:pPr>
            <w:r>
              <w:rPr>
                <w:rFonts w:ascii="Arial" w:cs="Arial" w:eastAsia="Arial" w:hAnsi="Arial"/>
                <w:sz w:val="16"/>
                <w:szCs w:val="16"/>
                <w:b w:val="1"/>
                <w:bCs w:val="1"/>
                <w:color w:val="86B6A5"/>
              </w:rPr>
              <w:t>Depreciation</w:t>
            </w:r>
          </w:p>
        </w:tc>
        <w:tc>
          <w:tcPr>
            <w:tcW w:w="20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86B6A5"/>
              </w:rPr>
              <w:t>Appreciation</w:t>
            </w:r>
          </w:p>
        </w:tc>
        <w:tc>
          <w:tcPr>
            <w:tcW w:w="0" w:type="dxa"/>
            <w:vAlign w:val="bottom"/>
          </w:tcPr>
          <w:p>
            <w:pPr>
              <w:spacing w:after="0"/>
              <w:rPr>
                <w:sz w:val="1"/>
                <w:szCs w:val="1"/>
                <w:color w:val="auto"/>
              </w:rPr>
            </w:pPr>
          </w:p>
        </w:tc>
      </w:tr>
      <w:tr>
        <w:trPr>
          <w:trHeight w:val="30"/>
        </w:trPr>
        <w:tc>
          <w:tcPr>
            <w:tcW w:w="5420" w:type="dxa"/>
            <w:vAlign w:val="bottom"/>
            <w:shd w:val="clear" w:color="auto" w:fill="86B6A5"/>
          </w:tcPr>
          <w:p>
            <w:pPr>
              <w:spacing w:after="0"/>
              <w:rPr>
                <w:sz w:val="2"/>
                <w:szCs w:val="2"/>
                <w:color w:val="auto"/>
              </w:rPr>
            </w:pPr>
          </w:p>
        </w:tc>
        <w:tc>
          <w:tcPr>
            <w:tcW w:w="2920" w:type="dxa"/>
            <w:vAlign w:val="bottom"/>
            <w:shd w:val="clear" w:color="auto" w:fill="86B6A5"/>
          </w:tcPr>
          <w:p>
            <w:pPr>
              <w:spacing w:after="0"/>
              <w:rPr>
                <w:sz w:val="2"/>
                <w:szCs w:val="2"/>
                <w:color w:val="auto"/>
              </w:rPr>
            </w:pPr>
          </w:p>
        </w:tc>
        <w:tc>
          <w:tcPr>
            <w:tcW w:w="1360" w:type="dxa"/>
            <w:vAlign w:val="bottom"/>
            <w:shd w:val="clear" w:color="auto" w:fill="86B6A5"/>
          </w:tcPr>
          <w:p>
            <w:pPr>
              <w:spacing w:after="0"/>
              <w:rPr>
                <w:sz w:val="2"/>
                <w:szCs w:val="2"/>
                <w:color w:val="auto"/>
              </w:rPr>
            </w:pPr>
          </w:p>
        </w:tc>
        <w:tc>
          <w:tcPr>
            <w:tcW w:w="200" w:type="dxa"/>
            <w:vAlign w:val="bottom"/>
            <w:shd w:val="clear" w:color="auto" w:fill="86B6A5"/>
          </w:tcPr>
          <w:p>
            <w:pPr>
              <w:spacing w:after="0"/>
              <w:rPr>
                <w:sz w:val="2"/>
                <w:szCs w:val="2"/>
                <w:color w:val="auto"/>
              </w:rPr>
            </w:pPr>
          </w:p>
        </w:tc>
        <w:tc>
          <w:tcPr>
            <w:tcW w:w="1300" w:type="dxa"/>
            <w:vAlign w:val="bottom"/>
            <w:shd w:val="clear" w:color="auto" w:fill="86B6A5"/>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5420" w:type="dxa"/>
            <w:vAlign w:val="bottom"/>
          </w:tcPr>
          <w:p>
            <w:pPr>
              <w:spacing w:after="0" w:line="201" w:lineRule="exact"/>
              <w:rPr>
                <w:sz w:val="20"/>
                <w:szCs w:val="20"/>
                <w:color w:val="auto"/>
              </w:rPr>
            </w:pPr>
            <w:r>
              <w:rPr>
                <w:rFonts w:ascii="Arial" w:cs="Arial" w:eastAsia="Arial" w:hAnsi="Arial"/>
                <w:sz w:val="18"/>
                <w:szCs w:val="18"/>
                <w:b w:val="1"/>
                <w:bCs w:val="1"/>
                <w:color w:val="939598"/>
              </w:rPr>
              <w:t>Euro notes:</w:t>
            </w:r>
          </w:p>
        </w:tc>
        <w:tc>
          <w:tcPr>
            <w:tcW w:w="29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20" w:type="dxa"/>
            <w:vAlign w:val="bottom"/>
            <w:gridSpan w:val="2"/>
            <w:vMerge w:val="restart"/>
          </w:tcPr>
          <w:p>
            <w:pPr>
              <w:jc w:val="right"/>
              <w:spacing w:after="0"/>
              <w:rPr>
                <w:sz w:val="20"/>
                <w:szCs w:val="20"/>
                <w:color w:val="auto"/>
              </w:rPr>
            </w:pPr>
            <w:r>
              <w:rPr>
                <w:rFonts w:ascii="Arial" w:cs="Arial" w:eastAsia="Arial" w:hAnsi="Arial"/>
                <w:sz w:val="18"/>
                <w:szCs w:val="18"/>
                <w:color w:val="auto"/>
              </w:rPr>
              <w:t>(26.8)</w:t>
            </w:r>
            <w:r>
              <w:rPr>
                <w:rFonts w:ascii="Arial" w:cs="Arial" w:eastAsia="Arial" w:hAnsi="Arial"/>
                <w:sz w:val="25"/>
                <w:szCs w:val="25"/>
                <w:color w:val="auto"/>
                <w:vertAlign w:val="superscript"/>
              </w:rPr>
              <w:t>(1)</w:t>
            </w:r>
          </w:p>
        </w:tc>
        <w:tc>
          <w:tcPr>
            <w:tcW w:w="0" w:type="dxa"/>
            <w:vAlign w:val="bottom"/>
          </w:tcPr>
          <w:p>
            <w:pPr>
              <w:spacing w:after="0"/>
              <w:rPr>
                <w:sz w:val="1"/>
                <w:szCs w:val="1"/>
                <w:color w:val="auto"/>
              </w:rPr>
            </w:pPr>
          </w:p>
        </w:tc>
      </w:tr>
      <w:tr>
        <w:trPr>
          <w:trHeight w:val="197"/>
        </w:trPr>
        <w:tc>
          <w:tcPr>
            <w:tcW w:w="5420" w:type="dxa"/>
            <w:vAlign w:val="bottom"/>
          </w:tcPr>
          <w:p>
            <w:pPr>
              <w:spacing w:after="0" w:line="197" w:lineRule="exact"/>
              <w:rPr>
                <w:sz w:val="20"/>
                <w:szCs w:val="20"/>
                <w:color w:val="auto"/>
              </w:rPr>
            </w:pPr>
            <w:r>
              <w:rPr>
                <w:rFonts w:ascii="Arial" w:cs="Arial" w:eastAsia="Arial" w:hAnsi="Arial"/>
                <w:sz w:val="18"/>
                <w:szCs w:val="18"/>
                <w:color w:val="auto"/>
              </w:rPr>
              <w:t>€200, 4.86% Notes due June 2013</w:t>
            </w:r>
          </w:p>
        </w:tc>
        <w:tc>
          <w:tcPr>
            <w:tcW w:w="2920" w:type="dxa"/>
            <w:vAlign w:val="bottom"/>
          </w:tcPr>
          <w:p>
            <w:pPr>
              <w:jc w:val="right"/>
              <w:ind w:right="110"/>
              <w:spacing w:after="0" w:line="197" w:lineRule="exact"/>
              <w:rPr>
                <w:sz w:val="20"/>
                <w:szCs w:val="20"/>
                <w:color w:val="auto"/>
              </w:rPr>
            </w:pPr>
            <w:r>
              <w:rPr>
                <w:rFonts w:ascii="Arial" w:cs="Arial" w:eastAsia="Arial" w:hAnsi="Arial"/>
                <w:sz w:val="18"/>
                <w:szCs w:val="18"/>
                <w:color w:val="auto"/>
              </w:rPr>
              <w:t>$</w:t>
            </w:r>
          </w:p>
        </w:tc>
        <w:tc>
          <w:tcPr>
            <w:tcW w:w="1360" w:type="dxa"/>
            <w:vAlign w:val="bottom"/>
          </w:tcPr>
          <w:p>
            <w:pPr>
              <w:jc w:val="right"/>
              <w:spacing w:after="0" w:line="197" w:lineRule="exact"/>
              <w:rPr>
                <w:sz w:val="20"/>
                <w:szCs w:val="20"/>
                <w:color w:val="auto"/>
              </w:rPr>
            </w:pPr>
            <w:r>
              <w:rPr>
                <w:rFonts w:ascii="Arial" w:cs="Arial" w:eastAsia="Arial" w:hAnsi="Arial"/>
                <w:sz w:val="18"/>
                <w:szCs w:val="18"/>
                <w:color w:val="auto"/>
              </w:rPr>
              <w:t>26.8</w:t>
            </w:r>
            <w:r>
              <w:rPr>
                <w:rFonts w:ascii="Arial" w:cs="Arial" w:eastAsia="Arial" w:hAnsi="Arial"/>
                <w:sz w:val="12"/>
                <w:szCs w:val="12"/>
                <w:color w:val="auto"/>
              </w:rPr>
              <w:t>(1)</w:t>
            </w:r>
          </w:p>
        </w:tc>
        <w:tc>
          <w:tcPr>
            <w:tcW w:w="200" w:type="dxa"/>
            <w:vAlign w:val="bottom"/>
          </w:tcPr>
          <w:p>
            <w:pPr>
              <w:jc w:val="right"/>
              <w:spacing w:after="0" w:line="197" w:lineRule="exact"/>
              <w:rPr>
                <w:sz w:val="20"/>
                <w:szCs w:val="20"/>
                <w:color w:val="auto"/>
              </w:rPr>
            </w:pPr>
            <w:r>
              <w:rPr>
                <w:rFonts w:ascii="Arial" w:cs="Arial" w:eastAsia="Arial" w:hAnsi="Arial"/>
                <w:sz w:val="18"/>
                <w:szCs w:val="18"/>
                <w:color w:val="auto"/>
              </w:rPr>
              <w:t>$</w:t>
            </w:r>
          </w:p>
        </w:tc>
        <w:tc>
          <w:tcPr>
            <w:tcW w:w="15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5420" w:type="dxa"/>
            <w:vAlign w:val="bottom"/>
          </w:tcPr>
          <w:p>
            <w:pPr>
              <w:spacing w:after="0" w:line="186" w:lineRule="exact"/>
              <w:rPr>
                <w:sz w:val="20"/>
                <w:szCs w:val="20"/>
                <w:color w:val="auto"/>
              </w:rPr>
            </w:pPr>
            <w:r>
              <w:rPr>
                <w:rFonts w:ascii="Arial" w:cs="Arial" w:eastAsia="Arial" w:hAnsi="Arial"/>
                <w:sz w:val="18"/>
                <w:szCs w:val="18"/>
                <w:color w:val="auto"/>
              </w:rPr>
              <w:t>€300, 4.58% Notes due June 2012</w:t>
            </w:r>
          </w:p>
        </w:tc>
        <w:tc>
          <w:tcPr>
            <w:tcW w:w="2920" w:type="dxa"/>
            <w:vAlign w:val="bottom"/>
          </w:tcPr>
          <w:p>
            <w:pPr>
              <w:spacing w:after="0"/>
              <w:rPr>
                <w:sz w:val="16"/>
                <w:szCs w:val="16"/>
                <w:color w:val="auto"/>
              </w:rPr>
            </w:pPr>
          </w:p>
        </w:tc>
        <w:tc>
          <w:tcPr>
            <w:tcW w:w="1360" w:type="dxa"/>
            <w:vAlign w:val="bottom"/>
          </w:tcPr>
          <w:p>
            <w:pPr>
              <w:jc w:val="right"/>
              <w:spacing w:after="0" w:line="186" w:lineRule="exact"/>
              <w:rPr>
                <w:sz w:val="20"/>
                <w:szCs w:val="20"/>
                <w:color w:val="auto"/>
              </w:rPr>
            </w:pPr>
            <w:r>
              <w:rPr>
                <w:rFonts w:ascii="Arial" w:cs="Arial" w:eastAsia="Arial" w:hAnsi="Arial"/>
                <w:sz w:val="18"/>
                <w:szCs w:val="18"/>
                <w:color w:val="auto"/>
              </w:rPr>
              <w:t>40.2</w:t>
            </w:r>
            <w:r>
              <w:rPr>
                <w:rFonts w:ascii="Arial" w:cs="Arial" w:eastAsia="Arial" w:hAnsi="Arial"/>
                <w:sz w:val="12"/>
                <w:szCs w:val="12"/>
                <w:color w:val="auto"/>
              </w:rPr>
              <w:t>(1)</w:t>
            </w:r>
          </w:p>
        </w:tc>
        <w:tc>
          <w:tcPr>
            <w:tcW w:w="200" w:type="dxa"/>
            <w:vAlign w:val="bottom"/>
          </w:tcPr>
          <w:p>
            <w:pPr>
              <w:spacing w:after="0"/>
              <w:rPr>
                <w:sz w:val="16"/>
                <w:szCs w:val="16"/>
                <w:color w:val="auto"/>
              </w:rPr>
            </w:pPr>
          </w:p>
        </w:tc>
        <w:tc>
          <w:tcPr>
            <w:tcW w:w="1520" w:type="dxa"/>
            <w:vAlign w:val="bottom"/>
            <w:gridSpan w:val="2"/>
          </w:tcPr>
          <w:p>
            <w:pPr>
              <w:jc w:val="right"/>
              <w:spacing w:after="0" w:line="186" w:lineRule="exact"/>
              <w:rPr>
                <w:sz w:val="20"/>
                <w:szCs w:val="20"/>
                <w:color w:val="auto"/>
              </w:rPr>
            </w:pPr>
            <w:r>
              <w:rPr>
                <w:rFonts w:ascii="Arial" w:cs="Arial" w:eastAsia="Arial" w:hAnsi="Arial"/>
                <w:sz w:val="15"/>
                <w:szCs w:val="15"/>
                <w:color w:val="auto"/>
              </w:rPr>
              <w:t>(40.2)</w:t>
            </w:r>
            <w:r>
              <w:rPr>
                <w:rFonts w:ascii="Arial" w:cs="Arial" w:eastAsia="Arial" w:hAnsi="Arial"/>
                <w:sz w:val="21"/>
                <w:szCs w:val="21"/>
                <w:color w:val="auto"/>
                <w:vertAlign w:val="superscript"/>
              </w:rPr>
              <w:t>(1)</w:t>
            </w:r>
          </w:p>
        </w:tc>
        <w:tc>
          <w:tcPr>
            <w:tcW w:w="0" w:type="dxa"/>
            <w:vAlign w:val="bottom"/>
          </w:tcPr>
          <w:p>
            <w:pPr>
              <w:spacing w:after="0"/>
              <w:rPr>
                <w:sz w:val="1"/>
                <w:szCs w:val="1"/>
                <w:color w:val="auto"/>
              </w:rPr>
            </w:pPr>
          </w:p>
        </w:tc>
      </w:tr>
      <w:tr>
        <w:trPr>
          <w:trHeight w:val="225"/>
        </w:trPr>
        <w:tc>
          <w:tcPr>
            <w:tcW w:w="5420" w:type="dxa"/>
            <w:vAlign w:val="bottom"/>
          </w:tcPr>
          <w:p>
            <w:pPr>
              <w:spacing w:after="0"/>
              <w:rPr>
                <w:sz w:val="20"/>
                <w:szCs w:val="20"/>
                <w:color w:val="auto"/>
              </w:rPr>
            </w:pPr>
            <w:r>
              <w:rPr>
                <w:rFonts w:ascii="Arial" w:cs="Arial" w:eastAsia="Arial" w:hAnsi="Arial"/>
                <w:sz w:val="18"/>
                <w:szCs w:val="18"/>
                <w:b w:val="1"/>
                <w:bCs w:val="1"/>
                <w:color w:val="939598"/>
              </w:rPr>
              <w:t>Forward contracts:</w:t>
            </w:r>
          </w:p>
        </w:tc>
        <w:tc>
          <w:tcPr>
            <w:tcW w:w="29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5420" w:type="dxa"/>
            <w:vAlign w:val="bottom"/>
          </w:tcPr>
          <w:p>
            <w:pPr>
              <w:spacing w:after="0" w:line="203" w:lineRule="exact"/>
              <w:rPr>
                <w:sz w:val="20"/>
                <w:szCs w:val="20"/>
                <w:color w:val="auto"/>
              </w:rPr>
            </w:pPr>
            <w:r>
              <w:rPr>
                <w:rFonts w:ascii="Arial" w:cs="Arial" w:eastAsia="Arial" w:hAnsi="Arial"/>
                <w:sz w:val="18"/>
                <w:szCs w:val="18"/>
                <w:color w:val="auto"/>
              </w:rPr>
              <w:t>£2.9 to $4.5</w:t>
            </w:r>
          </w:p>
        </w:tc>
        <w:tc>
          <w:tcPr>
            <w:tcW w:w="2920" w:type="dxa"/>
            <w:vAlign w:val="bottom"/>
          </w:tcPr>
          <w:p>
            <w:pPr>
              <w:spacing w:after="0"/>
              <w:rPr>
                <w:sz w:val="17"/>
                <w:szCs w:val="17"/>
                <w:color w:val="auto"/>
              </w:rPr>
            </w:pPr>
          </w:p>
        </w:tc>
        <w:tc>
          <w:tcPr>
            <w:tcW w:w="1360" w:type="dxa"/>
            <w:vAlign w:val="bottom"/>
          </w:tcPr>
          <w:p>
            <w:pPr>
              <w:jc w:val="right"/>
              <w:ind w:right="93"/>
              <w:spacing w:after="0" w:line="203" w:lineRule="exact"/>
              <w:rPr>
                <w:sz w:val="20"/>
                <w:szCs w:val="20"/>
                <w:color w:val="auto"/>
              </w:rPr>
            </w:pPr>
            <w:r>
              <w:rPr>
                <w:rFonts w:ascii="Arial" w:cs="Arial" w:eastAsia="Arial" w:hAnsi="Arial"/>
                <w:sz w:val="18"/>
                <w:szCs w:val="18"/>
                <w:color w:val="auto"/>
              </w:rPr>
              <w:t>0.5</w:t>
            </w:r>
          </w:p>
        </w:tc>
        <w:tc>
          <w:tcPr>
            <w:tcW w:w="200" w:type="dxa"/>
            <w:vAlign w:val="bottom"/>
          </w:tcPr>
          <w:p>
            <w:pPr>
              <w:spacing w:after="0"/>
              <w:rPr>
                <w:sz w:val="17"/>
                <w:szCs w:val="17"/>
                <w:color w:val="auto"/>
              </w:rPr>
            </w:pPr>
          </w:p>
        </w:tc>
        <w:tc>
          <w:tcPr>
            <w:tcW w:w="1520" w:type="dxa"/>
            <w:vAlign w:val="bottom"/>
            <w:gridSpan w:val="2"/>
          </w:tcPr>
          <w:p>
            <w:pPr>
              <w:jc w:val="right"/>
              <w:ind w:right="80"/>
              <w:spacing w:after="0" w:line="203" w:lineRule="exact"/>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03"/>
        </w:trPr>
        <w:tc>
          <w:tcPr>
            <w:tcW w:w="5420" w:type="dxa"/>
            <w:vAlign w:val="bottom"/>
            <w:tcBorders>
              <w:top w:val="single" w:sz="8" w:color="939598"/>
              <w:bottom w:val="single" w:sz="8" w:color="939598"/>
            </w:tcBorders>
          </w:tcPr>
          <w:p>
            <w:pPr>
              <w:spacing w:after="0"/>
              <w:rPr>
                <w:sz w:val="17"/>
                <w:szCs w:val="17"/>
                <w:color w:val="auto"/>
              </w:rPr>
            </w:pPr>
          </w:p>
        </w:tc>
        <w:tc>
          <w:tcPr>
            <w:tcW w:w="2920" w:type="dxa"/>
            <w:vAlign w:val="bottom"/>
            <w:tcBorders>
              <w:top w:val="single" w:sz="8" w:color="939598"/>
              <w:bottom w:val="single" w:sz="8" w:color="939598"/>
            </w:tcBorders>
          </w:tcPr>
          <w:p>
            <w:pPr>
              <w:jc w:val="right"/>
              <w:ind w:right="110"/>
              <w:spacing w:after="0" w:line="196" w:lineRule="exact"/>
              <w:rPr>
                <w:sz w:val="20"/>
                <w:szCs w:val="20"/>
                <w:color w:val="auto"/>
              </w:rPr>
            </w:pPr>
            <w:r>
              <w:rPr>
                <w:rFonts w:ascii="Arial" w:cs="Arial" w:eastAsia="Arial" w:hAnsi="Arial"/>
                <w:sz w:val="18"/>
                <w:szCs w:val="18"/>
                <w:color w:val="auto"/>
              </w:rPr>
              <w:t>$</w:t>
            </w:r>
          </w:p>
        </w:tc>
        <w:tc>
          <w:tcPr>
            <w:tcW w:w="1360" w:type="dxa"/>
            <w:vAlign w:val="bottom"/>
            <w:tcBorders>
              <w:top w:val="single" w:sz="8" w:color="939598"/>
              <w:bottom w:val="single" w:sz="8" w:color="939598"/>
            </w:tcBorders>
          </w:tcPr>
          <w:p>
            <w:pPr>
              <w:jc w:val="right"/>
              <w:ind w:right="93"/>
              <w:spacing w:after="0" w:line="196" w:lineRule="exact"/>
              <w:rPr>
                <w:sz w:val="20"/>
                <w:szCs w:val="20"/>
                <w:color w:val="auto"/>
              </w:rPr>
            </w:pPr>
            <w:r>
              <w:rPr>
                <w:rFonts w:ascii="Arial" w:cs="Arial" w:eastAsia="Arial" w:hAnsi="Arial"/>
                <w:sz w:val="18"/>
                <w:szCs w:val="18"/>
                <w:color w:val="auto"/>
              </w:rPr>
              <w:t>67.5</w:t>
            </w:r>
          </w:p>
        </w:tc>
        <w:tc>
          <w:tcPr>
            <w:tcW w:w="200" w:type="dxa"/>
            <w:vAlign w:val="bottom"/>
            <w:tcBorders>
              <w:top w:val="single" w:sz="8" w:color="939598"/>
              <w:bottom w:val="single" w:sz="8" w:color="939598"/>
            </w:tcBorders>
          </w:tcPr>
          <w:p>
            <w:pPr>
              <w:jc w:val="right"/>
              <w:spacing w:after="0" w:line="196" w:lineRule="exact"/>
              <w:rPr>
                <w:sz w:val="20"/>
                <w:szCs w:val="20"/>
                <w:color w:val="auto"/>
              </w:rPr>
            </w:pPr>
            <w:r>
              <w:rPr>
                <w:rFonts w:ascii="Arial" w:cs="Arial" w:eastAsia="Arial" w:hAnsi="Arial"/>
                <w:sz w:val="18"/>
                <w:szCs w:val="18"/>
                <w:color w:val="auto"/>
              </w:rPr>
              <w:t>$</w:t>
            </w:r>
          </w:p>
        </w:tc>
        <w:tc>
          <w:tcPr>
            <w:tcW w:w="1300" w:type="dxa"/>
            <w:vAlign w:val="bottom"/>
            <w:tcBorders>
              <w:top w:val="single" w:sz="8" w:color="939598"/>
              <w:bottom w:val="single" w:sz="8" w:color="939598"/>
            </w:tcBorders>
          </w:tcPr>
          <w:p>
            <w:pPr>
              <w:jc w:val="right"/>
              <w:spacing w:after="0" w:line="196" w:lineRule="exact"/>
              <w:rPr>
                <w:sz w:val="20"/>
                <w:szCs w:val="20"/>
                <w:color w:val="auto"/>
              </w:rPr>
            </w:pPr>
            <w:r>
              <w:rPr>
                <w:rFonts w:ascii="Arial" w:cs="Arial" w:eastAsia="Arial" w:hAnsi="Arial"/>
                <w:sz w:val="18"/>
                <w:szCs w:val="18"/>
                <w:color w:val="auto"/>
              </w:rPr>
              <w:t>(67.5</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bl>
    <w:p>
      <w:pPr>
        <w:spacing w:after="0" w:line="204" w:lineRule="exact"/>
        <w:rPr>
          <w:sz w:val="20"/>
          <w:szCs w:val="20"/>
          <w:color w:val="auto"/>
        </w:rPr>
      </w:pPr>
    </w:p>
    <w:p>
      <w:pPr>
        <w:ind w:left="580" w:right="20" w:hanging="572"/>
        <w:spacing w:after="0" w:line="260" w:lineRule="auto"/>
        <w:tabs>
          <w:tab w:leader="none" w:pos="580" w:val="left"/>
        </w:tabs>
        <w:numPr>
          <w:ilvl w:val="0"/>
          <w:numId w:val="45"/>
        </w:numPr>
        <w:rPr>
          <w:rFonts w:ascii="Arial" w:cs="Arial" w:eastAsia="Arial" w:hAnsi="Arial"/>
          <w:sz w:val="16"/>
          <w:szCs w:val="16"/>
          <w:color w:val="auto"/>
        </w:rPr>
      </w:pPr>
      <w:r>
        <w:rPr>
          <w:rFonts w:ascii="Arial" w:cs="Arial" w:eastAsia="Arial" w:hAnsi="Arial"/>
          <w:sz w:val="16"/>
          <w:szCs w:val="16"/>
          <w:color w:val="auto"/>
        </w:rPr>
        <w:t>Exchange rate movements are recorded through Accumulated Other Comprehensive Income (Loss) as these instruments have been designated as an economic hedge of our net investment in subsidiaries with a Euro functional currency.</w:t>
      </w:r>
    </w:p>
    <w:p>
      <w:pPr>
        <w:spacing w:after="0" w:line="193"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The hypothetical changes in the fair value of our market sensitive instruments due to changes in interest rates, and changes in foreign currency exchange rates for the foreign contracts, are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5580" w:type="dxa"/>
            <w:vAlign w:val="bottom"/>
          </w:tcPr>
          <w:p>
            <w:pPr>
              <w:spacing w:after="0"/>
              <w:rPr>
                <w:sz w:val="20"/>
                <w:szCs w:val="20"/>
                <w:color w:val="auto"/>
              </w:rPr>
            </w:pPr>
            <w:r>
              <w:rPr>
                <w:rFonts w:ascii="Arial" w:cs="Arial" w:eastAsia="Arial" w:hAnsi="Arial"/>
                <w:sz w:val="16"/>
                <w:szCs w:val="16"/>
                <w:b w:val="1"/>
                <w:bCs w:val="1"/>
                <w:color w:val="86B6A5"/>
              </w:rPr>
              <w:t>Market Sensitive Instrument (in millions)</w:t>
            </w:r>
          </w:p>
        </w:tc>
        <w:tc>
          <w:tcPr>
            <w:tcW w:w="2700" w:type="dxa"/>
            <w:vAlign w:val="bottom"/>
          </w:tcPr>
          <w:p>
            <w:pPr>
              <w:spacing w:after="0"/>
              <w:rPr>
                <w:sz w:val="18"/>
                <w:szCs w:val="18"/>
                <w:color w:val="auto"/>
              </w:rPr>
            </w:pPr>
          </w:p>
        </w:tc>
        <w:tc>
          <w:tcPr>
            <w:tcW w:w="1420" w:type="dxa"/>
            <w:vAlign w:val="bottom"/>
          </w:tcPr>
          <w:p>
            <w:pPr>
              <w:jc w:val="right"/>
              <w:ind w:right="92"/>
              <w:spacing w:after="0"/>
              <w:rPr>
                <w:sz w:val="20"/>
                <w:szCs w:val="20"/>
                <w:color w:val="auto"/>
              </w:rPr>
            </w:pPr>
            <w:r>
              <w:rPr>
                <w:rFonts w:ascii="Arial" w:cs="Arial" w:eastAsia="Arial" w:hAnsi="Arial"/>
                <w:sz w:val="16"/>
                <w:szCs w:val="16"/>
                <w:b w:val="1"/>
                <w:bCs w:val="1"/>
                <w:color w:val="86B6A5"/>
              </w:rPr>
              <w:t>10% Decrease</w:t>
            </w:r>
          </w:p>
        </w:tc>
        <w:tc>
          <w:tcPr>
            <w:tcW w:w="30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86B6A5"/>
              </w:rPr>
              <w:t>10% Increase</w:t>
            </w:r>
          </w:p>
        </w:tc>
        <w:tc>
          <w:tcPr>
            <w:tcW w:w="0" w:type="dxa"/>
            <w:vAlign w:val="bottom"/>
          </w:tcPr>
          <w:p>
            <w:pPr>
              <w:spacing w:after="0"/>
              <w:rPr>
                <w:sz w:val="1"/>
                <w:szCs w:val="1"/>
                <w:color w:val="auto"/>
              </w:rPr>
            </w:pPr>
          </w:p>
        </w:tc>
      </w:tr>
      <w:tr>
        <w:trPr>
          <w:trHeight w:val="30"/>
        </w:trPr>
        <w:tc>
          <w:tcPr>
            <w:tcW w:w="5580" w:type="dxa"/>
            <w:vAlign w:val="bottom"/>
            <w:shd w:val="clear" w:color="auto" w:fill="86B6A5"/>
          </w:tcPr>
          <w:p>
            <w:pPr>
              <w:spacing w:after="0"/>
              <w:rPr>
                <w:sz w:val="2"/>
                <w:szCs w:val="2"/>
                <w:color w:val="auto"/>
              </w:rPr>
            </w:pPr>
          </w:p>
        </w:tc>
        <w:tc>
          <w:tcPr>
            <w:tcW w:w="2700" w:type="dxa"/>
            <w:vAlign w:val="bottom"/>
            <w:shd w:val="clear" w:color="auto" w:fill="86B6A5"/>
          </w:tcPr>
          <w:p>
            <w:pPr>
              <w:spacing w:after="0"/>
              <w:rPr>
                <w:sz w:val="2"/>
                <w:szCs w:val="2"/>
                <w:color w:val="auto"/>
              </w:rPr>
            </w:pPr>
          </w:p>
        </w:tc>
        <w:tc>
          <w:tcPr>
            <w:tcW w:w="1420" w:type="dxa"/>
            <w:vAlign w:val="bottom"/>
            <w:shd w:val="clear" w:color="auto" w:fill="86B6A5"/>
          </w:tcPr>
          <w:p>
            <w:pPr>
              <w:spacing w:after="0"/>
              <w:rPr>
                <w:sz w:val="2"/>
                <w:szCs w:val="2"/>
                <w:color w:val="auto"/>
              </w:rPr>
            </w:pPr>
          </w:p>
        </w:tc>
        <w:tc>
          <w:tcPr>
            <w:tcW w:w="300" w:type="dxa"/>
            <w:vAlign w:val="bottom"/>
            <w:shd w:val="clear" w:color="auto" w:fill="86B6A5"/>
          </w:tcPr>
          <w:p>
            <w:pPr>
              <w:spacing w:after="0"/>
              <w:rPr>
                <w:sz w:val="2"/>
                <w:szCs w:val="2"/>
                <w:color w:val="auto"/>
              </w:rPr>
            </w:pPr>
          </w:p>
        </w:tc>
        <w:tc>
          <w:tcPr>
            <w:tcW w:w="1200" w:type="dxa"/>
            <w:vAlign w:val="bottom"/>
            <w:shd w:val="clear" w:color="auto" w:fill="86B6A5"/>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5580" w:type="dxa"/>
            <w:vAlign w:val="bottom"/>
          </w:tcPr>
          <w:p>
            <w:pPr>
              <w:spacing w:after="0" w:line="201" w:lineRule="exact"/>
              <w:rPr>
                <w:sz w:val="20"/>
                <w:szCs w:val="20"/>
                <w:color w:val="auto"/>
              </w:rPr>
            </w:pPr>
            <w:r>
              <w:rPr>
                <w:rFonts w:ascii="Arial" w:cs="Arial" w:eastAsia="Arial" w:hAnsi="Arial"/>
                <w:sz w:val="18"/>
                <w:szCs w:val="18"/>
                <w:b w:val="1"/>
                <w:bCs w:val="1"/>
                <w:color w:val="939598"/>
              </w:rPr>
              <w:t>Fixed rate debt:</w:t>
            </w:r>
          </w:p>
        </w:tc>
        <w:tc>
          <w:tcPr>
            <w:tcW w:w="27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20" w:type="dxa"/>
            <w:vAlign w:val="bottom"/>
            <w:gridSpan w:val="2"/>
            <w:vMerge w:val="restart"/>
          </w:tcPr>
          <w:p>
            <w:pPr>
              <w:jc w:val="right"/>
              <w:spacing w:after="0"/>
              <w:rPr>
                <w:sz w:val="20"/>
                <w:szCs w:val="20"/>
                <w:color w:val="auto"/>
              </w:rPr>
            </w:pPr>
            <w:r>
              <w:rPr>
                <w:rFonts w:ascii="Arial" w:cs="Arial" w:eastAsia="Arial" w:hAnsi="Arial"/>
                <w:sz w:val="18"/>
                <w:szCs w:val="18"/>
                <w:color w:val="auto"/>
              </w:rPr>
              <w:t>(27.6)</w:t>
            </w:r>
            <w:r>
              <w:rPr>
                <w:rFonts w:ascii="Arial" w:cs="Arial" w:eastAsia="Arial" w:hAnsi="Arial"/>
                <w:sz w:val="25"/>
                <w:szCs w:val="25"/>
                <w:color w:val="auto"/>
                <w:vertAlign w:val="superscript"/>
              </w:rPr>
              <w:t>(1)</w:t>
            </w:r>
          </w:p>
        </w:tc>
        <w:tc>
          <w:tcPr>
            <w:tcW w:w="0" w:type="dxa"/>
            <w:vAlign w:val="bottom"/>
          </w:tcPr>
          <w:p>
            <w:pPr>
              <w:spacing w:after="0"/>
              <w:rPr>
                <w:sz w:val="1"/>
                <w:szCs w:val="1"/>
                <w:color w:val="auto"/>
              </w:rPr>
            </w:pPr>
          </w:p>
        </w:tc>
      </w:tr>
      <w:tr>
        <w:trPr>
          <w:trHeight w:val="197"/>
        </w:trPr>
        <w:tc>
          <w:tcPr>
            <w:tcW w:w="5580" w:type="dxa"/>
            <w:vAlign w:val="bottom"/>
          </w:tcPr>
          <w:p>
            <w:pPr>
              <w:spacing w:after="0" w:line="197" w:lineRule="exact"/>
              <w:rPr>
                <w:sz w:val="20"/>
                <w:szCs w:val="20"/>
                <w:color w:val="auto"/>
              </w:rPr>
            </w:pPr>
            <w:r>
              <w:rPr>
                <w:rFonts w:ascii="Arial" w:cs="Arial" w:eastAsia="Arial" w:hAnsi="Arial"/>
                <w:sz w:val="18"/>
                <w:szCs w:val="18"/>
                <w:color w:val="auto"/>
              </w:rPr>
              <w:t>€200, 4.86% Notes due June 2013</w:t>
            </w:r>
          </w:p>
        </w:tc>
        <w:tc>
          <w:tcPr>
            <w:tcW w:w="2700" w:type="dxa"/>
            <w:vAlign w:val="bottom"/>
          </w:tcPr>
          <w:p>
            <w:pPr>
              <w:jc w:val="right"/>
              <w:ind w:right="50"/>
              <w:spacing w:after="0" w:line="197" w:lineRule="exact"/>
              <w:rPr>
                <w:sz w:val="20"/>
                <w:szCs w:val="20"/>
                <w:color w:val="auto"/>
              </w:rPr>
            </w:pPr>
            <w:r>
              <w:rPr>
                <w:rFonts w:ascii="Arial" w:cs="Arial" w:eastAsia="Arial" w:hAnsi="Arial"/>
                <w:sz w:val="18"/>
                <w:szCs w:val="18"/>
                <w:color w:val="auto"/>
              </w:rPr>
              <w:t>$</w:t>
            </w:r>
          </w:p>
        </w:tc>
        <w:tc>
          <w:tcPr>
            <w:tcW w:w="1420" w:type="dxa"/>
            <w:vAlign w:val="bottom"/>
          </w:tcPr>
          <w:p>
            <w:pPr>
              <w:jc w:val="right"/>
              <w:spacing w:after="0" w:line="197" w:lineRule="exact"/>
              <w:rPr>
                <w:sz w:val="20"/>
                <w:szCs w:val="20"/>
                <w:color w:val="auto"/>
              </w:rPr>
            </w:pPr>
            <w:r>
              <w:rPr>
                <w:rFonts w:ascii="Arial" w:cs="Arial" w:eastAsia="Arial" w:hAnsi="Arial"/>
                <w:sz w:val="18"/>
                <w:szCs w:val="18"/>
                <w:color w:val="auto"/>
              </w:rPr>
              <w:t>27.6</w:t>
            </w:r>
            <w:r>
              <w:rPr>
                <w:rFonts w:ascii="Arial" w:cs="Arial" w:eastAsia="Arial" w:hAnsi="Arial"/>
                <w:sz w:val="12"/>
                <w:szCs w:val="12"/>
                <w:color w:val="auto"/>
              </w:rPr>
              <w:t>(1)</w:t>
            </w:r>
          </w:p>
        </w:tc>
        <w:tc>
          <w:tcPr>
            <w:tcW w:w="300" w:type="dxa"/>
            <w:vAlign w:val="bottom"/>
          </w:tcPr>
          <w:p>
            <w:pPr>
              <w:jc w:val="right"/>
              <w:ind w:right="70"/>
              <w:spacing w:after="0" w:line="197" w:lineRule="exact"/>
              <w:rPr>
                <w:sz w:val="20"/>
                <w:szCs w:val="20"/>
                <w:color w:val="auto"/>
              </w:rPr>
            </w:pPr>
            <w:r>
              <w:rPr>
                <w:rFonts w:ascii="Arial" w:cs="Arial" w:eastAsia="Arial" w:hAnsi="Arial"/>
                <w:sz w:val="18"/>
                <w:szCs w:val="18"/>
                <w:color w:val="auto"/>
              </w:rPr>
              <w:t>$</w:t>
            </w:r>
          </w:p>
        </w:tc>
        <w:tc>
          <w:tcPr>
            <w:tcW w:w="14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5580" w:type="dxa"/>
            <w:vAlign w:val="bottom"/>
          </w:tcPr>
          <w:p>
            <w:pPr>
              <w:spacing w:after="0" w:line="186" w:lineRule="exact"/>
              <w:rPr>
                <w:sz w:val="20"/>
                <w:szCs w:val="20"/>
                <w:color w:val="auto"/>
              </w:rPr>
            </w:pPr>
            <w:r>
              <w:rPr>
                <w:rFonts w:ascii="Arial" w:cs="Arial" w:eastAsia="Arial" w:hAnsi="Arial"/>
                <w:sz w:val="18"/>
                <w:szCs w:val="18"/>
                <w:color w:val="auto"/>
              </w:rPr>
              <w:t>€300, 4.58% Notes due June 2012</w:t>
            </w:r>
          </w:p>
        </w:tc>
        <w:tc>
          <w:tcPr>
            <w:tcW w:w="2700" w:type="dxa"/>
            <w:vAlign w:val="bottom"/>
          </w:tcPr>
          <w:p>
            <w:pPr>
              <w:spacing w:after="0"/>
              <w:rPr>
                <w:sz w:val="16"/>
                <w:szCs w:val="16"/>
                <w:color w:val="auto"/>
              </w:rPr>
            </w:pPr>
          </w:p>
        </w:tc>
        <w:tc>
          <w:tcPr>
            <w:tcW w:w="1420" w:type="dxa"/>
            <w:vAlign w:val="bottom"/>
          </w:tcPr>
          <w:p>
            <w:pPr>
              <w:jc w:val="right"/>
              <w:spacing w:after="0" w:line="186" w:lineRule="exact"/>
              <w:rPr>
                <w:sz w:val="20"/>
                <w:szCs w:val="20"/>
                <w:color w:val="auto"/>
              </w:rPr>
            </w:pPr>
            <w:r>
              <w:rPr>
                <w:rFonts w:ascii="Arial" w:cs="Arial" w:eastAsia="Arial" w:hAnsi="Arial"/>
                <w:sz w:val="18"/>
                <w:szCs w:val="18"/>
                <w:color w:val="auto"/>
              </w:rPr>
              <w:t>41.1</w:t>
            </w:r>
            <w:r>
              <w:rPr>
                <w:rFonts w:ascii="Arial" w:cs="Arial" w:eastAsia="Arial" w:hAnsi="Arial"/>
                <w:sz w:val="12"/>
                <w:szCs w:val="12"/>
                <w:color w:val="auto"/>
              </w:rPr>
              <w:t>(1)</w:t>
            </w:r>
          </w:p>
        </w:tc>
        <w:tc>
          <w:tcPr>
            <w:tcW w:w="300" w:type="dxa"/>
            <w:vAlign w:val="bottom"/>
          </w:tcPr>
          <w:p>
            <w:pPr>
              <w:spacing w:after="0"/>
              <w:rPr>
                <w:sz w:val="16"/>
                <w:szCs w:val="16"/>
                <w:color w:val="auto"/>
              </w:rPr>
            </w:pPr>
          </w:p>
        </w:tc>
        <w:tc>
          <w:tcPr>
            <w:tcW w:w="1420" w:type="dxa"/>
            <w:vAlign w:val="bottom"/>
            <w:gridSpan w:val="2"/>
          </w:tcPr>
          <w:p>
            <w:pPr>
              <w:jc w:val="right"/>
              <w:spacing w:after="0" w:line="186" w:lineRule="exact"/>
              <w:rPr>
                <w:sz w:val="20"/>
                <w:szCs w:val="20"/>
                <w:color w:val="auto"/>
              </w:rPr>
            </w:pPr>
            <w:r>
              <w:rPr>
                <w:rFonts w:ascii="Arial" w:cs="Arial" w:eastAsia="Arial" w:hAnsi="Arial"/>
                <w:sz w:val="15"/>
                <w:szCs w:val="15"/>
                <w:color w:val="auto"/>
              </w:rPr>
              <w:t>(41.1)</w:t>
            </w:r>
            <w:r>
              <w:rPr>
                <w:rFonts w:ascii="Arial" w:cs="Arial" w:eastAsia="Arial" w:hAnsi="Arial"/>
                <w:sz w:val="21"/>
                <w:szCs w:val="21"/>
                <w:color w:val="auto"/>
                <w:vertAlign w:val="superscript"/>
              </w:rPr>
              <w:t>(1)</w:t>
            </w:r>
          </w:p>
        </w:tc>
        <w:tc>
          <w:tcPr>
            <w:tcW w:w="0" w:type="dxa"/>
            <w:vAlign w:val="bottom"/>
          </w:tcPr>
          <w:p>
            <w:pPr>
              <w:spacing w:after="0"/>
              <w:rPr>
                <w:sz w:val="1"/>
                <w:szCs w:val="1"/>
                <w:color w:val="auto"/>
              </w:rPr>
            </w:pPr>
          </w:p>
        </w:tc>
      </w:tr>
      <w:tr>
        <w:trPr>
          <w:trHeight w:val="225"/>
        </w:trPr>
        <w:tc>
          <w:tcPr>
            <w:tcW w:w="5580" w:type="dxa"/>
            <w:vAlign w:val="bottom"/>
          </w:tcPr>
          <w:p>
            <w:pPr>
              <w:spacing w:after="0"/>
              <w:rPr>
                <w:sz w:val="20"/>
                <w:szCs w:val="20"/>
                <w:color w:val="auto"/>
              </w:rPr>
            </w:pPr>
            <w:r>
              <w:rPr>
                <w:rFonts w:ascii="Arial" w:cs="Arial" w:eastAsia="Arial" w:hAnsi="Arial"/>
                <w:sz w:val="18"/>
                <w:szCs w:val="18"/>
                <w:b w:val="1"/>
                <w:bCs w:val="1"/>
                <w:color w:val="939598"/>
              </w:rPr>
              <w:t>Forward contacts:</w:t>
            </w:r>
          </w:p>
        </w:tc>
        <w:tc>
          <w:tcPr>
            <w:tcW w:w="27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5580" w:type="dxa"/>
            <w:vAlign w:val="bottom"/>
          </w:tcPr>
          <w:p>
            <w:pPr>
              <w:spacing w:after="0" w:line="203" w:lineRule="exact"/>
              <w:rPr>
                <w:sz w:val="20"/>
                <w:szCs w:val="20"/>
                <w:color w:val="auto"/>
              </w:rPr>
            </w:pPr>
            <w:r>
              <w:rPr>
                <w:rFonts w:ascii="Arial" w:cs="Arial" w:eastAsia="Arial" w:hAnsi="Arial"/>
                <w:sz w:val="18"/>
                <w:szCs w:val="18"/>
                <w:color w:val="auto"/>
              </w:rPr>
              <w:t>£2.9 to $4.5</w:t>
            </w:r>
          </w:p>
        </w:tc>
        <w:tc>
          <w:tcPr>
            <w:tcW w:w="2700" w:type="dxa"/>
            <w:vAlign w:val="bottom"/>
          </w:tcPr>
          <w:p>
            <w:pPr>
              <w:spacing w:after="0"/>
              <w:rPr>
                <w:sz w:val="17"/>
                <w:szCs w:val="17"/>
                <w:color w:val="auto"/>
              </w:rPr>
            </w:pPr>
          </w:p>
        </w:tc>
        <w:tc>
          <w:tcPr>
            <w:tcW w:w="1420" w:type="dxa"/>
            <w:vAlign w:val="bottom"/>
          </w:tcPr>
          <w:p>
            <w:pPr>
              <w:jc w:val="right"/>
              <w:ind w:right="92"/>
              <w:spacing w:after="0" w:line="203" w:lineRule="exact"/>
              <w:rPr>
                <w:sz w:val="20"/>
                <w:szCs w:val="20"/>
                <w:color w:val="auto"/>
              </w:rPr>
            </w:pPr>
            <w:r>
              <w:rPr>
                <w:rFonts w:ascii="Arial" w:cs="Arial" w:eastAsia="Arial" w:hAnsi="Arial"/>
                <w:sz w:val="18"/>
                <w:szCs w:val="18"/>
                <w:color w:val="auto"/>
              </w:rPr>
              <w:t>0.5</w:t>
            </w:r>
          </w:p>
        </w:tc>
        <w:tc>
          <w:tcPr>
            <w:tcW w:w="300" w:type="dxa"/>
            <w:vAlign w:val="bottom"/>
          </w:tcPr>
          <w:p>
            <w:pPr>
              <w:spacing w:after="0"/>
              <w:rPr>
                <w:sz w:val="17"/>
                <w:szCs w:val="17"/>
                <w:color w:val="auto"/>
              </w:rPr>
            </w:pPr>
          </w:p>
        </w:tc>
        <w:tc>
          <w:tcPr>
            <w:tcW w:w="1420" w:type="dxa"/>
            <w:vAlign w:val="bottom"/>
            <w:gridSpan w:val="2"/>
          </w:tcPr>
          <w:p>
            <w:pPr>
              <w:jc w:val="right"/>
              <w:ind w:right="160"/>
              <w:spacing w:after="0" w:line="203" w:lineRule="exact"/>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7"/>
        </w:trPr>
        <w:tc>
          <w:tcPr>
            <w:tcW w:w="5580" w:type="dxa"/>
            <w:vAlign w:val="bottom"/>
            <w:shd w:val="clear" w:color="auto" w:fill="939598"/>
          </w:tcPr>
          <w:p>
            <w:pPr>
              <w:spacing w:after="0"/>
              <w:rPr>
                <w:sz w:val="2"/>
                <w:szCs w:val="2"/>
                <w:color w:val="auto"/>
              </w:rPr>
            </w:pPr>
          </w:p>
        </w:tc>
        <w:tc>
          <w:tcPr>
            <w:tcW w:w="2700" w:type="dxa"/>
            <w:vAlign w:val="bottom"/>
            <w:shd w:val="clear" w:color="auto" w:fill="939598"/>
          </w:tcPr>
          <w:p>
            <w:pPr>
              <w:spacing w:after="0"/>
              <w:rPr>
                <w:sz w:val="2"/>
                <w:szCs w:val="2"/>
                <w:color w:val="auto"/>
              </w:rPr>
            </w:pPr>
          </w:p>
        </w:tc>
        <w:tc>
          <w:tcPr>
            <w:tcW w:w="1420" w:type="dxa"/>
            <w:vAlign w:val="bottom"/>
            <w:shd w:val="clear" w:color="auto" w:fill="939598"/>
          </w:tcPr>
          <w:p>
            <w:pPr>
              <w:spacing w:after="0"/>
              <w:rPr>
                <w:sz w:val="2"/>
                <w:szCs w:val="2"/>
                <w:color w:val="auto"/>
              </w:rPr>
            </w:pPr>
          </w:p>
        </w:tc>
        <w:tc>
          <w:tcPr>
            <w:tcW w:w="300" w:type="dxa"/>
            <w:vAlign w:val="bottom"/>
            <w:shd w:val="clear" w:color="auto" w:fill="939598"/>
          </w:tcPr>
          <w:p>
            <w:pPr>
              <w:spacing w:after="0"/>
              <w:rPr>
                <w:sz w:val="2"/>
                <w:szCs w:val="2"/>
                <w:color w:val="auto"/>
              </w:rPr>
            </w:pPr>
          </w:p>
        </w:tc>
        <w:tc>
          <w:tcPr>
            <w:tcW w:w="1200" w:type="dxa"/>
            <w:vAlign w:val="bottom"/>
            <w:shd w:val="clear" w:color="auto" w:fill="939598"/>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4" w:lineRule="exact"/>
        <w:rPr>
          <w:sz w:val="20"/>
          <w:szCs w:val="20"/>
          <w:color w:val="auto"/>
        </w:rPr>
      </w:pPr>
    </w:p>
    <w:p>
      <w:pPr>
        <w:ind w:left="580" w:hanging="572"/>
        <w:spacing w:after="0" w:line="260" w:lineRule="auto"/>
        <w:tabs>
          <w:tab w:leader="none" w:pos="58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This change in fair value is not recorded in the Consolidated Financial Statements, however disclosure of the fair value is included in Note 1 to the Consolidated Financial Statements.</w:t>
      </w:r>
    </w:p>
    <w:p>
      <w:pPr>
        <w:spacing w:after="0" w:line="176"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939598"/>
        </w:rPr>
        <w:t xml:space="preserve">Management’s Discussion &amp; Analysis </w:t>
      </w:r>
      <w:r>
        <w:rPr>
          <w:rFonts w:ascii="Arial" w:cs="Arial" w:eastAsia="Arial" w:hAnsi="Arial"/>
          <w:sz w:val="16"/>
          <w:szCs w:val="16"/>
          <w:color w:val="4D8ABE"/>
        </w:rPr>
        <w:t>Manpower 2010 Annual Report</w:t>
      </w:r>
      <w:r>
        <w:rPr>
          <w:rFonts w:ascii="Arial" w:cs="Arial" w:eastAsia="Arial" w:hAnsi="Arial"/>
          <w:sz w:val="16"/>
          <w:szCs w:val="16"/>
          <w:b w:val="1"/>
          <w:bCs w:val="1"/>
          <w:color w:val="939598"/>
        </w:rPr>
        <w:t xml:space="preserve"> </w:t>
      </w:r>
      <w:r>
        <w:rPr>
          <w:rFonts w:ascii="Arial" w:cs="Arial" w:eastAsia="Arial" w:hAnsi="Arial"/>
          <w:sz w:val="16"/>
          <w:szCs w:val="16"/>
          <w:b w:val="1"/>
          <w:bCs w:val="1"/>
          <w:color w:val="4D8ABE"/>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72390</wp:posOffset>
            </wp:positionV>
            <wp:extent cx="7267575" cy="469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69" w:name="page70"/>
    <w:bookmarkEnd w:id="69"/>
    <w:p>
      <w:pPr>
        <w:spacing w:after="0"/>
        <w:rPr>
          <w:sz w:val="20"/>
          <w:szCs w:val="20"/>
          <w:color w:val="auto"/>
        </w:rPr>
      </w:pPr>
      <w:r>
        <w:rPr>
          <w:rFonts w:ascii="Arial" w:cs="Arial" w:eastAsia="Arial" w:hAnsi="Arial"/>
          <w:sz w:val="22"/>
          <w:szCs w:val="22"/>
          <w:color w:val="4D8ABE"/>
        </w:rPr>
        <w:t>Management’s Discussion &amp; Analysis</w:t>
      </w:r>
    </w:p>
    <w:p>
      <w:pPr>
        <w:spacing w:after="0"/>
        <w:rPr>
          <w:sz w:val="20"/>
          <w:szCs w:val="20"/>
          <w:color w:val="auto"/>
        </w:rPr>
      </w:pPr>
      <w:r>
        <w:rPr>
          <w:rFonts w:ascii="Arial" w:cs="Arial" w:eastAsia="Arial" w:hAnsi="Arial"/>
          <w:sz w:val="18"/>
          <w:szCs w:val="18"/>
          <w:color w:val="4D8ABE"/>
        </w:rPr>
        <w:t>of financial condition and results of operations</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color w:val="4D8ABE"/>
        </w:rPr>
        <w:t>IMPACT OF ECONOMIC CONDITIONS</w:t>
      </w:r>
    </w:p>
    <w:p>
      <w:pPr>
        <w:spacing w:after="0" w:line="23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One of the principal attractions of using workforce solutions and service providers is to maintain a flexible supply of labor to meet changing economic conditions. Therefore, the industry has been, and remains sensitive to, economic cycles. To help minimize the effects of these economic cycles, we offer clients a continuum of services to meet their needs throughout the business cycle. We believe that the breadth of our operations and the diversity of our service mix cushion us against the impact of an adverse economic cycle in any single country or industry. However, adverse economic conditions in any of our largest markets, or in several markets simultaneously, would have a material impact on our consolidated financial results.</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color w:val="4D8ABE"/>
        </w:rPr>
        <w:t>LEGAL REGULATIONS</w:t>
      </w:r>
    </w:p>
    <w:p>
      <w:pPr>
        <w:spacing w:after="0" w:line="23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workforce solutions and services industry is closely regulated in all of the major markets in which we operate except the U.S. and Canada. Many countries impose licensing or registration requirements and substantive restrictions on employment services, either on the provider of recruitment services or the ultimate client company, or minimum benefits to be paid to the temporary employee either during or following the temporary assignment. Regulations also may restrict the length of assignments, the type of work permitted or the occasions on which contingent workers may be used. Changes in applicable laws or regulations have occurred in the past and are expected in the future to affect the extent to which workforce solutions and services firms may operate. These changes could impose additional costs, taxes, record keeping or reporting requirements; restrict the tasks to which contingent workers may be assigned; limit the duration of or otherwise impose restrictions on the nature of the relationship (with us or the client); or otherwise adversely affect the industry. All of our other service lines are currently not regulated.</w:t>
      </w:r>
    </w:p>
    <w:p>
      <w:pPr>
        <w:spacing w:after="0" w:line="207"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In many markets, the existence or absence of collective bargaining agreements with labor organizations has a significant impact on our operations and the ability of clients to utilize our services. In some markets, labor agreements are structured on a national or industry-wide (rather than a company-by-company) basis. Changes in these collective bargaining agreements have occurred in the past, are expected to occur in the future, and may have a material impact on the operations of workforce solutions and services firms, including us.</w:t>
      </w:r>
    </w:p>
    <w:p>
      <w:pPr>
        <w:spacing w:after="0" w:line="202"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In February 2009, the French Competition Council rendered its decision and levied a fine of €42.0 million ($55.9 million) related to the competition investigation that began in November 2004, conducted by France’s Direction Generale de la concurrence, de la Consommation et de la Repression des Fraudes (“DGCCRF”), a body of the French Finance Minister that investigates frauds and competition violations. We had accrued for this fine as of December 31, 2008, paid this fine in April 2009 and appealed the Competition Council’s decision. In January 2010 we received notification that our appeal was denied and in March 2010, we again appealed the Competition Council’s decision to the Cour de Cassation.</w:t>
      </w:r>
    </w:p>
    <w:p>
      <w:pPr>
        <w:spacing w:after="0" w:line="20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March 2010, the United States government passed new Health Care Legislation, the Patient Protection and Affordable Care Act (‘PPACA’). The provisions of PPACA having the greatest financial impact become effective in 2014. We are currently assessing the impact that this significant legislation will have on us and our clients with U.S.-based employees. We expect this legislation will increase the employment costs of our permanent employees and our associates, but we are currently unable to quantify the amount. Our intention is to pass on to our clients any cost increases related to our associates, however there is no assurance that we will be fully successful.</w:t>
      </w:r>
    </w:p>
    <w:p>
      <w:pPr>
        <w:spacing w:after="0" w:line="203"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In March 2010, the DPJ government in Japan proposed legislation which places limitations on the job categories that we can supply. This proposal did not pass in 2010, but is still being considered and may pass in early 2011. In addition, in May 2010, the Labor Minister announced a new policy that more narrowly defines the nature of work allowed within the 26 approved job categories. This has resulted in reclassifying jobs from the 26 job types into a liberalized category, which has a three-year time limit on assignments. While the proposed legislation and government policy changes are independent, they both place further restrictions on the staffing business. During 2010, the policy change had a slightly negative impact on our Japanese business and we do not expect any significant impact from this policy change, or from the proposed legislation if passed, going forward.</w:t>
      </w:r>
    </w:p>
    <w:p>
      <w:pPr>
        <w:spacing w:after="0" w:line="203"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French government announced new legislation in 2011 that reduces employer payroll tax subsidies that are received under their social programs aimed at reducing the cost of labor and encouraging employment of low-wage workers. This new legislation increases our direct costs. There is no assurance that we will be fully successful in passing on this additional cost through higher bill rates, therefore we are unable to determine the impact this will have on our 2011 financial results. However, it could have an unfavorable impact on margins.</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color w:val="4D8ABE"/>
        </w:rPr>
        <w:t xml:space="preserve">40 </w:t>
      </w:r>
      <w:r>
        <w:rPr>
          <w:rFonts w:ascii="Arial" w:cs="Arial" w:eastAsia="Arial" w:hAnsi="Arial"/>
          <w:sz w:val="16"/>
          <w:szCs w:val="16"/>
          <w:color w:val="4D8ABE"/>
        </w:rPr>
        <w:t>Manpower 2010 Annual Report</w:t>
      </w:r>
      <w:r>
        <w:rPr>
          <w:rFonts w:ascii="Arial" w:cs="Arial" w:eastAsia="Arial" w:hAnsi="Arial"/>
          <w:sz w:val="16"/>
          <w:szCs w:val="16"/>
          <w:b w:val="1"/>
          <w:bCs w:val="1"/>
          <w:color w:val="4D8ABE"/>
        </w:rPr>
        <w:t xml:space="preserve"> </w:t>
      </w:r>
      <w:r>
        <w:rPr>
          <w:rFonts w:ascii="Arial" w:cs="Arial" w:eastAsia="Arial" w:hAnsi="Arial"/>
          <w:sz w:val="16"/>
          <w:szCs w:val="16"/>
          <w:b w:val="1"/>
          <w:bCs w:val="1"/>
          <w:color w:val="939598"/>
        </w:rPr>
        <w:t>Management’s Discussion &amp;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72390</wp:posOffset>
            </wp:positionV>
            <wp:extent cx="7267575" cy="469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ectPr>
          <w:pgSz w:w="11900" w:h="16838" w:orient="portrait"/>
          <w:cols w:equalWidth="0" w:num="1">
            <w:col w:w="11420"/>
          </w:cols>
          <w:pgMar w:left="240" w:top="349" w:right="239" w:bottom="1440" w:gutter="0" w:footer="0" w:header="0"/>
        </w:sectPr>
      </w:pPr>
    </w:p>
    <w:bookmarkStart w:id="70" w:name="page71"/>
    <w:bookmarkEnd w:id="70"/>
    <w:p>
      <w:pPr>
        <w:spacing w:after="0"/>
        <w:rPr>
          <w:sz w:val="20"/>
          <w:szCs w:val="20"/>
          <w:color w:val="auto"/>
        </w:rPr>
      </w:pPr>
      <w:r>
        <w:rPr>
          <w:rFonts w:ascii="Arial" w:cs="Arial" w:eastAsia="Arial" w:hAnsi="Arial"/>
          <w:sz w:val="16"/>
          <w:szCs w:val="16"/>
          <w:b w:val="1"/>
          <w:bCs w:val="1"/>
          <w:color w:val="4D8ABE"/>
        </w:rPr>
        <w:t>RECENTLY ISSUED ACCOUNTING STANDARDS</w:t>
      </w:r>
    </w:p>
    <w:p>
      <w:pPr>
        <w:spacing w:after="0" w:line="23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In June 2009, the FASB issued new accounting guidance on transfers of financial assets. The new guidance eliminates the concept of a qualifying special-purpose entity and removes the exception from applying the current guidance for consolidation of variable interest entities to qualifying special purpose entities. The new guidance also defines the term participating interest to establish specific conditions for reporting a transfer of a portion of a financial asset as a sale. The guidance also requires that a transferor recognize and initially measure at fair value all assets obtained and liabilities incurred as a result of a transfer of financial assets accounted for as a sale. We adopted the guidance effective January 1, 2010. There was no impact of this adoption on our Consolidated Financial Statements.</w:t>
      </w:r>
    </w:p>
    <w:p>
      <w:pPr>
        <w:spacing w:after="0" w:line="205"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In June 2009, the FASB issued new accounting guidance on consolidation of variable interest entities. The new guidance amends the process for identifying the primary beneficiary in variable interest entities and requires ongoing assessments for purposes of identifying the primary beneficiary. We adopted the guidance effective January 1, 2010. There was no impact of this adoption on our Consolidated Financial Statements.</w:t>
      </w:r>
    </w:p>
    <w:p>
      <w:pPr>
        <w:spacing w:after="0" w:line="20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October 2009, the FASB issued new accounting guidance on multiple-deliverable revenue arrangements. The new guidance amends the criteria for separating deliverables as well as how to measure and allocate consideration for multiple arrangements. The guidance also expands the disclosures related to a vendor’s multiple-deliverable revenue arrangements. The guidance will be effective prospectively for our revenue arrangements entered into or materially modified in 2011. We do not expect the adoption of this guidance to have a material impact on our Consolidated Financial Statements.</w:t>
      </w:r>
    </w:p>
    <w:p>
      <w:pPr>
        <w:spacing w:after="0" w:line="203"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December 2010, the FASB issued new accounting guidance on goodwill impairment testing. The new guidance modifies Step 1 of the goodwill impairment test for reporting units with zero or negative carrying amounts. The guidance will be effective for us in 2011. We do not expect the adoption of this guidance to have a material impact on our Consolidated Financial Statements.</w:t>
      </w:r>
    </w:p>
    <w:p>
      <w:pPr>
        <w:spacing w:after="0" w:line="20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December 2010, the FASB issued new accounting guidance on business combinations. The new guidance clarifies the acquisition date that should be used for reporting the pro forma financial information disclosures when comparative financial statements are presented. The guidance also expands the supplemental pro forma disclosures. The guidance will be effective for us for business combinations with an acquisition date on or after January 1, 2011. We do not expect the adoption of this guidance to have a material impact on our Consolidated Financial Statements.</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color w:val="4D8ABE"/>
        </w:rPr>
        <w:t>FORWARD-LOOKING STATEMENTS</w:t>
      </w:r>
    </w:p>
    <w:p>
      <w:pPr>
        <w:spacing w:after="0" w:line="23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Statements made in this annual report that are not statements of historical fact are forward-looking statements. All forward-looking statements involve risks and uncertainties. The information under the heading “Forward-Looking Statements” in our annual report on Form 10-K for the year ended December 31, 2010, which information is incorporated herein by reference, provides cautionary statements identifying, for purposes of the safe harbor provisions of the Private Securities Litigation Reform Act of 1995, important factors that could cause our actual results to differ materially from those contained in the forward-looking statements. Some or all of the factors identified in our annual report on Form 10-K may be beyond our control. Forward-looking statements can be identified by words such as “expect,” “anticipate,” “intend,” “plan,” “ma y,” “believe,” “seek,” “estimate,” and similar expressions. We caution that any forward-looking statement reflects only our belief at the time the statement is made. We undertake no obligation to update any forward-looking statements to reflect subsequent events or circumstances.</w:t>
      </w:r>
    </w:p>
    <w:p>
      <w:pPr>
        <w:spacing w:after="0" w:line="205" w:lineRule="exact"/>
        <w:rPr>
          <w:sz w:val="20"/>
          <w:szCs w:val="20"/>
          <w:color w:val="auto"/>
        </w:rPr>
      </w:pPr>
    </w:p>
    <w:p>
      <w:pPr>
        <w:spacing w:after="0"/>
        <w:rPr>
          <w:sz w:val="20"/>
          <w:szCs w:val="20"/>
          <w:color w:val="auto"/>
        </w:rPr>
      </w:pPr>
      <w:r>
        <w:rPr>
          <w:rFonts w:ascii="Arial" w:cs="Arial" w:eastAsia="Arial" w:hAnsi="Arial"/>
          <w:sz w:val="24"/>
          <w:szCs w:val="24"/>
          <w:color w:val="86B6A5"/>
        </w:rPr>
        <w:t>Management Report On Internal Control Over Financial Reporting</w:t>
      </w:r>
    </w:p>
    <w:p>
      <w:pPr>
        <w:spacing w:after="0" w:line="227"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We are responsible for establishing and maintaining effective internal control over financial reporting as defined in Rule 13a-15(f) under the Securities Exchange Act of 1934. Our internal control over financial reporting is a process designed to provide reasonable assurance to management and the Board of Directors regarding the reliability of financial reporting and the preparation of financial statements for external purposes in accordance with generally accepted accounting principles.</w:t>
      </w:r>
    </w:p>
    <w:p>
      <w:pPr>
        <w:spacing w:after="0" w:line="202" w:lineRule="exact"/>
        <w:rPr>
          <w:sz w:val="20"/>
          <w:szCs w:val="20"/>
          <w:color w:val="auto"/>
        </w:rPr>
      </w:pPr>
    </w:p>
    <w:p>
      <w:pPr>
        <w:jc w:val="both"/>
        <w:spacing w:after="0"/>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3"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Under the supervision and with the participation of management, including our Chairman and Chief Executive Officer and our Executive Vice President and Chief Financial Officer, we conducted an evaluation of the effectiveness of our internal control over financial reporting based on the framework in Internal Control–Integrated Framework issued by the Committee of Sponsoring Organizations of the Treadway Commission. This evaluation included review of the documentation of controls, evaluation of the design effectiveness of controls, testing of the operating effectiveness of controls and a conclusion on this evaluation. Based on our evaluation we have concluded that our internal control over financial reporting was effective as of December 31, 2010.</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February 24, 2011</w:t>
      </w:r>
    </w:p>
    <w:p>
      <w:pPr>
        <w:spacing w:after="0" w:line="10" w:lineRule="exact"/>
        <w:rPr>
          <w:sz w:val="20"/>
          <w:szCs w:val="20"/>
          <w:color w:val="auto"/>
        </w:rPr>
      </w:pPr>
    </w:p>
    <w:p>
      <w:pPr>
        <w:ind w:left="6000"/>
        <w:spacing w:after="0"/>
        <w:rPr>
          <w:sz w:val="20"/>
          <w:szCs w:val="20"/>
          <w:color w:val="auto"/>
        </w:rPr>
      </w:pPr>
      <w:r>
        <w:rPr>
          <w:rFonts w:ascii="Arial" w:cs="Arial" w:eastAsia="Arial" w:hAnsi="Arial"/>
          <w:sz w:val="16"/>
          <w:szCs w:val="16"/>
          <w:b w:val="1"/>
          <w:bCs w:val="1"/>
          <w:color w:val="939598"/>
        </w:rPr>
        <w:t xml:space="preserve">Management’s Discussion &amp; Analysis </w:t>
      </w:r>
      <w:r>
        <w:rPr>
          <w:rFonts w:ascii="Arial" w:cs="Arial" w:eastAsia="Arial" w:hAnsi="Arial"/>
          <w:sz w:val="16"/>
          <w:szCs w:val="16"/>
          <w:color w:val="4D8ABE"/>
        </w:rPr>
        <w:t>Manpower 2010 Annual Report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60960</wp:posOffset>
            </wp:positionV>
            <wp:extent cx="7267575" cy="469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ectPr>
          <w:pgSz w:w="11900" w:h="16838" w:orient="portrait"/>
          <w:cols w:equalWidth="0" w:num="1">
            <w:col w:w="11420"/>
          </w:cols>
          <w:pgMar w:left="240" w:top="338" w:right="239" w:bottom="1440" w:gutter="0" w:footer="0" w:header="0"/>
        </w:sectPr>
      </w:pPr>
    </w:p>
    <w:bookmarkStart w:id="71" w:name="page72"/>
    <w:bookmarkEnd w:id="71"/>
    <w:p>
      <w:pPr>
        <w:spacing w:after="0"/>
        <w:rPr>
          <w:sz w:val="20"/>
          <w:szCs w:val="20"/>
          <w:color w:val="auto"/>
        </w:rPr>
      </w:pPr>
      <w:r>
        <w:rPr>
          <w:rFonts w:ascii="Arial" w:cs="Arial" w:eastAsia="Arial" w:hAnsi="Arial"/>
          <w:sz w:val="24"/>
          <w:szCs w:val="24"/>
          <w:color w:val="86B6A5"/>
        </w:rPr>
        <w:t>Report Of Independent Registered Public Accounting Firm</w:t>
      </w:r>
    </w:p>
    <w:p>
      <w:pPr>
        <w:spacing w:after="0" w:line="224" w:lineRule="exact"/>
        <w:rPr>
          <w:sz w:val="20"/>
          <w:szCs w:val="20"/>
          <w:color w:val="auto"/>
        </w:rPr>
      </w:pPr>
    </w:p>
    <w:p>
      <w:pPr>
        <w:spacing w:after="0"/>
        <w:rPr>
          <w:sz w:val="20"/>
          <w:szCs w:val="20"/>
          <w:color w:val="auto"/>
        </w:rPr>
      </w:pPr>
      <w:r>
        <w:rPr>
          <w:rFonts w:ascii="Arial" w:cs="Arial" w:eastAsia="Arial" w:hAnsi="Arial"/>
          <w:sz w:val="24"/>
          <w:szCs w:val="24"/>
          <w:color w:val="86B6A5"/>
        </w:rPr>
        <w:t>To The Board Of Directors And Shareholders Of Manpower Inc.:</w:t>
      </w:r>
    </w:p>
    <w:p>
      <w:pPr>
        <w:spacing w:after="0" w:line="227"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We have audited the accompanying consolidated balance sheets of Manpower Inc. and subsidiaries (the “Company”) as of December 31, 2010 and 2009, and the related consolidated statements of operations, cash flows, and shareholders’ equity for each of the three years in the period ended December 31, 2010. These financial statements are the responsibility of the Company’s management. Our responsibility is to express an opinion on these financial statements based on our audits.</w:t>
      </w:r>
    </w:p>
    <w:p>
      <w:pPr>
        <w:spacing w:after="0" w:line="20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203"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our opinion, such consolidated financial statements present fairly, in all material respects, the financial position of the Company as of December 31, 2010 and 2009, and the results of their operations and their cash flows for each of the three years in the period ended December 31, 2010, in conformity with accounting principles generally accepted in the United States of America.</w:t>
      </w:r>
    </w:p>
    <w:p>
      <w:pPr>
        <w:spacing w:after="0" w:line="203"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the Company’s internal control over financial reporting as of December 31, 2010, based on the criteria established in Internal Control- Integrated Framework issued by the Committee of Sponsoring Organizations of the Treadway Commission and our report dated February 24, 2011 expressed an unqualified opinion on the Company’s internal control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1629410" cy="25717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629410" cy="257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color w:val="auto"/>
        </w:rPr>
        <w:t>Milwaukee, Wisconsin</w:t>
      </w:r>
    </w:p>
    <w:p>
      <w:pPr>
        <w:spacing w:after="0"/>
        <w:rPr>
          <w:sz w:val="20"/>
          <w:szCs w:val="20"/>
          <w:color w:val="auto"/>
        </w:rPr>
      </w:pPr>
      <w:r>
        <w:rPr>
          <w:rFonts w:ascii="Arial" w:cs="Arial" w:eastAsia="Arial" w:hAnsi="Arial"/>
          <w:sz w:val="18"/>
          <w:szCs w:val="18"/>
          <w:color w:val="auto"/>
        </w:rPr>
        <w:t>February 24, 2011</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4D8ABE"/>
        </w:rPr>
        <w:t xml:space="preserve">42 </w:t>
      </w:r>
      <w:r>
        <w:rPr>
          <w:rFonts w:ascii="Arial" w:cs="Arial" w:eastAsia="Arial" w:hAnsi="Arial"/>
          <w:sz w:val="16"/>
          <w:szCs w:val="16"/>
          <w:color w:val="4D8ABE"/>
        </w:rPr>
        <w:t>Manpower 2010 Annual Report</w:t>
      </w:r>
      <w:r>
        <w:rPr>
          <w:rFonts w:ascii="Arial" w:cs="Arial" w:eastAsia="Arial" w:hAnsi="Arial"/>
          <w:sz w:val="16"/>
          <w:szCs w:val="16"/>
          <w:b w:val="1"/>
          <w:bCs w:val="1"/>
          <w:color w:val="4D8ABE"/>
        </w:rPr>
        <w:t xml:space="preserve"> </w:t>
      </w:r>
      <w:r>
        <w:rPr>
          <w:rFonts w:ascii="Arial" w:cs="Arial" w:eastAsia="Arial" w:hAnsi="Arial"/>
          <w:sz w:val="16"/>
          <w:szCs w:val="16"/>
          <w:b w:val="1"/>
          <w:bCs w:val="1"/>
          <w:color w:val="939598"/>
        </w:rPr>
        <w:t>Report of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72390</wp:posOffset>
            </wp:positionV>
            <wp:extent cx="7267575" cy="469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ectPr>
          <w:pgSz w:w="11900" w:h="16838" w:orient="portrait"/>
          <w:cols w:equalWidth="0" w:num="1">
            <w:col w:w="11420"/>
          </w:cols>
          <w:pgMar w:left="240" w:top="352" w:right="239" w:bottom="1440" w:gutter="0" w:footer="0" w:header="0"/>
        </w:sectPr>
      </w:pPr>
    </w:p>
    <w:bookmarkStart w:id="72" w:name="page73"/>
    <w:bookmarkEnd w:id="72"/>
    <w:p>
      <w:pPr>
        <w:spacing w:after="0"/>
        <w:rPr>
          <w:sz w:val="20"/>
          <w:szCs w:val="20"/>
          <w:color w:val="auto"/>
        </w:rPr>
      </w:pPr>
      <w:r>
        <w:rPr>
          <w:rFonts w:ascii="Arial" w:cs="Arial" w:eastAsia="Arial" w:hAnsi="Arial"/>
          <w:sz w:val="24"/>
          <w:szCs w:val="24"/>
          <w:color w:val="86B6A5"/>
        </w:rPr>
        <w:t>Report Of Independent Registered Public Accounting Firm</w:t>
      </w:r>
    </w:p>
    <w:p>
      <w:pPr>
        <w:spacing w:after="0" w:line="224" w:lineRule="exact"/>
        <w:rPr>
          <w:sz w:val="20"/>
          <w:szCs w:val="20"/>
          <w:color w:val="auto"/>
        </w:rPr>
      </w:pPr>
    </w:p>
    <w:p>
      <w:pPr>
        <w:spacing w:after="0"/>
        <w:rPr>
          <w:sz w:val="20"/>
          <w:szCs w:val="20"/>
          <w:color w:val="auto"/>
        </w:rPr>
      </w:pPr>
      <w:r>
        <w:rPr>
          <w:rFonts w:ascii="Arial" w:cs="Arial" w:eastAsia="Arial" w:hAnsi="Arial"/>
          <w:sz w:val="24"/>
          <w:szCs w:val="24"/>
          <w:color w:val="86B6A5"/>
        </w:rPr>
        <w:t>To The Board Of Directors And Shareholders Of Manpower Inc.:</w:t>
      </w:r>
    </w:p>
    <w:p>
      <w:pPr>
        <w:spacing w:after="0" w:line="227"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have audited the internal control over financial reporting of Manpower Inc. and subsidiaries (the “Company”) as of December 31, 2010, based on criteria established in Internal Control — Integrated Framework issued by the Committee of Sponsoring Organizations of the Treadway Commission. The Company’s management is responsible for maintaining effective internal control over financial reporting and for its assessment of the effectiveness of internal control over financial reporting, included in the accompanying Management Report on Internal Control Over Financial Reporting. Our responsibility is to express an opinion on the Company’s internal control over financial reporting based on our audit.</w:t>
      </w:r>
    </w:p>
    <w:p>
      <w:pPr>
        <w:spacing w:after="0" w:line="205"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20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A company’s internal control over financial reporting is a process designed by, or under the supervision of, the Company’s principal executive and principal financial officers, or persons performing similar functions,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 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07"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Because of the inherent limitations of internal control over financial reporting, including the possibility of collusion or improper management override of controls, material misstatements due to error or fraud may not be prevented or detected on a timely basis. Also, projections of any evaluation of the effectiveness of the internal control over financial reporting to future periods are subject to the risk that the controls may become inadequate because of changes in conditions, or that the degree of compliance with the policies or procedures may deteriorate.</w:t>
      </w:r>
    </w:p>
    <w:p>
      <w:pPr>
        <w:spacing w:after="0" w:line="202"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our opinion, the Company maintained, in all material respects, effective internal control over financial reporting as of December 31, 2010, based on the criteria established in Internal Control — Integrated Framework issued by the Committee of Sponsoring Organizations of the Treadway Commission.</w:t>
      </w:r>
    </w:p>
    <w:p>
      <w:pPr>
        <w:spacing w:after="0" w:line="203"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the consolidated financial statements as of and for the year ended December 31, 2010 of the Company and our report dated February 24, 2011 expressed an unqualified opinion on those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1629410" cy="25717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629410" cy="257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color w:val="auto"/>
        </w:rPr>
        <w:t>Milwaukee, Wisconsin</w:t>
      </w:r>
    </w:p>
    <w:p>
      <w:pPr>
        <w:spacing w:after="0" w:line="238" w:lineRule="auto"/>
        <w:rPr>
          <w:sz w:val="20"/>
          <w:szCs w:val="20"/>
          <w:color w:val="auto"/>
        </w:rPr>
      </w:pPr>
      <w:r>
        <w:rPr>
          <w:rFonts w:ascii="Arial" w:cs="Arial" w:eastAsia="Arial" w:hAnsi="Arial"/>
          <w:sz w:val="18"/>
          <w:szCs w:val="18"/>
          <w:color w:val="auto"/>
        </w:rPr>
        <w:t>February 24, 2011</w:t>
      </w:r>
    </w:p>
    <w:p>
      <w:pPr>
        <w:jc w:val="right"/>
        <w:spacing w:after="0"/>
        <w:rPr>
          <w:sz w:val="20"/>
          <w:szCs w:val="20"/>
          <w:color w:val="auto"/>
        </w:rPr>
      </w:pPr>
      <w:r>
        <w:rPr>
          <w:rFonts w:ascii="Arial" w:cs="Arial" w:eastAsia="Arial" w:hAnsi="Arial"/>
          <w:sz w:val="16"/>
          <w:szCs w:val="16"/>
          <w:b w:val="1"/>
          <w:bCs w:val="1"/>
          <w:color w:val="939598"/>
        </w:rPr>
        <w:t xml:space="preserve">Report of Independent Registered Public Accounting Firm </w:t>
      </w:r>
      <w:r>
        <w:rPr>
          <w:rFonts w:ascii="Arial" w:cs="Arial" w:eastAsia="Arial" w:hAnsi="Arial"/>
          <w:sz w:val="16"/>
          <w:szCs w:val="16"/>
          <w:color w:val="4D8ABE"/>
        </w:rPr>
        <w:t>Manpower 2010 Annual Report</w:t>
      </w:r>
      <w:r>
        <w:rPr>
          <w:rFonts w:ascii="Arial" w:cs="Arial" w:eastAsia="Arial" w:hAnsi="Arial"/>
          <w:sz w:val="16"/>
          <w:szCs w:val="16"/>
          <w:b w:val="1"/>
          <w:bCs w:val="1"/>
          <w:color w:val="939598"/>
        </w:rPr>
        <w:t xml:space="preserve"> </w:t>
      </w:r>
      <w:r>
        <w:rPr>
          <w:rFonts w:ascii="Arial" w:cs="Arial" w:eastAsia="Arial" w:hAnsi="Arial"/>
          <w:sz w:val="16"/>
          <w:szCs w:val="16"/>
          <w:b w:val="1"/>
          <w:bCs w:val="1"/>
          <w:color w:val="4D8ABE"/>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59690</wp:posOffset>
            </wp:positionV>
            <wp:extent cx="7267575" cy="469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ectPr>
          <w:pgSz w:w="11900" w:h="16838" w:orient="portrait"/>
          <w:cols w:equalWidth="0" w:num="1">
            <w:col w:w="11420"/>
          </w:cols>
          <w:pgMar w:left="240" w:top="352" w:right="239" w:bottom="1440" w:gutter="0" w:footer="0" w:header="0"/>
        </w:sectPr>
      </w:pPr>
    </w:p>
    <w:bookmarkStart w:id="73" w:name="page74"/>
    <w:bookmarkEnd w:id="73"/>
    <w:p>
      <w:pPr>
        <w:spacing w:after="0"/>
        <w:rPr>
          <w:sz w:val="20"/>
          <w:szCs w:val="20"/>
          <w:color w:val="auto"/>
        </w:rPr>
      </w:pPr>
      <w:r>
        <w:rPr>
          <w:rFonts w:ascii="Arial" w:cs="Arial" w:eastAsia="Arial" w:hAnsi="Arial"/>
          <w:sz w:val="22"/>
          <w:szCs w:val="22"/>
          <w:color w:val="4D8ABE"/>
        </w:rPr>
        <w:t>Consolidated Statements of Operations</w:t>
      </w:r>
    </w:p>
    <w:p>
      <w:pPr>
        <w:spacing w:after="0"/>
        <w:rPr>
          <w:sz w:val="20"/>
          <w:szCs w:val="20"/>
          <w:color w:val="auto"/>
        </w:rPr>
      </w:pPr>
      <w:r>
        <w:rPr>
          <w:rFonts w:ascii="Arial" w:cs="Arial" w:eastAsia="Arial" w:hAnsi="Arial"/>
          <w:sz w:val="18"/>
          <w:szCs w:val="18"/>
          <w:color w:val="4D8ABE"/>
        </w:rPr>
        <w:t>in millions, except per share data</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040" w:type="dxa"/>
            <w:vAlign w:val="bottom"/>
            <w:gridSpan w:val="2"/>
          </w:tcPr>
          <w:p>
            <w:pPr>
              <w:spacing w:after="0"/>
              <w:rPr>
                <w:sz w:val="20"/>
                <w:szCs w:val="20"/>
                <w:color w:val="auto"/>
              </w:rPr>
            </w:pPr>
            <w:r>
              <w:rPr>
                <w:rFonts w:ascii="Arial" w:cs="Arial" w:eastAsia="Arial" w:hAnsi="Arial"/>
                <w:sz w:val="16"/>
                <w:szCs w:val="16"/>
                <w:b w:val="1"/>
                <w:bCs w:val="1"/>
                <w:color w:val="86B6A5"/>
              </w:rPr>
              <w:t>Year Ended December 31</w:t>
            </w:r>
          </w:p>
        </w:tc>
        <w:tc>
          <w:tcPr>
            <w:tcW w:w="120" w:type="dxa"/>
            <w:vAlign w:val="bottom"/>
            <w:shd w:val="clear" w:color="auto" w:fill="86B6A5"/>
          </w:tcPr>
          <w:p>
            <w:pPr>
              <w:spacing w:after="0"/>
              <w:rPr>
                <w:sz w:val="18"/>
                <w:szCs w:val="18"/>
                <w:color w:val="auto"/>
              </w:rPr>
            </w:pPr>
          </w:p>
        </w:tc>
        <w:tc>
          <w:tcPr>
            <w:tcW w:w="1340" w:type="dxa"/>
            <w:vAlign w:val="bottom"/>
            <w:shd w:val="clear" w:color="auto" w:fill="86B6A5"/>
          </w:tcPr>
          <w:p>
            <w:pPr>
              <w:jc w:val="right"/>
              <w:ind w:right="131"/>
              <w:spacing w:after="0"/>
              <w:rPr>
                <w:sz w:val="20"/>
                <w:szCs w:val="20"/>
                <w:color w:val="auto"/>
              </w:rPr>
            </w:pPr>
            <w:r>
              <w:rPr>
                <w:rFonts w:ascii="Arial" w:cs="Arial" w:eastAsia="Arial" w:hAnsi="Arial"/>
                <w:sz w:val="16"/>
                <w:szCs w:val="16"/>
                <w:b w:val="1"/>
                <w:bCs w:val="1"/>
                <w:color w:val="FFFFFF"/>
              </w:rPr>
              <w:t>2010</w:t>
            </w:r>
          </w:p>
        </w:tc>
        <w:tc>
          <w:tcPr>
            <w:tcW w:w="320" w:type="dxa"/>
            <w:vAlign w:val="bottom"/>
          </w:tcPr>
          <w:p>
            <w:pPr>
              <w:spacing w:after="0"/>
              <w:rPr>
                <w:sz w:val="18"/>
                <w:szCs w:val="18"/>
                <w:color w:val="auto"/>
              </w:rPr>
            </w:pPr>
          </w:p>
        </w:tc>
        <w:tc>
          <w:tcPr>
            <w:tcW w:w="1060" w:type="dxa"/>
            <w:vAlign w:val="bottom"/>
          </w:tcPr>
          <w:p>
            <w:pPr>
              <w:jc w:val="right"/>
              <w:ind w:right="51"/>
              <w:spacing w:after="0"/>
              <w:rPr>
                <w:sz w:val="20"/>
                <w:szCs w:val="20"/>
                <w:color w:val="auto"/>
              </w:rPr>
            </w:pPr>
            <w:r>
              <w:rPr>
                <w:rFonts w:ascii="Arial" w:cs="Arial" w:eastAsia="Arial" w:hAnsi="Arial"/>
                <w:sz w:val="16"/>
                <w:szCs w:val="16"/>
                <w:b w:val="1"/>
                <w:bCs w:val="1"/>
                <w:color w:val="86B6A5"/>
              </w:rPr>
              <w:t>2009</w:t>
            </w: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86B6A5"/>
              </w:rPr>
              <w:t>2008</w:t>
            </w:r>
          </w:p>
        </w:tc>
        <w:tc>
          <w:tcPr>
            <w:tcW w:w="2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7020" w:type="dxa"/>
            <w:vAlign w:val="bottom"/>
            <w:tcBorders>
              <w:top w:val="single" w:sz="8" w:color="86B6A5"/>
            </w:tcBorders>
          </w:tcPr>
          <w:p>
            <w:pPr>
              <w:spacing w:after="0" w:line="201" w:lineRule="exact"/>
              <w:rPr>
                <w:sz w:val="20"/>
                <w:szCs w:val="20"/>
                <w:color w:val="auto"/>
              </w:rPr>
            </w:pPr>
            <w:r>
              <w:rPr>
                <w:rFonts w:ascii="Arial" w:cs="Arial" w:eastAsia="Arial" w:hAnsi="Arial"/>
                <w:sz w:val="18"/>
                <w:szCs w:val="18"/>
                <w:color w:val="auto"/>
              </w:rPr>
              <w:t>Revenues from services</w:t>
            </w:r>
          </w:p>
        </w:tc>
        <w:tc>
          <w:tcPr>
            <w:tcW w:w="120" w:type="dxa"/>
            <w:vAlign w:val="bottom"/>
            <w:tcBorders>
              <w:top w:val="single" w:sz="8" w:color="86B6A5"/>
            </w:tcBorders>
            <w:shd w:val="clear" w:color="auto" w:fill="E3F1DA"/>
          </w:tcPr>
          <w:p>
            <w:pPr>
              <w:jc w:val="right"/>
              <w:spacing w:after="0" w:line="201" w:lineRule="exact"/>
              <w:rPr>
                <w:sz w:val="20"/>
                <w:szCs w:val="20"/>
                <w:color w:val="auto"/>
              </w:rPr>
            </w:pPr>
            <w:r>
              <w:rPr>
                <w:rFonts w:ascii="Arial" w:cs="Arial" w:eastAsia="Arial" w:hAnsi="Arial"/>
                <w:sz w:val="18"/>
                <w:szCs w:val="18"/>
                <w:color w:val="86B6A5"/>
                <w:w w:val="79"/>
              </w:rPr>
              <w:t>$</w:t>
            </w:r>
          </w:p>
        </w:tc>
        <w:tc>
          <w:tcPr>
            <w:tcW w:w="1340" w:type="dxa"/>
            <w:vAlign w:val="bottom"/>
            <w:tcBorders>
              <w:top w:val="single" w:sz="8" w:color="86B6A5"/>
            </w:tcBorders>
            <w:shd w:val="clear" w:color="auto" w:fill="E3F1DA"/>
          </w:tcPr>
          <w:p>
            <w:pPr>
              <w:jc w:val="right"/>
              <w:ind w:right="131"/>
              <w:spacing w:after="0" w:line="201" w:lineRule="exact"/>
              <w:rPr>
                <w:sz w:val="20"/>
                <w:szCs w:val="20"/>
                <w:color w:val="auto"/>
              </w:rPr>
            </w:pPr>
            <w:r>
              <w:rPr>
                <w:rFonts w:ascii="Arial" w:cs="Arial" w:eastAsia="Arial" w:hAnsi="Arial"/>
                <w:sz w:val="18"/>
                <w:szCs w:val="18"/>
                <w:color w:val="86B6A5"/>
              </w:rPr>
              <w:t>18,866.5</w:t>
            </w:r>
          </w:p>
        </w:tc>
        <w:tc>
          <w:tcPr>
            <w:tcW w:w="320" w:type="dxa"/>
            <w:vAlign w:val="bottom"/>
            <w:tcBorders>
              <w:top w:val="single" w:sz="8" w:color="86B6A5"/>
            </w:tcBorders>
          </w:tcPr>
          <w:p>
            <w:pPr>
              <w:jc w:val="right"/>
              <w:ind w:right="130"/>
              <w:spacing w:after="0" w:line="201" w:lineRule="exact"/>
              <w:rPr>
                <w:sz w:val="20"/>
                <w:szCs w:val="20"/>
                <w:color w:val="auto"/>
              </w:rPr>
            </w:pPr>
            <w:r>
              <w:rPr>
                <w:rFonts w:ascii="Arial" w:cs="Arial" w:eastAsia="Arial" w:hAnsi="Arial"/>
                <w:sz w:val="18"/>
                <w:szCs w:val="18"/>
                <w:color w:val="auto"/>
                <w:w w:val="79"/>
              </w:rPr>
              <w:t>$</w:t>
            </w:r>
          </w:p>
        </w:tc>
        <w:tc>
          <w:tcPr>
            <w:tcW w:w="1060" w:type="dxa"/>
            <w:vAlign w:val="bottom"/>
            <w:tcBorders>
              <w:top w:val="single" w:sz="8" w:color="86B6A5"/>
            </w:tcBorders>
          </w:tcPr>
          <w:p>
            <w:pPr>
              <w:jc w:val="right"/>
              <w:ind w:right="51"/>
              <w:spacing w:after="0" w:line="201" w:lineRule="exact"/>
              <w:rPr>
                <w:sz w:val="20"/>
                <w:szCs w:val="20"/>
                <w:color w:val="auto"/>
              </w:rPr>
            </w:pPr>
            <w:r>
              <w:rPr>
                <w:rFonts w:ascii="Arial" w:cs="Arial" w:eastAsia="Arial" w:hAnsi="Arial"/>
                <w:sz w:val="18"/>
                <w:szCs w:val="18"/>
                <w:color w:val="auto"/>
              </w:rPr>
              <w:t>16,038.7</w:t>
            </w:r>
          </w:p>
        </w:tc>
        <w:tc>
          <w:tcPr>
            <w:tcW w:w="400" w:type="dxa"/>
            <w:vAlign w:val="bottom"/>
            <w:tcBorders>
              <w:top w:val="single" w:sz="8" w:color="86B6A5"/>
            </w:tcBorders>
          </w:tcPr>
          <w:p>
            <w:pPr>
              <w:jc w:val="right"/>
              <w:ind w:right="130"/>
              <w:spacing w:after="0" w:line="201" w:lineRule="exact"/>
              <w:rPr>
                <w:sz w:val="20"/>
                <w:szCs w:val="20"/>
                <w:color w:val="auto"/>
              </w:rPr>
            </w:pPr>
            <w:r>
              <w:rPr>
                <w:rFonts w:ascii="Arial" w:cs="Arial" w:eastAsia="Arial" w:hAnsi="Arial"/>
                <w:sz w:val="18"/>
                <w:szCs w:val="18"/>
                <w:color w:val="auto"/>
              </w:rPr>
              <w:t>$</w:t>
            </w:r>
          </w:p>
        </w:tc>
        <w:tc>
          <w:tcPr>
            <w:tcW w:w="920" w:type="dxa"/>
            <w:vAlign w:val="bottom"/>
            <w:tcBorders>
              <w:top w:val="single" w:sz="8" w:color="86B6A5"/>
            </w:tcBorders>
          </w:tcPr>
          <w:p>
            <w:pPr>
              <w:jc w:val="right"/>
              <w:spacing w:after="0" w:line="201" w:lineRule="exact"/>
              <w:rPr>
                <w:sz w:val="20"/>
                <w:szCs w:val="20"/>
                <w:color w:val="auto"/>
              </w:rPr>
            </w:pPr>
            <w:r>
              <w:rPr>
                <w:rFonts w:ascii="Arial" w:cs="Arial" w:eastAsia="Arial" w:hAnsi="Arial"/>
                <w:sz w:val="18"/>
                <w:szCs w:val="18"/>
                <w:color w:val="auto"/>
              </w:rPr>
              <w:t>21,537.1</w:t>
            </w:r>
          </w:p>
        </w:tc>
        <w:tc>
          <w:tcPr>
            <w:tcW w:w="20" w:type="dxa"/>
            <w:vAlign w:val="bottom"/>
          </w:tcPr>
          <w:p>
            <w:pPr>
              <w:spacing w:after="0"/>
              <w:rPr>
                <w:sz w:val="17"/>
                <w:szCs w:val="17"/>
                <w:color w:val="auto"/>
              </w:rPr>
            </w:pPr>
          </w:p>
        </w:tc>
      </w:tr>
      <w:tr>
        <w:trPr>
          <w:trHeight w:val="203"/>
        </w:trPr>
        <w:tc>
          <w:tcPr>
            <w:tcW w:w="7040" w:type="dxa"/>
            <w:vAlign w:val="bottom"/>
            <w:gridSpan w:val="2"/>
          </w:tcPr>
          <w:p>
            <w:pPr>
              <w:spacing w:after="0" w:line="203" w:lineRule="exact"/>
              <w:rPr>
                <w:sz w:val="20"/>
                <w:szCs w:val="20"/>
                <w:color w:val="auto"/>
              </w:rPr>
            </w:pPr>
            <w:r>
              <w:rPr>
                <w:rFonts w:ascii="Arial" w:cs="Arial" w:eastAsia="Arial" w:hAnsi="Arial"/>
                <w:sz w:val="18"/>
                <w:szCs w:val="18"/>
                <w:color w:val="auto"/>
              </w:rPr>
              <w:t>Cost of services</w:t>
            </w:r>
          </w:p>
        </w:tc>
        <w:tc>
          <w:tcPr>
            <w:tcW w:w="120" w:type="dxa"/>
            <w:vAlign w:val="bottom"/>
            <w:shd w:val="clear" w:color="auto" w:fill="E3F1DA"/>
          </w:tcPr>
          <w:p>
            <w:pPr>
              <w:spacing w:after="0"/>
              <w:rPr>
                <w:sz w:val="17"/>
                <w:szCs w:val="17"/>
                <w:color w:val="auto"/>
              </w:rPr>
            </w:pPr>
          </w:p>
        </w:tc>
        <w:tc>
          <w:tcPr>
            <w:tcW w:w="1340" w:type="dxa"/>
            <w:vAlign w:val="bottom"/>
            <w:shd w:val="clear" w:color="auto" w:fill="E3F1DA"/>
          </w:tcPr>
          <w:p>
            <w:pPr>
              <w:jc w:val="right"/>
              <w:ind w:right="131"/>
              <w:spacing w:after="0" w:line="203" w:lineRule="exact"/>
              <w:rPr>
                <w:sz w:val="20"/>
                <w:szCs w:val="20"/>
                <w:color w:val="auto"/>
              </w:rPr>
            </w:pPr>
            <w:r>
              <w:rPr>
                <w:rFonts w:ascii="Arial" w:cs="Arial" w:eastAsia="Arial" w:hAnsi="Arial"/>
                <w:sz w:val="18"/>
                <w:szCs w:val="18"/>
                <w:color w:val="86B6A5"/>
              </w:rPr>
              <w:t>15,621.1</w:t>
            </w:r>
          </w:p>
        </w:tc>
        <w:tc>
          <w:tcPr>
            <w:tcW w:w="320" w:type="dxa"/>
            <w:vAlign w:val="bottom"/>
          </w:tcPr>
          <w:p>
            <w:pPr>
              <w:spacing w:after="0"/>
              <w:rPr>
                <w:sz w:val="17"/>
                <w:szCs w:val="17"/>
                <w:color w:val="auto"/>
              </w:rPr>
            </w:pPr>
          </w:p>
        </w:tc>
        <w:tc>
          <w:tcPr>
            <w:tcW w:w="1060" w:type="dxa"/>
            <w:vAlign w:val="bottom"/>
          </w:tcPr>
          <w:p>
            <w:pPr>
              <w:jc w:val="right"/>
              <w:ind w:right="51"/>
              <w:spacing w:after="0" w:line="203" w:lineRule="exact"/>
              <w:rPr>
                <w:sz w:val="20"/>
                <w:szCs w:val="20"/>
                <w:color w:val="auto"/>
              </w:rPr>
            </w:pPr>
            <w:r>
              <w:rPr>
                <w:rFonts w:ascii="Arial" w:cs="Arial" w:eastAsia="Arial" w:hAnsi="Arial"/>
                <w:sz w:val="18"/>
                <w:szCs w:val="18"/>
                <w:color w:val="auto"/>
              </w:rPr>
              <w:t>13,220.5</w:t>
            </w:r>
          </w:p>
        </w:tc>
        <w:tc>
          <w:tcPr>
            <w:tcW w:w="400" w:type="dxa"/>
            <w:vAlign w:val="bottom"/>
          </w:tcPr>
          <w:p>
            <w:pPr>
              <w:spacing w:after="0"/>
              <w:rPr>
                <w:sz w:val="17"/>
                <w:szCs w:val="17"/>
                <w:color w:val="auto"/>
              </w:rPr>
            </w:pPr>
          </w:p>
        </w:tc>
        <w:tc>
          <w:tcPr>
            <w:tcW w:w="940" w:type="dxa"/>
            <w:vAlign w:val="bottom"/>
            <w:gridSpan w:val="2"/>
          </w:tcPr>
          <w:p>
            <w:pPr>
              <w:jc w:val="right"/>
              <w:ind w:right="20"/>
              <w:spacing w:after="0" w:line="203" w:lineRule="exact"/>
              <w:rPr>
                <w:sz w:val="20"/>
                <w:szCs w:val="20"/>
                <w:color w:val="auto"/>
              </w:rPr>
            </w:pPr>
            <w:r>
              <w:rPr>
                <w:rFonts w:ascii="Arial" w:cs="Arial" w:eastAsia="Arial" w:hAnsi="Arial"/>
                <w:sz w:val="18"/>
                <w:szCs w:val="18"/>
                <w:color w:val="auto"/>
              </w:rPr>
              <w:t>17,450.2</w:t>
            </w:r>
          </w:p>
        </w:tc>
      </w:tr>
      <w:tr>
        <w:trPr>
          <w:trHeight w:val="195"/>
        </w:trPr>
        <w:tc>
          <w:tcPr>
            <w:tcW w:w="20" w:type="dxa"/>
            <w:vAlign w:val="bottom"/>
          </w:tcPr>
          <w:p>
            <w:pPr>
              <w:spacing w:after="0"/>
              <w:rPr>
                <w:sz w:val="16"/>
                <w:szCs w:val="16"/>
                <w:color w:val="auto"/>
              </w:rPr>
            </w:pPr>
          </w:p>
        </w:tc>
        <w:tc>
          <w:tcPr>
            <w:tcW w:w="7020" w:type="dxa"/>
            <w:vAlign w:val="bottom"/>
            <w:tcBorders>
              <w:top w:val="single" w:sz="8" w:color="939598"/>
            </w:tcBorders>
          </w:tcPr>
          <w:p>
            <w:pPr>
              <w:spacing w:after="0" w:line="195" w:lineRule="exact"/>
              <w:rPr>
                <w:sz w:val="20"/>
                <w:szCs w:val="20"/>
                <w:color w:val="auto"/>
              </w:rPr>
            </w:pPr>
            <w:r>
              <w:rPr>
                <w:rFonts w:ascii="Arial" w:cs="Arial" w:eastAsia="Arial" w:hAnsi="Arial"/>
                <w:sz w:val="18"/>
                <w:szCs w:val="18"/>
                <w:color w:val="auto"/>
              </w:rPr>
              <w:t>Gross profit</w:t>
            </w:r>
          </w:p>
        </w:tc>
        <w:tc>
          <w:tcPr>
            <w:tcW w:w="120" w:type="dxa"/>
            <w:vAlign w:val="bottom"/>
            <w:tcBorders>
              <w:top w:val="single" w:sz="8" w:color="939598"/>
            </w:tcBorders>
            <w:shd w:val="clear" w:color="auto" w:fill="E3F1DA"/>
          </w:tcPr>
          <w:p>
            <w:pPr>
              <w:spacing w:after="0"/>
              <w:rPr>
                <w:sz w:val="16"/>
                <w:szCs w:val="16"/>
                <w:color w:val="auto"/>
              </w:rPr>
            </w:pPr>
          </w:p>
        </w:tc>
        <w:tc>
          <w:tcPr>
            <w:tcW w:w="1340" w:type="dxa"/>
            <w:vAlign w:val="bottom"/>
            <w:tcBorders>
              <w:top w:val="single" w:sz="8" w:color="939598"/>
            </w:tcBorders>
            <w:shd w:val="clear" w:color="auto" w:fill="E3F1DA"/>
          </w:tcPr>
          <w:p>
            <w:pPr>
              <w:jc w:val="right"/>
              <w:ind w:right="131"/>
              <w:spacing w:after="0" w:line="195" w:lineRule="exact"/>
              <w:rPr>
                <w:sz w:val="20"/>
                <w:szCs w:val="20"/>
                <w:color w:val="auto"/>
              </w:rPr>
            </w:pPr>
            <w:r>
              <w:rPr>
                <w:rFonts w:ascii="Arial" w:cs="Arial" w:eastAsia="Arial" w:hAnsi="Arial"/>
                <w:sz w:val="18"/>
                <w:szCs w:val="18"/>
                <w:color w:val="86B6A5"/>
              </w:rPr>
              <w:t>3,245.4</w:t>
            </w:r>
          </w:p>
        </w:tc>
        <w:tc>
          <w:tcPr>
            <w:tcW w:w="320" w:type="dxa"/>
            <w:vAlign w:val="bottom"/>
            <w:tcBorders>
              <w:top w:val="single" w:sz="8" w:color="939598"/>
            </w:tcBorders>
          </w:tcPr>
          <w:p>
            <w:pPr>
              <w:spacing w:after="0"/>
              <w:rPr>
                <w:sz w:val="16"/>
                <w:szCs w:val="16"/>
                <w:color w:val="auto"/>
              </w:rPr>
            </w:pPr>
          </w:p>
        </w:tc>
        <w:tc>
          <w:tcPr>
            <w:tcW w:w="1060" w:type="dxa"/>
            <w:vAlign w:val="bottom"/>
            <w:tcBorders>
              <w:top w:val="single" w:sz="8" w:color="939598"/>
            </w:tcBorders>
          </w:tcPr>
          <w:p>
            <w:pPr>
              <w:jc w:val="right"/>
              <w:ind w:right="51"/>
              <w:spacing w:after="0" w:line="195" w:lineRule="exact"/>
              <w:rPr>
                <w:sz w:val="20"/>
                <w:szCs w:val="20"/>
                <w:color w:val="auto"/>
              </w:rPr>
            </w:pPr>
            <w:r>
              <w:rPr>
                <w:rFonts w:ascii="Arial" w:cs="Arial" w:eastAsia="Arial" w:hAnsi="Arial"/>
                <w:sz w:val="18"/>
                <w:szCs w:val="18"/>
                <w:color w:val="auto"/>
              </w:rPr>
              <w:t>2,818.2</w:t>
            </w:r>
          </w:p>
        </w:tc>
        <w:tc>
          <w:tcPr>
            <w:tcW w:w="400" w:type="dxa"/>
            <w:vAlign w:val="bottom"/>
            <w:tcBorders>
              <w:top w:val="single" w:sz="8" w:color="939598"/>
            </w:tcBorders>
          </w:tcPr>
          <w:p>
            <w:pPr>
              <w:spacing w:after="0"/>
              <w:rPr>
                <w:sz w:val="16"/>
                <w:szCs w:val="16"/>
                <w:color w:val="auto"/>
              </w:rPr>
            </w:pPr>
          </w:p>
        </w:tc>
        <w:tc>
          <w:tcPr>
            <w:tcW w:w="920" w:type="dxa"/>
            <w:vAlign w:val="bottom"/>
            <w:tcBorders>
              <w:top w:val="single" w:sz="8" w:color="939598"/>
            </w:tcBorders>
          </w:tcPr>
          <w:p>
            <w:pPr>
              <w:jc w:val="right"/>
              <w:spacing w:after="0" w:line="195" w:lineRule="exact"/>
              <w:rPr>
                <w:sz w:val="20"/>
                <w:szCs w:val="20"/>
                <w:color w:val="auto"/>
              </w:rPr>
            </w:pPr>
            <w:r>
              <w:rPr>
                <w:rFonts w:ascii="Arial" w:cs="Arial" w:eastAsia="Arial" w:hAnsi="Arial"/>
                <w:sz w:val="18"/>
                <w:szCs w:val="18"/>
                <w:color w:val="auto"/>
              </w:rPr>
              <w:t>4,086.9</w:t>
            </w:r>
          </w:p>
        </w:tc>
        <w:tc>
          <w:tcPr>
            <w:tcW w:w="20" w:type="dxa"/>
            <w:vAlign w:val="bottom"/>
          </w:tcPr>
          <w:p>
            <w:pPr>
              <w:spacing w:after="0"/>
              <w:rPr>
                <w:sz w:val="16"/>
                <w:szCs w:val="16"/>
                <w:color w:val="auto"/>
              </w:rPr>
            </w:pPr>
          </w:p>
        </w:tc>
      </w:tr>
      <w:tr>
        <w:trPr>
          <w:trHeight w:val="203"/>
        </w:trPr>
        <w:tc>
          <w:tcPr>
            <w:tcW w:w="7040" w:type="dxa"/>
            <w:vAlign w:val="bottom"/>
            <w:gridSpan w:val="2"/>
          </w:tcPr>
          <w:p>
            <w:pPr>
              <w:spacing w:after="0" w:line="202" w:lineRule="exact"/>
              <w:rPr>
                <w:sz w:val="20"/>
                <w:szCs w:val="20"/>
                <w:color w:val="auto"/>
              </w:rPr>
            </w:pPr>
            <w:r>
              <w:rPr>
                <w:rFonts w:ascii="Arial" w:cs="Arial" w:eastAsia="Arial" w:hAnsi="Arial"/>
                <w:sz w:val="18"/>
                <w:szCs w:val="18"/>
                <w:color w:val="auto"/>
              </w:rPr>
              <w:t>Selling and administrative expenses, excluding impairment charges</w:t>
            </w:r>
          </w:p>
        </w:tc>
        <w:tc>
          <w:tcPr>
            <w:tcW w:w="120" w:type="dxa"/>
            <w:vAlign w:val="bottom"/>
            <w:shd w:val="clear" w:color="auto" w:fill="E3F1DA"/>
          </w:tcPr>
          <w:p>
            <w:pPr>
              <w:spacing w:after="0"/>
              <w:rPr>
                <w:sz w:val="17"/>
                <w:szCs w:val="17"/>
                <w:color w:val="auto"/>
              </w:rPr>
            </w:pPr>
          </w:p>
        </w:tc>
        <w:tc>
          <w:tcPr>
            <w:tcW w:w="1340" w:type="dxa"/>
            <w:vAlign w:val="bottom"/>
            <w:shd w:val="clear" w:color="auto" w:fill="E3F1DA"/>
          </w:tcPr>
          <w:p>
            <w:pPr>
              <w:jc w:val="right"/>
              <w:ind w:right="131"/>
              <w:spacing w:after="0" w:line="202" w:lineRule="exact"/>
              <w:rPr>
                <w:sz w:val="20"/>
                <w:szCs w:val="20"/>
                <w:color w:val="auto"/>
              </w:rPr>
            </w:pPr>
            <w:r>
              <w:rPr>
                <w:rFonts w:ascii="Arial" w:cs="Arial" w:eastAsia="Arial" w:hAnsi="Arial"/>
                <w:sz w:val="18"/>
                <w:szCs w:val="18"/>
                <w:color w:val="86B6A5"/>
              </w:rPr>
              <w:t>2,938.6</w:t>
            </w:r>
          </w:p>
        </w:tc>
        <w:tc>
          <w:tcPr>
            <w:tcW w:w="320" w:type="dxa"/>
            <w:vAlign w:val="bottom"/>
          </w:tcPr>
          <w:p>
            <w:pPr>
              <w:spacing w:after="0"/>
              <w:rPr>
                <w:sz w:val="17"/>
                <w:szCs w:val="17"/>
                <w:color w:val="auto"/>
              </w:rPr>
            </w:pPr>
          </w:p>
        </w:tc>
        <w:tc>
          <w:tcPr>
            <w:tcW w:w="1060" w:type="dxa"/>
            <w:vAlign w:val="bottom"/>
          </w:tcPr>
          <w:p>
            <w:pPr>
              <w:jc w:val="right"/>
              <w:ind w:right="51"/>
              <w:spacing w:after="0" w:line="202" w:lineRule="exact"/>
              <w:rPr>
                <w:sz w:val="20"/>
                <w:szCs w:val="20"/>
                <w:color w:val="auto"/>
              </w:rPr>
            </w:pPr>
            <w:r>
              <w:rPr>
                <w:rFonts w:ascii="Arial" w:cs="Arial" w:eastAsia="Arial" w:hAnsi="Arial"/>
                <w:sz w:val="18"/>
                <w:szCs w:val="18"/>
                <w:color w:val="auto"/>
              </w:rPr>
              <w:t>2,715.5</w:t>
            </w:r>
          </w:p>
        </w:tc>
        <w:tc>
          <w:tcPr>
            <w:tcW w:w="400" w:type="dxa"/>
            <w:vAlign w:val="bottom"/>
          </w:tcPr>
          <w:p>
            <w:pPr>
              <w:spacing w:after="0"/>
              <w:rPr>
                <w:sz w:val="17"/>
                <w:szCs w:val="17"/>
                <w:color w:val="auto"/>
              </w:rPr>
            </w:pPr>
          </w:p>
        </w:tc>
        <w:tc>
          <w:tcPr>
            <w:tcW w:w="9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3,430.3</w:t>
            </w:r>
          </w:p>
        </w:tc>
      </w:tr>
      <w:tr>
        <w:trPr>
          <w:trHeight w:val="203"/>
        </w:trPr>
        <w:tc>
          <w:tcPr>
            <w:tcW w:w="7040" w:type="dxa"/>
            <w:vAlign w:val="bottom"/>
            <w:tcBorders>
              <w:bottom w:val="single" w:sz="8" w:color="939598"/>
            </w:tcBorders>
            <w:gridSpan w:val="2"/>
          </w:tcPr>
          <w:p>
            <w:pPr>
              <w:spacing w:after="0" w:line="203" w:lineRule="exact"/>
              <w:rPr>
                <w:sz w:val="20"/>
                <w:szCs w:val="20"/>
                <w:color w:val="auto"/>
              </w:rPr>
            </w:pPr>
            <w:r>
              <w:rPr>
                <w:rFonts w:ascii="Arial" w:cs="Arial" w:eastAsia="Arial" w:hAnsi="Arial"/>
                <w:sz w:val="18"/>
                <w:szCs w:val="18"/>
                <w:color w:val="auto"/>
              </w:rPr>
              <w:t>Goodwill and intangible asset impairment charges</w:t>
            </w:r>
          </w:p>
        </w:tc>
        <w:tc>
          <w:tcPr>
            <w:tcW w:w="120" w:type="dxa"/>
            <w:vAlign w:val="bottom"/>
            <w:tcBorders>
              <w:bottom w:val="single" w:sz="8" w:color="939598"/>
            </w:tcBorders>
            <w:shd w:val="clear" w:color="auto" w:fill="E3F1DA"/>
          </w:tcPr>
          <w:p>
            <w:pPr>
              <w:spacing w:after="0"/>
              <w:rPr>
                <w:sz w:val="17"/>
                <w:szCs w:val="17"/>
                <w:color w:val="auto"/>
              </w:rPr>
            </w:pPr>
          </w:p>
        </w:tc>
        <w:tc>
          <w:tcPr>
            <w:tcW w:w="1340" w:type="dxa"/>
            <w:vAlign w:val="bottom"/>
            <w:tcBorders>
              <w:bottom w:val="single" w:sz="8" w:color="939598"/>
            </w:tcBorders>
            <w:shd w:val="clear" w:color="auto" w:fill="E3F1DA"/>
          </w:tcPr>
          <w:p>
            <w:pPr>
              <w:jc w:val="right"/>
              <w:ind w:right="131"/>
              <w:spacing w:after="0" w:line="203" w:lineRule="exact"/>
              <w:rPr>
                <w:sz w:val="20"/>
                <w:szCs w:val="20"/>
                <w:color w:val="auto"/>
              </w:rPr>
            </w:pPr>
            <w:r>
              <w:rPr>
                <w:rFonts w:ascii="Arial" w:cs="Arial" w:eastAsia="Arial" w:hAnsi="Arial"/>
                <w:sz w:val="18"/>
                <w:szCs w:val="18"/>
                <w:color w:val="86B6A5"/>
              </w:rPr>
              <w:t>428.8</w:t>
            </w:r>
          </w:p>
        </w:tc>
        <w:tc>
          <w:tcPr>
            <w:tcW w:w="320" w:type="dxa"/>
            <w:vAlign w:val="bottom"/>
            <w:tcBorders>
              <w:bottom w:val="single" w:sz="8" w:color="939598"/>
            </w:tcBorders>
          </w:tcPr>
          <w:p>
            <w:pPr>
              <w:spacing w:after="0"/>
              <w:rPr>
                <w:sz w:val="17"/>
                <w:szCs w:val="17"/>
                <w:color w:val="auto"/>
              </w:rPr>
            </w:pPr>
          </w:p>
        </w:tc>
        <w:tc>
          <w:tcPr>
            <w:tcW w:w="1060" w:type="dxa"/>
            <w:vAlign w:val="bottom"/>
            <w:tcBorders>
              <w:bottom w:val="single" w:sz="8" w:color="939598"/>
            </w:tcBorders>
          </w:tcPr>
          <w:p>
            <w:pPr>
              <w:jc w:val="right"/>
              <w:ind w:right="51"/>
              <w:spacing w:after="0" w:line="203" w:lineRule="exact"/>
              <w:rPr>
                <w:sz w:val="20"/>
                <w:szCs w:val="20"/>
                <w:color w:val="auto"/>
              </w:rPr>
            </w:pPr>
            <w:r>
              <w:rPr>
                <w:rFonts w:ascii="Arial" w:cs="Arial" w:eastAsia="Arial" w:hAnsi="Arial"/>
                <w:sz w:val="18"/>
                <w:szCs w:val="18"/>
                <w:color w:val="auto"/>
              </w:rPr>
              <w:t>61.0</w:t>
            </w:r>
          </w:p>
        </w:tc>
        <w:tc>
          <w:tcPr>
            <w:tcW w:w="400" w:type="dxa"/>
            <w:vAlign w:val="bottom"/>
            <w:tcBorders>
              <w:bottom w:val="single" w:sz="8" w:color="939598"/>
            </w:tcBorders>
          </w:tcPr>
          <w:p>
            <w:pPr>
              <w:spacing w:after="0"/>
              <w:rPr>
                <w:sz w:val="17"/>
                <w:szCs w:val="17"/>
                <w:color w:val="auto"/>
              </w:rPr>
            </w:pPr>
          </w:p>
        </w:tc>
        <w:tc>
          <w:tcPr>
            <w:tcW w:w="940" w:type="dxa"/>
            <w:vAlign w:val="bottom"/>
            <w:tcBorders>
              <w:bottom w:val="single" w:sz="8" w:color="939598"/>
            </w:tcBorders>
            <w:gridSpan w:val="2"/>
          </w:tcPr>
          <w:p>
            <w:pPr>
              <w:jc w:val="right"/>
              <w:ind w:right="20"/>
              <w:spacing w:after="0" w:line="203" w:lineRule="exact"/>
              <w:rPr>
                <w:sz w:val="20"/>
                <w:szCs w:val="20"/>
                <w:color w:val="auto"/>
              </w:rPr>
            </w:pPr>
            <w:r>
              <w:rPr>
                <w:rFonts w:ascii="Arial" w:cs="Arial" w:eastAsia="Arial" w:hAnsi="Arial"/>
                <w:sz w:val="18"/>
                <w:szCs w:val="18"/>
                <w:color w:val="auto"/>
              </w:rPr>
              <w:t>163.1</w:t>
            </w:r>
          </w:p>
        </w:tc>
      </w:tr>
      <w:tr>
        <w:trPr>
          <w:trHeight w:val="196"/>
        </w:trPr>
        <w:tc>
          <w:tcPr>
            <w:tcW w:w="7040" w:type="dxa"/>
            <w:vAlign w:val="bottom"/>
            <w:tcBorders>
              <w:bottom w:val="single" w:sz="8" w:color="939598"/>
            </w:tcBorders>
            <w:gridSpan w:val="2"/>
          </w:tcPr>
          <w:p>
            <w:pPr>
              <w:spacing w:after="0" w:line="196" w:lineRule="exact"/>
              <w:rPr>
                <w:sz w:val="20"/>
                <w:szCs w:val="20"/>
                <w:color w:val="auto"/>
              </w:rPr>
            </w:pPr>
            <w:r>
              <w:rPr>
                <w:rFonts w:ascii="Arial" w:cs="Arial" w:eastAsia="Arial" w:hAnsi="Arial"/>
                <w:sz w:val="18"/>
                <w:szCs w:val="18"/>
                <w:color w:val="auto"/>
              </w:rPr>
              <w:t>Selling and administrative expenses</w:t>
            </w:r>
          </w:p>
        </w:tc>
        <w:tc>
          <w:tcPr>
            <w:tcW w:w="120" w:type="dxa"/>
            <w:vAlign w:val="bottom"/>
            <w:tcBorders>
              <w:bottom w:val="single" w:sz="8" w:color="939598"/>
            </w:tcBorders>
            <w:shd w:val="clear" w:color="auto" w:fill="E3F1DA"/>
          </w:tcPr>
          <w:p>
            <w:pPr>
              <w:spacing w:after="0"/>
              <w:rPr>
                <w:sz w:val="17"/>
                <w:szCs w:val="17"/>
                <w:color w:val="auto"/>
              </w:rPr>
            </w:pPr>
          </w:p>
        </w:tc>
        <w:tc>
          <w:tcPr>
            <w:tcW w:w="1340" w:type="dxa"/>
            <w:vAlign w:val="bottom"/>
            <w:tcBorders>
              <w:bottom w:val="single" w:sz="8" w:color="939598"/>
            </w:tcBorders>
            <w:shd w:val="clear" w:color="auto" w:fill="E3F1DA"/>
          </w:tcPr>
          <w:p>
            <w:pPr>
              <w:jc w:val="right"/>
              <w:ind w:right="131"/>
              <w:spacing w:after="0" w:line="196" w:lineRule="exact"/>
              <w:rPr>
                <w:sz w:val="20"/>
                <w:szCs w:val="20"/>
                <w:color w:val="auto"/>
              </w:rPr>
            </w:pPr>
            <w:r>
              <w:rPr>
                <w:rFonts w:ascii="Arial" w:cs="Arial" w:eastAsia="Arial" w:hAnsi="Arial"/>
                <w:sz w:val="18"/>
                <w:szCs w:val="18"/>
                <w:color w:val="86B6A5"/>
              </w:rPr>
              <w:t>3,367.4</w:t>
            </w:r>
          </w:p>
        </w:tc>
        <w:tc>
          <w:tcPr>
            <w:tcW w:w="320" w:type="dxa"/>
            <w:vAlign w:val="bottom"/>
            <w:tcBorders>
              <w:bottom w:val="single" w:sz="8" w:color="939598"/>
            </w:tcBorders>
          </w:tcPr>
          <w:p>
            <w:pPr>
              <w:spacing w:after="0"/>
              <w:rPr>
                <w:sz w:val="17"/>
                <w:szCs w:val="17"/>
                <w:color w:val="auto"/>
              </w:rPr>
            </w:pPr>
          </w:p>
        </w:tc>
        <w:tc>
          <w:tcPr>
            <w:tcW w:w="1060" w:type="dxa"/>
            <w:vAlign w:val="bottom"/>
            <w:tcBorders>
              <w:bottom w:val="single" w:sz="8" w:color="939598"/>
            </w:tcBorders>
          </w:tcPr>
          <w:p>
            <w:pPr>
              <w:jc w:val="right"/>
              <w:ind w:right="51"/>
              <w:spacing w:after="0" w:line="196" w:lineRule="exact"/>
              <w:rPr>
                <w:sz w:val="20"/>
                <w:szCs w:val="20"/>
                <w:color w:val="auto"/>
              </w:rPr>
            </w:pPr>
            <w:r>
              <w:rPr>
                <w:rFonts w:ascii="Arial" w:cs="Arial" w:eastAsia="Arial" w:hAnsi="Arial"/>
                <w:sz w:val="18"/>
                <w:szCs w:val="18"/>
                <w:color w:val="auto"/>
              </w:rPr>
              <w:t>2,776.5</w:t>
            </w:r>
          </w:p>
        </w:tc>
        <w:tc>
          <w:tcPr>
            <w:tcW w:w="400" w:type="dxa"/>
            <w:vAlign w:val="bottom"/>
            <w:tcBorders>
              <w:bottom w:val="single" w:sz="8" w:color="939598"/>
            </w:tcBorders>
          </w:tcPr>
          <w:p>
            <w:pPr>
              <w:spacing w:after="0"/>
              <w:rPr>
                <w:sz w:val="17"/>
                <w:szCs w:val="17"/>
                <w:color w:val="auto"/>
              </w:rPr>
            </w:pPr>
          </w:p>
        </w:tc>
        <w:tc>
          <w:tcPr>
            <w:tcW w:w="940" w:type="dxa"/>
            <w:vAlign w:val="bottom"/>
            <w:tcBorders>
              <w:bottom w:val="single" w:sz="8" w:color="939598"/>
            </w:tcBorders>
            <w:gridSpan w:val="2"/>
          </w:tcPr>
          <w:p>
            <w:pPr>
              <w:jc w:val="right"/>
              <w:ind w:right="20"/>
              <w:spacing w:after="0" w:line="196" w:lineRule="exact"/>
              <w:rPr>
                <w:sz w:val="20"/>
                <w:szCs w:val="20"/>
                <w:color w:val="auto"/>
              </w:rPr>
            </w:pPr>
            <w:r>
              <w:rPr>
                <w:rFonts w:ascii="Arial" w:cs="Arial" w:eastAsia="Arial" w:hAnsi="Arial"/>
                <w:sz w:val="18"/>
                <w:szCs w:val="18"/>
                <w:color w:val="auto"/>
              </w:rPr>
              <w:t>3,593.4</w:t>
            </w:r>
          </w:p>
        </w:tc>
      </w:tr>
      <w:tr>
        <w:trPr>
          <w:trHeight w:val="195"/>
        </w:trPr>
        <w:tc>
          <w:tcPr>
            <w:tcW w:w="7040" w:type="dxa"/>
            <w:vAlign w:val="bottom"/>
            <w:gridSpan w:val="2"/>
          </w:tcPr>
          <w:p>
            <w:pPr>
              <w:spacing w:after="0" w:line="195" w:lineRule="exact"/>
              <w:rPr>
                <w:sz w:val="20"/>
                <w:szCs w:val="20"/>
                <w:color w:val="auto"/>
              </w:rPr>
            </w:pPr>
            <w:r>
              <w:rPr>
                <w:rFonts w:ascii="Arial" w:cs="Arial" w:eastAsia="Arial" w:hAnsi="Arial"/>
                <w:sz w:val="18"/>
                <w:szCs w:val="18"/>
                <w:color w:val="auto"/>
              </w:rPr>
              <w:t>Operating (loss) profit</w:t>
            </w:r>
          </w:p>
        </w:tc>
        <w:tc>
          <w:tcPr>
            <w:tcW w:w="120" w:type="dxa"/>
            <w:vAlign w:val="bottom"/>
            <w:shd w:val="clear" w:color="auto" w:fill="E3F1DA"/>
          </w:tcPr>
          <w:p>
            <w:pPr>
              <w:spacing w:after="0"/>
              <w:rPr>
                <w:sz w:val="16"/>
                <w:szCs w:val="16"/>
                <w:color w:val="auto"/>
              </w:rPr>
            </w:pPr>
          </w:p>
        </w:tc>
        <w:tc>
          <w:tcPr>
            <w:tcW w:w="1340" w:type="dxa"/>
            <w:vAlign w:val="bottom"/>
            <w:shd w:val="clear" w:color="auto" w:fill="E3F1DA"/>
          </w:tcPr>
          <w:p>
            <w:pPr>
              <w:jc w:val="right"/>
              <w:ind w:right="131"/>
              <w:spacing w:after="0" w:line="195" w:lineRule="exact"/>
              <w:rPr>
                <w:sz w:val="20"/>
                <w:szCs w:val="20"/>
                <w:color w:val="auto"/>
              </w:rPr>
            </w:pPr>
            <w:r>
              <w:rPr>
                <w:rFonts w:ascii="Arial" w:cs="Arial" w:eastAsia="Arial" w:hAnsi="Arial"/>
                <w:sz w:val="18"/>
                <w:szCs w:val="18"/>
                <w:color w:val="86B6A5"/>
              </w:rPr>
              <w:t>(122.0)</w:t>
            </w:r>
          </w:p>
        </w:tc>
        <w:tc>
          <w:tcPr>
            <w:tcW w:w="320" w:type="dxa"/>
            <w:vAlign w:val="bottom"/>
          </w:tcPr>
          <w:p>
            <w:pPr>
              <w:spacing w:after="0"/>
              <w:rPr>
                <w:sz w:val="16"/>
                <w:szCs w:val="16"/>
                <w:color w:val="auto"/>
              </w:rPr>
            </w:pPr>
          </w:p>
        </w:tc>
        <w:tc>
          <w:tcPr>
            <w:tcW w:w="1060" w:type="dxa"/>
            <w:vAlign w:val="bottom"/>
          </w:tcPr>
          <w:p>
            <w:pPr>
              <w:jc w:val="right"/>
              <w:ind w:right="51"/>
              <w:spacing w:after="0" w:line="195" w:lineRule="exact"/>
              <w:rPr>
                <w:sz w:val="20"/>
                <w:szCs w:val="20"/>
                <w:color w:val="auto"/>
              </w:rPr>
            </w:pPr>
            <w:r>
              <w:rPr>
                <w:rFonts w:ascii="Arial" w:cs="Arial" w:eastAsia="Arial" w:hAnsi="Arial"/>
                <w:sz w:val="18"/>
                <w:szCs w:val="18"/>
                <w:color w:val="auto"/>
              </w:rPr>
              <w:t>41.7</w:t>
            </w:r>
          </w:p>
        </w:tc>
        <w:tc>
          <w:tcPr>
            <w:tcW w:w="400" w:type="dxa"/>
            <w:vAlign w:val="bottom"/>
          </w:tcPr>
          <w:p>
            <w:pPr>
              <w:spacing w:after="0"/>
              <w:rPr>
                <w:sz w:val="16"/>
                <w:szCs w:val="16"/>
                <w:color w:val="auto"/>
              </w:rPr>
            </w:pPr>
          </w:p>
        </w:tc>
        <w:tc>
          <w:tcPr>
            <w:tcW w:w="940" w:type="dxa"/>
            <w:vAlign w:val="bottom"/>
            <w:gridSpan w:val="2"/>
          </w:tcPr>
          <w:p>
            <w:pPr>
              <w:jc w:val="right"/>
              <w:ind w:right="20"/>
              <w:spacing w:after="0" w:line="195" w:lineRule="exact"/>
              <w:rPr>
                <w:sz w:val="20"/>
                <w:szCs w:val="20"/>
                <w:color w:val="auto"/>
              </w:rPr>
            </w:pPr>
            <w:r>
              <w:rPr>
                <w:rFonts w:ascii="Arial" w:cs="Arial" w:eastAsia="Arial" w:hAnsi="Arial"/>
                <w:sz w:val="18"/>
                <w:szCs w:val="18"/>
                <w:color w:val="auto"/>
              </w:rPr>
              <w:t>493.5</w:t>
            </w:r>
          </w:p>
        </w:tc>
      </w:tr>
      <w:tr>
        <w:trPr>
          <w:trHeight w:val="203"/>
        </w:trPr>
        <w:tc>
          <w:tcPr>
            <w:tcW w:w="7040" w:type="dxa"/>
            <w:vAlign w:val="bottom"/>
            <w:tcBorders>
              <w:bottom w:val="single" w:sz="8" w:color="939598"/>
            </w:tcBorders>
            <w:gridSpan w:val="2"/>
          </w:tcPr>
          <w:p>
            <w:pPr>
              <w:spacing w:after="0" w:line="203" w:lineRule="exact"/>
              <w:rPr>
                <w:sz w:val="20"/>
                <w:szCs w:val="20"/>
                <w:color w:val="auto"/>
              </w:rPr>
            </w:pPr>
            <w:r>
              <w:rPr>
                <w:rFonts w:ascii="Arial" w:cs="Arial" w:eastAsia="Arial" w:hAnsi="Arial"/>
                <w:sz w:val="18"/>
                <w:szCs w:val="18"/>
                <w:color w:val="auto"/>
              </w:rPr>
              <w:t>Interest and other expenses</w:t>
            </w:r>
          </w:p>
        </w:tc>
        <w:tc>
          <w:tcPr>
            <w:tcW w:w="120" w:type="dxa"/>
            <w:vAlign w:val="bottom"/>
            <w:tcBorders>
              <w:bottom w:val="single" w:sz="8" w:color="939598"/>
            </w:tcBorders>
            <w:shd w:val="clear" w:color="auto" w:fill="E3F1DA"/>
          </w:tcPr>
          <w:p>
            <w:pPr>
              <w:spacing w:after="0"/>
              <w:rPr>
                <w:sz w:val="17"/>
                <w:szCs w:val="17"/>
                <w:color w:val="auto"/>
              </w:rPr>
            </w:pPr>
          </w:p>
        </w:tc>
        <w:tc>
          <w:tcPr>
            <w:tcW w:w="1340" w:type="dxa"/>
            <w:vAlign w:val="bottom"/>
            <w:tcBorders>
              <w:bottom w:val="single" w:sz="8" w:color="939598"/>
            </w:tcBorders>
            <w:shd w:val="clear" w:color="auto" w:fill="E3F1DA"/>
          </w:tcPr>
          <w:p>
            <w:pPr>
              <w:jc w:val="right"/>
              <w:ind w:right="131"/>
              <w:spacing w:after="0" w:line="203" w:lineRule="exact"/>
              <w:rPr>
                <w:sz w:val="20"/>
                <w:szCs w:val="20"/>
                <w:color w:val="auto"/>
              </w:rPr>
            </w:pPr>
            <w:r>
              <w:rPr>
                <w:rFonts w:ascii="Arial" w:cs="Arial" w:eastAsia="Arial" w:hAnsi="Arial"/>
                <w:sz w:val="18"/>
                <w:szCs w:val="18"/>
                <w:color w:val="86B6A5"/>
              </w:rPr>
              <w:t>43.2</w:t>
            </w:r>
          </w:p>
        </w:tc>
        <w:tc>
          <w:tcPr>
            <w:tcW w:w="320" w:type="dxa"/>
            <w:vAlign w:val="bottom"/>
            <w:tcBorders>
              <w:bottom w:val="single" w:sz="8" w:color="939598"/>
            </w:tcBorders>
          </w:tcPr>
          <w:p>
            <w:pPr>
              <w:spacing w:after="0"/>
              <w:rPr>
                <w:sz w:val="17"/>
                <w:szCs w:val="17"/>
                <w:color w:val="auto"/>
              </w:rPr>
            </w:pPr>
          </w:p>
        </w:tc>
        <w:tc>
          <w:tcPr>
            <w:tcW w:w="1060" w:type="dxa"/>
            <w:vAlign w:val="bottom"/>
            <w:tcBorders>
              <w:bottom w:val="single" w:sz="8" w:color="939598"/>
            </w:tcBorders>
          </w:tcPr>
          <w:p>
            <w:pPr>
              <w:jc w:val="right"/>
              <w:ind w:right="51"/>
              <w:spacing w:after="0" w:line="203" w:lineRule="exact"/>
              <w:rPr>
                <w:sz w:val="20"/>
                <w:szCs w:val="20"/>
                <w:color w:val="auto"/>
              </w:rPr>
            </w:pPr>
            <w:r>
              <w:rPr>
                <w:rFonts w:ascii="Arial" w:cs="Arial" w:eastAsia="Arial" w:hAnsi="Arial"/>
                <w:sz w:val="18"/>
                <w:szCs w:val="18"/>
                <w:color w:val="auto"/>
              </w:rPr>
              <w:t>64.6</w:t>
            </w:r>
          </w:p>
        </w:tc>
        <w:tc>
          <w:tcPr>
            <w:tcW w:w="400" w:type="dxa"/>
            <w:vAlign w:val="bottom"/>
            <w:tcBorders>
              <w:bottom w:val="single" w:sz="8" w:color="939598"/>
            </w:tcBorders>
          </w:tcPr>
          <w:p>
            <w:pPr>
              <w:spacing w:after="0"/>
              <w:rPr>
                <w:sz w:val="17"/>
                <w:szCs w:val="17"/>
                <w:color w:val="auto"/>
              </w:rPr>
            </w:pPr>
          </w:p>
        </w:tc>
        <w:tc>
          <w:tcPr>
            <w:tcW w:w="920" w:type="dxa"/>
            <w:vAlign w:val="bottom"/>
            <w:tcBorders>
              <w:bottom w:val="single" w:sz="8" w:color="939598"/>
            </w:tcBorders>
          </w:tcPr>
          <w:p>
            <w:pPr>
              <w:jc w:val="right"/>
              <w:spacing w:after="0" w:line="203" w:lineRule="exact"/>
              <w:rPr>
                <w:sz w:val="20"/>
                <w:szCs w:val="20"/>
                <w:color w:val="auto"/>
              </w:rPr>
            </w:pPr>
            <w:r>
              <w:rPr>
                <w:rFonts w:ascii="Arial" w:cs="Arial" w:eastAsia="Arial" w:hAnsi="Arial"/>
                <w:sz w:val="18"/>
                <w:szCs w:val="18"/>
                <w:color w:val="auto"/>
              </w:rPr>
              <w:t>50.9</w:t>
            </w:r>
          </w:p>
        </w:tc>
        <w:tc>
          <w:tcPr>
            <w:tcW w:w="20" w:type="dxa"/>
            <w:vAlign w:val="bottom"/>
          </w:tcPr>
          <w:p>
            <w:pPr>
              <w:spacing w:after="0"/>
              <w:rPr>
                <w:sz w:val="17"/>
                <w:szCs w:val="17"/>
                <w:color w:val="auto"/>
              </w:rPr>
            </w:pPr>
          </w:p>
        </w:tc>
      </w:tr>
      <w:tr>
        <w:trPr>
          <w:trHeight w:val="195"/>
        </w:trPr>
        <w:tc>
          <w:tcPr>
            <w:tcW w:w="7040" w:type="dxa"/>
            <w:vAlign w:val="bottom"/>
            <w:gridSpan w:val="2"/>
          </w:tcPr>
          <w:p>
            <w:pPr>
              <w:spacing w:after="0" w:line="195" w:lineRule="exact"/>
              <w:rPr>
                <w:sz w:val="20"/>
                <w:szCs w:val="20"/>
                <w:color w:val="auto"/>
              </w:rPr>
            </w:pPr>
            <w:r>
              <w:rPr>
                <w:rFonts w:ascii="Arial" w:cs="Arial" w:eastAsia="Arial" w:hAnsi="Arial"/>
                <w:sz w:val="18"/>
                <w:szCs w:val="18"/>
                <w:color w:val="auto"/>
              </w:rPr>
              <w:t>(Loss) earnings before income taxes</w:t>
            </w:r>
          </w:p>
        </w:tc>
        <w:tc>
          <w:tcPr>
            <w:tcW w:w="120" w:type="dxa"/>
            <w:vAlign w:val="bottom"/>
            <w:shd w:val="clear" w:color="auto" w:fill="E3F1DA"/>
          </w:tcPr>
          <w:p>
            <w:pPr>
              <w:spacing w:after="0"/>
              <w:rPr>
                <w:sz w:val="16"/>
                <w:szCs w:val="16"/>
                <w:color w:val="auto"/>
              </w:rPr>
            </w:pPr>
          </w:p>
        </w:tc>
        <w:tc>
          <w:tcPr>
            <w:tcW w:w="1340" w:type="dxa"/>
            <w:vAlign w:val="bottom"/>
            <w:shd w:val="clear" w:color="auto" w:fill="E3F1DA"/>
          </w:tcPr>
          <w:p>
            <w:pPr>
              <w:jc w:val="right"/>
              <w:ind w:right="131"/>
              <w:spacing w:after="0" w:line="195" w:lineRule="exact"/>
              <w:rPr>
                <w:sz w:val="20"/>
                <w:szCs w:val="20"/>
                <w:color w:val="auto"/>
              </w:rPr>
            </w:pPr>
            <w:r>
              <w:rPr>
                <w:rFonts w:ascii="Arial" w:cs="Arial" w:eastAsia="Arial" w:hAnsi="Arial"/>
                <w:sz w:val="18"/>
                <w:szCs w:val="18"/>
                <w:color w:val="86B6A5"/>
              </w:rPr>
              <w:t>(165.2)</w:t>
            </w:r>
          </w:p>
        </w:tc>
        <w:tc>
          <w:tcPr>
            <w:tcW w:w="320" w:type="dxa"/>
            <w:vAlign w:val="bottom"/>
          </w:tcPr>
          <w:p>
            <w:pPr>
              <w:spacing w:after="0"/>
              <w:rPr>
                <w:sz w:val="16"/>
                <w:szCs w:val="16"/>
                <w:color w:val="auto"/>
              </w:rPr>
            </w:pPr>
          </w:p>
        </w:tc>
        <w:tc>
          <w:tcPr>
            <w:tcW w:w="1060" w:type="dxa"/>
            <w:vAlign w:val="bottom"/>
          </w:tcPr>
          <w:p>
            <w:pPr>
              <w:jc w:val="right"/>
              <w:spacing w:after="0" w:line="195" w:lineRule="exact"/>
              <w:rPr>
                <w:sz w:val="20"/>
                <w:szCs w:val="20"/>
                <w:color w:val="auto"/>
              </w:rPr>
            </w:pPr>
            <w:r>
              <w:rPr>
                <w:rFonts w:ascii="Arial" w:cs="Arial" w:eastAsia="Arial" w:hAnsi="Arial"/>
                <w:sz w:val="18"/>
                <w:szCs w:val="18"/>
                <w:color w:val="auto"/>
              </w:rPr>
              <w:t>(22.9)</w:t>
            </w:r>
          </w:p>
        </w:tc>
        <w:tc>
          <w:tcPr>
            <w:tcW w:w="400" w:type="dxa"/>
            <w:vAlign w:val="bottom"/>
          </w:tcPr>
          <w:p>
            <w:pPr>
              <w:spacing w:after="0"/>
              <w:rPr>
                <w:sz w:val="16"/>
                <w:szCs w:val="16"/>
                <w:color w:val="auto"/>
              </w:rPr>
            </w:pPr>
          </w:p>
        </w:tc>
        <w:tc>
          <w:tcPr>
            <w:tcW w:w="920" w:type="dxa"/>
            <w:vAlign w:val="bottom"/>
          </w:tcPr>
          <w:p>
            <w:pPr>
              <w:jc w:val="right"/>
              <w:spacing w:after="0" w:line="195" w:lineRule="exact"/>
              <w:rPr>
                <w:sz w:val="20"/>
                <w:szCs w:val="20"/>
                <w:color w:val="auto"/>
              </w:rPr>
            </w:pPr>
            <w:r>
              <w:rPr>
                <w:rFonts w:ascii="Arial" w:cs="Arial" w:eastAsia="Arial" w:hAnsi="Arial"/>
                <w:sz w:val="18"/>
                <w:szCs w:val="18"/>
                <w:color w:val="auto"/>
              </w:rPr>
              <w:t>442.6</w:t>
            </w:r>
          </w:p>
        </w:tc>
        <w:tc>
          <w:tcPr>
            <w:tcW w:w="20" w:type="dxa"/>
            <w:vAlign w:val="bottom"/>
          </w:tcPr>
          <w:p>
            <w:pPr>
              <w:spacing w:after="0"/>
              <w:rPr>
                <w:sz w:val="16"/>
                <w:szCs w:val="16"/>
                <w:color w:val="auto"/>
              </w:rPr>
            </w:pPr>
          </w:p>
        </w:tc>
      </w:tr>
      <w:tr>
        <w:trPr>
          <w:trHeight w:val="210"/>
        </w:trPr>
        <w:tc>
          <w:tcPr>
            <w:tcW w:w="7040" w:type="dxa"/>
            <w:vAlign w:val="bottom"/>
            <w:tcBorders>
              <w:bottom w:val="single" w:sz="8" w:color="939598"/>
            </w:tcBorders>
            <w:gridSpan w:val="2"/>
          </w:tcPr>
          <w:p>
            <w:pPr>
              <w:spacing w:after="0" w:line="203" w:lineRule="exact"/>
              <w:rPr>
                <w:sz w:val="20"/>
                <w:szCs w:val="20"/>
                <w:color w:val="auto"/>
              </w:rPr>
            </w:pPr>
            <w:r>
              <w:rPr>
                <w:rFonts w:ascii="Arial" w:cs="Arial" w:eastAsia="Arial" w:hAnsi="Arial"/>
                <w:sz w:val="18"/>
                <w:szCs w:val="18"/>
                <w:color w:val="auto"/>
              </w:rPr>
              <w:t>Provision for income taxes</w:t>
            </w:r>
          </w:p>
        </w:tc>
        <w:tc>
          <w:tcPr>
            <w:tcW w:w="120" w:type="dxa"/>
            <w:vAlign w:val="bottom"/>
            <w:tcBorders>
              <w:bottom w:val="single" w:sz="8" w:color="939598"/>
            </w:tcBorders>
            <w:shd w:val="clear" w:color="auto" w:fill="E3F1DA"/>
          </w:tcPr>
          <w:p>
            <w:pPr>
              <w:spacing w:after="0"/>
              <w:rPr>
                <w:sz w:val="18"/>
                <w:szCs w:val="18"/>
                <w:color w:val="auto"/>
              </w:rPr>
            </w:pPr>
          </w:p>
        </w:tc>
        <w:tc>
          <w:tcPr>
            <w:tcW w:w="1340" w:type="dxa"/>
            <w:vAlign w:val="bottom"/>
            <w:tcBorders>
              <w:bottom w:val="single" w:sz="8" w:color="939598"/>
            </w:tcBorders>
            <w:shd w:val="clear" w:color="auto" w:fill="E3F1DA"/>
          </w:tcPr>
          <w:p>
            <w:pPr>
              <w:jc w:val="right"/>
              <w:ind w:right="131"/>
              <w:spacing w:after="0" w:line="203" w:lineRule="exact"/>
              <w:rPr>
                <w:sz w:val="20"/>
                <w:szCs w:val="20"/>
                <w:color w:val="auto"/>
              </w:rPr>
            </w:pPr>
            <w:r>
              <w:rPr>
                <w:rFonts w:ascii="Arial" w:cs="Arial" w:eastAsia="Arial" w:hAnsi="Arial"/>
                <w:sz w:val="18"/>
                <w:szCs w:val="18"/>
                <w:color w:val="86B6A5"/>
              </w:rPr>
              <w:t>98.4</w:t>
            </w:r>
          </w:p>
        </w:tc>
        <w:tc>
          <w:tcPr>
            <w:tcW w:w="320" w:type="dxa"/>
            <w:vAlign w:val="bottom"/>
            <w:tcBorders>
              <w:bottom w:val="single" w:sz="8" w:color="939598"/>
            </w:tcBorders>
          </w:tcPr>
          <w:p>
            <w:pPr>
              <w:spacing w:after="0"/>
              <w:rPr>
                <w:sz w:val="18"/>
                <w:szCs w:val="18"/>
                <w:color w:val="auto"/>
              </w:rPr>
            </w:pPr>
          </w:p>
        </w:tc>
        <w:tc>
          <w:tcPr>
            <w:tcW w:w="1060" w:type="dxa"/>
            <w:vAlign w:val="bottom"/>
            <w:tcBorders>
              <w:bottom w:val="single" w:sz="8" w:color="939598"/>
            </w:tcBorders>
          </w:tcPr>
          <w:p>
            <w:pPr>
              <w:jc w:val="right"/>
              <w:spacing w:after="0" w:line="203" w:lineRule="exact"/>
              <w:rPr>
                <w:sz w:val="20"/>
                <w:szCs w:val="20"/>
                <w:color w:val="auto"/>
              </w:rPr>
            </w:pPr>
            <w:r>
              <w:rPr>
                <w:rFonts w:ascii="Arial" w:cs="Arial" w:eastAsia="Arial" w:hAnsi="Arial"/>
                <w:sz w:val="18"/>
                <w:szCs w:val="18"/>
                <w:color w:val="auto"/>
              </w:rPr>
              <w:t>(13.7)</w:t>
            </w:r>
          </w:p>
        </w:tc>
        <w:tc>
          <w:tcPr>
            <w:tcW w:w="400" w:type="dxa"/>
            <w:vAlign w:val="bottom"/>
            <w:tcBorders>
              <w:bottom w:val="single" w:sz="8" w:color="939598"/>
            </w:tcBorders>
          </w:tcPr>
          <w:p>
            <w:pPr>
              <w:spacing w:after="0"/>
              <w:rPr>
                <w:sz w:val="18"/>
                <w:szCs w:val="18"/>
                <w:color w:val="auto"/>
              </w:rPr>
            </w:pPr>
          </w:p>
        </w:tc>
        <w:tc>
          <w:tcPr>
            <w:tcW w:w="940" w:type="dxa"/>
            <w:vAlign w:val="bottom"/>
            <w:tcBorders>
              <w:bottom w:val="single" w:sz="8" w:color="939598"/>
            </w:tcBorders>
            <w:gridSpan w:val="2"/>
          </w:tcPr>
          <w:p>
            <w:pPr>
              <w:jc w:val="right"/>
              <w:ind w:right="20"/>
              <w:spacing w:after="0" w:line="203" w:lineRule="exact"/>
              <w:rPr>
                <w:sz w:val="20"/>
                <w:szCs w:val="20"/>
                <w:color w:val="auto"/>
              </w:rPr>
            </w:pPr>
            <w:r>
              <w:rPr>
                <w:rFonts w:ascii="Arial" w:cs="Arial" w:eastAsia="Arial" w:hAnsi="Arial"/>
                <w:sz w:val="18"/>
                <w:szCs w:val="18"/>
                <w:color w:val="auto"/>
              </w:rPr>
              <w:t>237.1</w:t>
            </w:r>
          </w:p>
        </w:tc>
      </w:tr>
      <w:tr>
        <w:trPr>
          <w:trHeight w:val="210"/>
        </w:trPr>
        <w:tc>
          <w:tcPr>
            <w:tcW w:w="7040" w:type="dxa"/>
            <w:vAlign w:val="bottom"/>
            <w:gridSpan w:val="2"/>
          </w:tcPr>
          <w:p>
            <w:pPr>
              <w:spacing w:after="0" w:line="202" w:lineRule="exact"/>
              <w:rPr>
                <w:sz w:val="20"/>
                <w:szCs w:val="20"/>
                <w:color w:val="auto"/>
              </w:rPr>
            </w:pPr>
            <w:r>
              <w:rPr>
                <w:rFonts w:ascii="Arial" w:cs="Arial" w:eastAsia="Arial" w:hAnsi="Arial"/>
                <w:sz w:val="18"/>
                <w:szCs w:val="18"/>
                <w:color w:val="auto"/>
              </w:rPr>
              <w:t>Net (loss) earnings</w:t>
            </w:r>
          </w:p>
        </w:tc>
        <w:tc>
          <w:tcPr>
            <w:tcW w:w="120" w:type="dxa"/>
            <w:vAlign w:val="bottom"/>
            <w:shd w:val="clear" w:color="auto" w:fill="E3F1DA"/>
          </w:tcPr>
          <w:p>
            <w:pPr>
              <w:jc w:val="right"/>
              <w:spacing w:after="0" w:line="202" w:lineRule="exact"/>
              <w:rPr>
                <w:sz w:val="20"/>
                <w:szCs w:val="20"/>
                <w:color w:val="auto"/>
              </w:rPr>
            </w:pPr>
            <w:r>
              <w:rPr>
                <w:rFonts w:ascii="Arial" w:cs="Arial" w:eastAsia="Arial" w:hAnsi="Arial"/>
                <w:sz w:val="18"/>
                <w:szCs w:val="18"/>
                <w:color w:val="86B6A5"/>
                <w:w w:val="79"/>
              </w:rPr>
              <w:t>$</w:t>
            </w:r>
          </w:p>
        </w:tc>
        <w:tc>
          <w:tcPr>
            <w:tcW w:w="1340" w:type="dxa"/>
            <w:vAlign w:val="bottom"/>
            <w:shd w:val="clear" w:color="auto" w:fill="E3F1DA"/>
          </w:tcPr>
          <w:p>
            <w:pPr>
              <w:jc w:val="right"/>
              <w:ind w:right="131"/>
              <w:spacing w:after="0" w:line="202" w:lineRule="exact"/>
              <w:rPr>
                <w:sz w:val="20"/>
                <w:szCs w:val="20"/>
                <w:color w:val="auto"/>
              </w:rPr>
            </w:pPr>
            <w:r>
              <w:rPr>
                <w:rFonts w:ascii="Arial" w:cs="Arial" w:eastAsia="Arial" w:hAnsi="Arial"/>
                <w:sz w:val="18"/>
                <w:szCs w:val="18"/>
                <w:color w:val="86B6A5"/>
              </w:rPr>
              <w:t>(263.6)</w:t>
            </w:r>
          </w:p>
        </w:tc>
        <w:tc>
          <w:tcPr>
            <w:tcW w:w="320" w:type="dxa"/>
            <w:vAlign w:val="bottom"/>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(9.2)</w:t>
            </w:r>
          </w:p>
        </w:tc>
        <w:tc>
          <w:tcPr>
            <w:tcW w:w="40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205.5</w:t>
            </w:r>
          </w:p>
        </w:tc>
      </w:tr>
      <w:tr>
        <w:trPr>
          <w:trHeight w:val="210"/>
        </w:trPr>
        <w:tc>
          <w:tcPr>
            <w:tcW w:w="7040" w:type="dxa"/>
            <w:vAlign w:val="bottom"/>
            <w:tcBorders>
              <w:top w:val="single" w:sz="8" w:color="939598"/>
              <w:bottom w:val="single" w:sz="8" w:color="939598"/>
            </w:tcBorders>
            <w:gridSpan w:val="2"/>
          </w:tcPr>
          <w:p>
            <w:pPr>
              <w:spacing w:after="0" w:line="202" w:lineRule="exact"/>
              <w:rPr>
                <w:sz w:val="20"/>
                <w:szCs w:val="20"/>
                <w:color w:val="auto"/>
              </w:rPr>
            </w:pPr>
            <w:r>
              <w:rPr>
                <w:rFonts w:ascii="Arial" w:cs="Arial" w:eastAsia="Arial" w:hAnsi="Arial"/>
                <w:sz w:val="18"/>
                <w:szCs w:val="18"/>
                <w:color w:val="auto"/>
              </w:rPr>
              <w:t>Net (loss) earnings per share - basic</w:t>
            </w:r>
          </w:p>
        </w:tc>
        <w:tc>
          <w:tcPr>
            <w:tcW w:w="120" w:type="dxa"/>
            <w:vAlign w:val="bottom"/>
            <w:tcBorders>
              <w:top w:val="single" w:sz="8" w:color="939598"/>
              <w:bottom w:val="single" w:sz="8" w:color="939598"/>
            </w:tcBorders>
            <w:shd w:val="clear" w:color="auto" w:fill="E3F1DA"/>
          </w:tcPr>
          <w:p>
            <w:pPr>
              <w:jc w:val="right"/>
              <w:spacing w:after="0" w:line="202" w:lineRule="exact"/>
              <w:rPr>
                <w:sz w:val="20"/>
                <w:szCs w:val="20"/>
                <w:color w:val="auto"/>
              </w:rPr>
            </w:pPr>
            <w:r>
              <w:rPr>
                <w:rFonts w:ascii="Arial" w:cs="Arial" w:eastAsia="Arial" w:hAnsi="Arial"/>
                <w:sz w:val="18"/>
                <w:szCs w:val="18"/>
                <w:color w:val="86B6A5"/>
                <w:w w:val="79"/>
              </w:rPr>
              <w:t>$</w:t>
            </w:r>
          </w:p>
        </w:tc>
        <w:tc>
          <w:tcPr>
            <w:tcW w:w="1340" w:type="dxa"/>
            <w:vAlign w:val="bottom"/>
            <w:tcBorders>
              <w:top w:val="single" w:sz="8" w:color="939598"/>
              <w:bottom w:val="single" w:sz="8" w:color="939598"/>
            </w:tcBorders>
            <w:shd w:val="clear" w:color="auto" w:fill="E3F1DA"/>
          </w:tcPr>
          <w:p>
            <w:pPr>
              <w:jc w:val="right"/>
              <w:ind w:right="131"/>
              <w:spacing w:after="0" w:line="202" w:lineRule="exact"/>
              <w:rPr>
                <w:sz w:val="20"/>
                <w:szCs w:val="20"/>
                <w:color w:val="auto"/>
              </w:rPr>
            </w:pPr>
            <w:r>
              <w:rPr>
                <w:rFonts w:ascii="Arial" w:cs="Arial" w:eastAsia="Arial" w:hAnsi="Arial"/>
                <w:sz w:val="18"/>
                <w:szCs w:val="18"/>
                <w:color w:val="86B6A5"/>
              </w:rPr>
              <w:t>(3.26)</w:t>
            </w:r>
          </w:p>
        </w:tc>
        <w:tc>
          <w:tcPr>
            <w:tcW w:w="320" w:type="dxa"/>
            <w:vAlign w:val="bottom"/>
            <w:tcBorders>
              <w:top w:val="single" w:sz="8" w:color="939598"/>
              <w:bottom w:val="single" w:sz="8" w:color="939598"/>
            </w:tcBorders>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1060" w:type="dxa"/>
            <w:vAlign w:val="bottom"/>
            <w:tcBorders>
              <w:top w:val="single" w:sz="8" w:color="939598"/>
              <w:bottom w:val="single" w:sz="8" w:color="939598"/>
            </w:tcBorders>
          </w:tcPr>
          <w:p>
            <w:pPr>
              <w:jc w:val="right"/>
              <w:spacing w:after="0" w:line="202" w:lineRule="exact"/>
              <w:rPr>
                <w:sz w:val="20"/>
                <w:szCs w:val="20"/>
                <w:color w:val="auto"/>
              </w:rPr>
            </w:pPr>
            <w:r>
              <w:rPr>
                <w:rFonts w:ascii="Arial" w:cs="Arial" w:eastAsia="Arial" w:hAnsi="Arial"/>
                <w:sz w:val="18"/>
                <w:szCs w:val="18"/>
                <w:color w:val="auto"/>
              </w:rPr>
              <w:t>(0.12)</w:t>
            </w:r>
          </w:p>
        </w:tc>
        <w:tc>
          <w:tcPr>
            <w:tcW w:w="400" w:type="dxa"/>
            <w:vAlign w:val="bottom"/>
            <w:tcBorders>
              <w:top w:val="single" w:sz="8" w:color="939598"/>
              <w:bottom w:val="single" w:sz="8" w:color="939598"/>
            </w:tcBorders>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920" w:type="dxa"/>
            <w:vAlign w:val="bottom"/>
            <w:tcBorders>
              <w:top w:val="single" w:sz="8" w:color="939598"/>
              <w:bottom w:val="single" w:sz="8" w:color="939598"/>
            </w:tcBorders>
          </w:tcPr>
          <w:p>
            <w:pPr>
              <w:jc w:val="right"/>
              <w:spacing w:after="0" w:line="202" w:lineRule="exact"/>
              <w:rPr>
                <w:sz w:val="20"/>
                <w:szCs w:val="20"/>
                <w:color w:val="auto"/>
              </w:rPr>
            </w:pPr>
            <w:r>
              <w:rPr>
                <w:rFonts w:ascii="Arial" w:cs="Arial" w:eastAsia="Arial" w:hAnsi="Arial"/>
                <w:sz w:val="18"/>
                <w:szCs w:val="18"/>
                <w:color w:val="auto"/>
              </w:rPr>
              <w:t>2.61</w:t>
            </w:r>
          </w:p>
        </w:tc>
        <w:tc>
          <w:tcPr>
            <w:tcW w:w="20" w:type="dxa"/>
            <w:vAlign w:val="bottom"/>
          </w:tcPr>
          <w:p>
            <w:pPr>
              <w:spacing w:after="0"/>
              <w:rPr>
                <w:sz w:val="18"/>
                <w:szCs w:val="18"/>
                <w:color w:val="auto"/>
              </w:rPr>
            </w:pPr>
          </w:p>
        </w:tc>
      </w:tr>
      <w:tr>
        <w:trPr>
          <w:trHeight w:val="210"/>
        </w:trPr>
        <w:tc>
          <w:tcPr>
            <w:tcW w:w="7040" w:type="dxa"/>
            <w:vAlign w:val="bottom"/>
            <w:tcBorders>
              <w:bottom w:val="single" w:sz="8" w:color="939598"/>
            </w:tcBorders>
            <w:gridSpan w:val="2"/>
          </w:tcPr>
          <w:p>
            <w:pPr>
              <w:spacing w:after="0" w:line="202" w:lineRule="exact"/>
              <w:rPr>
                <w:sz w:val="20"/>
                <w:szCs w:val="20"/>
                <w:color w:val="auto"/>
              </w:rPr>
            </w:pPr>
            <w:r>
              <w:rPr>
                <w:rFonts w:ascii="Arial" w:cs="Arial" w:eastAsia="Arial" w:hAnsi="Arial"/>
                <w:sz w:val="18"/>
                <w:szCs w:val="18"/>
                <w:color w:val="auto"/>
              </w:rPr>
              <w:t>Net (loss) earnings per share - diluted</w:t>
            </w:r>
          </w:p>
        </w:tc>
        <w:tc>
          <w:tcPr>
            <w:tcW w:w="120" w:type="dxa"/>
            <w:vAlign w:val="bottom"/>
            <w:tcBorders>
              <w:bottom w:val="single" w:sz="8" w:color="939598"/>
            </w:tcBorders>
            <w:shd w:val="clear" w:color="auto" w:fill="E3F1DA"/>
          </w:tcPr>
          <w:p>
            <w:pPr>
              <w:jc w:val="right"/>
              <w:spacing w:after="0" w:line="202" w:lineRule="exact"/>
              <w:rPr>
                <w:sz w:val="20"/>
                <w:szCs w:val="20"/>
                <w:color w:val="auto"/>
              </w:rPr>
            </w:pPr>
            <w:r>
              <w:rPr>
                <w:rFonts w:ascii="Arial" w:cs="Arial" w:eastAsia="Arial" w:hAnsi="Arial"/>
                <w:sz w:val="18"/>
                <w:szCs w:val="18"/>
                <w:color w:val="86B6A5"/>
                <w:w w:val="79"/>
              </w:rPr>
              <w:t>$</w:t>
            </w:r>
          </w:p>
        </w:tc>
        <w:tc>
          <w:tcPr>
            <w:tcW w:w="1340" w:type="dxa"/>
            <w:vAlign w:val="bottom"/>
            <w:tcBorders>
              <w:bottom w:val="single" w:sz="8" w:color="939598"/>
            </w:tcBorders>
            <w:shd w:val="clear" w:color="auto" w:fill="E3F1DA"/>
          </w:tcPr>
          <w:p>
            <w:pPr>
              <w:jc w:val="right"/>
              <w:ind w:right="131"/>
              <w:spacing w:after="0" w:line="202" w:lineRule="exact"/>
              <w:rPr>
                <w:sz w:val="20"/>
                <w:szCs w:val="20"/>
                <w:color w:val="auto"/>
              </w:rPr>
            </w:pPr>
            <w:r>
              <w:rPr>
                <w:rFonts w:ascii="Arial" w:cs="Arial" w:eastAsia="Arial" w:hAnsi="Arial"/>
                <w:sz w:val="18"/>
                <w:szCs w:val="18"/>
                <w:color w:val="86B6A5"/>
              </w:rPr>
              <w:t>(3.26)</w:t>
            </w:r>
          </w:p>
        </w:tc>
        <w:tc>
          <w:tcPr>
            <w:tcW w:w="320" w:type="dxa"/>
            <w:vAlign w:val="bottom"/>
            <w:tcBorders>
              <w:bottom w:val="single" w:sz="8" w:color="939598"/>
            </w:tcBorders>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939598"/>
            </w:tcBorders>
          </w:tcPr>
          <w:p>
            <w:pPr>
              <w:jc w:val="right"/>
              <w:spacing w:after="0" w:line="202" w:lineRule="exact"/>
              <w:rPr>
                <w:sz w:val="20"/>
                <w:szCs w:val="20"/>
                <w:color w:val="auto"/>
              </w:rPr>
            </w:pPr>
            <w:r>
              <w:rPr>
                <w:rFonts w:ascii="Arial" w:cs="Arial" w:eastAsia="Arial" w:hAnsi="Arial"/>
                <w:sz w:val="18"/>
                <w:szCs w:val="18"/>
                <w:color w:val="auto"/>
              </w:rPr>
              <w:t>(0.12)</w:t>
            </w:r>
          </w:p>
        </w:tc>
        <w:tc>
          <w:tcPr>
            <w:tcW w:w="400" w:type="dxa"/>
            <w:vAlign w:val="bottom"/>
            <w:tcBorders>
              <w:bottom w:val="single" w:sz="8" w:color="939598"/>
            </w:tcBorders>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920" w:type="dxa"/>
            <w:vAlign w:val="bottom"/>
            <w:tcBorders>
              <w:bottom w:val="single" w:sz="8" w:color="939598"/>
            </w:tcBorders>
          </w:tcPr>
          <w:p>
            <w:pPr>
              <w:jc w:val="right"/>
              <w:spacing w:after="0" w:line="202" w:lineRule="exact"/>
              <w:rPr>
                <w:sz w:val="20"/>
                <w:szCs w:val="20"/>
                <w:color w:val="auto"/>
              </w:rPr>
            </w:pPr>
            <w:r>
              <w:rPr>
                <w:rFonts w:ascii="Arial" w:cs="Arial" w:eastAsia="Arial" w:hAnsi="Arial"/>
                <w:sz w:val="18"/>
                <w:szCs w:val="18"/>
                <w:color w:val="auto"/>
              </w:rPr>
              <w:t>2.58</w:t>
            </w:r>
          </w:p>
        </w:tc>
        <w:tc>
          <w:tcPr>
            <w:tcW w:w="20" w:type="dxa"/>
            <w:vAlign w:val="bottom"/>
          </w:tcPr>
          <w:p>
            <w:pPr>
              <w:spacing w:after="0"/>
              <w:rPr>
                <w:sz w:val="18"/>
                <w:szCs w:val="18"/>
                <w:color w:val="auto"/>
              </w:rPr>
            </w:pPr>
          </w:p>
        </w:tc>
      </w:tr>
      <w:tr>
        <w:trPr>
          <w:trHeight w:val="210"/>
        </w:trPr>
        <w:tc>
          <w:tcPr>
            <w:tcW w:w="7040" w:type="dxa"/>
            <w:vAlign w:val="bottom"/>
            <w:tcBorders>
              <w:bottom w:val="single" w:sz="8" w:color="939598"/>
            </w:tcBorders>
            <w:gridSpan w:val="2"/>
          </w:tcPr>
          <w:p>
            <w:pPr>
              <w:spacing w:after="0" w:line="202" w:lineRule="exact"/>
              <w:rPr>
                <w:sz w:val="20"/>
                <w:szCs w:val="20"/>
                <w:color w:val="auto"/>
              </w:rPr>
            </w:pPr>
            <w:r>
              <w:rPr>
                <w:rFonts w:ascii="Arial" w:cs="Arial" w:eastAsia="Arial" w:hAnsi="Arial"/>
                <w:sz w:val="18"/>
                <w:szCs w:val="18"/>
                <w:color w:val="auto"/>
              </w:rPr>
              <w:t>Weighted average shares - basic</w:t>
            </w:r>
          </w:p>
        </w:tc>
        <w:tc>
          <w:tcPr>
            <w:tcW w:w="120" w:type="dxa"/>
            <w:vAlign w:val="bottom"/>
            <w:tcBorders>
              <w:bottom w:val="single" w:sz="8" w:color="939598"/>
            </w:tcBorders>
            <w:shd w:val="clear" w:color="auto" w:fill="E3F1DA"/>
          </w:tcPr>
          <w:p>
            <w:pPr>
              <w:spacing w:after="0"/>
              <w:rPr>
                <w:sz w:val="18"/>
                <w:szCs w:val="18"/>
                <w:color w:val="auto"/>
              </w:rPr>
            </w:pPr>
          </w:p>
        </w:tc>
        <w:tc>
          <w:tcPr>
            <w:tcW w:w="1340" w:type="dxa"/>
            <w:vAlign w:val="bottom"/>
            <w:tcBorders>
              <w:bottom w:val="single" w:sz="8" w:color="939598"/>
            </w:tcBorders>
            <w:shd w:val="clear" w:color="auto" w:fill="E3F1DA"/>
          </w:tcPr>
          <w:p>
            <w:pPr>
              <w:jc w:val="right"/>
              <w:ind w:right="131"/>
              <w:spacing w:after="0" w:line="202" w:lineRule="exact"/>
              <w:rPr>
                <w:sz w:val="20"/>
                <w:szCs w:val="20"/>
                <w:color w:val="auto"/>
              </w:rPr>
            </w:pPr>
            <w:r>
              <w:rPr>
                <w:rFonts w:ascii="Arial" w:cs="Arial" w:eastAsia="Arial" w:hAnsi="Arial"/>
                <w:sz w:val="18"/>
                <w:szCs w:val="18"/>
                <w:color w:val="86B6A5"/>
              </w:rPr>
              <w:t>81.0</w:t>
            </w:r>
          </w:p>
        </w:tc>
        <w:tc>
          <w:tcPr>
            <w:tcW w:w="320" w:type="dxa"/>
            <w:vAlign w:val="bottom"/>
            <w:tcBorders>
              <w:bottom w:val="single" w:sz="8" w:color="939598"/>
            </w:tcBorders>
          </w:tcPr>
          <w:p>
            <w:pPr>
              <w:spacing w:after="0"/>
              <w:rPr>
                <w:sz w:val="18"/>
                <w:szCs w:val="18"/>
                <w:color w:val="auto"/>
              </w:rPr>
            </w:pPr>
          </w:p>
        </w:tc>
        <w:tc>
          <w:tcPr>
            <w:tcW w:w="1060" w:type="dxa"/>
            <w:vAlign w:val="bottom"/>
            <w:tcBorders>
              <w:bottom w:val="single" w:sz="8" w:color="939598"/>
            </w:tcBorders>
          </w:tcPr>
          <w:p>
            <w:pPr>
              <w:jc w:val="right"/>
              <w:ind w:right="51"/>
              <w:spacing w:after="0" w:line="202" w:lineRule="exact"/>
              <w:rPr>
                <w:sz w:val="20"/>
                <w:szCs w:val="20"/>
                <w:color w:val="auto"/>
              </w:rPr>
            </w:pPr>
            <w:r>
              <w:rPr>
                <w:rFonts w:ascii="Arial" w:cs="Arial" w:eastAsia="Arial" w:hAnsi="Arial"/>
                <w:sz w:val="18"/>
                <w:szCs w:val="18"/>
                <w:color w:val="auto"/>
              </w:rPr>
              <w:t>78.3</w:t>
            </w:r>
          </w:p>
        </w:tc>
        <w:tc>
          <w:tcPr>
            <w:tcW w:w="400" w:type="dxa"/>
            <w:vAlign w:val="bottom"/>
            <w:tcBorders>
              <w:bottom w:val="single" w:sz="8" w:color="939598"/>
            </w:tcBorders>
          </w:tcPr>
          <w:p>
            <w:pPr>
              <w:spacing w:after="0"/>
              <w:rPr>
                <w:sz w:val="18"/>
                <w:szCs w:val="18"/>
                <w:color w:val="auto"/>
              </w:rPr>
            </w:pPr>
          </w:p>
        </w:tc>
        <w:tc>
          <w:tcPr>
            <w:tcW w:w="920" w:type="dxa"/>
            <w:vAlign w:val="bottom"/>
            <w:tcBorders>
              <w:bottom w:val="single" w:sz="8" w:color="939598"/>
            </w:tcBorders>
          </w:tcPr>
          <w:p>
            <w:pPr>
              <w:jc w:val="right"/>
              <w:spacing w:after="0" w:line="202" w:lineRule="exact"/>
              <w:rPr>
                <w:sz w:val="20"/>
                <w:szCs w:val="20"/>
                <w:color w:val="auto"/>
              </w:rPr>
            </w:pPr>
            <w:r>
              <w:rPr>
                <w:rFonts w:ascii="Arial" w:cs="Arial" w:eastAsia="Arial" w:hAnsi="Arial"/>
                <w:sz w:val="18"/>
                <w:szCs w:val="18"/>
                <w:color w:val="auto"/>
              </w:rPr>
              <w:t>78.7</w:t>
            </w:r>
          </w:p>
        </w:tc>
        <w:tc>
          <w:tcPr>
            <w:tcW w:w="20" w:type="dxa"/>
            <w:vAlign w:val="bottom"/>
          </w:tcPr>
          <w:p>
            <w:pPr>
              <w:spacing w:after="0"/>
              <w:rPr>
                <w:sz w:val="18"/>
                <w:szCs w:val="18"/>
                <w:color w:val="auto"/>
              </w:rPr>
            </w:pPr>
          </w:p>
        </w:tc>
      </w:tr>
      <w:tr>
        <w:trPr>
          <w:trHeight w:val="203"/>
        </w:trPr>
        <w:tc>
          <w:tcPr>
            <w:tcW w:w="7040" w:type="dxa"/>
            <w:vAlign w:val="bottom"/>
            <w:gridSpan w:val="2"/>
          </w:tcPr>
          <w:p>
            <w:pPr>
              <w:spacing w:after="0" w:line="202" w:lineRule="exact"/>
              <w:rPr>
                <w:sz w:val="20"/>
                <w:szCs w:val="20"/>
                <w:color w:val="auto"/>
              </w:rPr>
            </w:pPr>
            <w:r>
              <w:rPr>
                <w:rFonts w:ascii="Arial" w:cs="Arial" w:eastAsia="Arial" w:hAnsi="Arial"/>
                <w:sz w:val="18"/>
                <w:szCs w:val="18"/>
                <w:color w:val="auto"/>
              </w:rPr>
              <w:t>Weighted average shares - diluted</w:t>
            </w:r>
          </w:p>
        </w:tc>
        <w:tc>
          <w:tcPr>
            <w:tcW w:w="120" w:type="dxa"/>
            <w:vAlign w:val="bottom"/>
            <w:shd w:val="clear" w:color="auto" w:fill="E3F1DA"/>
          </w:tcPr>
          <w:p>
            <w:pPr>
              <w:spacing w:after="0"/>
              <w:rPr>
                <w:sz w:val="17"/>
                <w:szCs w:val="17"/>
                <w:color w:val="auto"/>
              </w:rPr>
            </w:pPr>
          </w:p>
        </w:tc>
        <w:tc>
          <w:tcPr>
            <w:tcW w:w="1340" w:type="dxa"/>
            <w:vAlign w:val="bottom"/>
            <w:shd w:val="clear" w:color="auto" w:fill="E3F1DA"/>
          </w:tcPr>
          <w:p>
            <w:pPr>
              <w:jc w:val="right"/>
              <w:ind w:right="131"/>
              <w:spacing w:after="0" w:line="202" w:lineRule="exact"/>
              <w:rPr>
                <w:sz w:val="20"/>
                <w:szCs w:val="20"/>
                <w:color w:val="auto"/>
              </w:rPr>
            </w:pPr>
            <w:r>
              <w:rPr>
                <w:rFonts w:ascii="Arial" w:cs="Arial" w:eastAsia="Arial" w:hAnsi="Arial"/>
                <w:sz w:val="18"/>
                <w:szCs w:val="18"/>
                <w:color w:val="86B6A5"/>
              </w:rPr>
              <w:t>81.0</w:t>
            </w:r>
          </w:p>
        </w:tc>
        <w:tc>
          <w:tcPr>
            <w:tcW w:w="320" w:type="dxa"/>
            <w:vAlign w:val="bottom"/>
          </w:tcPr>
          <w:p>
            <w:pPr>
              <w:spacing w:after="0"/>
              <w:rPr>
                <w:sz w:val="17"/>
                <w:szCs w:val="17"/>
                <w:color w:val="auto"/>
              </w:rPr>
            </w:pPr>
          </w:p>
        </w:tc>
        <w:tc>
          <w:tcPr>
            <w:tcW w:w="1060" w:type="dxa"/>
            <w:vAlign w:val="bottom"/>
          </w:tcPr>
          <w:p>
            <w:pPr>
              <w:jc w:val="right"/>
              <w:ind w:right="51"/>
              <w:spacing w:after="0" w:line="202" w:lineRule="exact"/>
              <w:rPr>
                <w:sz w:val="20"/>
                <w:szCs w:val="20"/>
                <w:color w:val="auto"/>
              </w:rPr>
            </w:pPr>
            <w:r>
              <w:rPr>
                <w:rFonts w:ascii="Arial" w:cs="Arial" w:eastAsia="Arial" w:hAnsi="Arial"/>
                <w:sz w:val="18"/>
                <w:szCs w:val="18"/>
                <w:color w:val="auto"/>
              </w:rPr>
              <w:t>78.3</w:t>
            </w:r>
          </w:p>
        </w:tc>
        <w:tc>
          <w:tcPr>
            <w:tcW w:w="40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79.7</w:t>
            </w:r>
          </w:p>
        </w:tc>
        <w:tc>
          <w:tcPr>
            <w:tcW w:w="20" w:type="dxa"/>
            <w:vAlign w:val="bottom"/>
          </w:tcPr>
          <w:p>
            <w:pPr>
              <w:spacing w:after="0"/>
              <w:rPr>
                <w:sz w:val="17"/>
                <w:szCs w:val="17"/>
                <w:color w:val="auto"/>
              </w:rPr>
            </w:pPr>
          </w:p>
        </w:tc>
      </w:tr>
      <w:tr>
        <w:trPr>
          <w:trHeight w:val="27"/>
        </w:trPr>
        <w:tc>
          <w:tcPr>
            <w:tcW w:w="20" w:type="dxa"/>
            <w:vAlign w:val="bottom"/>
          </w:tcPr>
          <w:p>
            <w:pPr>
              <w:spacing w:after="0"/>
              <w:rPr>
                <w:sz w:val="2"/>
                <w:szCs w:val="2"/>
                <w:color w:val="auto"/>
              </w:rPr>
            </w:pPr>
          </w:p>
        </w:tc>
        <w:tc>
          <w:tcPr>
            <w:tcW w:w="7020" w:type="dxa"/>
            <w:vAlign w:val="bottom"/>
            <w:shd w:val="clear" w:color="auto" w:fill="939598"/>
          </w:tcPr>
          <w:p>
            <w:pPr>
              <w:spacing w:after="0"/>
              <w:rPr>
                <w:sz w:val="2"/>
                <w:szCs w:val="2"/>
                <w:color w:val="auto"/>
              </w:rPr>
            </w:pPr>
          </w:p>
        </w:tc>
        <w:tc>
          <w:tcPr>
            <w:tcW w:w="120" w:type="dxa"/>
            <w:vAlign w:val="bottom"/>
            <w:shd w:val="clear" w:color="auto" w:fill="939598"/>
          </w:tcPr>
          <w:p>
            <w:pPr>
              <w:spacing w:after="0"/>
              <w:rPr>
                <w:sz w:val="2"/>
                <w:szCs w:val="2"/>
                <w:color w:val="auto"/>
              </w:rPr>
            </w:pPr>
          </w:p>
        </w:tc>
        <w:tc>
          <w:tcPr>
            <w:tcW w:w="1340" w:type="dxa"/>
            <w:vAlign w:val="bottom"/>
            <w:shd w:val="clear" w:color="auto" w:fill="939598"/>
          </w:tcPr>
          <w:p>
            <w:pPr>
              <w:spacing w:after="0"/>
              <w:rPr>
                <w:sz w:val="2"/>
                <w:szCs w:val="2"/>
                <w:color w:val="auto"/>
              </w:rPr>
            </w:pPr>
          </w:p>
        </w:tc>
        <w:tc>
          <w:tcPr>
            <w:tcW w:w="320" w:type="dxa"/>
            <w:vAlign w:val="bottom"/>
            <w:shd w:val="clear" w:color="auto" w:fill="939598"/>
          </w:tcPr>
          <w:p>
            <w:pPr>
              <w:spacing w:after="0"/>
              <w:rPr>
                <w:sz w:val="2"/>
                <w:szCs w:val="2"/>
                <w:color w:val="auto"/>
              </w:rPr>
            </w:pPr>
          </w:p>
        </w:tc>
        <w:tc>
          <w:tcPr>
            <w:tcW w:w="1060" w:type="dxa"/>
            <w:vAlign w:val="bottom"/>
            <w:shd w:val="clear" w:color="auto" w:fill="939598"/>
          </w:tcPr>
          <w:p>
            <w:pPr>
              <w:spacing w:after="0"/>
              <w:rPr>
                <w:sz w:val="2"/>
                <w:szCs w:val="2"/>
                <w:color w:val="auto"/>
              </w:rPr>
            </w:pPr>
          </w:p>
        </w:tc>
        <w:tc>
          <w:tcPr>
            <w:tcW w:w="400" w:type="dxa"/>
            <w:vAlign w:val="bottom"/>
            <w:shd w:val="clear" w:color="auto" w:fill="939598"/>
          </w:tcPr>
          <w:p>
            <w:pPr>
              <w:spacing w:after="0"/>
              <w:rPr>
                <w:sz w:val="2"/>
                <w:szCs w:val="2"/>
                <w:color w:val="auto"/>
              </w:rPr>
            </w:pPr>
          </w:p>
        </w:tc>
        <w:tc>
          <w:tcPr>
            <w:tcW w:w="920" w:type="dxa"/>
            <w:vAlign w:val="bottom"/>
            <w:shd w:val="clear" w:color="auto" w:fill="939598"/>
          </w:tcPr>
          <w:p>
            <w:pPr>
              <w:spacing w:after="0"/>
              <w:rPr>
                <w:sz w:val="2"/>
                <w:szCs w:val="2"/>
                <w:color w:val="auto"/>
              </w:rPr>
            </w:pPr>
          </w:p>
        </w:tc>
        <w:tc>
          <w:tcPr>
            <w:tcW w:w="20" w:type="dxa"/>
            <w:vAlign w:val="bottom"/>
          </w:tcPr>
          <w:p>
            <w:pPr>
              <w:spacing w:after="0"/>
              <w:rPr>
                <w:sz w:val="2"/>
                <w:szCs w:val="2"/>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4D8ABE"/>
        </w:rPr>
        <w:t xml:space="preserve">44 </w:t>
      </w:r>
      <w:r>
        <w:rPr>
          <w:rFonts w:ascii="Arial" w:cs="Arial" w:eastAsia="Arial" w:hAnsi="Arial"/>
          <w:sz w:val="16"/>
          <w:szCs w:val="16"/>
          <w:color w:val="4D8ABE"/>
        </w:rPr>
        <w:t>Manpower 2010 Annual Report</w:t>
      </w:r>
      <w:r>
        <w:rPr>
          <w:rFonts w:ascii="Arial" w:cs="Arial" w:eastAsia="Arial" w:hAnsi="Arial"/>
          <w:sz w:val="16"/>
          <w:szCs w:val="16"/>
          <w:b w:val="1"/>
          <w:bCs w:val="1"/>
          <w:color w:val="4D8ABE"/>
        </w:rPr>
        <w:t xml:space="preserve"> </w:t>
      </w:r>
      <w:r>
        <w:rPr>
          <w:rFonts w:ascii="Arial" w:cs="Arial" w:eastAsia="Arial" w:hAnsi="Arial"/>
          <w:sz w:val="16"/>
          <w:szCs w:val="16"/>
          <w:b w:val="1"/>
          <w:bCs w:val="1"/>
          <w:color w:val="939598"/>
        </w:rPr>
        <w:t>Consolidated Statements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wp:posOffset>
            </wp:positionV>
            <wp:extent cx="7267575" cy="469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ectPr>
          <w:pgSz w:w="11900" w:h="16838" w:orient="portrait"/>
          <w:cols w:equalWidth="0" w:num="1">
            <w:col w:w="11200"/>
          </w:cols>
          <w:pgMar w:left="240" w:top="349" w:right="459" w:bottom="1440" w:gutter="0" w:footer="0" w:header="0"/>
        </w:sectPr>
      </w:pPr>
    </w:p>
    <w:bookmarkStart w:id="74" w:name="page75"/>
    <w:bookmarkEnd w:id="74"/>
    <w:p>
      <w:pPr>
        <w:spacing w:after="0"/>
        <w:rPr>
          <w:sz w:val="20"/>
          <w:szCs w:val="20"/>
          <w:color w:val="auto"/>
        </w:rPr>
      </w:pPr>
      <w:r>
        <w:rPr>
          <w:rFonts w:ascii="Arial" w:cs="Arial" w:eastAsia="Arial" w:hAnsi="Arial"/>
          <w:sz w:val="22"/>
          <w:szCs w:val="22"/>
          <w:color w:val="4D8ABE"/>
        </w:rPr>
        <w:t>Consolidated Balance Sheets</w:t>
      </w:r>
    </w:p>
    <w:p>
      <w:pPr>
        <w:spacing w:after="0"/>
        <w:rPr>
          <w:sz w:val="20"/>
          <w:szCs w:val="20"/>
          <w:color w:val="auto"/>
        </w:rPr>
      </w:pPr>
      <w:r>
        <w:rPr>
          <w:rFonts w:ascii="Arial" w:cs="Arial" w:eastAsia="Arial" w:hAnsi="Arial"/>
          <w:sz w:val="18"/>
          <w:szCs w:val="18"/>
          <w:color w:val="4D8ABE"/>
        </w:rPr>
        <w:t>in millions, except share and per share data</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040" w:type="dxa"/>
            <w:vAlign w:val="bottom"/>
            <w:gridSpan w:val="2"/>
          </w:tcPr>
          <w:p>
            <w:pPr>
              <w:spacing w:after="0"/>
              <w:rPr>
                <w:sz w:val="20"/>
                <w:szCs w:val="20"/>
                <w:color w:val="auto"/>
              </w:rPr>
            </w:pPr>
            <w:r>
              <w:rPr>
                <w:rFonts w:ascii="Arial" w:cs="Arial" w:eastAsia="Arial" w:hAnsi="Arial"/>
                <w:sz w:val="16"/>
                <w:szCs w:val="16"/>
                <w:b w:val="1"/>
                <w:bCs w:val="1"/>
                <w:color w:val="86B6A5"/>
              </w:rPr>
              <w:t>December 31</w:t>
            </w:r>
          </w:p>
        </w:tc>
        <w:tc>
          <w:tcPr>
            <w:tcW w:w="120" w:type="dxa"/>
            <w:vAlign w:val="bottom"/>
            <w:shd w:val="clear" w:color="auto" w:fill="86B6A5"/>
          </w:tcPr>
          <w:p>
            <w:pPr>
              <w:spacing w:after="0"/>
              <w:rPr>
                <w:sz w:val="18"/>
                <w:szCs w:val="18"/>
                <w:color w:val="auto"/>
              </w:rPr>
            </w:pPr>
          </w:p>
        </w:tc>
        <w:tc>
          <w:tcPr>
            <w:tcW w:w="1580" w:type="dxa"/>
            <w:vAlign w:val="bottom"/>
            <w:shd w:val="clear" w:color="auto" w:fill="86B6A5"/>
          </w:tcPr>
          <w:p>
            <w:pPr>
              <w:jc w:val="right"/>
              <w:ind w:right="130"/>
              <w:spacing w:after="0"/>
              <w:rPr>
                <w:sz w:val="20"/>
                <w:szCs w:val="20"/>
                <w:color w:val="auto"/>
              </w:rPr>
            </w:pPr>
            <w:r>
              <w:rPr>
                <w:rFonts w:ascii="Arial" w:cs="Arial" w:eastAsia="Arial" w:hAnsi="Arial"/>
                <w:sz w:val="16"/>
                <w:szCs w:val="16"/>
                <w:b w:val="1"/>
                <w:bCs w:val="1"/>
                <w:color w:val="FFFFFF"/>
              </w:rPr>
              <w:t>2010</w:t>
            </w:r>
          </w:p>
        </w:tc>
        <w:tc>
          <w:tcPr>
            <w:tcW w:w="4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86B6A5"/>
              </w:rPr>
              <w:t>2009</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180"/>
        </w:trPr>
        <w:tc>
          <w:tcPr>
            <w:tcW w:w="20" w:type="dxa"/>
            <w:vAlign w:val="bottom"/>
          </w:tcPr>
          <w:p>
            <w:pPr>
              <w:spacing w:after="0"/>
              <w:rPr>
                <w:sz w:val="15"/>
                <w:szCs w:val="15"/>
                <w:color w:val="auto"/>
              </w:rPr>
            </w:pPr>
          </w:p>
        </w:tc>
        <w:tc>
          <w:tcPr>
            <w:tcW w:w="8020" w:type="dxa"/>
            <w:vAlign w:val="bottom"/>
            <w:tcBorders>
              <w:top w:val="single" w:sz="8" w:color="86B6A5"/>
            </w:tcBorders>
          </w:tcPr>
          <w:p>
            <w:pPr>
              <w:spacing w:after="0" w:line="180" w:lineRule="exact"/>
              <w:rPr>
                <w:sz w:val="20"/>
                <w:szCs w:val="20"/>
                <w:color w:val="auto"/>
              </w:rPr>
            </w:pPr>
            <w:r>
              <w:rPr>
                <w:rFonts w:ascii="Arial" w:cs="Arial" w:eastAsia="Arial" w:hAnsi="Arial"/>
                <w:sz w:val="18"/>
                <w:szCs w:val="18"/>
                <w:b w:val="1"/>
                <w:bCs w:val="1"/>
                <w:color w:val="86B6A5"/>
              </w:rPr>
              <w:t>ASSETS</w:t>
            </w:r>
          </w:p>
        </w:tc>
        <w:tc>
          <w:tcPr>
            <w:tcW w:w="120" w:type="dxa"/>
            <w:vAlign w:val="bottom"/>
            <w:tcBorders>
              <w:top w:val="single" w:sz="8" w:color="86B6A5"/>
            </w:tcBorders>
            <w:shd w:val="clear" w:color="auto" w:fill="E3F1DA"/>
          </w:tcPr>
          <w:p>
            <w:pPr>
              <w:spacing w:after="0"/>
              <w:rPr>
                <w:sz w:val="15"/>
                <w:szCs w:val="15"/>
                <w:color w:val="auto"/>
              </w:rPr>
            </w:pPr>
          </w:p>
        </w:tc>
        <w:tc>
          <w:tcPr>
            <w:tcW w:w="1580" w:type="dxa"/>
            <w:vAlign w:val="bottom"/>
            <w:tcBorders>
              <w:top w:val="single" w:sz="8" w:color="86B6A5"/>
            </w:tcBorders>
            <w:shd w:val="clear" w:color="auto" w:fill="E3F1DA"/>
          </w:tcPr>
          <w:p>
            <w:pPr>
              <w:spacing w:after="0"/>
              <w:rPr>
                <w:sz w:val="15"/>
                <w:szCs w:val="15"/>
                <w:color w:val="auto"/>
              </w:rPr>
            </w:pPr>
          </w:p>
        </w:tc>
        <w:tc>
          <w:tcPr>
            <w:tcW w:w="440" w:type="dxa"/>
            <w:vAlign w:val="bottom"/>
            <w:tcBorders>
              <w:top w:val="single" w:sz="8" w:color="86B6A5"/>
            </w:tcBorders>
          </w:tcPr>
          <w:p>
            <w:pPr>
              <w:spacing w:after="0"/>
              <w:rPr>
                <w:sz w:val="15"/>
                <w:szCs w:val="15"/>
                <w:color w:val="auto"/>
              </w:rPr>
            </w:pPr>
          </w:p>
        </w:tc>
        <w:tc>
          <w:tcPr>
            <w:tcW w:w="1020" w:type="dxa"/>
            <w:vAlign w:val="bottom"/>
            <w:tcBorders>
              <w:top w:val="single" w:sz="8" w:color="86B6A5"/>
            </w:tcBorders>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225"/>
        </w:trPr>
        <w:tc>
          <w:tcPr>
            <w:tcW w:w="8040" w:type="dxa"/>
            <w:vAlign w:val="bottom"/>
            <w:gridSpan w:val="2"/>
          </w:tcPr>
          <w:p>
            <w:pPr>
              <w:spacing w:after="0"/>
              <w:rPr>
                <w:sz w:val="20"/>
                <w:szCs w:val="20"/>
                <w:color w:val="auto"/>
              </w:rPr>
            </w:pPr>
            <w:r>
              <w:rPr>
                <w:rFonts w:ascii="Arial" w:cs="Arial" w:eastAsia="Arial" w:hAnsi="Arial"/>
                <w:sz w:val="18"/>
                <w:szCs w:val="18"/>
                <w:b w:val="1"/>
                <w:bCs w:val="1"/>
                <w:color w:val="939598"/>
              </w:rPr>
              <w:t>Current Assets</w:t>
            </w:r>
          </w:p>
        </w:tc>
        <w:tc>
          <w:tcPr>
            <w:tcW w:w="120" w:type="dxa"/>
            <w:vAlign w:val="bottom"/>
            <w:shd w:val="clear" w:color="auto" w:fill="E3F1DA"/>
          </w:tcPr>
          <w:p>
            <w:pPr>
              <w:spacing w:after="0"/>
              <w:rPr>
                <w:sz w:val="19"/>
                <w:szCs w:val="19"/>
                <w:color w:val="auto"/>
              </w:rPr>
            </w:pPr>
          </w:p>
        </w:tc>
        <w:tc>
          <w:tcPr>
            <w:tcW w:w="1580" w:type="dxa"/>
            <w:vAlign w:val="bottom"/>
            <w:shd w:val="clear" w:color="auto" w:fill="E3F1DA"/>
          </w:tcPr>
          <w:p>
            <w:pPr>
              <w:spacing w:after="0"/>
              <w:rPr>
                <w:sz w:val="19"/>
                <w:szCs w:val="19"/>
                <w:color w:val="auto"/>
              </w:rPr>
            </w:pPr>
          </w:p>
        </w:tc>
        <w:tc>
          <w:tcPr>
            <w:tcW w:w="4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02"/>
        </w:trPr>
        <w:tc>
          <w:tcPr>
            <w:tcW w:w="8040" w:type="dxa"/>
            <w:vAlign w:val="bottom"/>
            <w:gridSpan w:val="2"/>
          </w:tcPr>
          <w:p>
            <w:pPr>
              <w:spacing w:after="0" w:line="201" w:lineRule="exact"/>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E3F1DA"/>
          </w:tcPr>
          <w:p>
            <w:pPr>
              <w:jc w:val="right"/>
              <w:spacing w:after="0" w:line="201" w:lineRule="exact"/>
              <w:rPr>
                <w:sz w:val="20"/>
                <w:szCs w:val="20"/>
                <w:color w:val="auto"/>
              </w:rPr>
            </w:pPr>
            <w:r>
              <w:rPr>
                <w:rFonts w:ascii="Arial" w:cs="Arial" w:eastAsia="Arial" w:hAnsi="Arial"/>
                <w:sz w:val="18"/>
                <w:szCs w:val="18"/>
                <w:color w:val="86B6A5"/>
                <w:w w:val="79"/>
              </w:rPr>
              <w:t>$</w:t>
            </w:r>
          </w:p>
        </w:tc>
        <w:tc>
          <w:tcPr>
            <w:tcW w:w="1580" w:type="dxa"/>
            <w:vAlign w:val="bottom"/>
          </w:tcPr>
          <w:p>
            <w:pPr>
              <w:jc w:val="right"/>
              <w:ind w:right="130"/>
              <w:spacing w:after="0" w:line="201" w:lineRule="exact"/>
              <w:rPr>
                <w:sz w:val="20"/>
                <w:szCs w:val="20"/>
                <w:color w:val="auto"/>
              </w:rPr>
            </w:pPr>
            <w:r>
              <w:rPr>
                <w:rFonts w:ascii="Arial" w:cs="Arial" w:eastAsia="Arial" w:hAnsi="Arial"/>
                <w:sz w:val="18"/>
                <w:szCs w:val="18"/>
                <w:color w:val="86B6A5"/>
              </w:rPr>
              <w:t>772.6</w:t>
            </w:r>
          </w:p>
        </w:tc>
        <w:tc>
          <w:tcPr>
            <w:tcW w:w="440" w:type="dxa"/>
            <w:vAlign w:val="bottom"/>
          </w:tcPr>
          <w:p>
            <w:pPr>
              <w:jc w:val="right"/>
              <w:ind w:right="250"/>
              <w:spacing w:after="0" w:line="201" w:lineRule="exact"/>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0"/>
              <w:spacing w:after="0" w:line="201" w:lineRule="exact"/>
              <w:rPr>
                <w:sz w:val="20"/>
                <w:szCs w:val="20"/>
                <w:color w:val="auto"/>
              </w:rPr>
            </w:pPr>
            <w:r>
              <w:rPr>
                <w:rFonts w:ascii="Arial" w:cs="Arial" w:eastAsia="Arial" w:hAnsi="Arial"/>
                <w:sz w:val="18"/>
                <w:szCs w:val="18"/>
                <w:color w:val="auto"/>
              </w:rPr>
              <w:t>1,014.6</w:t>
            </w:r>
          </w:p>
        </w:tc>
        <w:tc>
          <w:tcPr>
            <w:tcW w:w="40" w:type="dxa"/>
            <w:vAlign w:val="bottom"/>
          </w:tcPr>
          <w:p>
            <w:pPr>
              <w:spacing w:after="0"/>
              <w:rPr>
                <w:sz w:val="17"/>
                <w:szCs w:val="17"/>
                <w:color w:val="auto"/>
              </w:rPr>
            </w:pPr>
          </w:p>
        </w:tc>
      </w:tr>
      <w:tr>
        <w:trPr>
          <w:trHeight w:val="203"/>
        </w:trPr>
        <w:tc>
          <w:tcPr>
            <w:tcW w:w="8040" w:type="dxa"/>
            <w:vAlign w:val="bottom"/>
            <w:gridSpan w:val="2"/>
          </w:tcPr>
          <w:p>
            <w:pPr>
              <w:spacing w:after="0" w:line="202" w:lineRule="exact"/>
              <w:rPr>
                <w:sz w:val="20"/>
                <w:szCs w:val="20"/>
                <w:color w:val="auto"/>
              </w:rPr>
            </w:pPr>
            <w:r>
              <w:rPr>
                <w:rFonts w:ascii="Arial" w:cs="Arial" w:eastAsia="Arial" w:hAnsi="Arial"/>
                <w:sz w:val="18"/>
                <w:szCs w:val="18"/>
                <w:color w:val="auto"/>
              </w:rPr>
              <w:t>Accounts receivable, less allowance for doubtful accounts of $111.6 and $118.3, respectively</w:t>
            </w:r>
          </w:p>
        </w:tc>
        <w:tc>
          <w:tcPr>
            <w:tcW w:w="120" w:type="dxa"/>
            <w:vAlign w:val="bottom"/>
            <w:shd w:val="clear" w:color="auto" w:fill="E3F1DA"/>
          </w:tcPr>
          <w:p>
            <w:pPr>
              <w:spacing w:after="0"/>
              <w:rPr>
                <w:sz w:val="17"/>
                <w:szCs w:val="17"/>
                <w:color w:val="auto"/>
              </w:rPr>
            </w:pPr>
          </w:p>
        </w:tc>
        <w:tc>
          <w:tcPr>
            <w:tcW w:w="1580" w:type="dxa"/>
            <w:vAlign w:val="bottom"/>
          </w:tcPr>
          <w:p>
            <w:pPr>
              <w:jc w:val="right"/>
              <w:ind w:right="130"/>
              <w:spacing w:after="0" w:line="202" w:lineRule="exact"/>
              <w:rPr>
                <w:sz w:val="20"/>
                <w:szCs w:val="20"/>
                <w:color w:val="auto"/>
              </w:rPr>
            </w:pPr>
            <w:r>
              <w:rPr>
                <w:rFonts w:ascii="Arial" w:cs="Arial" w:eastAsia="Arial" w:hAnsi="Arial"/>
                <w:sz w:val="18"/>
                <w:szCs w:val="18"/>
                <w:color w:val="86B6A5"/>
              </w:rPr>
              <w:t>3,844.1</w:t>
            </w:r>
          </w:p>
        </w:tc>
        <w:tc>
          <w:tcPr>
            <w:tcW w:w="440" w:type="dxa"/>
            <w:vAlign w:val="bottom"/>
          </w:tcPr>
          <w:p>
            <w:pPr>
              <w:spacing w:after="0"/>
              <w:rPr>
                <w:sz w:val="17"/>
                <w:szCs w:val="17"/>
                <w:color w:val="auto"/>
              </w:rPr>
            </w:pPr>
          </w:p>
        </w:tc>
        <w:tc>
          <w:tcPr>
            <w:tcW w:w="10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3,070.8</w:t>
            </w:r>
          </w:p>
        </w:tc>
        <w:tc>
          <w:tcPr>
            <w:tcW w:w="40" w:type="dxa"/>
            <w:vAlign w:val="bottom"/>
          </w:tcPr>
          <w:p>
            <w:pPr>
              <w:spacing w:after="0"/>
              <w:rPr>
                <w:sz w:val="17"/>
                <w:szCs w:val="17"/>
                <w:color w:val="auto"/>
              </w:rPr>
            </w:pPr>
          </w:p>
        </w:tc>
      </w:tr>
      <w:tr>
        <w:trPr>
          <w:trHeight w:val="203"/>
        </w:trPr>
        <w:tc>
          <w:tcPr>
            <w:tcW w:w="8040" w:type="dxa"/>
            <w:vAlign w:val="bottom"/>
            <w:gridSpan w:val="2"/>
          </w:tcPr>
          <w:p>
            <w:pPr>
              <w:spacing w:after="0" w:line="202" w:lineRule="exact"/>
              <w:rPr>
                <w:sz w:val="20"/>
                <w:szCs w:val="20"/>
                <w:color w:val="auto"/>
              </w:rPr>
            </w:pPr>
            <w:r>
              <w:rPr>
                <w:rFonts w:ascii="Arial" w:cs="Arial" w:eastAsia="Arial" w:hAnsi="Arial"/>
                <w:sz w:val="18"/>
                <w:szCs w:val="18"/>
                <w:color w:val="auto"/>
              </w:rPr>
              <w:t>Prepaid expenses and other assets</w:t>
            </w:r>
          </w:p>
        </w:tc>
        <w:tc>
          <w:tcPr>
            <w:tcW w:w="120" w:type="dxa"/>
            <w:vAlign w:val="bottom"/>
            <w:shd w:val="clear" w:color="auto" w:fill="E3F1DA"/>
          </w:tcPr>
          <w:p>
            <w:pPr>
              <w:spacing w:after="0"/>
              <w:rPr>
                <w:sz w:val="17"/>
                <w:szCs w:val="17"/>
                <w:color w:val="auto"/>
              </w:rPr>
            </w:pPr>
          </w:p>
        </w:tc>
        <w:tc>
          <w:tcPr>
            <w:tcW w:w="1580" w:type="dxa"/>
            <w:vAlign w:val="bottom"/>
          </w:tcPr>
          <w:p>
            <w:pPr>
              <w:jc w:val="right"/>
              <w:ind w:right="130"/>
              <w:spacing w:after="0" w:line="202" w:lineRule="exact"/>
              <w:rPr>
                <w:sz w:val="20"/>
                <w:szCs w:val="20"/>
                <w:color w:val="auto"/>
              </w:rPr>
            </w:pPr>
            <w:r>
              <w:rPr>
                <w:rFonts w:ascii="Arial" w:cs="Arial" w:eastAsia="Arial" w:hAnsi="Arial"/>
                <w:sz w:val="18"/>
                <w:szCs w:val="18"/>
                <w:color w:val="86B6A5"/>
              </w:rPr>
              <w:t>197.6</w:t>
            </w:r>
          </w:p>
        </w:tc>
        <w:tc>
          <w:tcPr>
            <w:tcW w:w="440" w:type="dxa"/>
            <w:vAlign w:val="bottom"/>
          </w:tcPr>
          <w:p>
            <w:pPr>
              <w:spacing w:after="0"/>
              <w:rPr>
                <w:sz w:val="17"/>
                <w:szCs w:val="17"/>
                <w:color w:val="auto"/>
              </w:rPr>
            </w:pPr>
          </w:p>
        </w:tc>
        <w:tc>
          <w:tcPr>
            <w:tcW w:w="10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179.6</w:t>
            </w:r>
          </w:p>
        </w:tc>
        <w:tc>
          <w:tcPr>
            <w:tcW w:w="40" w:type="dxa"/>
            <w:vAlign w:val="bottom"/>
          </w:tcPr>
          <w:p>
            <w:pPr>
              <w:spacing w:after="0"/>
              <w:rPr>
                <w:sz w:val="17"/>
                <w:szCs w:val="17"/>
                <w:color w:val="auto"/>
              </w:rPr>
            </w:pPr>
          </w:p>
        </w:tc>
      </w:tr>
      <w:tr>
        <w:trPr>
          <w:trHeight w:val="203"/>
        </w:trPr>
        <w:tc>
          <w:tcPr>
            <w:tcW w:w="8040" w:type="dxa"/>
            <w:vAlign w:val="bottom"/>
            <w:gridSpan w:val="2"/>
          </w:tcPr>
          <w:p>
            <w:pPr>
              <w:spacing w:after="0" w:line="203" w:lineRule="exact"/>
              <w:rPr>
                <w:sz w:val="20"/>
                <w:szCs w:val="20"/>
                <w:color w:val="auto"/>
              </w:rPr>
            </w:pPr>
            <w:r>
              <w:rPr>
                <w:rFonts w:ascii="Arial" w:cs="Arial" w:eastAsia="Arial" w:hAnsi="Arial"/>
                <w:sz w:val="18"/>
                <w:szCs w:val="18"/>
                <w:color w:val="auto"/>
              </w:rPr>
              <w:t>Future income tax benefits</w:t>
            </w:r>
          </w:p>
        </w:tc>
        <w:tc>
          <w:tcPr>
            <w:tcW w:w="120" w:type="dxa"/>
            <w:vAlign w:val="bottom"/>
            <w:shd w:val="clear" w:color="auto" w:fill="E3F1DA"/>
          </w:tcPr>
          <w:p>
            <w:pPr>
              <w:spacing w:after="0"/>
              <w:rPr>
                <w:sz w:val="17"/>
                <w:szCs w:val="17"/>
                <w:color w:val="auto"/>
              </w:rPr>
            </w:pPr>
          </w:p>
        </w:tc>
        <w:tc>
          <w:tcPr>
            <w:tcW w:w="1580" w:type="dxa"/>
            <w:vAlign w:val="bottom"/>
          </w:tcPr>
          <w:p>
            <w:pPr>
              <w:jc w:val="right"/>
              <w:ind w:right="130"/>
              <w:spacing w:after="0" w:line="203" w:lineRule="exact"/>
              <w:rPr>
                <w:sz w:val="20"/>
                <w:szCs w:val="20"/>
                <w:color w:val="auto"/>
              </w:rPr>
            </w:pPr>
            <w:r>
              <w:rPr>
                <w:rFonts w:ascii="Arial" w:cs="Arial" w:eastAsia="Arial" w:hAnsi="Arial"/>
                <w:sz w:val="18"/>
                <w:szCs w:val="18"/>
                <w:color w:val="86B6A5"/>
              </w:rPr>
              <w:t>59.7</w:t>
            </w:r>
          </w:p>
        </w:tc>
        <w:tc>
          <w:tcPr>
            <w:tcW w:w="440" w:type="dxa"/>
            <w:vAlign w:val="bottom"/>
          </w:tcPr>
          <w:p>
            <w:pPr>
              <w:spacing w:after="0"/>
              <w:rPr>
                <w:sz w:val="17"/>
                <w:szCs w:val="17"/>
                <w:color w:val="auto"/>
              </w:rPr>
            </w:pPr>
          </w:p>
        </w:tc>
        <w:tc>
          <w:tcPr>
            <w:tcW w:w="1020" w:type="dxa"/>
            <w:vAlign w:val="bottom"/>
          </w:tcPr>
          <w:p>
            <w:pPr>
              <w:jc w:val="right"/>
              <w:spacing w:after="0" w:line="203" w:lineRule="exact"/>
              <w:rPr>
                <w:sz w:val="20"/>
                <w:szCs w:val="20"/>
                <w:color w:val="auto"/>
              </w:rPr>
            </w:pPr>
            <w:r>
              <w:rPr>
                <w:rFonts w:ascii="Arial" w:cs="Arial" w:eastAsia="Arial" w:hAnsi="Arial"/>
                <w:sz w:val="18"/>
                <w:szCs w:val="18"/>
                <w:color w:val="auto"/>
              </w:rPr>
              <w:t>67.4</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73"/>
        </w:trPr>
        <w:tc>
          <w:tcPr>
            <w:tcW w:w="20" w:type="dxa"/>
            <w:vAlign w:val="bottom"/>
          </w:tcPr>
          <w:p>
            <w:pPr>
              <w:spacing w:after="0"/>
              <w:rPr>
                <w:sz w:val="15"/>
                <w:szCs w:val="15"/>
                <w:color w:val="auto"/>
              </w:rPr>
            </w:pPr>
          </w:p>
        </w:tc>
        <w:tc>
          <w:tcPr>
            <w:tcW w:w="8020" w:type="dxa"/>
            <w:vAlign w:val="bottom"/>
            <w:tcBorders>
              <w:top w:val="single" w:sz="8" w:color="939598"/>
            </w:tcBorders>
          </w:tcPr>
          <w:p>
            <w:pPr>
              <w:ind w:left="260"/>
              <w:spacing w:after="0" w:line="173" w:lineRule="exact"/>
              <w:rPr>
                <w:sz w:val="20"/>
                <w:szCs w:val="20"/>
                <w:color w:val="auto"/>
              </w:rPr>
            </w:pPr>
            <w:r>
              <w:rPr>
                <w:rFonts w:ascii="Arial" w:cs="Arial" w:eastAsia="Arial" w:hAnsi="Arial"/>
                <w:sz w:val="18"/>
                <w:szCs w:val="18"/>
                <w:color w:val="auto"/>
              </w:rPr>
              <w:t>Total current assets</w:t>
            </w:r>
          </w:p>
        </w:tc>
        <w:tc>
          <w:tcPr>
            <w:tcW w:w="120" w:type="dxa"/>
            <w:vAlign w:val="bottom"/>
            <w:tcBorders>
              <w:top w:val="single" w:sz="8" w:color="939598"/>
            </w:tcBorders>
            <w:shd w:val="clear" w:color="auto" w:fill="E3F1DA"/>
          </w:tcPr>
          <w:p>
            <w:pPr>
              <w:spacing w:after="0"/>
              <w:rPr>
                <w:sz w:val="15"/>
                <w:szCs w:val="15"/>
                <w:color w:val="auto"/>
              </w:rPr>
            </w:pPr>
          </w:p>
        </w:tc>
        <w:tc>
          <w:tcPr>
            <w:tcW w:w="1580" w:type="dxa"/>
            <w:vAlign w:val="bottom"/>
            <w:tcBorders>
              <w:top w:val="single" w:sz="8" w:color="939598"/>
            </w:tcBorders>
          </w:tcPr>
          <w:p>
            <w:pPr>
              <w:jc w:val="right"/>
              <w:ind w:right="130"/>
              <w:spacing w:after="0" w:line="173" w:lineRule="exact"/>
              <w:rPr>
                <w:sz w:val="20"/>
                <w:szCs w:val="20"/>
                <w:color w:val="auto"/>
              </w:rPr>
            </w:pPr>
            <w:r>
              <w:rPr>
                <w:rFonts w:ascii="Arial" w:cs="Arial" w:eastAsia="Arial" w:hAnsi="Arial"/>
                <w:sz w:val="18"/>
                <w:szCs w:val="18"/>
                <w:color w:val="86B6A5"/>
              </w:rPr>
              <w:t>4,874.0</w:t>
            </w:r>
          </w:p>
        </w:tc>
        <w:tc>
          <w:tcPr>
            <w:tcW w:w="440" w:type="dxa"/>
            <w:vAlign w:val="bottom"/>
            <w:tcBorders>
              <w:top w:val="single" w:sz="8" w:color="939598"/>
            </w:tcBorders>
          </w:tcPr>
          <w:p>
            <w:pPr>
              <w:spacing w:after="0"/>
              <w:rPr>
                <w:sz w:val="15"/>
                <w:szCs w:val="15"/>
                <w:color w:val="auto"/>
              </w:rPr>
            </w:pPr>
          </w:p>
        </w:tc>
        <w:tc>
          <w:tcPr>
            <w:tcW w:w="1020" w:type="dxa"/>
            <w:vAlign w:val="bottom"/>
            <w:tcBorders>
              <w:top w:val="single" w:sz="8" w:color="939598"/>
            </w:tcBorders>
          </w:tcPr>
          <w:p>
            <w:pPr>
              <w:jc w:val="right"/>
              <w:spacing w:after="0" w:line="173" w:lineRule="exact"/>
              <w:rPr>
                <w:sz w:val="20"/>
                <w:szCs w:val="20"/>
                <w:color w:val="auto"/>
              </w:rPr>
            </w:pPr>
            <w:r>
              <w:rPr>
                <w:rFonts w:ascii="Arial" w:cs="Arial" w:eastAsia="Arial" w:hAnsi="Arial"/>
                <w:sz w:val="18"/>
                <w:szCs w:val="18"/>
                <w:color w:val="auto"/>
              </w:rPr>
              <w:t>4,332.4</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225"/>
        </w:trPr>
        <w:tc>
          <w:tcPr>
            <w:tcW w:w="8040" w:type="dxa"/>
            <w:vAlign w:val="bottom"/>
            <w:gridSpan w:val="2"/>
          </w:tcPr>
          <w:p>
            <w:pPr>
              <w:spacing w:after="0"/>
              <w:rPr>
                <w:sz w:val="20"/>
                <w:szCs w:val="20"/>
                <w:color w:val="auto"/>
              </w:rPr>
            </w:pPr>
            <w:r>
              <w:rPr>
                <w:rFonts w:ascii="Arial" w:cs="Arial" w:eastAsia="Arial" w:hAnsi="Arial"/>
                <w:sz w:val="18"/>
                <w:szCs w:val="18"/>
                <w:b w:val="1"/>
                <w:bCs w:val="1"/>
                <w:color w:val="939598"/>
              </w:rPr>
              <w:t>Other Assets</w:t>
            </w:r>
          </w:p>
        </w:tc>
        <w:tc>
          <w:tcPr>
            <w:tcW w:w="120" w:type="dxa"/>
            <w:vAlign w:val="bottom"/>
            <w:shd w:val="clear" w:color="auto" w:fill="E3F1DA"/>
          </w:tcPr>
          <w:p>
            <w:pPr>
              <w:spacing w:after="0"/>
              <w:rPr>
                <w:sz w:val="19"/>
                <w:szCs w:val="19"/>
                <w:color w:val="auto"/>
              </w:rPr>
            </w:pPr>
          </w:p>
        </w:tc>
        <w:tc>
          <w:tcPr>
            <w:tcW w:w="15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03"/>
        </w:trPr>
        <w:tc>
          <w:tcPr>
            <w:tcW w:w="8040" w:type="dxa"/>
            <w:vAlign w:val="bottom"/>
            <w:gridSpan w:val="2"/>
          </w:tcPr>
          <w:p>
            <w:pPr>
              <w:spacing w:after="0" w:line="202" w:lineRule="exact"/>
              <w:rPr>
                <w:sz w:val="20"/>
                <w:szCs w:val="20"/>
                <w:color w:val="auto"/>
              </w:rPr>
            </w:pPr>
            <w:r>
              <w:rPr>
                <w:rFonts w:ascii="Arial" w:cs="Arial" w:eastAsia="Arial" w:hAnsi="Arial"/>
                <w:sz w:val="18"/>
                <w:szCs w:val="18"/>
                <w:color w:val="auto"/>
              </w:rPr>
              <w:t>Goodwill</w:t>
            </w:r>
          </w:p>
        </w:tc>
        <w:tc>
          <w:tcPr>
            <w:tcW w:w="120" w:type="dxa"/>
            <w:vAlign w:val="bottom"/>
            <w:shd w:val="clear" w:color="auto" w:fill="E3F1DA"/>
          </w:tcPr>
          <w:p>
            <w:pPr>
              <w:spacing w:after="0"/>
              <w:rPr>
                <w:sz w:val="17"/>
                <w:szCs w:val="17"/>
                <w:color w:val="auto"/>
              </w:rPr>
            </w:pPr>
          </w:p>
        </w:tc>
        <w:tc>
          <w:tcPr>
            <w:tcW w:w="1580" w:type="dxa"/>
            <w:vAlign w:val="bottom"/>
          </w:tcPr>
          <w:p>
            <w:pPr>
              <w:jc w:val="right"/>
              <w:ind w:right="130"/>
              <w:spacing w:after="0" w:line="202" w:lineRule="exact"/>
              <w:rPr>
                <w:sz w:val="20"/>
                <w:szCs w:val="20"/>
                <w:color w:val="auto"/>
              </w:rPr>
            </w:pPr>
            <w:r>
              <w:rPr>
                <w:rFonts w:ascii="Arial" w:cs="Arial" w:eastAsia="Arial" w:hAnsi="Arial"/>
                <w:sz w:val="18"/>
                <w:szCs w:val="18"/>
                <w:color w:val="86B6A5"/>
              </w:rPr>
              <w:t>954.1</w:t>
            </w:r>
          </w:p>
        </w:tc>
        <w:tc>
          <w:tcPr>
            <w:tcW w:w="440" w:type="dxa"/>
            <w:vAlign w:val="bottom"/>
          </w:tcPr>
          <w:p>
            <w:pPr>
              <w:spacing w:after="0"/>
              <w:rPr>
                <w:sz w:val="17"/>
                <w:szCs w:val="17"/>
                <w:color w:val="auto"/>
              </w:rPr>
            </w:pPr>
          </w:p>
        </w:tc>
        <w:tc>
          <w:tcPr>
            <w:tcW w:w="10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959.1</w:t>
            </w:r>
          </w:p>
        </w:tc>
        <w:tc>
          <w:tcPr>
            <w:tcW w:w="40" w:type="dxa"/>
            <w:vAlign w:val="bottom"/>
          </w:tcPr>
          <w:p>
            <w:pPr>
              <w:spacing w:after="0"/>
              <w:rPr>
                <w:sz w:val="17"/>
                <w:szCs w:val="17"/>
                <w:color w:val="auto"/>
              </w:rPr>
            </w:pPr>
          </w:p>
        </w:tc>
      </w:tr>
      <w:tr>
        <w:trPr>
          <w:trHeight w:val="203"/>
        </w:trPr>
        <w:tc>
          <w:tcPr>
            <w:tcW w:w="8040" w:type="dxa"/>
            <w:vAlign w:val="bottom"/>
            <w:gridSpan w:val="2"/>
          </w:tcPr>
          <w:p>
            <w:pPr>
              <w:spacing w:after="0" w:line="202" w:lineRule="exact"/>
              <w:rPr>
                <w:sz w:val="20"/>
                <w:szCs w:val="20"/>
                <w:color w:val="auto"/>
              </w:rPr>
            </w:pPr>
            <w:r>
              <w:rPr>
                <w:rFonts w:ascii="Arial" w:cs="Arial" w:eastAsia="Arial" w:hAnsi="Arial"/>
                <w:sz w:val="18"/>
                <w:szCs w:val="18"/>
                <w:color w:val="auto"/>
              </w:rPr>
              <w:t>Intangible assets, less accumulated amortization of $138.1 and $100.5, respectively</w:t>
            </w:r>
          </w:p>
        </w:tc>
        <w:tc>
          <w:tcPr>
            <w:tcW w:w="120" w:type="dxa"/>
            <w:vAlign w:val="bottom"/>
            <w:shd w:val="clear" w:color="auto" w:fill="E3F1DA"/>
          </w:tcPr>
          <w:p>
            <w:pPr>
              <w:spacing w:after="0"/>
              <w:rPr>
                <w:sz w:val="17"/>
                <w:szCs w:val="17"/>
                <w:color w:val="auto"/>
              </w:rPr>
            </w:pPr>
          </w:p>
        </w:tc>
        <w:tc>
          <w:tcPr>
            <w:tcW w:w="1580" w:type="dxa"/>
            <w:vAlign w:val="bottom"/>
          </w:tcPr>
          <w:p>
            <w:pPr>
              <w:jc w:val="right"/>
              <w:ind w:right="130"/>
              <w:spacing w:after="0" w:line="202" w:lineRule="exact"/>
              <w:rPr>
                <w:sz w:val="20"/>
                <w:szCs w:val="20"/>
                <w:color w:val="auto"/>
              </w:rPr>
            </w:pPr>
            <w:r>
              <w:rPr>
                <w:rFonts w:ascii="Arial" w:cs="Arial" w:eastAsia="Arial" w:hAnsi="Arial"/>
                <w:sz w:val="18"/>
                <w:szCs w:val="18"/>
                <w:color w:val="86B6A5"/>
              </w:rPr>
              <w:t>376.2</w:t>
            </w:r>
          </w:p>
        </w:tc>
        <w:tc>
          <w:tcPr>
            <w:tcW w:w="440" w:type="dxa"/>
            <w:vAlign w:val="bottom"/>
          </w:tcPr>
          <w:p>
            <w:pPr>
              <w:spacing w:after="0"/>
              <w:rPr>
                <w:sz w:val="17"/>
                <w:szCs w:val="17"/>
                <w:color w:val="auto"/>
              </w:rPr>
            </w:pPr>
          </w:p>
        </w:tc>
        <w:tc>
          <w:tcPr>
            <w:tcW w:w="10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398.4</w:t>
            </w:r>
          </w:p>
        </w:tc>
        <w:tc>
          <w:tcPr>
            <w:tcW w:w="40" w:type="dxa"/>
            <w:vAlign w:val="bottom"/>
          </w:tcPr>
          <w:p>
            <w:pPr>
              <w:spacing w:after="0"/>
              <w:rPr>
                <w:sz w:val="17"/>
                <w:szCs w:val="17"/>
                <w:color w:val="auto"/>
              </w:rPr>
            </w:pPr>
          </w:p>
        </w:tc>
      </w:tr>
      <w:tr>
        <w:trPr>
          <w:trHeight w:val="203"/>
        </w:trPr>
        <w:tc>
          <w:tcPr>
            <w:tcW w:w="8040" w:type="dxa"/>
            <w:vAlign w:val="bottom"/>
            <w:gridSpan w:val="2"/>
          </w:tcPr>
          <w:p>
            <w:pPr>
              <w:spacing w:after="0" w:line="203" w:lineRule="exact"/>
              <w:rPr>
                <w:sz w:val="20"/>
                <w:szCs w:val="20"/>
                <w:color w:val="auto"/>
              </w:rPr>
            </w:pPr>
            <w:r>
              <w:rPr>
                <w:rFonts w:ascii="Arial" w:cs="Arial" w:eastAsia="Arial" w:hAnsi="Arial"/>
                <w:sz w:val="18"/>
                <w:szCs w:val="18"/>
                <w:color w:val="auto"/>
              </w:rPr>
              <w:t>Other assets</w:t>
            </w:r>
          </w:p>
        </w:tc>
        <w:tc>
          <w:tcPr>
            <w:tcW w:w="120" w:type="dxa"/>
            <w:vAlign w:val="bottom"/>
            <w:shd w:val="clear" w:color="auto" w:fill="E3F1DA"/>
          </w:tcPr>
          <w:p>
            <w:pPr>
              <w:spacing w:after="0"/>
              <w:rPr>
                <w:sz w:val="17"/>
                <w:szCs w:val="17"/>
                <w:color w:val="auto"/>
              </w:rPr>
            </w:pPr>
          </w:p>
        </w:tc>
        <w:tc>
          <w:tcPr>
            <w:tcW w:w="1580" w:type="dxa"/>
            <w:vAlign w:val="bottom"/>
          </w:tcPr>
          <w:p>
            <w:pPr>
              <w:jc w:val="right"/>
              <w:ind w:right="130"/>
              <w:spacing w:after="0" w:line="203" w:lineRule="exact"/>
              <w:rPr>
                <w:sz w:val="20"/>
                <w:szCs w:val="20"/>
                <w:color w:val="auto"/>
              </w:rPr>
            </w:pPr>
            <w:r>
              <w:rPr>
                <w:rFonts w:ascii="Arial" w:cs="Arial" w:eastAsia="Arial" w:hAnsi="Arial"/>
                <w:sz w:val="18"/>
                <w:szCs w:val="18"/>
                <w:color w:val="86B6A5"/>
              </w:rPr>
              <w:t>355.1</w:t>
            </w:r>
          </w:p>
        </w:tc>
        <w:tc>
          <w:tcPr>
            <w:tcW w:w="440" w:type="dxa"/>
            <w:vAlign w:val="bottom"/>
          </w:tcPr>
          <w:p>
            <w:pPr>
              <w:spacing w:after="0"/>
              <w:rPr>
                <w:sz w:val="17"/>
                <w:szCs w:val="17"/>
                <w:color w:val="auto"/>
              </w:rPr>
            </w:pPr>
          </w:p>
        </w:tc>
        <w:tc>
          <w:tcPr>
            <w:tcW w:w="1040" w:type="dxa"/>
            <w:vAlign w:val="bottom"/>
            <w:gridSpan w:val="2"/>
          </w:tcPr>
          <w:p>
            <w:pPr>
              <w:jc w:val="right"/>
              <w:ind w:right="20"/>
              <w:spacing w:after="0" w:line="203" w:lineRule="exact"/>
              <w:rPr>
                <w:sz w:val="20"/>
                <w:szCs w:val="20"/>
                <w:color w:val="auto"/>
              </w:rPr>
            </w:pPr>
            <w:r>
              <w:rPr>
                <w:rFonts w:ascii="Arial" w:cs="Arial" w:eastAsia="Arial" w:hAnsi="Arial"/>
                <w:sz w:val="18"/>
                <w:szCs w:val="18"/>
                <w:color w:val="auto"/>
              </w:rPr>
              <w:t>347.5</w:t>
            </w:r>
          </w:p>
        </w:tc>
        <w:tc>
          <w:tcPr>
            <w:tcW w:w="40" w:type="dxa"/>
            <w:vAlign w:val="bottom"/>
          </w:tcPr>
          <w:p>
            <w:pPr>
              <w:spacing w:after="0"/>
              <w:rPr>
                <w:sz w:val="17"/>
                <w:szCs w:val="17"/>
                <w:color w:val="auto"/>
              </w:rPr>
            </w:pPr>
          </w:p>
        </w:tc>
      </w:tr>
      <w:tr>
        <w:trPr>
          <w:trHeight w:val="173"/>
        </w:trPr>
        <w:tc>
          <w:tcPr>
            <w:tcW w:w="20" w:type="dxa"/>
            <w:vAlign w:val="bottom"/>
          </w:tcPr>
          <w:p>
            <w:pPr>
              <w:spacing w:after="0"/>
              <w:rPr>
                <w:sz w:val="15"/>
                <w:szCs w:val="15"/>
                <w:color w:val="auto"/>
              </w:rPr>
            </w:pPr>
          </w:p>
        </w:tc>
        <w:tc>
          <w:tcPr>
            <w:tcW w:w="8020" w:type="dxa"/>
            <w:vAlign w:val="bottom"/>
            <w:tcBorders>
              <w:top w:val="single" w:sz="8" w:color="939598"/>
            </w:tcBorders>
          </w:tcPr>
          <w:p>
            <w:pPr>
              <w:ind w:left="260"/>
              <w:spacing w:after="0" w:line="173" w:lineRule="exact"/>
              <w:rPr>
                <w:sz w:val="20"/>
                <w:szCs w:val="20"/>
                <w:color w:val="auto"/>
              </w:rPr>
            </w:pPr>
            <w:r>
              <w:rPr>
                <w:rFonts w:ascii="Arial" w:cs="Arial" w:eastAsia="Arial" w:hAnsi="Arial"/>
                <w:sz w:val="18"/>
                <w:szCs w:val="18"/>
                <w:color w:val="auto"/>
              </w:rPr>
              <w:t>Total other assets</w:t>
            </w:r>
          </w:p>
        </w:tc>
        <w:tc>
          <w:tcPr>
            <w:tcW w:w="120" w:type="dxa"/>
            <w:vAlign w:val="bottom"/>
            <w:tcBorders>
              <w:top w:val="single" w:sz="8" w:color="939598"/>
            </w:tcBorders>
            <w:shd w:val="clear" w:color="auto" w:fill="E3F1DA"/>
          </w:tcPr>
          <w:p>
            <w:pPr>
              <w:spacing w:after="0"/>
              <w:rPr>
                <w:sz w:val="15"/>
                <w:szCs w:val="15"/>
                <w:color w:val="auto"/>
              </w:rPr>
            </w:pPr>
          </w:p>
        </w:tc>
        <w:tc>
          <w:tcPr>
            <w:tcW w:w="1580" w:type="dxa"/>
            <w:vAlign w:val="bottom"/>
            <w:tcBorders>
              <w:top w:val="single" w:sz="8" w:color="939598"/>
            </w:tcBorders>
          </w:tcPr>
          <w:p>
            <w:pPr>
              <w:jc w:val="right"/>
              <w:ind w:right="130"/>
              <w:spacing w:after="0" w:line="173" w:lineRule="exact"/>
              <w:rPr>
                <w:sz w:val="20"/>
                <w:szCs w:val="20"/>
                <w:color w:val="auto"/>
              </w:rPr>
            </w:pPr>
            <w:r>
              <w:rPr>
                <w:rFonts w:ascii="Arial" w:cs="Arial" w:eastAsia="Arial" w:hAnsi="Arial"/>
                <w:sz w:val="18"/>
                <w:szCs w:val="18"/>
                <w:color w:val="86B6A5"/>
              </w:rPr>
              <w:t>1,685.4</w:t>
            </w:r>
          </w:p>
        </w:tc>
        <w:tc>
          <w:tcPr>
            <w:tcW w:w="440" w:type="dxa"/>
            <w:vAlign w:val="bottom"/>
            <w:tcBorders>
              <w:top w:val="single" w:sz="8" w:color="939598"/>
            </w:tcBorders>
          </w:tcPr>
          <w:p>
            <w:pPr>
              <w:spacing w:after="0"/>
              <w:rPr>
                <w:sz w:val="15"/>
                <w:szCs w:val="15"/>
                <w:color w:val="auto"/>
              </w:rPr>
            </w:pPr>
          </w:p>
        </w:tc>
        <w:tc>
          <w:tcPr>
            <w:tcW w:w="1040" w:type="dxa"/>
            <w:vAlign w:val="bottom"/>
            <w:tcBorders>
              <w:top w:val="single" w:sz="8" w:color="939598"/>
            </w:tcBorders>
            <w:gridSpan w:val="2"/>
          </w:tcPr>
          <w:p>
            <w:pPr>
              <w:jc w:val="right"/>
              <w:ind w:right="20"/>
              <w:spacing w:after="0" w:line="173" w:lineRule="exact"/>
              <w:rPr>
                <w:sz w:val="20"/>
                <w:szCs w:val="20"/>
                <w:color w:val="auto"/>
              </w:rPr>
            </w:pPr>
            <w:r>
              <w:rPr>
                <w:rFonts w:ascii="Arial" w:cs="Arial" w:eastAsia="Arial" w:hAnsi="Arial"/>
                <w:sz w:val="18"/>
                <w:szCs w:val="18"/>
                <w:color w:val="auto"/>
              </w:rPr>
              <w:t>1,705.0</w:t>
            </w:r>
          </w:p>
        </w:tc>
        <w:tc>
          <w:tcPr>
            <w:tcW w:w="40" w:type="dxa"/>
            <w:vAlign w:val="bottom"/>
          </w:tcPr>
          <w:p>
            <w:pPr>
              <w:spacing w:after="0"/>
              <w:rPr>
                <w:sz w:val="15"/>
                <w:szCs w:val="15"/>
                <w:color w:val="auto"/>
              </w:rPr>
            </w:pPr>
          </w:p>
        </w:tc>
      </w:tr>
      <w:tr>
        <w:trPr>
          <w:trHeight w:val="225"/>
        </w:trPr>
        <w:tc>
          <w:tcPr>
            <w:tcW w:w="8040" w:type="dxa"/>
            <w:vAlign w:val="bottom"/>
            <w:gridSpan w:val="2"/>
          </w:tcPr>
          <w:p>
            <w:pPr>
              <w:spacing w:after="0"/>
              <w:rPr>
                <w:sz w:val="20"/>
                <w:szCs w:val="20"/>
                <w:color w:val="auto"/>
              </w:rPr>
            </w:pPr>
            <w:r>
              <w:rPr>
                <w:rFonts w:ascii="Arial" w:cs="Arial" w:eastAsia="Arial" w:hAnsi="Arial"/>
                <w:sz w:val="18"/>
                <w:szCs w:val="18"/>
                <w:b w:val="1"/>
                <w:bCs w:val="1"/>
                <w:color w:val="939598"/>
              </w:rPr>
              <w:t>Property and Equipment</w:t>
            </w:r>
          </w:p>
        </w:tc>
        <w:tc>
          <w:tcPr>
            <w:tcW w:w="120" w:type="dxa"/>
            <w:vAlign w:val="bottom"/>
            <w:shd w:val="clear" w:color="auto" w:fill="E3F1DA"/>
          </w:tcPr>
          <w:p>
            <w:pPr>
              <w:spacing w:after="0"/>
              <w:rPr>
                <w:sz w:val="19"/>
                <w:szCs w:val="19"/>
                <w:color w:val="auto"/>
              </w:rPr>
            </w:pPr>
          </w:p>
        </w:tc>
        <w:tc>
          <w:tcPr>
            <w:tcW w:w="15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03"/>
        </w:trPr>
        <w:tc>
          <w:tcPr>
            <w:tcW w:w="8040" w:type="dxa"/>
            <w:vAlign w:val="bottom"/>
            <w:gridSpan w:val="2"/>
          </w:tcPr>
          <w:p>
            <w:pPr>
              <w:spacing w:after="0" w:line="202" w:lineRule="exact"/>
              <w:rPr>
                <w:sz w:val="20"/>
                <w:szCs w:val="20"/>
                <w:color w:val="auto"/>
              </w:rPr>
            </w:pPr>
            <w:r>
              <w:rPr>
                <w:rFonts w:ascii="Arial" w:cs="Arial" w:eastAsia="Arial" w:hAnsi="Arial"/>
                <w:sz w:val="18"/>
                <w:szCs w:val="18"/>
                <w:color w:val="auto"/>
              </w:rPr>
              <w:t>Land, buildings, leasehold improvements and equipment</w:t>
            </w:r>
          </w:p>
        </w:tc>
        <w:tc>
          <w:tcPr>
            <w:tcW w:w="120" w:type="dxa"/>
            <w:vAlign w:val="bottom"/>
            <w:shd w:val="clear" w:color="auto" w:fill="E3F1DA"/>
          </w:tcPr>
          <w:p>
            <w:pPr>
              <w:spacing w:after="0"/>
              <w:rPr>
                <w:sz w:val="17"/>
                <w:szCs w:val="17"/>
                <w:color w:val="auto"/>
              </w:rPr>
            </w:pPr>
          </w:p>
        </w:tc>
        <w:tc>
          <w:tcPr>
            <w:tcW w:w="1580" w:type="dxa"/>
            <w:vAlign w:val="bottom"/>
          </w:tcPr>
          <w:p>
            <w:pPr>
              <w:jc w:val="right"/>
              <w:ind w:right="130"/>
              <w:spacing w:after="0" w:line="202" w:lineRule="exact"/>
              <w:rPr>
                <w:sz w:val="20"/>
                <w:szCs w:val="20"/>
                <w:color w:val="auto"/>
              </w:rPr>
            </w:pPr>
            <w:r>
              <w:rPr>
                <w:rFonts w:ascii="Arial" w:cs="Arial" w:eastAsia="Arial" w:hAnsi="Arial"/>
                <w:sz w:val="18"/>
                <w:szCs w:val="18"/>
                <w:color w:val="86B6A5"/>
              </w:rPr>
              <w:t>688.8</w:t>
            </w:r>
          </w:p>
        </w:tc>
        <w:tc>
          <w:tcPr>
            <w:tcW w:w="440" w:type="dxa"/>
            <w:vAlign w:val="bottom"/>
          </w:tcPr>
          <w:p>
            <w:pPr>
              <w:spacing w:after="0"/>
              <w:rPr>
                <w:sz w:val="17"/>
                <w:szCs w:val="17"/>
                <w:color w:val="auto"/>
              </w:rPr>
            </w:pPr>
          </w:p>
        </w:tc>
        <w:tc>
          <w:tcPr>
            <w:tcW w:w="10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703.6</w:t>
            </w:r>
          </w:p>
        </w:tc>
        <w:tc>
          <w:tcPr>
            <w:tcW w:w="40" w:type="dxa"/>
            <w:vAlign w:val="bottom"/>
          </w:tcPr>
          <w:p>
            <w:pPr>
              <w:spacing w:after="0"/>
              <w:rPr>
                <w:sz w:val="17"/>
                <w:szCs w:val="17"/>
                <w:color w:val="auto"/>
              </w:rPr>
            </w:pPr>
          </w:p>
        </w:tc>
      </w:tr>
      <w:tr>
        <w:trPr>
          <w:trHeight w:val="203"/>
        </w:trPr>
        <w:tc>
          <w:tcPr>
            <w:tcW w:w="8040" w:type="dxa"/>
            <w:vAlign w:val="bottom"/>
            <w:gridSpan w:val="2"/>
          </w:tcPr>
          <w:p>
            <w:pPr>
              <w:spacing w:after="0" w:line="203" w:lineRule="exact"/>
              <w:rPr>
                <w:sz w:val="20"/>
                <w:szCs w:val="20"/>
                <w:color w:val="auto"/>
              </w:rPr>
            </w:pPr>
            <w:r>
              <w:rPr>
                <w:rFonts w:ascii="Arial" w:cs="Arial" w:eastAsia="Arial" w:hAnsi="Arial"/>
                <w:sz w:val="18"/>
                <w:szCs w:val="18"/>
                <w:color w:val="auto"/>
              </w:rPr>
              <w:t>Less: accumulated depreciation and amortization</w:t>
            </w:r>
          </w:p>
        </w:tc>
        <w:tc>
          <w:tcPr>
            <w:tcW w:w="120" w:type="dxa"/>
            <w:vAlign w:val="bottom"/>
            <w:shd w:val="clear" w:color="auto" w:fill="E3F1DA"/>
          </w:tcPr>
          <w:p>
            <w:pPr>
              <w:spacing w:after="0"/>
              <w:rPr>
                <w:sz w:val="17"/>
                <w:szCs w:val="17"/>
                <w:color w:val="auto"/>
              </w:rPr>
            </w:pPr>
          </w:p>
        </w:tc>
        <w:tc>
          <w:tcPr>
            <w:tcW w:w="1580" w:type="dxa"/>
            <w:vAlign w:val="bottom"/>
          </w:tcPr>
          <w:p>
            <w:pPr>
              <w:jc w:val="right"/>
              <w:ind w:right="130"/>
              <w:spacing w:after="0" w:line="203" w:lineRule="exact"/>
              <w:rPr>
                <w:sz w:val="20"/>
                <w:szCs w:val="20"/>
                <w:color w:val="auto"/>
              </w:rPr>
            </w:pPr>
            <w:r>
              <w:rPr>
                <w:rFonts w:ascii="Arial" w:cs="Arial" w:eastAsia="Arial" w:hAnsi="Arial"/>
                <w:sz w:val="18"/>
                <w:szCs w:val="18"/>
                <w:color w:val="86B6A5"/>
              </w:rPr>
              <w:t>518.5</w:t>
            </w:r>
          </w:p>
        </w:tc>
        <w:tc>
          <w:tcPr>
            <w:tcW w:w="440" w:type="dxa"/>
            <w:vAlign w:val="bottom"/>
          </w:tcPr>
          <w:p>
            <w:pPr>
              <w:spacing w:after="0"/>
              <w:rPr>
                <w:sz w:val="17"/>
                <w:szCs w:val="17"/>
                <w:color w:val="auto"/>
              </w:rPr>
            </w:pPr>
          </w:p>
        </w:tc>
        <w:tc>
          <w:tcPr>
            <w:tcW w:w="1040" w:type="dxa"/>
            <w:vAlign w:val="bottom"/>
            <w:gridSpan w:val="2"/>
          </w:tcPr>
          <w:p>
            <w:pPr>
              <w:jc w:val="right"/>
              <w:ind w:right="20"/>
              <w:spacing w:after="0" w:line="203" w:lineRule="exact"/>
              <w:rPr>
                <w:sz w:val="20"/>
                <w:szCs w:val="20"/>
                <w:color w:val="auto"/>
              </w:rPr>
            </w:pPr>
            <w:r>
              <w:rPr>
                <w:rFonts w:ascii="Arial" w:cs="Arial" w:eastAsia="Arial" w:hAnsi="Arial"/>
                <w:sz w:val="18"/>
                <w:szCs w:val="18"/>
                <w:color w:val="auto"/>
              </w:rPr>
              <w:t>527.2</w:t>
            </w:r>
          </w:p>
        </w:tc>
        <w:tc>
          <w:tcPr>
            <w:tcW w:w="4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8020" w:type="dxa"/>
            <w:vAlign w:val="bottom"/>
            <w:tcBorders>
              <w:top w:val="single" w:sz="8" w:color="939598"/>
              <w:bottom w:val="single" w:sz="8" w:color="939598"/>
            </w:tcBorders>
          </w:tcPr>
          <w:p>
            <w:pPr>
              <w:ind w:left="260"/>
              <w:spacing w:after="0" w:line="196" w:lineRule="exact"/>
              <w:rPr>
                <w:sz w:val="20"/>
                <w:szCs w:val="20"/>
                <w:color w:val="auto"/>
              </w:rPr>
            </w:pPr>
            <w:r>
              <w:rPr>
                <w:rFonts w:ascii="Arial" w:cs="Arial" w:eastAsia="Arial" w:hAnsi="Arial"/>
                <w:sz w:val="18"/>
                <w:szCs w:val="18"/>
                <w:color w:val="auto"/>
              </w:rPr>
              <w:t>Net property and equipment</w:t>
            </w:r>
          </w:p>
        </w:tc>
        <w:tc>
          <w:tcPr>
            <w:tcW w:w="120" w:type="dxa"/>
            <w:vAlign w:val="bottom"/>
            <w:tcBorders>
              <w:top w:val="single" w:sz="8" w:color="939598"/>
              <w:bottom w:val="single" w:sz="8" w:color="939598"/>
            </w:tcBorders>
            <w:shd w:val="clear" w:color="auto" w:fill="E3F1DA"/>
          </w:tcPr>
          <w:p>
            <w:pPr>
              <w:spacing w:after="0"/>
              <w:rPr>
                <w:sz w:val="17"/>
                <w:szCs w:val="17"/>
                <w:color w:val="auto"/>
              </w:rPr>
            </w:pPr>
          </w:p>
        </w:tc>
        <w:tc>
          <w:tcPr>
            <w:tcW w:w="1580" w:type="dxa"/>
            <w:vAlign w:val="bottom"/>
            <w:tcBorders>
              <w:top w:val="single" w:sz="8" w:color="939598"/>
              <w:bottom w:val="single" w:sz="8" w:color="939598"/>
            </w:tcBorders>
          </w:tcPr>
          <w:p>
            <w:pPr>
              <w:jc w:val="right"/>
              <w:ind w:right="130"/>
              <w:spacing w:after="0" w:line="196" w:lineRule="exact"/>
              <w:rPr>
                <w:sz w:val="20"/>
                <w:szCs w:val="20"/>
                <w:color w:val="auto"/>
              </w:rPr>
            </w:pPr>
            <w:r>
              <w:rPr>
                <w:rFonts w:ascii="Arial" w:cs="Arial" w:eastAsia="Arial" w:hAnsi="Arial"/>
                <w:sz w:val="18"/>
                <w:szCs w:val="18"/>
                <w:color w:val="86B6A5"/>
              </w:rPr>
              <w:t>170.3</w:t>
            </w:r>
          </w:p>
        </w:tc>
        <w:tc>
          <w:tcPr>
            <w:tcW w:w="440" w:type="dxa"/>
            <w:vAlign w:val="bottom"/>
            <w:tcBorders>
              <w:top w:val="single" w:sz="8" w:color="939598"/>
              <w:bottom w:val="single" w:sz="8" w:color="939598"/>
            </w:tcBorders>
          </w:tcPr>
          <w:p>
            <w:pPr>
              <w:spacing w:after="0"/>
              <w:rPr>
                <w:sz w:val="17"/>
                <w:szCs w:val="17"/>
                <w:color w:val="auto"/>
              </w:rPr>
            </w:pPr>
          </w:p>
        </w:tc>
        <w:tc>
          <w:tcPr>
            <w:tcW w:w="1040" w:type="dxa"/>
            <w:vAlign w:val="bottom"/>
            <w:tcBorders>
              <w:top w:val="single" w:sz="8" w:color="939598"/>
              <w:bottom w:val="single" w:sz="8" w:color="939598"/>
            </w:tcBorders>
            <w:gridSpan w:val="2"/>
          </w:tcPr>
          <w:p>
            <w:pPr>
              <w:jc w:val="right"/>
              <w:ind w:right="20"/>
              <w:spacing w:after="0" w:line="196" w:lineRule="exact"/>
              <w:rPr>
                <w:sz w:val="20"/>
                <w:szCs w:val="20"/>
                <w:color w:val="auto"/>
              </w:rPr>
            </w:pPr>
            <w:r>
              <w:rPr>
                <w:rFonts w:ascii="Arial" w:cs="Arial" w:eastAsia="Arial" w:hAnsi="Arial"/>
                <w:sz w:val="18"/>
                <w:szCs w:val="18"/>
                <w:color w:val="auto"/>
              </w:rPr>
              <w:t>176.4</w:t>
            </w:r>
          </w:p>
        </w:tc>
        <w:tc>
          <w:tcPr>
            <w:tcW w:w="4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8020" w:type="dxa"/>
            <w:vAlign w:val="bottom"/>
          </w:tcPr>
          <w:p>
            <w:pPr>
              <w:ind w:left="260"/>
              <w:spacing w:after="0" w:line="196" w:lineRule="exact"/>
              <w:rPr>
                <w:sz w:val="20"/>
                <w:szCs w:val="20"/>
                <w:color w:val="auto"/>
              </w:rPr>
            </w:pPr>
            <w:r>
              <w:rPr>
                <w:rFonts w:ascii="Arial" w:cs="Arial" w:eastAsia="Arial" w:hAnsi="Arial"/>
                <w:sz w:val="18"/>
                <w:szCs w:val="18"/>
                <w:color w:val="auto"/>
              </w:rPr>
              <w:t>Total assets</w:t>
            </w:r>
          </w:p>
        </w:tc>
        <w:tc>
          <w:tcPr>
            <w:tcW w:w="120" w:type="dxa"/>
            <w:vAlign w:val="bottom"/>
            <w:shd w:val="clear" w:color="auto" w:fill="E3F1DA"/>
          </w:tcPr>
          <w:p>
            <w:pPr>
              <w:jc w:val="right"/>
              <w:spacing w:after="0" w:line="196" w:lineRule="exact"/>
              <w:rPr>
                <w:sz w:val="20"/>
                <w:szCs w:val="20"/>
                <w:color w:val="auto"/>
              </w:rPr>
            </w:pPr>
            <w:r>
              <w:rPr>
                <w:rFonts w:ascii="Arial" w:cs="Arial" w:eastAsia="Arial" w:hAnsi="Arial"/>
                <w:sz w:val="18"/>
                <w:szCs w:val="18"/>
                <w:color w:val="86B6A5"/>
                <w:w w:val="79"/>
              </w:rPr>
              <w:t>$</w:t>
            </w:r>
          </w:p>
        </w:tc>
        <w:tc>
          <w:tcPr>
            <w:tcW w:w="1580" w:type="dxa"/>
            <w:vAlign w:val="bottom"/>
          </w:tcPr>
          <w:p>
            <w:pPr>
              <w:jc w:val="right"/>
              <w:ind w:right="130"/>
              <w:spacing w:after="0" w:line="196" w:lineRule="exact"/>
              <w:rPr>
                <w:sz w:val="20"/>
                <w:szCs w:val="20"/>
                <w:color w:val="auto"/>
              </w:rPr>
            </w:pPr>
            <w:r>
              <w:rPr>
                <w:rFonts w:ascii="Arial" w:cs="Arial" w:eastAsia="Arial" w:hAnsi="Arial"/>
                <w:sz w:val="18"/>
                <w:szCs w:val="18"/>
                <w:color w:val="86B6A5"/>
              </w:rPr>
              <w:t>6,729.7</w:t>
            </w:r>
          </w:p>
        </w:tc>
        <w:tc>
          <w:tcPr>
            <w:tcW w:w="440" w:type="dxa"/>
            <w:vAlign w:val="bottom"/>
          </w:tcPr>
          <w:p>
            <w:pPr>
              <w:jc w:val="right"/>
              <w:ind w:right="25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6,213.8</w:t>
            </w:r>
          </w:p>
        </w:tc>
        <w:tc>
          <w:tcPr>
            <w:tcW w:w="40" w:type="dxa"/>
            <w:vAlign w:val="bottom"/>
          </w:tcPr>
          <w:p>
            <w:pPr>
              <w:spacing w:after="0"/>
              <w:rPr>
                <w:sz w:val="17"/>
                <w:szCs w:val="17"/>
                <w:color w:val="auto"/>
              </w:rPr>
            </w:pPr>
          </w:p>
        </w:tc>
      </w:tr>
      <w:tr>
        <w:trPr>
          <w:trHeight w:val="180"/>
        </w:trPr>
        <w:tc>
          <w:tcPr>
            <w:tcW w:w="20" w:type="dxa"/>
            <w:vAlign w:val="bottom"/>
          </w:tcPr>
          <w:p>
            <w:pPr>
              <w:spacing w:after="0"/>
              <w:rPr>
                <w:sz w:val="15"/>
                <w:szCs w:val="15"/>
                <w:color w:val="auto"/>
              </w:rPr>
            </w:pPr>
          </w:p>
        </w:tc>
        <w:tc>
          <w:tcPr>
            <w:tcW w:w="8020" w:type="dxa"/>
            <w:vAlign w:val="bottom"/>
            <w:tcBorders>
              <w:top w:val="single" w:sz="8" w:color="939598"/>
            </w:tcBorders>
          </w:tcPr>
          <w:p>
            <w:pPr>
              <w:spacing w:after="0" w:line="180" w:lineRule="exact"/>
              <w:rPr>
                <w:sz w:val="20"/>
                <w:szCs w:val="20"/>
                <w:color w:val="auto"/>
              </w:rPr>
            </w:pPr>
            <w:r>
              <w:rPr>
                <w:rFonts w:ascii="Arial" w:cs="Arial" w:eastAsia="Arial" w:hAnsi="Arial"/>
                <w:sz w:val="18"/>
                <w:szCs w:val="18"/>
                <w:b w:val="1"/>
                <w:bCs w:val="1"/>
                <w:color w:val="86B6A5"/>
              </w:rPr>
              <w:t>LIABILITIES AND SHAREHOLDERS’ EQUITY</w:t>
            </w:r>
          </w:p>
        </w:tc>
        <w:tc>
          <w:tcPr>
            <w:tcW w:w="120" w:type="dxa"/>
            <w:vAlign w:val="bottom"/>
            <w:tcBorders>
              <w:top w:val="single" w:sz="8" w:color="939598"/>
            </w:tcBorders>
            <w:shd w:val="clear" w:color="auto" w:fill="E3F1DA"/>
          </w:tcPr>
          <w:p>
            <w:pPr>
              <w:spacing w:after="0"/>
              <w:rPr>
                <w:sz w:val="15"/>
                <w:szCs w:val="15"/>
                <w:color w:val="auto"/>
              </w:rPr>
            </w:pPr>
          </w:p>
        </w:tc>
        <w:tc>
          <w:tcPr>
            <w:tcW w:w="1580" w:type="dxa"/>
            <w:vAlign w:val="bottom"/>
            <w:tcBorders>
              <w:top w:val="single" w:sz="8" w:color="939598"/>
            </w:tcBorders>
          </w:tcPr>
          <w:p>
            <w:pPr>
              <w:spacing w:after="0"/>
              <w:rPr>
                <w:sz w:val="15"/>
                <w:szCs w:val="15"/>
                <w:color w:val="auto"/>
              </w:rPr>
            </w:pPr>
          </w:p>
        </w:tc>
        <w:tc>
          <w:tcPr>
            <w:tcW w:w="440" w:type="dxa"/>
            <w:vAlign w:val="bottom"/>
            <w:tcBorders>
              <w:top w:val="single" w:sz="8" w:color="939598"/>
            </w:tcBorders>
          </w:tcPr>
          <w:p>
            <w:pPr>
              <w:spacing w:after="0"/>
              <w:rPr>
                <w:sz w:val="15"/>
                <w:szCs w:val="15"/>
                <w:color w:val="auto"/>
              </w:rPr>
            </w:pPr>
          </w:p>
        </w:tc>
        <w:tc>
          <w:tcPr>
            <w:tcW w:w="1020" w:type="dxa"/>
            <w:vAlign w:val="bottom"/>
            <w:tcBorders>
              <w:top w:val="single" w:sz="8" w:color="939598"/>
            </w:tcBorders>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225"/>
        </w:trPr>
        <w:tc>
          <w:tcPr>
            <w:tcW w:w="8040" w:type="dxa"/>
            <w:vAlign w:val="bottom"/>
            <w:gridSpan w:val="2"/>
          </w:tcPr>
          <w:p>
            <w:pPr>
              <w:spacing w:after="0"/>
              <w:rPr>
                <w:sz w:val="20"/>
                <w:szCs w:val="20"/>
                <w:color w:val="auto"/>
              </w:rPr>
            </w:pPr>
            <w:r>
              <w:rPr>
                <w:rFonts w:ascii="Arial" w:cs="Arial" w:eastAsia="Arial" w:hAnsi="Arial"/>
                <w:sz w:val="18"/>
                <w:szCs w:val="18"/>
                <w:b w:val="1"/>
                <w:bCs w:val="1"/>
                <w:color w:val="939598"/>
              </w:rPr>
              <w:t>Current Liabilities</w:t>
            </w:r>
          </w:p>
        </w:tc>
        <w:tc>
          <w:tcPr>
            <w:tcW w:w="120" w:type="dxa"/>
            <w:vAlign w:val="bottom"/>
            <w:shd w:val="clear" w:color="auto" w:fill="E3F1DA"/>
          </w:tcPr>
          <w:p>
            <w:pPr>
              <w:spacing w:after="0"/>
              <w:rPr>
                <w:sz w:val="19"/>
                <w:szCs w:val="19"/>
                <w:color w:val="auto"/>
              </w:rPr>
            </w:pPr>
          </w:p>
        </w:tc>
        <w:tc>
          <w:tcPr>
            <w:tcW w:w="15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03"/>
        </w:trPr>
        <w:tc>
          <w:tcPr>
            <w:tcW w:w="8040" w:type="dxa"/>
            <w:vAlign w:val="bottom"/>
            <w:gridSpan w:val="2"/>
          </w:tcPr>
          <w:p>
            <w:pPr>
              <w:spacing w:after="0" w:line="202" w:lineRule="exact"/>
              <w:rPr>
                <w:sz w:val="20"/>
                <w:szCs w:val="20"/>
                <w:color w:val="auto"/>
              </w:rPr>
            </w:pPr>
            <w:r>
              <w:rPr>
                <w:rFonts w:ascii="Arial" w:cs="Arial" w:eastAsia="Arial" w:hAnsi="Arial"/>
                <w:sz w:val="18"/>
                <w:szCs w:val="18"/>
                <w:color w:val="auto"/>
              </w:rPr>
              <w:t>Accounts payable</w:t>
            </w:r>
          </w:p>
        </w:tc>
        <w:tc>
          <w:tcPr>
            <w:tcW w:w="120" w:type="dxa"/>
            <w:vAlign w:val="bottom"/>
            <w:shd w:val="clear" w:color="auto" w:fill="E3F1DA"/>
          </w:tcPr>
          <w:p>
            <w:pPr>
              <w:jc w:val="right"/>
              <w:spacing w:after="0" w:line="202" w:lineRule="exact"/>
              <w:rPr>
                <w:sz w:val="20"/>
                <w:szCs w:val="20"/>
                <w:color w:val="auto"/>
              </w:rPr>
            </w:pPr>
            <w:r>
              <w:rPr>
                <w:rFonts w:ascii="Arial" w:cs="Arial" w:eastAsia="Arial" w:hAnsi="Arial"/>
                <w:sz w:val="18"/>
                <w:szCs w:val="18"/>
                <w:color w:val="86B6A5"/>
                <w:w w:val="79"/>
              </w:rPr>
              <w:t>$</w:t>
            </w:r>
          </w:p>
        </w:tc>
        <w:tc>
          <w:tcPr>
            <w:tcW w:w="1580" w:type="dxa"/>
            <w:vAlign w:val="bottom"/>
          </w:tcPr>
          <w:p>
            <w:pPr>
              <w:jc w:val="right"/>
              <w:ind w:right="130"/>
              <w:spacing w:after="0" w:line="202" w:lineRule="exact"/>
              <w:rPr>
                <w:sz w:val="20"/>
                <w:szCs w:val="20"/>
                <w:color w:val="auto"/>
              </w:rPr>
            </w:pPr>
            <w:r>
              <w:rPr>
                <w:rFonts w:ascii="Arial" w:cs="Arial" w:eastAsia="Arial" w:hAnsi="Arial"/>
                <w:sz w:val="18"/>
                <w:szCs w:val="18"/>
                <w:color w:val="86B6A5"/>
              </w:rPr>
              <w:t>1,313.9</w:t>
            </w:r>
          </w:p>
        </w:tc>
        <w:tc>
          <w:tcPr>
            <w:tcW w:w="440" w:type="dxa"/>
            <w:vAlign w:val="bottom"/>
          </w:tcPr>
          <w:p>
            <w:pPr>
              <w:jc w:val="right"/>
              <w:ind w:right="250"/>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944.4</w:t>
            </w:r>
          </w:p>
        </w:tc>
        <w:tc>
          <w:tcPr>
            <w:tcW w:w="40" w:type="dxa"/>
            <w:vAlign w:val="bottom"/>
          </w:tcPr>
          <w:p>
            <w:pPr>
              <w:spacing w:after="0"/>
              <w:rPr>
                <w:sz w:val="17"/>
                <w:szCs w:val="17"/>
                <w:color w:val="auto"/>
              </w:rPr>
            </w:pPr>
          </w:p>
        </w:tc>
      </w:tr>
      <w:tr>
        <w:trPr>
          <w:trHeight w:val="203"/>
        </w:trPr>
        <w:tc>
          <w:tcPr>
            <w:tcW w:w="8040" w:type="dxa"/>
            <w:vAlign w:val="bottom"/>
            <w:gridSpan w:val="2"/>
          </w:tcPr>
          <w:p>
            <w:pPr>
              <w:spacing w:after="0" w:line="202" w:lineRule="exact"/>
              <w:rPr>
                <w:sz w:val="20"/>
                <w:szCs w:val="20"/>
                <w:color w:val="auto"/>
              </w:rPr>
            </w:pPr>
            <w:r>
              <w:rPr>
                <w:rFonts w:ascii="Arial" w:cs="Arial" w:eastAsia="Arial" w:hAnsi="Arial"/>
                <w:sz w:val="18"/>
                <w:szCs w:val="18"/>
                <w:color w:val="auto"/>
              </w:rPr>
              <w:t>Employee compensation payable</w:t>
            </w:r>
          </w:p>
        </w:tc>
        <w:tc>
          <w:tcPr>
            <w:tcW w:w="120" w:type="dxa"/>
            <w:vAlign w:val="bottom"/>
            <w:shd w:val="clear" w:color="auto" w:fill="E3F1DA"/>
          </w:tcPr>
          <w:p>
            <w:pPr>
              <w:spacing w:after="0"/>
              <w:rPr>
                <w:sz w:val="17"/>
                <w:szCs w:val="17"/>
                <w:color w:val="auto"/>
              </w:rPr>
            </w:pPr>
          </w:p>
        </w:tc>
        <w:tc>
          <w:tcPr>
            <w:tcW w:w="1580" w:type="dxa"/>
            <w:vAlign w:val="bottom"/>
          </w:tcPr>
          <w:p>
            <w:pPr>
              <w:jc w:val="right"/>
              <w:ind w:right="130"/>
              <w:spacing w:after="0" w:line="202" w:lineRule="exact"/>
              <w:rPr>
                <w:sz w:val="20"/>
                <w:szCs w:val="20"/>
                <w:color w:val="auto"/>
              </w:rPr>
            </w:pPr>
            <w:r>
              <w:rPr>
                <w:rFonts w:ascii="Arial" w:cs="Arial" w:eastAsia="Arial" w:hAnsi="Arial"/>
                <w:sz w:val="18"/>
                <w:szCs w:val="18"/>
                <w:color w:val="86B6A5"/>
              </w:rPr>
              <w:t>240.2</w:t>
            </w:r>
          </w:p>
        </w:tc>
        <w:tc>
          <w:tcPr>
            <w:tcW w:w="440" w:type="dxa"/>
            <w:vAlign w:val="bottom"/>
          </w:tcPr>
          <w:p>
            <w:pPr>
              <w:spacing w:after="0"/>
              <w:rPr>
                <w:sz w:val="17"/>
                <w:szCs w:val="17"/>
                <w:color w:val="auto"/>
              </w:rPr>
            </w:pPr>
          </w:p>
        </w:tc>
        <w:tc>
          <w:tcPr>
            <w:tcW w:w="10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187.8</w:t>
            </w:r>
          </w:p>
        </w:tc>
        <w:tc>
          <w:tcPr>
            <w:tcW w:w="40" w:type="dxa"/>
            <w:vAlign w:val="bottom"/>
          </w:tcPr>
          <w:p>
            <w:pPr>
              <w:spacing w:after="0"/>
              <w:rPr>
                <w:sz w:val="17"/>
                <w:szCs w:val="17"/>
                <w:color w:val="auto"/>
              </w:rPr>
            </w:pPr>
          </w:p>
        </w:tc>
      </w:tr>
      <w:tr>
        <w:trPr>
          <w:trHeight w:val="203"/>
        </w:trPr>
        <w:tc>
          <w:tcPr>
            <w:tcW w:w="8040" w:type="dxa"/>
            <w:vAlign w:val="bottom"/>
            <w:gridSpan w:val="2"/>
          </w:tcPr>
          <w:p>
            <w:pPr>
              <w:spacing w:after="0" w:line="202" w:lineRule="exact"/>
              <w:rPr>
                <w:sz w:val="20"/>
                <w:szCs w:val="20"/>
                <w:color w:val="auto"/>
              </w:rPr>
            </w:pPr>
            <w:r>
              <w:rPr>
                <w:rFonts w:ascii="Arial" w:cs="Arial" w:eastAsia="Arial" w:hAnsi="Arial"/>
                <w:sz w:val="18"/>
                <w:szCs w:val="18"/>
                <w:color w:val="auto"/>
              </w:rPr>
              <w:t>Accrued liabilities</w:t>
            </w:r>
          </w:p>
        </w:tc>
        <w:tc>
          <w:tcPr>
            <w:tcW w:w="120" w:type="dxa"/>
            <w:vAlign w:val="bottom"/>
            <w:shd w:val="clear" w:color="auto" w:fill="E3F1DA"/>
          </w:tcPr>
          <w:p>
            <w:pPr>
              <w:spacing w:after="0"/>
              <w:rPr>
                <w:sz w:val="17"/>
                <w:szCs w:val="17"/>
                <w:color w:val="auto"/>
              </w:rPr>
            </w:pPr>
          </w:p>
        </w:tc>
        <w:tc>
          <w:tcPr>
            <w:tcW w:w="1580" w:type="dxa"/>
            <w:vAlign w:val="bottom"/>
          </w:tcPr>
          <w:p>
            <w:pPr>
              <w:jc w:val="right"/>
              <w:ind w:right="130"/>
              <w:spacing w:after="0" w:line="202" w:lineRule="exact"/>
              <w:rPr>
                <w:sz w:val="20"/>
                <w:szCs w:val="20"/>
                <w:color w:val="auto"/>
              </w:rPr>
            </w:pPr>
            <w:r>
              <w:rPr>
                <w:rFonts w:ascii="Arial" w:cs="Arial" w:eastAsia="Arial" w:hAnsi="Arial"/>
                <w:sz w:val="18"/>
                <w:szCs w:val="18"/>
                <w:color w:val="86B6A5"/>
              </w:rPr>
              <w:t>547.4</w:t>
            </w:r>
          </w:p>
        </w:tc>
        <w:tc>
          <w:tcPr>
            <w:tcW w:w="440" w:type="dxa"/>
            <w:vAlign w:val="bottom"/>
          </w:tcPr>
          <w:p>
            <w:pPr>
              <w:spacing w:after="0"/>
              <w:rPr>
                <w:sz w:val="17"/>
                <w:szCs w:val="17"/>
                <w:color w:val="auto"/>
              </w:rPr>
            </w:pPr>
          </w:p>
        </w:tc>
        <w:tc>
          <w:tcPr>
            <w:tcW w:w="10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465.9</w:t>
            </w:r>
          </w:p>
        </w:tc>
        <w:tc>
          <w:tcPr>
            <w:tcW w:w="40" w:type="dxa"/>
            <w:vAlign w:val="bottom"/>
          </w:tcPr>
          <w:p>
            <w:pPr>
              <w:spacing w:after="0"/>
              <w:rPr>
                <w:sz w:val="17"/>
                <w:szCs w:val="17"/>
                <w:color w:val="auto"/>
              </w:rPr>
            </w:pPr>
          </w:p>
        </w:tc>
      </w:tr>
      <w:tr>
        <w:trPr>
          <w:trHeight w:val="203"/>
        </w:trPr>
        <w:tc>
          <w:tcPr>
            <w:tcW w:w="8040" w:type="dxa"/>
            <w:vAlign w:val="bottom"/>
            <w:gridSpan w:val="2"/>
          </w:tcPr>
          <w:p>
            <w:pPr>
              <w:spacing w:after="0" w:line="202" w:lineRule="exact"/>
              <w:rPr>
                <w:sz w:val="20"/>
                <w:szCs w:val="20"/>
                <w:color w:val="auto"/>
              </w:rPr>
            </w:pPr>
            <w:r>
              <w:rPr>
                <w:rFonts w:ascii="Arial" w:cs="Arial" w:eastAsia="Arial" w:hAnsi="Arial"/>
                <w:sz w:val="18"/>
                <w:szCs w:val="18"/>
                <w:color w:val="auto"/>
              </w:rPr>
              <w:t>Accrued payroll taxes and insurance</w:t>
            </w:r>
          </w:p>
        </w:tc>
        <w:tc>
          <w:tcPr>
            <w:tcW w:w="120" w:type="dxa"/>
            <w:vAlign w:val="bottom"/>
            <w:shd w:val="clear" w:color="auto" w:fill="E3F1DA"/>
          </w:tcPr>
          <w:p>
            <w:pPr>
              <w:spacing w:after="0"/>
              <w:rPr>
                <w:sz w:val="17"/>
                <w:szCs w:val="17"/>
                <w:color w:val="auto"/>
              </w:rPr>
            </w:pPr>
          </w:p>
        </w:tc>
        <w:tc>
          <w:tcPr>
            <w:tcW w:w="1580" w:type="dxa"/>
            <w:vAlign w:val="bottom"/>
          </w:tcPr>
          <w:p>
            <w:pPr>
              <w:jc w:val="right"/>
              <w:ind w:right="130"/>
              <w:spacing w:after="0" w:line="202" w:lineRule="exact"/>
              <w:rPr>
                <w:sz w:val="20"/>
                <w:szCs w:val="20"/>
                <w:color w:val="auto"/>
              </w:rPr>
            </w:pPr>
            <w:r>
              <w:rPr>
                <w:rFonts w:ascii="Arial" w:cs="Arial" w:eastAsia="Arial" w:hAnsi="Arial"/>
                <w:sz w:val="18"/>
                <w:szCs w:val="18"/>
                <w:color w:val="86B6A5"/>
              </w:rPr>
              <w:t>677.7</w:t>
            </w:r>
          </w:p>
        </w:tc>
        <w:tc>
          <w:tcPr>
            <w:tcW w:w="440" w:type="dxa"/>
            <w:vAlign w:val="bottom"/>
          </w:tcPr>
          <w:p>
            <w:pPr>
              <w:spacing w:after="0"/>
              <w:rPr>
                <w:sz w:val="17"/>
                <w:szCs w:val="17"/>
                <w:color w:val="auto"/>
              </w:rPr>
            </w:pPr>
          </w:p>
        </w:tc>
        <w:tc>
          <w:tcPr>
            <w:tcW w:w="10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572.0</w:t>
            </w:r>
          </w:p>
        </w:tc>
        <w:tc>
          <w:tcPr>
            <w:tcW w:w="40" w:type="dxa"/>
            <w:vAlign w:val="bottom"/>
          </w:tcPr>
          <w:p>
            <w:pPr>
              <w:spacing w:after="0"/>
              <w:rPr>
                <w:sz w:val="17"/>
                <w:szCs w:val="17"/>
                <w:color w:val="auto"/>
              </w:rPr>
            </w:pPr>
          </w:p>
        </w:tc>
      </w:tr>
      <w:tr>
        <w:trPr>
          <w:trHeight w:val="203"/>
        </w:trPr>
        <w:tc>
          <w:tcPr>
            <w:tcW w:w="8040" w:type="dxa"/>
            <w:vAlign w:val="bottom"/>
            <w:gridSpan w:val="2"/>
          </w:tcPr>
          <w:p>
            <w:pPr>
              <w:spacing w:after="0" w:line="202" w:lineRule="exact"/>
              <w:rPr>
                <w:sz w:val="20"/>
                <w:szCs w:val="20"/>
                <w:color w:val="auto"/>
              </w:rPr>
            </w:pPr>
            <w:r>
              <w:rPr>
                <w:rFonts w:ascii="Arial" w:cs="Arial" w:eastAsia="Arial" w:hAnsi="Arial"/>
                <w:sz w:val="18"/>
                <w:szCs w:val="18"/>
                <w:color w:val="auto"/>
              </w:rPr>
              <w:t>Value added taxes payable</w:t>
            </w:r>
          </w:p>
        </w:tc>
        <w:tc>
          <w:tcPr>
            <w:tcW w:w="120" w:type="dxa"/>
            <w:vAlign w:val="bottom"/>
            <w:shd w:val="clear" w:color="auto" w:fill="E3F1DA"/>
          </w:tcPr>
          <w:p>
            <w:pPr>
              <w:spacing w:after="0"/>
              <w:rPr>
                <w:sz w:val="17"/>
                <w:szCs w:val="17"/>
                <w:color w:val="auto"/>
              </w:rPr>
            </w:pPr>
          </w:p>
        </w:tc>
        <w:tc>
          <w:tcPr>
            <w:tcW w:w="1580" w:type="dxa"/>
            <w:vAlign w:val="bottom"/>
          </w:tcPr>
          <w:p>
            <w:pPr>
              <w:jc w:val="right"/>
              <w:ind w:right="130"/>
              <w:spacing w:after="0" w:line="202" w:lineRule="exact"/>
              <w:rPr>
                <w:sz w:val="20"/>
                <w:szCs w:val="20"/>
                <w:color w:val="auto"/>
              </w:rPr>
            </w:pPr>
            <w:r>
              <w:rPr>
                <w:rFonts w:ascii="Arial" w:cs="Arial" w:eastAsia="Arial" w:hAnsi="Arial"/>
                <w:sz w:val="18"/>
                <w:szCs w:val="18"/>
                <w:color w:val="86B6A5"/>
              </w:rPr>
              <w:t>482.2</w:t>
            </w:r>
          </w:p>
        </w:tc>
        <w:tc>
          <w:tcPr>
            <w:tcW w:w="440" w:type="dxa"/>
            <w:vAlign w:val="bottom"/>
          </w:tcPr>
          <w:p>
            <w:pPr>
              <w:spacing w:after="0"/>
              <w:rPr>
                <w:sz w:val="17"/>
                <w:szCs w:val="17"/>
                <w:color w:val="auto"/>
              </w:rPr>
            </w:pPr>
          </w:p>
        </w:tc>
        <w:tc>
          <w:tcPr>
            <w:tcW w:w="10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391.2</w:t>
            </w:r>
          </w:p>
        </w:tc>
        <w:tc>
          <w:tcPr>
            <w:tcW w:w="40" w:type="dxa"/>
            <w:vAlign w:val="bottom"/>
          </w:tcPr>
          <w:p>
            <w:pPr>
              <w:spacing w:after="0"/>
              <w:rPr>
                <w:sz w:val="17"/>
                <w:szCs w:val="17"/>
                <w:color w:val="auto"/>
              </w:rPr>
            </w:pPr>
          </w:p>
        </w:tc>
      </w:tr>
      <w:tr>
        <w:trPr>
          <w:trHeight w:val="203"/>
        </w:trPr>
        <w:tc>
          <w:tcPr>
            <w:tcW w:w="8040" w:type="dxa"/>
            <w:vAlign w:val="bottom"/>
            <w:gridSpan w:val="2"/>
          </w:tcPr>
          <w:p>
            <w:pPr>
              <w:spacing w:after="0" w:line="203" w:lineRule="exact"/>
              <w:rPr>
                <w:sz w:val="20"/>
                <w:szCs w:val="20"/>
                <w:color w:val="auto"/>
              </w:rPr>
            </w:pPr>
            <w:r>
              <w:rPr>
                <w:rFonts w:ascii="Arial" w:cs="Arial" w:eastAsia="Arial" w:hAnsi="Arial"/>
                <w:sz w:val="18"/>
                <w:szCs w:val="18"/>
                <w:color w:val="auto"/>
              </w:rPr>
              <w:t>Short-term borrowings and current maturities of long-term debt</w:t>
            </w:r>
          </w:p>
        </w:tc>
        <w:tc>
          <w:tcPr>
            <w:tcW w:w="120" w:type="dxa"/>
            <w:vAlign w:val="bottom"/>
            <w:shd w:val="clear" w:color="auto" w:fill="E3F1DA"/>
          </w:tcPr>
          <w:p>
            <w:pPr>
              <w:spacing w:after="0"/>
              <w:rPr>
                <w:sz w:val="17"/>
                <w:szCs w:val="17"/>
                <w:color w:val="auto"/>
              </w:rPr>
            </w:pPr>
          </w:p>
        </w:tc>
        <w:tc>
          <w:tcPr>
            <w:tcW w:w="1580" w:type="dxa"/>
            <w:vAlign w:val="bottom"/>
          </w:tcPr>
          <w:p>
            <w:pPr>
              <w:jc w:val="right"/>
              <w:ind w:right="130"/>
              <w:spacing w:after="0" w:line="203" w:lineRule="exact"/>
              <w:rPr>
                <w:sz w:val="20"/>
                <w:szCs w:val="20"/>
                <w:color w:val="auto"/>
              </w:rPr>
            </w:pPr>
            <w:r>
              <w:rPr>
                <w:rFonts w:ascii="Arial" w:cs="Arial" w:eastAsia="Arial" w:hAnsi="Arial"/>
                <w:sz w:val="18"/>
                <w:szCs w:val="18"/>
                <w:color w:val="86B6A5"/>
              </w:rPr>
              <w:t>28.7</w:t>
            </w:r>
          </w:p>
        </w:tc>
        <w:tc>
          <w:tcPr>
            <w:tcW w:w="440" w:type="dxa"/>
            <w:vAlign w:val="bottom"/>
          </w:tcPr>
          <w:p>
            <w:pPr>
              <w:spacing w:after="0"/>
              <w:rPr>
                <w:sz w:val="17"/>
                <w:szCs w:val="17"/>
                <w:color w:val="auto"/>
              </w:rPr>
            </w:pPr>
          </w:p>
        </w:tc>
        <w:tc>
          <w:tcPr>
            <w:tcW w:w="1020" w:type="dxa"/>
            <w:vAlign w:val="bottom"/>
          </w:tcPr>
          <w:p>
            <w:pPr>
              <w:jc w:val="right"/>
              <w:spacing w:after="0" w:line="203" w:lineRule="exact"/>
              <w:rPr>
                <w:sz w:val="20"/>
                <w:szCs w:val="20"/>
                <w:color w:val="auto"/>
              </w:rPr>
            </w:pPr>
            <w:r>
              <w:rPr>
                <w:rFonts w:ascii="Arial" w:cs="Arial" w:eastAsia="Arial" w:hAnsi="Arial"/>
                <w:sz w:val="18"/>
                <w:szCs w:val="18"/>
                <w:color w:val="auto"/>
              </w:rPr>
              <w:t>41.7</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73"/>
        </w:trPr>
        <w:tc>
          <w:tcPr>
            <w:tcW w:w="20" w:type="dxa"/>
            <w:vAlign w:val="bottom"/>
          </w:tcPr>
          <w:p>
            <w:pPr>
              <w:spacing w:after="0"/>
              <w:rPr>
                <w:sz w:val="15"/>
                <w:szCs w:val="15"/>
                <w:color w:val="auto"/>
              </w:rPr>
            </w:pPr>
          </w:p>
        </w:tc>
        <w:tc>
          <w:tcPr>
            <w:tcW w:w="8020" w:type="dxa"/>
            <w:vAlign w:val="bottom"/>
            <w:tcBorders>
              <w:top w:val="single" w:sz="8" w:color="939598"/>
            </w:tcBorders>
          </w:tcPr>
          <w:p>
            <w:pPr>
              <w:ind w:left="260"/>
              <w:spacing w:after="0" w:line="173" w:lineRule="exact"/>
              <w:rPr>
                <w:sz w:val="20"/>
                <w:szCs w:val="20"/>
                <w:color w:val="auto"/>
              </w:rPr>
            </w:pPr>
            <w:r>
              <w:rPr>
                <w:rFonts w:ascii="Arial" w:cs="Arial" w:eastAsia="Arial" w:hAnsi="Arial"/>
                <w:sz w:val="18"/>
                <w:szCs w:val="18"/>
                <w:color w:val="auto"/>
              </w:rPr>
              <w:t>Total current liabilities</w:t>
            </w:r>
          </w:p>
        </w:tc>
        <w:tc>
          <w:tcPr>
            <w:tcW w:w="120" w:type="dxa"/>
            <w:vAlign w:val="bottom"/>
            <w:tcBorders>
              <w:top w:val="single" w:sz="8" w:color="939598"/>
            </w:tcBorders>
            <w:shd w:val="clear" w:color="auto" w:fill="E3F1DA"/>
          </w:tcPr>
          <w:p>
            <w:pPr>
              <w:spacing w:after="0"/>
              <w:rPr>
                <w:sz w:val="15"/>
                <w:szCs w:val="15"/>
                <w:color w:val="auto"/>
              </w:rPr>
            </w:pPr>
          </w:p>
        </w:tc>
        <w:tc>
          <w:tcPr>
            <w:tcW w:w="1580" w:type="dxa"/>
            <w:vAlign w:val="bottom"/>
            <w:tcBorders>
              <w:top w:val="single" w:sz="8" w:color="939598"/>
            </w:tcBorders>
          </w:tcPr>
          <w:p>
            <w:pPr>
              <w:jc w:val="right"/>
              <w:ind w:right="130"/>
              <w:spacing w:after="0" w:line="173" w:lineRule="exact"/>
              <w:rPr>
                <w:sz w:val="20"/>
                <w:szCs w:val="20"/>
                <w:color w:val="auto"/>
              </w:rPr>
            </w:pPr>
            <w:r>
              <w:rPr>
                <w:rFonts w:ascii="Arial" w:cs="Arial" w:eastAsia="Arial" w:hAnsi="Arial"/>
                <w:sz w:val="18"/>
                <w:szCs w:val="18"/>
                <w:color w:val="86B6A5"/>
              </w:rPr>
              <w:t>3,290.1</w:t>
            </w:r>
          </w:p>
        </w:tc>
        <w:tc>
          <w:tcPr>
            <w:tcW w:w="440" w:type="dxa"/>
            <w:vAlign w:val="bottom"/>
            <w:tcBorders>
              <w:top w:val="single" w:sz="8" w:color="939598"/>
            </w:tcBorders>
          </w:tcPr>
          <w:p>
            <w:pPr>
              <w:spacing w:after="0"/>
              <w:rPr>
                <w:sz w:val="15"/>
                <w:szCs w:val="15"/>
                <w:color w:val="auto"/>
              </w:rPr>
            </w:pPr>
          </w:p>
        </w:tc>
        <w:tc>
          <w:tcPr>
            <w:tcW w:w="1020" w:type="dxa"/>
            <w:vAlign w:val="bottom"/>
            <w:tcBorders>
              <w:top w:val="single" w:sz="8" w:color="939598"/>
            </w:tcBorders>
          </w:tcPr>
          <w:p>
            <w:pPr>
              <w:jc w:val="right"/>
              <w:spacing w:after="0" w:line="173" w:lineRule="exact"/>
              <w:rPr>
                <w:sz w:val="20"/>
                <w:szCs w:val="20"/>
                <w:color w:val="auto"/>
              </w:rPr>
            </w:pPr>
            <w:r>
              <w:rPr>
                <w:rFonts w:ascii="Arial" w:cs="Arial" w:eastAsia="Arial" w:hAnsi="Arial"/>
                <w:sz w:val="18"/>
                <w:szCs w:val="18"/>
                <w:color w:val="auto"/>
              </w:rPr>
              <w:t>2,603.0</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225"/>
        </w:trPr>
        <w:tc>
          <w:tcPr>
            <w:tcW w:w="8040" w:type="dxa"/>
            <w:vAlign w:val="bottom"/>
            <w:gridSpan w:val="2"/>
          </w:tcPr>
          <w:p>
            <w:pPr>
              <w:spacing w:after="0"/>
              <w:rPr>
                <w:sz w:val="20"/>
                <w:szCs w:val="20"/>
                <w:color w:val="auto"/>
              </w:rPr>
            </w:pPr>
            <w:r>
              <w:rPr>
                <w:rFonts w:ascii="Arial" w:cs="Arial" w:eastAsia="Arial" w:hAnsi="Arial"/>
                <w:sz w:val="18"/>
                <w:szCs w:val="18"/>
                <w:b w:val="1"/>
                <w:bCs w:val="1"/>
                <w:color w:val="939598"/>
              </w:rPr>
              <w:t>Other Liabilities</w:t>
            </w:r>
          </w:p>
        </w:tc>
        <w:tc>
          <w:tcPr>
            <w:tcW w:w="120" w:type="dxa"/>
            <w:vAlign w:val="bottom"/>
            <w:shd w:val="clear" w:color="auto" w:fill="E3F1DA"/>
          </w:tcPr>
          <w:p>
            <w:pPr>
              <w:spacing w:after="0"/>
              <w:rPr>
                <w:sz w:val="19"/>
                <w:szCs w:val="19"/>
                <w:color w:val="auto"/>
              </w:rPr>
            </w:pPr>
          </w:p>
        </w:tc>
        <w:tc>
          <w:tcPr>
            <w:tcW w:w="15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03"/>
        </w:trPr>
        <w:tc>
          <w:tcPr>
            <w:tcW w:w="8040" w:type="dxa"/>
            <w:vAlign w:val="bottom"/>
            <w:gridSpan w:val="2"/>
          </w:tcPr>
          <w:p>
            <w:pPr>
              <w:spacing w:after="0" w:line="202" w:lineRule="exact"/>
              <w:rPr>
                <w:sz w:val="20"/>
                <w:szCs w:val="20"/>
                <w:color w:val="auto"/>
              </w:rPr>
            </w:pPr>
            <w:r>
              <w:rPr>
                <w:rFonts w:ascii="Arial" w:cs="Arial" w:eastAsia="Arial" w:hAnsi="Arial"/>
                <w:sz w:val="18"/>
                <w:szCs w:val="18"/>
                <w:color w:val="auto"/>
              </w:rPr>
              <w:t>Long-term debt</w:t>
            </w:r>
          </w:p>
        </w:tc>
        <w:tc>
          <w:tcPr>
            <w:tcW w:w="120" w:type="dxa"/>
            <w:vAlign w:val="bottom"/>
            <w:shd w:val="clear" w:color="auto" w:fill="E3F1DA"/>
          </w:tcPr>
          <w:p>
            <w:pPr>
              <w:spacing w:after="0"/>
              <w:rPr>
                <w:sz w:val="17"/>
                <w:szCs w:val="17"/>
                <w:color w:val="auto"/>
              </w:rPr>
            </w:pPr>
          </w:p>
        </w:tc>
        <w:tc>
          <w:tcPr>
            <w:tcW w:w="1580" w:type="dxa"/>
            <w:vAlign w:val="bottom"/>
          </w:tcPr>
          <w:p>
            <w:pPr>
              <w:jc w:val="right"/>
              <w:ind w:right="130"/>
              <w:spacing w:after="0" w:line="202" w:lineRule="exact"/>
              <w:rPr>
                <w:sz w:val="20"/>
                <w:szCs w:val="20"/>
                <w:color w:val="auto"/>
              </w:rPr>
            </w:pPr>
            <w:r>
              <w:rPr>
                <w:rFonts w:ascii="Arial" w:cs="Arial" w:eastAsia="Arial" w:hAnsi="Arial"/>
                <w:sz w:val="18"/>
                <w:szCs w:val="18"/>
                <w:color w:val="86B6A5"/>
              </w:rPr>
              <w:t>669.3</w:t>
            </w:r>
          </w:p>
        </w:tc>
        <w:tc>
          <w:tcPr>
            <w:tcW w:w="440" w:type="dxa"/>
            <w:vAlign w:val="bottom"/>
          </w:tcPr>
          <w:p>
            <w:pPr>
              <w:spacing w:after="0"/>
              <w:rPr>
                <w:sz w:val="17"/>
                <w:szCs w:val="17"/>
                <w:color w:val="auto"/>
              </w:rPr>
            </w:pPr>
          </w:p>
        </w:tc>
        <w:tc>
          <w:tcPr>
            <w:tcW w:w="10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715.6</w:t>
            </w:r>
          </w:p>
        </w:tc>
        <w:tc>
          <w:tcPr>
            <w:tcW w:w="40" w:type="dxa"/>
            <w:vAlign w:val="bottom"/>
          </w:tcPr>
          <w:p>
            <w:pPr>
              <w:spacing w:after="0"/>
              <w:rPr>
                <w:sz w:val="17"/>
                <w:szCs w:val="17"/>
                <w:color w:val="auto"/>
              </w:rPr>
            </w:pPr>
          </w:p>
        </w:tc>
      </w:tr>
      <w:tr>
        <w:trPr>
          <w:trHeight w:val="203"/>
        </w:trPr>
        <w:tc>
          <w:tcPr>
            <w:tcW w:w="8040" w:type="dxa"/>
            <w:vAlign w:val="bottom"/>
            <w:gridSpan w:val="2"/>
          </w:tcPr>
          <w:p>
            <w:pPr>
              <w:spacing w:after="0" w:line="203" w:lineRule="exact"/>
              <w:rPr>
                <w:sz w:val="20"/>
                <w:szCs w:val="20"/>
                <w:color w:val="auto"/>
              </w:rPr>
            </w:pPr>
            <w:r>
              <w:rPr>
                <w:rFonts w:ascii="Arial" w:cs="Arial" w:eastAsia="Arial" w:hAnsi="Arial"/>
                <w:sz w:val="18"/>
                <w:szCs w:val="18"/>
                <w:color w:val="auto"/>
              </w:rPr>
              <w:t>Other long-term liabilities</w:t>
            </w:r>
          </w:p>
        </w:tc>
        <w:tc>
          <w:tcPr>
            <w:tcW w:w="120" w:type="dxa"/>
            <w:vAlign w:val="bottom"/>
            <w:shd w:val="clear" w:color="auto" w:fill="E3F1DA"/>
          </w:tcPr>
          <w:p>
            <w:pPr>
              <w:spacing w:after="0"/>
              <w:rPr>
                <w:sz w:val="17"/>
                <w:szCs w:val="17"/>
                <w:color w:val="auto"/>
              </w:rPr>
            </w:pPr>
          </w:p>
        </w:tc>
        <w:tc>
          <w:tcPr>
            <w:tcW w:w="1580" w:type="dxa"/>
            <w:vAlign w:val="bottom"/>
          </w:tcPr>
          <w:p>
            <w:pPr>
              <w:jc w:val="right"/>
              <w:ind w:right="130"/>
              <w:spacing w:after="0" w:line="203" w:lineRule="exact"/>
              <w:rPr>
                <w:sz w:val="20"/>
                <w:szCs w:val="20"/>
                <w:color w:val="auto"/>
              </w:rPr>
            </w:pPr>
            <w:r>
              <w:rPr>
                <w:rFonts w:ascii="Arial" w:cs="Arial" w:eastAsia="Arial" w:hAnsi="Arial"/>
                <w:sz w:val="18"/>
                <w:szCs w:val="18"/>
                <w:color w:val="86B6A5"/>
              </w:rPr>
              <w:t>373.1</w:t>
            </w:r>
          </w:p>
        </w:tc>
        <w:tc>
          <w:tcPr>
            <w:tcW w:w="440" w:type="dxa"/>
            <w:vAlign w:val="bottom"/>
          </w:tcPr>
          <w:p>
            <w:pPr>
              <w:spacing w:after="0"/>
              <w:rPr>
                <w:sz w:val="17"/>
                <w:szCs w:val="17"/>
                <w:color w:val="auto"/>
              </w:rPr>
            </w:pPr>
          </w:p>
        </w:tc>
        <w:tc>
          <w:tcPr>
            <w:tcW w:w="1040" w:type="dxa"/>
            <w:vAlign w:val="bottom"/>
            <w:gridSpan w:val="2"/>
          </w:tcPr>
          <w:p>
            <w:pPr>
              <w:jc w:val="right"/>
              <w:ind w:right="20"/>
              <w:spacing w:after="0" w:line="203" w:lineRule="exact"/>
              <w:rPr>
                <w:sz w:val="20"/>
                <w:szCs w:val="20"/>
                <w:color w:val="auto"/>
              </w:rPr>
            </w:pPr>
            <w:r>
              <w:rPr>
                <w:rFonts w:ascii="Arial" w:cs="Arial" w:eastAsia="Arial" w:hAnsi="Arial"/>
                <w:sz w:val="18"/>
                <w:szCs w:val="18"/>
                <w:color w:val="auto"/>
              </w:rPr>
              <w:t>358.7</w:t>
            </w:r>
          </w:p>
        </w:tc>
        <w:tc>
          <w:tcPr>
            <w:tcW w:w="40" w:type="dxa"/>
            <w:vAlign w:val="bottom"/>
          </w:tcPr>
          <w:p>
            <w:pPr>
              <w:spacing w:after="0"/>
              <w:rPr>
                <w:sz w:val="17"/>
                <w:szCs w:val="17"/>
                <w:color w:val="auto"/>
              </w:rPr>
            </w:pPr>
          </w:p>
        </w:tc>
      </w:tr>
      <w:tr>
        <w:trPr>
          <w:trHeight w:val="173"/>
        </w:trPr>
        <w:tc>
          <w:tcPr>
            <w:tcW w:w="20" w:type="dxa"/>
            <w:vAlign w:val="bottom"/>
          </w:tcPr>
          <w:p>
            <w:pPr>
              <w:spacing w:after="0"/>
              <w:rPr>
                <w:sz w:val="15"/>
                <w:szCs w:val="15"/>
                <w:color w:val="auto"/>
              </w:rPr>
            </w:pPr>
          </w:p>
        </w:tc>
        <w:tc>
          <w:tcPr>
            <w:tcW w:w="8020" w:type="dxa"/>
            <w:vAlign w:val="bottom"/>
            <w:tcBorders>
              <w:top w:val="single" w:sz="8" w:color="939598"/>
            </w:tcBorders>
          </w:tcPr>
          <w:p>
            <w:pPr>
              <w:ind w:left="260"/>
              <w:spacing w:after="0" w:line="173" w:lineRule="exact"/>
              <w:rPr>
                <w:sz w:val="20"/>
                <w:szCs w:val="20"/>
                <w:color w:val="auto"/>
              </w:rPr>
            </w:pPr>
            <w:r>
              <w:rPr>
                <w:rFonts w:ascii="Arial" w:cs="Arial" w:eastAsia="Arial" w:hAnsi="Arial"/>
                <w:sz w:val="18"/>
                <w:szCs w:val="18"/>
                <w:color w:val="auto"/>
              </w:rPr>
              <w:t>Total other liabilities</w:t>
            </w:r>
          </w:p>
        </w:tc>
        <w:tc>
          <w:tcPr>
            <w:tcW w:w="120" w:type="dxa"/>
            <w:vAlign w:val="bottom"/>
            <w:tcBorders>
              <w:top w:val="single" w:sz="8" w:color="939598"/>
            </w:tcBorders>
            <w:shd w:val="clear" w:color="auto" w:fill="E3F1DA"/>
          </w:tcPr>
          <w:p>
            <w:pPr>
              <w:spacing w:after="0"/>
              <w:rPr>
                <w:sz w:val="15"/>
                <w:szCs w:val="15"/>
                <w:color w:val="auto"/>
              </w:rPr>
            </w:pPr>
          </w:p>
        </w:tc>
        <w:tc>
          <w:tcPr>
            <w:tcW w:w="1580" w:type="dxa"/>
            <w:vAlign w:val="bottom"/>
            <w:tcBorders>
              <w:top w:val="single" w:sz="8" w:color="939598"/>
            </w:tcBorders>
          </w:tcPr>
          <w:p>
            <w:pPr>
              <w:jc w:val="right"/>
              <w:ind w:right="130"/>
              <w:spacing w:after="0" w:line="173" w:lineRule="exact"/>
              <w:rPr>
                <w:sz w:val="20"/>
                <w:szCs w:val="20"/>
                <w:color w:val="auto"/>
              </w:rPr>
            </w:pPr>
            <w:r>
              <w:rPr>
                <w:rFonts w:ascii="Arial" w:cs="Arial" w:eastAsia="Arial" w:hAnsi="Arial"/>
                <w:sz w:val="18"/>
                <w:szCs w:val="18"/>
                <w:color w:val="86B6A5"/>
              </w:rPr>
              <w:t>1,042.4</w:t>
            </w:r>
          </w:p>
        </w:tc>
        <w:tc>
          <w:tcPr>
            <w:tcW w:w="440" w:type="dxa"/>
            <w:vAlign w:val="bottom"/>
            <w:tcBorders>
              <w:top w:val="single" w:sz="8" w:color="939598"/>
            </w:tcBorders>
          </w:tcPr>
          <w:p>
            <w:pPr>
              <w:spacing w:after="0"/>
              <w:rPr>
                <w:sz w:val="15"/>
                <w:szCs w:val="15"/>
                <w:color w:val="auto"/>
              </w:rPr>
            </w:pPr>
          </w:p>
        </w:tc>
        <w:tc>
          <w:tcPr>
            <w:tcW w:w="1040" w:type="dxa"/>
            <w:vAlign w:val="bottom"/>
            <w:tcBorders>
              <w:top w:val="single" w:sz="8" w:color="939598"/>
            </w:tcBorders>
            <w:gridSpan w:val="2"/>
          </w:tcPr>
          <w:p>
            <w:pPr>
              <w:jc w:val="right"/>
              <w:ind w:right="20"/>
              <w:spacing w:after="0" w:line="173" w:lineRule="exact"/>
              <w:rPr>
                <w:sz w:val="20"/>
                <w:szCs w:val="20"/>
                <w:color w:val="auto"/>
              </w:rPr>
            </w:pPr>
            <w:r>
              <w:rPr>
                <w:rFonts w:ascii="Arial" w:cs="Arial" w:eastAsia="Arial" w:hAnsi="Arial"/>
                <w:sz w:val="18"/>
                <w:szCs w:val="18"/>
                <w:color w:val="auto"/>
              </w:rPr>
              <w:t>1,074.3</w:t>
            </w:r>
          </w:p>
        </w:tc>
        <w:tc>
          <w:tcPr>
            <w:tcW w:w="40" w:type="dxa"/>
            <w:vAlign w:val="bottom"/>
          </w:tcPr>
          <w:p>
            <w:pPr>
              <w:spacing w:after="0"/>
              <w:rPr>
                <w:sz w:val="15"/>
                <w:szCs w:val="15"/>
                <w:color w:val="auto"/>
              </w:rPr>
            </w:pPr>
          </w:p>
        </w:tc>
      </w:tr>
      <w:tr>
        <w:trPr>
          <w:trHeight w:val="225"/>
        </w:trPr>
        <w:tc>
          <w:tcPr>
            <w:tcW w:w="8040" w:type="dxa"/>
            <w:vAlign w:val="bottom"/>
            <w:gridSpan w:val="2"/>
          </w:tcPr>
          <w:p>
            <w:pPr>
              <w:spacing w:after="0"/>
              <w:rPr>
                <w:sz w:val="20"/>
                <w:szCs w:val="20"/>
                <w:color w:val="auto"/>
              </w:rPr>
            </w:pPr>
            <w:r>
              <w:rPr>
                <w:rFonts w:ascii="Arial" w:cs="Arial" w:eastAsia="Arial" w:hAnsi="Arial"/>
                <w:sz w:val="18"/>
                <w:szCs w:val="18"/>
                <w:b w:val="1"/>
                <w:bCs w:val="1"/>
                <w:color w:val="939598"/>
              </w:rPr>
              <w:t>Shareholders’ Equity</w:t>
            </w:r>
          </w:p>
        </w:tc>
        <w:tc>
          <w:tcPr>
            <w:tcW w:w="120" w:type="dxa"/>
            <w:vAlign w:val="bottom"/>
            <w:shd w:val="clear" w:color="auto" w:fill="E3F1DA"/>
          </w:tcPr>
          <w:p>
            <w:pPr>
              <w:spacing w:after="0"/>
              <w:rPr>
                <w:sz w:val="19"/>
                <w:szCs w:val="19"/>
                <w:color w:val="auto"/>
              </w:rPr>
            </w:pPr>
          </w:p>
        </w:tc>
        <w:tc>
          <w:tcPr>
            <w:tcW w:w="15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03"/>
        </w:trPr>
        <w:tc>
          <w:tcPr>
            <w:tcW w:w="8040" w:type="dxa"/>
            <w:vAlign w:val="bottom"/>
            <w:gridSpan w:val="2"/>
          </w:tcPr>
          <w:p>
            <w:pPr>
              <w:spacing w:after="0" w:line="202" w:lineRule="exact"/>
              <w:rPr>
                <w:sz w:val="20"/>
                <w:szCs w:val="20"/>
                <w:color w:val="auto"/>
              </w:rPr>
            </w:pPr>
            <w:r>
              <w:rPr>
                <w:rFonts w:ascii="Arial" w:cs="Arial" w:eastAsia="Arial" w:hAnsi="Arial"/>
                <w:sz w:val="18"/>
                <w:szCs w:val="18"/>
                <w:color w:val="auto"/>
              </w:rPr>
              <w:t>Preferred stock, $.01 par value, authorized 25,000,000 shares, none issued</w:t>
            </w:r>
          </w:p>
        </w:tc>
        <w:tc>
          <w:tcPr>
            <w:tcW w:w="120" w:type="dxa"/>
            <w:vAlign w:val="bottom"/>
            <w:shd w:val="clear" w:color="auto" w:fill="E3F1DA"/>
          </w:tcPr>
          <w:p>
            <w:pPr>
              <w:spacing w:after="0"/>
              <w:rPr>
                <w:sz w:val="17"/>
                <w:szCs w:val="17"/>
                <w:color w:val="auto"/>
              </w:rPr>
            </w:pPr>
          </w:p>
        </w:tc>
        <w:tc>
          <w:tcPr>
            <w:tcW w:w="1580" w:type="dxa"/>
            <w:vAlign w:val="bottom"/>
          </w:tcPr>
          <w:p>
            <w:pPr>
              <w:jc w:val="right"/>
              <w:ind w:right="130"/>
              <w:spacing w:after="0" w:line="202" w:lineRule="exact"/>
              <w:rPr>
                <w:sz w:val="20"/>
                <w:szCs w:val="20"/>
                <w:color w:val="auto"/>
              </w:rPr>
            </w:pPr>
            <w:r>
              <w:rPr>
                <w:rFonts w:ascii="Arial" w:cs="Arial" w:eastAsia="Arial" w:hAnsi="Arial"/>
                <w:sz w:val="18"/>
                <w:szCs w:val="18"/>
                <w:color w:val="86B6A5"/>
              </w:rPr>
              <w:t>–</w:t>
            </w:r>
          </w:p>
        </w:tc>
        <w:tc>
          <w:tcPr>
            <w:tcW w:w="440" w:type="dxa"/>
            <w:vAlign w:val="bottom"/>
          </w:tcPr>
          <w:p>
            <w:pPr>
              <w:spacing w:after="0"/>
              <w:rPr>
                <w:sz w:val="17"/>
                <w:szCs w:val="17"/>
                <w:color w:val="auto"/>
              </w:rPr>
            </w:pPr>
          </w:p>
        </w:tc>
        <w:tc>
          <w:tcPr>
            <w:tcW w:w="108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3"/>
        </w:trPr>
        <w:tc>
          <w:tcPr>
            <w:tcW w:w="8040" w:type="dxa"/>
            <w:vAlign w:val="bottom"/>
            <w:gridSpan w:val="2"/>
          </w:tcPr>
          <w:p>
            <w:pPr>
              <w:spacing w:after="0" w:line="202" w:lineRule="exact"/>
              <w:rPr>
                <w:sz w:val="20"/>
                <w:szCs w:val="20"/>
                <w:color w:val="auto"/>
              </w:rPr>
            </w:pPr>
            <w:r>
              <w:rPr>
                <w:rFonts w:ascii="Arial" w:cs="Arial" w:eastAsia="Arial" w:hAnsi="Arial"/>
                <w:sz w:val="18"/>
                <w:szCs w:val="18"/>
                <w:color w:val="auto"/>
              </w:rPr>
              <w:t>Common stock, $.01 par value, authorized 125,000,000 shares, issued 108,294,605 and</w:t>
            </w:r>
          </w:p>
        </w:tc>
        <w:tc>
          <w:tcPr>
            <w:tcW w:w="120" w:type="dxa"/>
            <w:vAlign w:val="bottom"/>
            <w:shd w:val="clear" w:color="auto" w:fill="E3F1DA"/>
          </w:tcPr>
          <w:p>
            <w:pPr>
              <w:spacing w:after="0"/>
              <w:rPr>
                <w:sz w:val="17"/>
                <w:szCs w:val="17"/>
                <w:color w:val="auto"/>
              </w:rPr>
            </w:pPr>
          </w:p>
        </w:tc>
        <w:tc>
          <w:tcPr>
            <w:tcW w:w="15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8020" w:type="dxa"/>
            <w:vAlign w:val="bottom"/>
          </w:tcPr>
          <w:p>
            <w:pPr>
              <w:ind w:left="260"/>
              <w:spacing w:after="0" w:line="202" w:lineRule="exact"/>
              <w:rPr>
                <w:sz w:val="20"/>
                <w:szCs w:val="20"/>
                <w:color w:val="auto"/>
              </w:rPr>
            </w:pPr>
            <w:r>
              <w:rPr>
                <w:rFonts w:ascii="Arial" w:cs="Arial" w:eastAsia="Arial" w:hAnsi="Arial"/>
                <w:sz w:val="18"/>
                <w:szCs w:val="18"/>
                <w:color w:val="auto"/>
              </w:rPr>
              <w:t>104,397,965 shares, respectively</w:t>
            </w:r>
          </w:p>
        </w:tc>
        <w:tc>
          <w:tcPr>
            <w:tcW w:w="120" w:type="dxa"/>
            <w:vAlign w:val="bottom"/>
            <w:shd w:val="clear" w:color="auto" w:fill="E3F1DA"/>
          </w:tcPr>
          <w:p>
            <w:pPr>
              <w:spacing w:after="0"/>
              <w:rPr>
                <w:sz w:val="17"/>
                <w:szCs w:val="17"/>
                <w:color w:val="auto"/>
              </w:rPr>
            </w:pPr>
          </w:p>
        </w:tc>
        <w:tc>
          <w:tcPr>
            <w:tcW w:w="1580" w:type="dxa"/>
            <w:vAlign w:val="bottom"/>
          </w:tcPr>
          <w:p>
            <w:pPr>
              <w:jc w:val="right"/>
              <w:ind w:right="130"/>
              <w:spacing w:after="0" w:line="202" w:lineRule="exact"/>
              <w:rPr>
                <w:sz w:val="20"/>
                <w:szCs w:val="20"/>
                <w:color w:val="auto"/>
              </w:rPr>
            </w:pPr>
            <w:r>
              <w:rPr>
                <w:rFonts w:ascii="Arial" w:cs="Arial" w:eastAsia="Arial" w:hAnsi="Arial"/>
                <w:sz w:val="18"/>
                <w:szCs w:val="18"/>
                <w:color w:val="86B6A5"/>
              </w:rPr>
              <w:t>1.1</w:t>
            </w:r>
          </w:p>
        </w:tc>
        <w:tc>
          <w:tcPr>
            <w:tcW w:w="440" w:type="dxa"/>
            <w:vAlign w:val="bottom"/>
          </w:tcPr>
          <w:p>
            <w:pPr>
              <w:spacing w:after="0"/>
              <w:rPr>
                <w:sz w:val="17"/>
                <w:szCs w:val="17"/>
                <w:color w:val="auto"/>
              </w:rPr>
            </w:pPr>
          </w:p>
        </w:tc>
        <w:tc>
          <w:tcPr>
            <w:tcW w:w="10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1.0</w:t>
            </w:r>
          </w:p>
        </w:tc>
        <w:tc>
          <w:tcPr>
            <w:tcW w:w="40" w:type="dxa"/>
            <w:vAlign w:val="bottom"/>
          </w:tcPr>
          <w:p>
            <w:pPr>
              <w:spacing w:after="0"/>
              <w:rPr>
                <w:sz w:val="17"/>
                <w:szCs w:val="17"/>
                <w:color w:val="auto"/>
              </w:rPr>
            </w:pPr>
          </w:p>
        </w:tc>
      </w:tr>
      <w:tr>
        <w:trPr>
          <w:trHeight w:val="203"/>
        </w:trPr>
        <w:tc>
          <w:tcPr>
            <w:tcW w:w="8040" w:type="dxa"/>
            <w:vAlign w:val="bottom"/>
            <w:gridSpan w:val="2"/>
          </w:tcPr>
          <w:p>
            <w:pPr>
              <w:spacing w:after="0" w:line="202" w:lineRule="exact"/>
              <w:rPr>
                <w:sz w:val="20"/>
                <w:szCs w:val="20"/>
                <w:color w:val="auto"/>
              </w:rPr>
            </w:pPr>
            <w:r>
              <w:rPr>
                <w:rFonts w:ascii="Arial" w:cs="Arial" w:eastAsia="Arial" w:hAnsi="Arial"/>
                <w:sz w:val="18"/>
                <w:szCs w:val="18"/>
                <w:color w:val="auto"/>
              </w:rPr>
              <w:t>Capital in excess of par value</w:t>
            </w:r>
          </w:p>
        </w:tc>
        <w:tc>
          <w:tcPr>
            <w:tcW w:w="120" w:type="dxa"/>
            <w:vAlign w:val="bottom"/>
            <w:shd w:val="clear" w:color="auto" w:fill="E3F1DA"/>
          </w:tcPr>
          <w:p>
            <w:pPr>
              <w:spacing w:after="0"/>
              <w:rPr>
                <w:sz w:val="17"/>
                <w:szCs w:val="17"/>
                <w:color w:val="auto"/>
              </w:rPr>
            </w:pPr>
          </w:p>
        </w:tc>
        <w:tc>
          <w:tcPr>
            <w:tcW w:w="1580" w:type="dxa"/>
            <w:vAlign w:val="bottom"/>
          </w:tcPr>
          <w:p>
            <w:pPr>
              <w:jc w:val="right"/>
              <w:ind w:right="130"/>
              <w:spacing w:after="0" w:line="202" w:lineRule="exact"/>
              <w:rPr>
                <w:sz w:val="20"/>
                <w:szCs w:val="20"/>
                <w:color w:val="auto"/>
              </w:rPr>
            </w:pPr>
            <w:r>
              <w:rPr>
                <w:rFonts w:ascii="Arial" w:cs="Arial" w:eastAsia="Arial" w:hAnsi="Arial"/>
                <w:sz w:val="18"/>
                <w:szCs w:val="18"/>
                <w:color w:val="86B6A5"/>
              </w:rPr>
              <w:t>2,781.7</w:t>
            </w:r>
          </w:p>
        </w:tc>
        <w:tc>
          <w:tcPr>
            <w:tcW w:w="440" w:type="dxa"/>
            <w:vAlign w:val="bottom"/>
          </w:tcPr>
          <w:p>
            <w:pPr>
              <w:spacing w:after="0"/>
              <w:rPr>
                <w:sz w:val="17"/>
                <w:szCs w:val="17"/>
                <w:color w:val="auto"/>
              </w:rPr>
            </w:pPr>
          </w:p>
        </w:tc>
        <w:tc>
          <w:tcPr>
            <w:tcW w:w="10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2,544.2</w:t>
            </w:r>
          </w:p>
        </w:tc>
        <w:tc>
          <w:tcPr>
            <w:tcW w:w="40" w:type="dxa"/>
            <w:vAlign w:val="bottom"/>
          </w:tcPr>
          <w:p>
            <w:pPr>
              <w:spacing w:after="0"/>
              <w:rPr>
                <w:sz w:val="17"/>
                <w:szCs w:val="17"/>
                <w:color w:val="auto"/>
              </w:rPr>
            </w:pPr>
          </w:p>
        </w:tc>
      </w:tr>
      <w:tr>
        <w:trPr>
          <w:trHeight w:val="203"/>
        </w:trPr>
        <w:tc>
          <w:tcPr>
            <w:tcW w:w="8040" w:type="dxa"/>
            <w:vAlign w:val="bottom"/>
            <w:gridSpan w:val="2"/>
          </w:tcPr>
          <w:p>
            <w:pPr>
              <w:spacing w:after="0" w:line="202" w:lineRule="exact"/>
              <w:rPr>
                <w:sz w:val="20"/>
                <w:szCs w:val="20"/>
                <w:color w:val="auto"/>
              </w:rPr>
            </w:pPr>
            <w:r>
              <w:rPr>
                <w:rFonts w:ascii="Arial" w:cs="Arial" w:eastAsia="Arial" w:hAnsi="Arial"/>
                <w:sz w:val="18"/>
                <w:szCs w:val="18"/>
                <w:color w:val="auto"/>
              </w:rPr>
              <w:t>Retained earnings</w:t>
            </w:r>
          </w:p>
        </w:tc>
        <w:tc>
          <w:tcPr>
            <w:tcW w:w="120" w:type="dxa"/>
            <w:vAlign w:val="bottom"/>
            <w:shd w:val="clear" w:color="auto" w:fill="E3F1DA"/>
          </w:tcPr>
          <w:p>
            <w:pPr>
              <w:spacing w:after="0"/>
              <w:rPr>
                <w:sz w:val="17"/>
                <w:szCs w:val="17"/>
                <w:color w:val="auto"/>
              </w:rPr>
            </w:pPr>
          </w:p>
        </w:tc>
        <w:tc>
          <w:tcPr>
            <w:tcW w:w="1580" w:type="dxa"/>
            <w:vAlign w:val="bottom"/>
          </w:tcPr>
          <w:p>
            <w:pPr>
              <w:jc w:val="right"/>
              <w:ind w:right="130"/>
              <w:spacing w:after="0" w:line="202" w:lineRule="exact"/>
              <w:rPr>
                <w:sz w:val="20"/>
                <w:szCs w:val="20"/>
                <w:color w:val="auto"/>
              </w:rPr>
            </w:pPr>
            <w:r>
              <w:rPr>
                <w:rFonts w:ascii="Arial" w:cs="Arial" w:eastAsia="Arial" w:hAnsi="Arial"/>
                <w:sz w:val="18"/>
                <w:szCs w:val="18"/>
                <w:color w:val="86B6A5"/>
              </w:rPr>
              <w:t>785.2</w:t>
            </w:r>
          </w:p>
        </w:tc>
        <w:tc>
          <w:tcPr>
            <w:tcW w:w="440" w:type="dxa"/>
            <w:vAlign w:val="bottom"/>
          </w:tcPr>
          <w:p>
            <w:pPr>
              <w:spacing w:after="0"/>
              <w:rPr>
                <w:sz w:val="17"/>
                <w:szCs w:val="17"/>
                <w:color w:val="auto"/>
              </w:rPr>
            </w:pPr>
          </w:p>
        </w:tc>
        <w:tc>
          <w:tcPr>
            <w:tcW w:w="10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1,109.6</w:t>
            </w:r>
          </w:p>
        </w:tc>
        <w:tc>
          <w:tcPr>
            <w:tcW w:w="40" w:type="dxa"/>
            <w:vAlign w:val="bottom"/>
          </w:tcPr>
          <w:p>
            <w:pPr>
              <w:spacing w:after="0"/>
              <w:rPr>
                <w:sz w:val="17"/>
                <w:szCs w:val="17"/>
                <w:color w:val="auto"/>
              </w:rPr>
            </w:pPr>
          </w:p>
        </w:tc>
      </w:tr>
      <w:tr>
        <w:trPr>
          <w:trHeight w:val="203"/>
        </w:trPr>
        <w:tc>
          <w:tcPr>
            <w:tcW w:w="8040" w:type="dxa"/>
            <w:vAlign w:val="bottom"/>
            <w:gridSpan w:val="2"/>
          </w:tcPr>
          <w:p>
            <w:pPr>
              <w:spacing w:after="0" w:line="202" w:lineRule="exact"/>
              <w:rPr>
                <w:sz w:val="20"/>
                <w:szCs w:val="20"/>
                <w:color w:val="auto"/>
              </w:rPr>
            </w:pPr>
            <w:r>
              <w:rPr>
                <w:rFonts w:ascii="Arial" w:cs="Arial" w:eastAsia="Arial" w:hAnsi="Arial"/>
                <w:sz w:val="18"/>
                <w:szCs w:val="18"/>
                <w:color w:val="auto"/>
              </w:rPr>
              <w:t>Accumulated other comprehensive income</w:t>
            </w:r>
          </w:p>
        </w:tc>
        <w:tc>
          <w:tcPr>
            <w:tcW w:w="120" w:type="dxa"/>
            <w:vAlign w:val="bottom"/>
            <w:shd w:val="clear" w:color="auto" w:fill="E3F1DA"/>
          </w:tcPr>
          <w:p>
            <w:pPr>
              <w:spacing w:after="0"/>
              <w:rPr>
                <w:sz w:val="17"/>
                <w:szCs w:val="17"/>
                <w:color w:val="auto"/>
              </w:rPr>
            </w:pPr>
          </w:p>
        </w:tc>
        <w:tc>
          <w:tcPr>
            <w:tcW w:w="1580" w:type="dxa"/>
            <w:vAlign w:val="bottom"/>
          </w:tcPr>
          <w:p>
            <w:pPr>
              <w:jc w:val="right"/>
              <w:ind w:right="130"/>
              <w:spacing w:after="0" w:line="202" w:lineRule="exact"/>
              <w:rPr>
                <w:sz w:val="20"/>
                <w:szCs w:val="20"/>
                <w:color w:val="auto"/>
              </w:rPr>
            </w:pPr>
            <w:r>
              <w:rPr>
                <w:rFonts w:ascii="Arial" w:cs="Arial" w:eastAsia="Arial" w:hAnsi="Arial"/>
                <w:sz w:val="18"/>
                <w:szCs w:val="18"/>
                <w:color w:val="86B6A5"/>
              </w:rPr>
              <w:t>87.0</w:t>
            </w:r>
          </w:p>
        </w:tc>
        <w:tc>
          <w:tcPr>
            <w:tcW w:w="440" w:type="dxa"/>
            <w:vAlign w:val="bottom"/>
          </w:tcPr>
          <w:p>
            <w:pPr>
              <w:spacing w:after="0"/>
              <w:rPr>
                <w:sz w:val="17"/>
                <w:szCs w:val="17"/>
                <w:color w:val="auto"/>
              </w:rPr>
            </w:pPr>
          </w:p>
        </w:tc>
        <w:tc>
          <w:tcPr>
            <w:tcW w:w="10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106.9</w:t>
            </w:r>
          </w:p>
        </w:tc>
        <w:tc>
          <w:tcPr>
            <w:tcW w:w="40" w:type="dxa"/>
            <w:vAlign w:val="bottom"/>
          </w:tcPr>
          <w:p>
            <w:pPr>
              <w:spacing w:after="0"/>
              <w:rPr>
                <w:sz w:val="17"/>
                <w:szCs w:val="17"/>
                <w:color w:val="auto"/>
              </w:rPr>
            </w:pPr>
          </w:p>
        </w:tc>
      </w:tr>
      <w:tr>
        <w:trPr>
          <w:trHeight w:val="203"/>
        </w:trPr>
        <w:tc>
          <w:tcPr>
            <w:tcW w:w="8040" w:type="dxa"/>
            <w:vAlign w:val="bottom"/>
            <w:gridSpan w:val="2"/>
          </w:tcPr>
          <w:p>
            <w:pPr>
              <w:spacing w:after="0" w:line="203" w:lineRule="exact"/>
              <w:rPr>
                <w:sz w:val="20"/>
                <w:szCs w:val="20"/>
                <w:color w:val="auto"/>
              </w:rPr>
            </w:pPr>
            <w:r>
              <w:rPr>
                <w:rFonts w:ascii="Arial" w:cs="Arial" w:eastAsia="Arial" w:hAnsi="Arial"/>
                <w:sz w:val="18"/>
                <w:szCs w:val="18"/>
                <w:color w:val="auto"/>
              </w:rPr>
              <w:t>Treasury stock at cost, 26,535,104 and 25,821,405 shares, respectively</w:t>
            </w:r>
          </w:p>
        </w:tc>
        <w:tc>
          <w:tcPr>
            <w:tcW w:w="120" w:type="dxa"/>
            <w:vAlign w:val="bottom"/>
            <w:shd w:val="clear" w:color="auto" w:fill="E3F1DA"/>
          </w:tcPr>
          <w:p>
            <w:pPr>
              <w:spacing w:after="0"/>
              <w:rPr>
                <w:sz w:val="17"/>
                <w:szCs w:val="17"/>
                <w:color w:val="auto"/>
              </w:rPr>
            </w:pPr>
          </w:p>
        </w:tc>
        <w:tc>
          <w:tcPr>
            <w:tcW w:w="1580" w:type="dxa"/>
            <w:vAlign w:val="bottom"/>
          </w:tcPr>
          <w:p>
            <w:pPr>
              <w:jc w:val="right"/>
              <w:ind w:right="70"/>
              <w:spacing w:after="0" w:line="203" w:lineRule="exact"/>
              <w:rPr>
                <w:sz w:val="20"/>
                <w:szCs w:val="20"/>
                <w:color w:val="auto"/>
              </w:rPr>
            </w:pPr>
            <w:r>
              <w:rPr>
                <w:rFonts w:ascii="Arial" w:cs="Arial" w:eastAsia="Arial" w:hAnsi="Arial"/>
                <w:sz w:val="18"/>
                <w:szCs w:val="18"/>
                <w:color w:val="86B6A5"/>
              </w:rPr>
              <w:t>(1,257.8)</w:t>
            </w:r>
          </w:p>
        </w:tc>
        <w:tc>
          <w:tcPr>
            <w:tcW w:w="440" w:type="dxa"/>
            <w:vAlign w:val="bottom"/>
          </w:tcPr>
          <w:p>
            <w:pPr>
              <w:spacing w:after="0"/>
              <w:rPr>
                <w:sz w:val="17"/>
                <w:szCs w:val="17"/>
                <w:color w:val="auto"/>
              </w:rPr>
            </w:pPr>
          </w:p>
        </w:tc>
        <w:tc>
          <w:tcPr>
            <w:tcW w:w="1080" w:type="dxa"/>
            <w:vAlign w:val="bottom"/>
            <w:gridSpan w:val="3"/>
          </w:tcPr>
          <w:p>
            <w:pPr>
              <w:jc w:val="right"/>
              <w:spacing w:after="0" w:line="203" w:lineRule="exact"/>
              <w:rPr>
                <w:sz w:val="20"/>
                <w:szCs w:val="20"/>
                <w:color w:val="auto"/>
              </w:rPr>
            </w:pPr>
            <w:r>
              <w:rPr>
                <w:rFonts w:ascii="Arial" w:cs="Arial" w:eastAsia="Arial" w:hAnsi="Arial"/>
                <w:sz w:val="18"/>
                <w:szCs w:val="18"/>
                <w:color w:val="auto"/>
              </w:rPr>
              <w:t>(1,225.2)</w:t>
            </w:r>
          </w:p>
        </w:tc>
      </w:tr>
      <w:tr>
        <w:trPr>
          <w:trHeight w:val="196"/>
        </w:trPr>
        <w:tc>
          <w:tcPr>
            <w:tcW w:w="20" w:type="dxa"/>
            <w:vAlign w:val="bottom"/>
          </w:tcPr>
          <w:p>
            <w:pPr>
              <w:spacing w:after="0"/>
              <w:rPr>
                <w:sz w:val="17"/>
                <w:szCs w:val="17"/>
                <w:color w:val="auto"/>
              </w:rPr>
            </w:pPr>
          </w:p>
        </w:tc>
        <w:tc>
          <w:tcPr>
            <w:tcW w:w="8020" w:type="dxa"/>
            <w:vAlign w:val="bottom"/>
            <w:tcBorders>
              <w:top w:val="single" w:sz="8" w:color="939598"/>
              <w:bottom w:val="single" w:sz="8" w:color="939598"/>
            </w:tcBorders>
          </w:tcPr>
          <w:p>
            <w:pPr>
              <w:ind w:left="260"/>
              <w:spacing w:after="0" w:line="196" w:lineRule="exact"/>
              <w:rPr>
                <w:sz w:val="20"/>
                <w:szCs w:val="20"/>
                <w:color w:val="auto"/>
              </w:rPr>
            </w:pPr>
            <w:r>
              <w:rPr>
                <w:rFonts w:ascii="Arial" w:cs="Arial" w:eastAsia="Arial" w:hAnsi="Arial"/>
                <w:sz w:val="18"/>
                <w:szCs w:val="18"/>
                <w:color w:val="auto"/>
              </w:rPr>
              <w:t>Total shareholders’ equity</w:t>
            </w:r>
          </w:p>
        </w:tc>
        <w:tc>
          <w:tcPr>
            <w:tcW w:w="120" w:type="dxa"/>
            <w:vAlign w:val="bottom"/>
            <w:tcBorders>
              <w:top w:val="single" w:sz="8" w:color="939598"/>
              <w:bottom w:val="single" w:sz="8" w:color="939598"/>
            </w:tcBorders>
            <w:shd w:val="clear" w:color="auto" w:fill="E3F1DA"/>
          </w:tcPr>
          <w:p>
            <w:pPr>
              <w:spacing w:after="0"/>
              <w:rPr>
                <w:sz w:val="17"/>
                <w:szCs w:val="17"/>
                <w:color w:val="auto"/>
              </w:rPr>
            </w:pPr>
          </w:p>
        </w:tc>
        <w:tc>
          <w:tcPr>
            <w:tcW w:w="1580" w:type="dxa"/>
            <w:vAlign w:val="bottom"/>
            <w:tcBorders>
              <w:top w:val="single" w:sz="8" w:color="939598"/>
              <w:bottom w:val="single" w:sz="8" w:color="939598"/>
            </w:tcBorders>
          </w:tcPr>
          <w:p>
            <w:pPr>
              <w:jc w:val="right"/>
              <w:ind w:right="130"/>
              <w:spacing w:after="0" w:line="196" w:lineRule="exact"/>
              <w:rPr>
                <w:sz w:val="20"/>
                <w:szCs w:val="20"/>
                <w:color w:val="auto"/>
              </w:rPr>
            </w:pPr>
            <w:r>
              <w:rPr>
                <w:rFonts w:ascii="Arial" w:cs="Arial" w:eastAsia="Arial" w:hAnsi="Arial"/>
                <w:sz w:val="18"/>
                <w:szCs w:val="18"/>
                <w:color w:val="86B6A5"/>
              </w:rPr>
              <w:t>2,397.2</w:t>
            </w:r>
          </w:p>
        </w:tc>
        <w:tc>
          <w:tcPr>
            <w:tcW w:w="440" w:type="dxa"/>
            <w:vAlign w:val="bottom"/>
            <w:tcBorders>
              <w:top w:val="single" w:sz="8" w:color="939598"/>
              <w:bottom w:val="single" w:sz="8" w:color="939598"/>
            </w:tcBorders>
          </w:tcPr>
          <w:p>
            <w:pPr>
              <w:spacing w:after="0"/>
              <w:rPr>
                <w:sz w:val="17"/>
                <w:szCs w:val="17"/>
                <w:color w:val="auto"/>
              </w:rPr>
            </w:pPr>
          </w:p>
        </w:tc>
        <w:tc>
          <w:tcPr>
            <w:tcW w:w="1040" w:type="dxa"/>
            <w:vAlign w:val="bottom"/>
            <w:tcBorders>
              <w:top w:val="single" w:sz="8" w:color="939598"/>
              <w:bottom w:val="single" w:sz="8" w:color="939598"/>
            </w:tcBorders>
            <w:gridSpan w:val="2"/>
          </w:tcPr>
          <w:p>
            <w:pPr>
              <w:jc w:val="right"/>
              <w:ind w:right="20"/>
              <w:spacing w:after="0" w:line="196" w:lineRule="exact"/>
              <w:rPr>
                <w:sz w:val="20"/>
                <w:szCs w:val="20"/>
                <w:color w:val="auto"/>
              </w:rPr>
            </w:pPr>
            <w:r>
              <w:rPr>
                <w:rFonts w:ascii="Arial" w:cs="Arial" w:eastAsia="Arial" w:hAnsi="Arial"/>
                <w:sz w:val="18"/>
                <w:szCs w:val="18"/>
                <w:color w:val="auto"/>
              </w:rPr>
              <w:t>2,536.5</w:t>
            </w:r>
          </w:p>
        </w:tc>
        <w:tc>
          <w:tcPr>
            <w:tcW w:w="4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8020" w:type="dxa"/>
            <w:vAlign w:val="bottom"/>
            <w:tcBorders>
              <w:bottom w:val="single" w:sz="8" w:color="939598"/>
            </w:tcBorders>
          </w:tcPr>
          <w:p>
            <w:pPr>
              <w:ind w:left="260"/>
              <w:spacing w:after="0" w:line="196" w:lineRule="exact"/>
              <w:rPr>
                <w:sz w:val="20"/>
                <w:szCs w:val="20"/>
                <w:color w:val="auto"/>
              </w:rPr>
            </w:pPr>
            <w:r>
              <w:rPr>
                <w:rFonts w:ascii="Arial" w:cs="Arial" w:eastAsia="Arial" w:hAnsi="Arial"/>
                <w:sz w:val="18"/>
                <w:szCs w:val="18"/>
                <w:color w:val="auto"/>
              </w:rPr>
              <w:t>Total liabilities and shareholders’ equity</w:t>
            </w:r>
          </w:p>
        </w:tc>
        <w:tc>
          <w:tcPr>
            <w:tcW w:w="120" w:type="dxa"/>
            <w:vAlign w:val="bottom"/>
            <w:tcBorders>
              <w:bottom w:val="single" w:sz="8" w:color="939598"/>
            </w:tcBorders>
            <w:shd w:val="clear" w:color="auto" w:fill="E3F1DA"/>
          </w:tcPr>
          <w:p>
            <w:pPr>
              <w:jc w:val="right"/>
              <w:spacing w:after="0" w:line="196" w:lineRule="exact"/>
              <w:rPr>
                <w:sz w:val="20"/>
                <w:szCs w:val="20"/>
                <w:color w:val="auto"/>
              </w:rPr>
            </w:pPr>
            <w:r>
              <w:rPr>
                <w:rFonts w:ascii="Arial" w:cs="Arial" w:eastAsia="Arial" w:hAnsi="Arial"/>
                <w:sz w:val="18"/>
                <w:szCs w:val="18"/>
                <w:color w:val="86B6A5"/>
                <w:w w:val="79"/>
              </w:rPr>
              <w:t>$</w:t>
            </w:r>
          </w:p>
        </w:tc>
        <w:tc>
          <w:tcPr>
            <w:tcW w:w="1580" w:type="dxa"/>
            <w:vAlign w:val="bottom"/>
            <w:tcBorders>
              <w:bottom w:val="single" w:sz="8" w:color="939598"/>
            </w:tcBorders>
          </w:tcPr>
          <w:p>
            <w:pPr>
              <w:jc w:val="right"/>
              <w:ind w:right="130"/>
              <w:spacing w:after="0" w:line="196" w:lineRule="exact"/>
              <w:rPr>
                <w:sz w:val="20"/>
                <w:szCs w:val="20"/>
                <w:color w:val="auto"/>
              </w:rPr>
            </w:pPr>
            <w:r>
              <w:rPr>
                <w:rFonts w:ascii="Arial" w:cs="Arial" w:eastAsia="Arial" w:hAnsi="Arial"/>
                <w:sz w:val="18"/>
                <w:szCs w:val="18"/>
                <w:color w:val="86B6A5"/>
              </w:rPr>
              <w:t>6,729.7</w:t>
            </w:r>
          </w:p>
        </w:tc>
        <w:tc>
          <w:tcPr>
            <w:tcW w:w="440" w:type="dxa"/>
            <w:vAlign w:val="bottom"/>
            <w:tcBorders>
              <w:bottom w:val="single" w:sz="8" w:color="939598"/>
            </w:tcBorders>
          </w:tcPr>
          <w:p>
            <w:pPr>
              <w:jc w:val="right"/>
              <w:ind w:right="250"/>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939598"/>
            </w:tcBorders>
          </w:tcPr>
          <w:p>
            <w:pPr>
              <w:jc w:val="right"/>
              <w:spacing w:after="0" w:line="196" w:lineRule="exact"/>
              <w:rPr>
                <w:sz w:val="20"/>
                <w:szCs w:val="20"/>
                <w:color w:val="auto"/>
              </w:rPr>
            </w:pPr>
            <w:r>
              <w:rPr>
                <w:rFonts w:ascii="Arial" w:cs="Arial" w:eastAsia="Arial" w:hAnsi="Arial"/>
                <w:sz w:val="18"/>
                <w:szCs w:val="18"/>
                <w:color w:val="auto"/>
              </w:rPr>
              <w:t>6,213.8</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5176520</wp:posOffset>
            </wp:positionH>
            <wp:positionV relativeFrom="paragraph">
              <wp:posOffset>-5119370</wp:posOffset>
            </wp:positionV>
            <wp:extent cx="1003300" cy="511111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003300" cy="5111115"/>
                    </a:xfrm>
                    <a:prstGeom prst="rect">
                      <a:avLst/>
                    </a:prstGeom>
                    <a:noFill/>
                  </pic:spPr>
                </pic:pic>
              </a:graphicData>
            </a:graphic>
          </wp:anchor>
        </w:drawing>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pacing w:after="0" w:line="194"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939598"/>
        </w:rPr>
        <w:t xml:space="preserve">Consolidated Balance Sheets </w:t>
      </w:r>
      <w:r>
        <w:rPr>
          <w:rFonts w:ascii="Arial" w:cs="Arial" w:eastAsia="Arial" w:hAnsi="Arial"/>
          <w:sz w:val="16"/>
          <w:szCs w:val="16"/>
          <w:color w:val="4D8ABE"/>
        </w:rPr>
        <w:t>Manpower 2010 Annual Report</w:t>
      </w:r>
      <w:r>
        <w:rPr>
          <w:rFonts w:ascii="Arial" w:cs="Arial" w:eastAsia="Arial" w:hAnsi="Arial"/>
          <w:sz w:val="16"/>
          <w:szCs w:val="16"/>
          <w:b w:val="1"/>
          <w:bCs w:val="1"/>
          <w:color w:val="939598"/>
        </w:rPr>
        <w:t xml:space="preserve"> </w:t>
      </w:r>
      <w:r>
        <w:rPr>
          <w:rFonts w:ascii="Arial" w:cs="Arial" w:eastAsia="Arial" w:hAnsi="Arial"/>
          <w:sz w:val="16"/>
          <w:szCs w:val="16"/>
          <w:b w:val="1"/>
          <w:bCs w:val="1"/>
          <w:color w:val="4D8ABE"/>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wp:posOffset>
            </wp:positionV>
            <wp:extent cx="7267575" cy="469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ectPr>
          <w:pgSz w:w="11900" w:h="16838" w:orient="portrait"/>
          <w:cols w:equalWidth="0" w:num="1">
            <w:col w:w="11420"/>
          </w:cols>
          <w:pgMar w:left="240" w:top="349" w:right="239" w:bottom="1440" w:gutter="0" w:footer="0" w:header="0"/>
        </w:sectPr>
      </w:pPr>
    </w:p>
    <w:bookmarkStart w:id="75" w:name="page76"/>
    <w:bookmarkEnd w:id="75"/>
    <w:p>
      <w:pPr>
        <w:spacing w:after="0"/>
        <w:rPr>
          <w:sz w:val="20"/>
          <w:szCs w:val="20"/>
          <w:color w:val="auto"/>
        </w:rPr>
      </w:pPr>
      <w:r>
        <w:rPr>
          <w:rFonts w:ascii="Arial" w:cs="Arial" w:eastAsia="Arial" w:hAnsi="Arial"/>
          <w:sz w:val="22"/>
          <w:szCs w:val="22"/>
          <w:color w:val="4D8ABE"/>
        </w:rPr>
        <w:t>Consolidated Statements of Cash Flows</w:t>
      </w:r>
    </w:p>
    <w:p>
      <w:pPr>
        <w:spacing w:after="0"/>
        <w:rPr>
          <w:sz w:val="20"/>
          <w:szCs w:val="20"/>
          <w:color w:val="auto"/>
        </w:rPr>
      </w:pPr>
      <w:r>
        <w:rPr>
          <w:rFonts w:ascii="Arial" w:cs="Arial" w:eastAsia="Arial" w:hAnsi="Arial"/>
          <w:sz w:val="18"/>
          <w:szCs w:val="18"/>
          <w:color w:val="4D8ABE"/>
        </w:rPr>
        <w:t>in millions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040" w:type="dxa"/>
            <w:vAlign w:val="bottom"/>
            <w:gridSpan w:val="2"/>
          </w:tcPr>
          <w:p>
            <w:pPr>
              <w:spacing w:after="0"/>
              <w:rPr>
                <w:sz w:val="20"/>
                <w:szCs w:val="20"/>
                <w:color w:val="auto"/>
              </w:rPr>
            </w:pPr>
            <w:r>
              <w:rPr>
                <w:rFonts w:ascii="Arial" w:cs="Arial" w:eastAsia="Arial" w:hAnsi="Arial"/>
                <w:sz w:val="16"/>
                <w:szCs w:val="16"/>
                <w:b w:val="1"/>
                <w:bCs w:val="1"/>
                <w:color w:val="86B6A5"/>
              </w:rPr>
              <w:t>Year Ended December 31</w:t>
            </w:r>
          </w:p>
        </w:tc>
        <w:tc>
          <w:tcPr>
            <w:tcW w:w="120" w:type="dxa"/>
            <w:vAlign w:val="bottom"/>
            <w:shd w:val="clear" w:color="auto" w:fill="86B6A5"/>
          </w:tcPr>
          <w:p>
            <w:pPr>
              <w:spacing w:after="0"/>
              <w:rPr>
                <w:sz w:val="18"/>
                <w:szCs w:val="18"/>
                <w:color w:val="auto"/>
              </w:rPr>
            </w:pPr>
          </w:p>
        </w:tc>
        <w:tc>
          <w:tcPr>
            <w:tcW w:w="1340" w:type="dxa"/>
            <w:vAlign w:val="bottom"/>
            <w:shd w:val="clear" w:color="auto" w:fill="86B6A5"/>
          </w:tcPr>
          <w:p>
            <w:pPr>
              <w:jc w:val="right"/>
              <w:ind w:right="130"/>
              <w:spacing w:after="0"/>
              <w:rPr>
                <w:sz w:val="20"/>
                <w:szCs w:val="20"/>
                <w:color w:val="auto"/>
              </w:rPr>
            </w:pPr>
            <w:r>
              <w:rPr>
                <w:rFonts w:ascii="Arial" w:cs="Arial" w:eastAsia="Arial" w:hAnsi="Arial"/>
                <w:sz w:val="16"/>
                <w:szCs w:val="16"/>
                <w:b w:val="1"/>
                <w:bCs w:val="1"/>
                <w:color w:val="FFFFFF"/>
              </w:rPr>
              <w:t>2010</w:t>
            </w:r>
          </w:p>
        </w:tc>
        <w:tc>
          <w:tcPr>
            <w:tcW w:w="380" w:type="dxa"/>
            <w:vAlign w:val="bottom"/>
          </w:tcPr>
          <w:p>
            <w:pPr>
              <w:spacing w:after="0"/>
              <w:rPr>
                <w:sz w:val="18"/>
                <w:szCs w:val="18"/>
                <w:color w:val="auto"/>
              </w:rPr>
            </w:pPr>
          </w:p>
        </w:tc>
        <w:tc>
          <w:tcPr>
            <w:tcW w:w="1000" w:type="dxa"/>
            <w:vAlign w:val="bottom"/>
          </w:tcPr>
          <w:p>
            <w:pPr>
              <w:jc w:val="right"/>
              <w:ind w:right="50"/>
              <w:spacing w:after="0"/>
              <w:rPr>
                <w:sz w:val="20"/>
                <w:szCs w:val="20"/>
                <w:color w:val="auto"/>
              </w:rPr>
            </w:pPr>
            <w:r>
              <w:rPr>
                <w:rFonts w:ascii="Arial" w:cs="Arial" w:eastAsia="Arial" w:hAnsi="Arial"/>
                <w:sz w:val="16"/>
                <w:szCs w:val="16"/>
                <w:b w:val="1"/>
                <w:bCs w:val="1"/>
                <w:color w:val="86B6A5"/>
              </w:rPr>
              <w:t>2009</w:t>
            </w:r>
          </w:p>
        </w:tc>
        <w:tc>
          <w:tcPr>
            <w:tcW w:w="5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86B6A5"/>
              </w:rPr>
              <w:t>2008</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020" w:type="dxa"/>
            <w:vAlign w:val="bottom"/>
            <w:tcBorders>
              <w:top w:val="single" w:sz="8" w:color="86B6A5"/>
            </w:tcBorders>
          </w:tcPr>
          <w:p>
            <w:pPr>
              <w:spacing w:after="0" w:line="201" w:lineRule="exact"/>
              <w:rPr>
                <w:sz w:val="20"/>
                <w:szCs w:val="20"/>
                <w:color w:val="auto"/>
              </w:rPr>
            </w:pPr>
            <w:r>
              <w:rPr>
                <w:rFonts w:ascii="Arial" w:cs="Arial" w:eastAsia="Arial" w:hAnsi="Arial"/>
                <w:sz w:val="18"/>
                <w:szCs w:val="18"/>
                <w:b w:val="1"/>
                <w:bCs w:val="1"/>
                <w:color w:val="939598"/>
              </w:rPr>
              <w:t>Cash Flows from Operating Activities</w:t>
            </w:r>
          </w:p>
        </w:tc>
        <w:tc>
          <w:tcPr>
            <w:tcW w:w="120" w:type="dxa"/>
            <w:vAlign w:val="bottom"/>
            <w:tcBorders>
              <w:top w:val="single" w:sz="8" w:color="86B6A5"/>
            </w:tcBorders>
            <w:shd w:val="clear" w:color="auto" w:fill="E3F1DA"/>
          </w:tcPr>
          <w:p>
            <w:pPr>
              <w:spacing w:after="0"/>
              <w:rPr>
                <w:sz w:val="17"/>
                <w:szCs w:val="17"/>
                <w:color w:val="auto"/>
              </w:rPr>
            </w:pPr>
          </w:p>
        </w:tc>
        <w:tc>
          <w:tcPr>
            <w:tcW w:w="1340" w:type="dxa"/>
            <w:vAlign w:val="bottom"/>
            <w:tcBorders>
              <w:top w:val="single" w:sz="8" w:color="86B6A5"/>
            </w:tcBorders>
            <w:shd w:val="clear" w:color="auto" w:fill="E3F1DA"/>
          </w:tcPr>
          <w:p>
            <w:pPr>
              <w:spacing w:after="0"/>
              <w:rPr>
                <w:sz w:val="17"/>
                <w:szCs w:val="17"/>
                <w:color w:val="auto"/>
              </w:rPr>
            </w:pPr>
          </w:p>
        </w:tc>
        <w:tc>
          <w:tcPr>
            <w:tcW w:w="380" w:type="dxa"/>
            <w:vAlign w:val="bottom"/>
            <w:tcBorders>
              <w:top w:val="single" w:sz="8" w:color="86B6A5"/>
            </w:tcBorders>
          </w:tcPr>
          <w:p>
            <w:pPr>
              <w:spacing w:after="0"/>
              <w:rPr>
                <w:sz w:val="17"/>
                <w:szCs w:val="17"/>
                <w:color w:val="auto"/>
              </w:rPr>
            </w:pPr>
          </w:p>
        </w:tc>
        <w:tc>
          <w:tcPr>
            <w:tcW w:w="1000" w:type="dxa"/>
            <w:vAlign w:val="bottom"/>
            <w:tcBorders>
              <w:top w:val="single" w:sz="8" w:color="86B6A5"/>
            </w:tcBorders>
          </w:tcPr>
          <w:p>
            <w:pPr>
              <w:spacing w:after="0"/>
              <w:rPr>
                <w:sz w:val="17"/>
                <w:szCs w:val="17"/>
                <w:color w:val="auto"/>
              </w:rPr>
            </w:pPr>
          </w:p>
        </w:tc>
        <w:tc>
          <w:tcPr>
            <w:tcW w:w="500" w:type="dxa"/>
            <w:vAlign w:val="bottom"/>
            <w:tcBorders>
              <w:top w:val="single" w:sz="8" w:color="86B6A5"/>
            </w:tcBorders>
          </w:tcPr>
          <w:p>
            <w:pPr>
              <w:spacing w:after="0"/>
              <w:rPr>
                <w:sz w:val="17"/>
                <w:szCs w:val="17"/>
                <w:color w:val="auto"/>
              </w:rPr>
            </w:pPr>
          </w:p>
        </w:tc>
        <w:tc>
          <w:tcPr>
            <w:tcW w:w="820" w:type="dxa"/>
            <w:vAlign w:val="bottom"/>
            <w:tcBorders>
              <w:top w:val="single" w:sz="8" w:color="86B6A5"/>
            </w:tcBorders>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40" w:type="dxa"/>
            <w:vAlign w:val="bottom"/>
            <w:gridSpan w:val="2"/>
          </w:tcPr>
          <w:p>
            <w:pPr>
              <w:spacing w:after="0" w:line="202" w:lineRule="exact"/>
              <w:rPr>
                <w:sz w:val="20"/>
                <w:szCs w:val="20"/>
                <w:color w:val="auto"/>
              </w:rPr>
            </w:pPr>
            <w:r>
              <w:rPr>
                <w:rFonts w:ascii="Arial" w:cs="Arial" w:eastAsia="Arial" w:hAnsi="Arial"/>
                <w:sz w:val="18"/>
                <w:szCs w:val="18"/>
                <w:color w:val="auto"/>
              </w:rPr>
              <w:t>Net (loss) earnings</w:t>
            </w:r>
          </w:p>
        </w:tc>
        <w:tc>
          <w:tcPr>
            <w:tcW w:w="120" w:type="dxa"/>
            <w:vAlign w:val="bottom"/>
            <w:shd w:val="clear" w:color="auto" w:fill="E3F1DA"/>
          </w:tcPr>
          <w:p>
            <w:pPr>
              <w:jc w:val="right"/>
              <w:spacing w:after="0" w:line="202" w:lineRule="exact"/>
              <w:rPr>
                <w:sz w:val="20"/>
                <w:szCs w:val="20"/>
                <w:color w:val="auto"/>
              </w:rPr>
            </w:pPr>
            <w:r>
              <w:rPr>
                <w:rFonts w:ascii="Arial" w:cs="Arial" w:eastAsia="Arial" w:hAnsi="Arial"/>
                <w:sz w:val="18"/>
                <w:szCs w:val="18"/>
                <w:color w:val="86B6A5"/>
                <w:w w:val="79"/>
              </w:rPr>
              <w:t>$</w:t>
            </w:r>
          </w:p>
        </w:tc>
        <w:tc>
          <w:tcPr>
            <w:tcW w:w="1340" w:type="dxa"/>
            <w:vAlign w:val="bottom"/>
            <w:shd w:val="clear" w:color="auto" w:fill="E3F1DA"/>
          </w:tcPr>
          <w:p>
            <w:pPr>
              <w:jc w:val="right"/>
              <w:ind w:right="70"/>
              <w:spacing w:after="0" w:line="202" w:lineRule="exact"/>
              <w:rPr>
                <w:sz w:val="20"/>
                <w:szCs w:val="20"/>
                <w:color w:val="auto"/>
              </w:rPr>
            </w:pPr>
            <w:r>
              <w:rPr>
                <w:rFonts w:ascii="Arial" w:cs="Arial" w:eastAsia="Arial" w:hAnsi="Arial"/>
                <w:sz w:val="18"/>
                <w:szCs w:val="18"/>
                <w:color w:val="86B6A5"/>
              </w:rPr>
              <w:t>(263.6)</w:t>
            </w:r>
          </w:p>
        </w:tc>
        <w:tc>
          <w:tcPr>
            <w:tcW w:w="380" w:type="dxa"/>
            <w:vAlign w:val="bottom"/>
          </w:tcPr>
          <w:p>
            <w:pPr>
              <w:jc w:val="right"/>
              <w:ind w:right="190"/>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(9.2)</w:t>
            </w:r>
          </w:p>
        </w:tc>
        <w:tc>
          <w:tcPr>
            <w:tcW w:w="50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205.5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040" w:type="dxa"/>
            <w:vAlign w:val="bottom"/>
            <w:gridSpan w:val="2"/>
          </w:tcPr>
          <w:p>
            <w:pPr>
              <w:spacing w:after="0" w:line="201" w:lineRule="exact"/>
              <w:rPr>
                <w:sz w:val="20"/>
                <w:szCs w:val="20"/>
                <w:color w:val="auto"/>
              </w:rPr>
            </w:pPr>
            <w:r>
              <w:rPr>
                <w:rFonts w:ascii="Arial" w:cs="Arial" w:eastAsia="Arial" w:hAnsi="Arial"/>
                <w:sz w:val="18"/>
                <w:szCs w:val="18"/>
                <w:color w:val="auto"/>
              </w:rPr>
              <w:t>Adjustments to reconcile net (loss) earnings to net cash provided by operating activities:</w:t>
            </w:r>
          </w:p>
        </w:tc>
        <w:tc>
          <w:tcPr>
            <w:tcW w:w="120" w:type="dxa"/>
            <w:vAlign w:val="bottom"/>
            <w:shd w:val="clear" w:color="auto" w:fill="E3F1DA"/>
          </w:tcPr>
          <w:p>
            <w:pPr>
              <w:spacing w:after="0"/>
              <w:rPr>
                <w:sz w:val="17"/>
                <w:szCs w:val="17"/>
                <w:color w:val="auto"/>
              </w:rPr>
            </w:pPr>
          </w:p>
        </w:tc>
        <w:tc>
          <w:tcPr>
            <w:tcW w:w="1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20" w:type="dxa"/>
            <w:vAlign w:val="bottom"/>
          </w:tcPr>
          <w:p>
            <w:pPr>
              <w:ind w:left="260"/>
              <w:spacing w:after="0" w:line="202" w:lineRule="exact"/>
              <w:rPr>
                <w:sz w:val="20"/>
                <w:szCs w:val="20"/>
                <w:color w:val="auto"/>
              </w:rPr>
            </w:pPr>
            <w:r>
              <w:rPr>
                <w:rFonts w:ascii="Arial" w:cs="Arial" w:eastAsia="Arial" w:hAnsi="Arial"/>
                <w:sz w:val="18"/>
                <w:szCs w:val="18"/>
                <w:color w:val="auto"/>
              </w:rPr>
              <w:t>Depreciation and amortization</w:t>
            </w:r>
          </w:p>
        </w:tc>
        <w:tc>
          <w:tcPr>
            <w:tcW w:w="120" w:type="dxa"/>
            <w:vAlign w:val="bottom"/>
            <w:shd w:val="clear" w:color="auto" w:fill="E3F1DA"/>
          </w:tcPr>
          <w:p>
            <w:pPr>
              <w:spacing w:after="0"/>
              <w:rPr>
                <w:sz w:val="17"/>
                <w:szCs w:val="17"/>
                <w:color w:val="auto"/>
              </w:rPr>
            </w:pPr>
          </w:p>
        </w:tc>
        <w:tc>
          <w:tcPr>
            <w:tcW w:w="1340" w:type="dxa"/>
            <w:vAlign w:val="bottom"/>
          </w:tcPr>
          <w:p>
            <w:pPr>
              <w:jc w:val="right"/>
              <w:ind w:right="130"/>
              <w:spacing w:after="0" w:line="202" w:lineRule="exact"/>
              <w:rPr>
                <w:sz w:val="20"/>
                <w:szCs w:val="20"/>
                <w:color w:val="auto"/>
              </w:rPr>
            </w:pPr>
            <w:r>
              <w:rPr>
                <w:rFonts w:ascii="Arial" w:cs="Arial" w:eastAsia="Arial" w:hAnsi="Arial"/>
                <w:sz w:val="18"/>
                <w:szCs w:val="18"/>
                <w:color w:val="86B6A5"/>
              </w:rPr>
              <w:t>110.1</w:t>
            </w:r>
          </w:p>
        </w:tc>
        <w:tc>
          <w:tcPr>
            <w:tcW w:w="380" w:type="dxa"/>
            <w:vAlign w:val="bottom"/>
          </w:tcPr>
          <w:p>
            <w:pPr>
              <w:spacing w:after="0"/>
              <w:rPr>
                <w:sz w:val="17"/>
                <w:szCs w:val="17"/>
                <w:color w:val="auto"/>
              </w:rPr>
            </w:pPr>
          </w:p>
        </w:tc>
        <w:tc>
          <w:tcPr>
            <w:tcW w:w="1000" w:type="dxa"/>
            <w:vAlign w:val="bottom"/>
          </w:tcPr>
          <w:p>
            <w:pPr>
              <w:jc w:val="right"/>
              <w:ind w:right="50"/>
              <w:spacing w:after="0" w:line="202" w:lineRule="exact"/>
              <w:rPr>
                <w:sz w:val="20"/>
                <w:szCs w:val="20"/>
                <w:color w:val="auto"/>
              </w:rPr>
            </w:pPr>
            <w:r>
              <w:rPr>
                <w:rFonts w:ascii="Arial" w:cs="Arial" w:eastAsia="Arial" w:hAnsi="Arial"/>
                <w:sz w:val="18"/>
                <w:szCs w:val="18"/>
                <w:color w:val="auto"/>
              </w:rPr>
              <w:t>97.2</w:t>
            </w:r>
          </w:p>
        </w:tc>
        <w:tc>
          <w:tcPr>
            <w:tcW w:w="500" w:type="dxa"/>
            <w:vAlign w:val="bottom"/>
          </w:tcPr>
          <w:p>
            <w:pPr>
              <w:spacing w:after="0"/>
              <w:rPr>
                <w:sz w:val="17"/>
                <w:szCs w:val="17"/>
                <w:color w:val="auto"/>
              </w:rPr>
            </w:pPr>
          </w:p>
        </w:tc>
        <w:tc>
          <w:tcPr>
            <w:tcW w:w="8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107.1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20" w:type="dxa"/>
            <w:vAlign w:val="bottom"/>
          </w:tcPr>
          <w:p>
            <w:pPr>
              <w:ind w:left="260"/>
              <w:spacing w:after="0" w:line="202" w:lineRule="exact"/>
              <w:rPr>
                <w:sz w:val="20"/>
                <w:szCs w:val="20"/>
                <w:color w:val="auto"/>
              </w:rPr>
            </w:pPr>
            <w:r>
              <w:rPr>
                <w:rFonts w:ascii="Arial" w:cs="Arial" w:eastAsia="Arial" w:hAnsi="Arial"/>
                <w:sz w:val="18"/>
                <w:szCs w:val="18"/>
                <w:color w:val="auto"/>
              </w:rPr>
              <w:t>Non-cash goodwill and intangible asset impairment charges</w:t>
            </w:r>
          </w:p>
        </w:tc>
        <w:tc>
          <w:tcPr>
            <w:tcW w:w="120" w:type="dxa"/>
            <w:vAlign w:val="bottom"/>
            <w:shd w:val="clear" w:color="auto" w:fill="E3F1DA"/>
          </w:tcPr>
          <w:p>
            <w:pPr>
              <w:spacing w:after="0"/>
              <w:rPr>
                <w:sz w:val="17"/>
                <w:szCs w:val="17"/>
                <w:color w:val="auto"/>
              </w:rPr>
            </w:pPr>
          </w:p>
        </w:tc>
        <w:tc>
          <w:tcPr>
            <w:tcW w:w="1340" w:type="dxa"/>
            <w:vAlign w:val="bottom"/>
          </w:tcPr>
          <w:p>
            <w:pPr>
              <w:jc w:val="right"/>
              <w:ind w:right="130"/>
              <w:spacing w:after="0" w:line="202" w:lineRule="exact"/>
              <w:rPr>
                <w:sz w:val="20"/>
                <w:szCs w:val="20"/>
                <w:color w:val="auto"/>
              </w:rPr>
            </w:pPr>
            <w:r>
              <w:rPr>
                <w:rFonts w:ascii="Arial" w:cs="Arial" w:eastAsia="Arial" w:hAnsi="Arial"/>
                <w:sz w:val="18"/>
                <w:szCs w:val="18"/>
                <w:color w:val="86B6A5"/>
              </w:rPr>
              <w:t>428.8</w:t>
            </w:r>
          </w:p>
        </w:tc>
        <w:tc>
          <w:tcPr>
            <w:tcW w:w="380" w:type="dxa"/>
            <w:vAlign w:val="bottom"/>
          </w:tcPr>
          <w:p>
            <w:pPr>
              <w:spacing w:after="0"/>
              <w:rPr>
                <w:sz w:val="17"/>
                <w:szCs w:val="17"/>
                <w:color w:val="auto"/>
              </w:rPr>
            </w:pPr>
          </w:p>
        </w:tc>
        <w:tc>
          <w:tcPr>
            <w:tcW w:w="1000" w:type="dxa"/>
            <w:vAlign w:val="bottom"/>
          </w:tcPr>
          <w:p>
            <w:pPr>
              <w:jc w:val="right"/>
              <w:ind w:right="50"/>
              <w:spacing w:after="0" w:line="202" w:lineRule="exact"/>
              <w:rPr>
                <w:sz w:val="20"/>
                <w:szCs w:val="20"/>
                <w:color w:val="auto"/>
              </w:rPr>
            </w:pPr>
            <w:r>
              <w:rPr>
                <w:rFonts w:ascii="Arial" w:cs="Arial" w:eastAsia="Arial" w:hAnsi="Arial"/>
                <w:sz w:val="18"/>
                <w:szCs w:val="18"/>
                <w:color w:val="auto"/>
              </w:rPr>
              <w:t>61.0</w:t>
            </w:r>
          </w:p>
        </w:tc>
        <w:tc>
          <w:tcPr>
            <w:tcW w:w="500" w:type="dxa"/>
            <w:vAlign w:val="bottom"/>
          </w:tcPr>
          <w:p>
            <w:pPr>
              <w:spacing w:after="0"/>
              <w:rPr>
                <w:sz w:val="17"/>
                <w:szCs w:val="17"/>
                <w:color w:val="auto"/>
              </w:rPr>
            </w:pPr>
          </w:p>
        </w:tc>
        <w:tc>
          <w:tcPr>
            <w:tcW w:w="8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163.1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20" w:type="dxa"/>
            <w:vAlign w:val="bottom"/>
          </w:tcPr>
          <w:p>
            <w:pPr>
              <w:ind w:left="260"/>
              <w:spacing w:after="0" w:line="202" w:lineRule="exact"/>
              <w:rPr>
                <w:sz w:val="20"/>
                <w:szCs w:val="20"/>
                <w:color w:val="auto"/>
              </w:rPr>
            </w:pPr>
            <w:r>
              <w:rPr>
                <w:rFonts w:ascii="Arial" w:cs="Arial" w:eastAsia="Arial" w:hAnsi="Arial"/>
                <w:sz w:val="18"/>
                <w:szCs w:val="18"/>
                <w:color w:val="auto"/>
              </w:rPr>
              <w:t>Deferred income taxes</w:t>
            </w:r>
          </w:p>
        </w:tc>
        <w:tc>
          <w:tcPr>
            <w:tcW w:w="120" w:type="dxa"/>
            <w:vAlign w:val="bottom"/>
            <w:shd w:val="clear" w:color="auto" w:fill="E3F1DA"/>
          </w:tcPr>
          <w:p>
            <w:pPr>
              <w:spacing w:after="0"/>
              <w:rPr>
                <w:sz w:val="17"/>
                <w:szCs w:val="17"/>
                <w:color w:val="auto"/>
              </w:rPr>
            </w:pPr>
          </w:p>
        </w:tc>
        <w:tc>
          <w:tcPr>
            <w:tcW w:w="1340" w:type="dxa"/>
            <w:vAlign w:val="bottom"/>
          </w:tcPr>
          <w:p>
            <w:pPr>
              <w:jc w:val="right"/>
              <w:ind w:right="70"/>
              <w:spacing w:after="0" w:line="202" w:lineRule="exact"/>
              <w:rPr>
                <w:sz w:val="20"/>
                <w:szCs w:val="20"/>
                <w:color w:val="auto"/>
              </w:rPr>
            </w:pPr>
            <w:r>
              <w:rPr>
                <w:rFonts w:ascii="Arial" w:cs="Arial" w:eastAsia="Arial" w:hAnsi="Arial"/>
                <w:sz w:val="18"/>
                <w:szCs w:val="18"/>
                <w:color w:val="86B6A5"/>
              </w:rPr>
              <w:t>(68.5)</w:t>
            </w:r>
          </w:p>
        </w:tc>
        <w:tc>
          <w:tcPr>
            <w:tcW w:w="38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(29.2)</w:t>
            </w:r>
          </w:p>
        </w:tc>
        <w:tc>
          <w:tcPr>
            <w:tcW w:w="500" w:type="dxa"/>
            <w:vAlign w:val="bottom"/>
          </w:tcPr>
          <w:p>
            <w:pPr>
              <w:spacing w:after="0"/>
              <w:rPr>
                <w:sz w:val="17"/>
                <w:szCs w:val="17"/>
                <w:color w:val="auto"/>
              </w:rPr>
            </w:pPr>
          </w:p>
        </w:tc>
        <w:tc>
          <w:tcPr>
            <w:tcW w:w="88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(32.8)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20" w:type="dxa"/>
            <w:vAlign w:val="bottom"/>
          </w:tcPr>
          <w:p>
            <w:pPr>
              <w:ind w:left="260"/>
              <w:spacing w:after="0" w:line="202" w:lineRule="exact"/>
              <w:rPr>
                <w:sz w:val="20"/>
                <w:szCs w:val="20"/>
                <w:color w:val="auto"/>
              </w:rPr>
            </w:pPr>
            <w:r>
              <w:rPr>
                <w:rFonts w:ascii="Arial" w:cs="Arial" w:eastAsia="Arial" w:hAnsi="Arial"/>
                <w:sz w:val="18"/>
                <w:szCs w:val="18"/>
                <w:color w:val="auto"/>
              </w:rPr>
              <w:t>Provision for doubtful accounts</w:t>
            </w:r>
          </w:p>
        </w:tc>
        <w:tc>
          <w:tcPr>
            <w:tcW w:w="120" w:type="dxa"/>
            <w:vAlign w:val="bottom"/>
            <w:shd w:val="clear" w:color="auto" w:fill="E3F1DA"/>
          </w:tcPr>
          <w:p>
            <w:pPr>
              <w:spacing w:after="0"/>
              <w:rPr>
                <w:sz w:val="17"/>
                <w:szCs w:val="17"/>
                <w:color w:val="auto"/>
              </w:rPr>
            </w:pPr>
          </w:p>
        </w:tc>
        <w:tc>
          <w:tcPr>
            <w:tcW w:w="1340" w:type="dxa"/>
            <w:vAlign w:val="bottom"/>
          </w:tcPr>
          <w:p>
            <w:pPr>
              <w:jc w:val="right"/>
              <w:ind w:right="130"/>
              <w:spacing w:after="0" w:line="202" w:lineRule="exact"/>
              <w:rPr>
                <w:sz w:val="20"/>
                <w:szCs w:val="20"/>
                <w:color w:val="auto"/>
              </w:rPr>
            </w:pPr>
            <w:r>
              <w:rPr>
                <w:rFonts w:ascii="Arial" w:cs="Arial" w:eastAsia="Arial" w:hAnsi="Arial"/>
                <w:sz w:val="18"/>
                <w:szCs w:val="18"/>
                <w:color w:val="86B6A5"/>
              </w:rPr>
              <w:t>28.9</w:t>
            </w:r>
          </w:p>
        </w:tc>
        <w:tc>
          <w:tcPr>
            <w:tcW w:w="380" w:type="dxa"/>
            <w:vAlign w:val="bottom"/>
          </w:tcPr>
          <w:p>
            <w:pPr>
              <w:spacing w:after="0"/>
              <w:rPr>
                <w:sz w:val="17"/>
                <w:szCs w:val="17"/>
                <w:color w:val="auto"/>
              </w:rPr>
            </w:pPr>
          </w:p>
        </w:tc>
        <w:tc>
          <w:tcPr>
            <w:tcW w:w="1000" w:type="dxa"/>
            <w:vAlign w:val="bottom"/>
          </w:tcPr>
          <w:p>
            <w:pPr>
              <w:jc w:val="right"/>
              <w:ind w:right="50"/>
              <w:spacing w:after="0" w:line="202" w:lineRule="exact"/>
              <w:rPr>
                <w:sz w:val="20"/>
                <w:szCs w:val="20"/>
                <w:color w:val="auto"/>
              </w:rPr>
            </w:pPr>
            <w:r>
              <w:rPr>
                <w:rFonts w:ascii="Arial" w:cs="Arial" w:eastAsia="Arial" w:hAnsi="Arial"/>
                <w:sz w:val="18"/>
                <w:szCs w:val="18"/>
                <w:color w:val="auto"/>
              </w:rPr>
              <w:t>27.8</w:t>
            </w:r>
          </w:p>
        </w:tc>
        <w:tc>
          <w:tcPr>
            <w:tcW w:w="50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23.4</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20" w:type="dxa"/>
            <w:vAlign w:val="bottom"/>
          </w:tcPr>
          <w:p>
            <w:pPr>
              <w:ind w:left="260"/>
              <w:spacing w:after="0" w:line="202" w:lineRule="exact"/>
              <w:rPr>
                <w:sz w:val="20"/>
                <w:szCs w:val="20"/>
                <w:color w:val="auto"/>
              </w:rPr>
            </w:pPr>
            <w:r>
              <w:rPr>
                <w:rFonts w:ascii="Arial" w:cs="Arial" w:eastAsia="Arial" w:hAnsi="Arial"/>
                <w:sz w:val="18"/>
                <w:szCs w:val="18"/>
                <w:color w:val="auto"/>
              </w:rPr>
              <w:t>Loss from sale of an equity investment</w:t>
            </w:r>
          </w:p>
        </w:tc>
        <w:tc>
          <w:tcPr>
            <w:tcW w:w="120" w:type="dxa"/>
            <w:vAlign w:val="bottom"/>
            <w:shd w:val="clear" w:color="auto" w:fill="E3F1DA"/>
          </w:tcPr>
          <w:p>
            <w:pPr>
              <w:spacing w:after="0"/>
              <w:rPr>
                <w:sz w:val="17"/>
                <w:szCs w:val="17"/>
                <w:color w:val="auto"/>
              </w:rPr>
            </w:pPr>
          </w:p>
        </w:tc>
        <w:tc>
          <w:tcPr>
            <w:tcW w:w="1340" w:type="dxa"/>
            <w:vAlign w:val="bottom"/>
          </w:tcPr>
          <w:p>
            <w:pPr>
              <w:jc w:val="right"/>
              <w:ind w:right="130"/>
              <w:spacing w:after="0" w:line="202" w:lineRule="exact"/>
              <w:rPr>
                <w:sz w:val="20"/>
                <w:szCs w:val="20"/>
                <w:color w:val="auto"/>
              </w:rPr>
            </w:pPr>
            <w:r>
              <w:rPr>
                <w:rFonts w:ascii="Arial" w:cs="Arial" w:eastAsia="Arial" w:hAnsi="Arial"/>
                <w:sz w:val="18"/>
                <w:szCs w:val="18"/>
                <w:color w:val="86B6A5"/>
              </w:rPr>
              <w:t>–</w:t>
            </w:r>
          </w:p>
        </w:tc>
        <w:tc>
          <w:tcPr>
            <w:tcW w:w="380" w:type="dxa"/>
            <w:vAlign w:val="bottom"/>
          </w:tcPr>
          <w:p>
            <w:pPr>
              <w:spacing w:after="0"/>
              <w:rPr>
                <w:sz w:val="17"/>
                <w:szCs w:val="17"/>
                <w:color w:val="auto"/>
              </w:rPr>
            </w:pPr>
          </w:p>
        </w:tc>
        <w:tc>
          <w:tcPr>
            <w:tcW w:w="1000" w:type="dxa"/>
            <w:vAlign w:val="bottom"/>
          </w:tcPr>
          <w:p>
            <w:pPr>
              <w:jc w:val="right"/>
              <w:ind w:right="50"/>
              <w:spacing w:after="0" w:line="202" w:lineRule="exact"/>
              <w:rPr>
                <w:sz w:val="20"/>
                <w:szCs w:val="20"/>
                <w:color w:val="auto"/>
              </w:rPr>
            </w:pPr>
            <w:r>
              <w:rPr>
                <w:rFonts w:ascii="Arial" w:cs="Arial" w:eastAsia="Arial" w:hAnsi="Arial"/>
                <w:sz w:val="18"/>
                <w:szCs w:val="18"/>
                <w:color w:val="auto"/>
              </w:rPr>
              <w:t>10.3</w:t>
            </w:r>
          </w:p>
        </w:tc>
        <w:tc>
          <w:tcPr>
            <w:tcW w:w="500" w:type="dxa"/>
            <w:vAlign w:val="bottom"/>
          </w:tcPr>
          <w:p>
            <w:pPr>
              <w:spacing w:after="0"/>
              <w:rPr>
                <w:sz w:val="17"/>
                <w:szCs w:val="17"/>
                <w:color w:val="auto"/>
              </w:rPr>
            </w:pPr>
          </w:p>
        </w:tc>
        <w:tc>
          <w:tcPr>
            <w:tcW w:w="880" w:type="dxa"/>
            <w:vAlign w:val="bottom"/>
            <w:gridSpan w:val="3"/>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20" w:type="dxa"/>
            <w:vAlign w:val="bottom"/>
          </w:tcPr>
          <w:p>
            <w:pPr>
              <w:ind w:left="260"/>
              <w:spacing w:after="0" w:line="202" w:lineRule="exact"/>
              <w:rPr>
                <w:sz w:val="20"/>
                <w:szCs w:val="20"/>
                <w:color w:val="auto"/>
              </w:rPr>
            </w:pPr>
            <w:r>
              <w:rPr>
                <w:rFonts w:ascii="Arial" w:cs="Arial" w:eastAsia="Arial" w:hAnsi="Arial"/>
                <w:sz w:val="18"/>
                <w:szCs w:val="18"/>
                <w:color w:val="auto"/>
              </w:rPr>
              <w:t>Share-based compensation</w:t>
            </w:r>
          </w:p>
        </w:tc>
        <w:tc>
          <w:tcPr>
            <w:tcW w:w="120" w:type="dxa"/>
            <w:vAlign w:val="bottom"/>
            <w:shd w:val="clear" w:color="auto" w:fill="E3F1DA"/>
          </w:tcPr>
          <w:p>
            <w:pPr>
              <w:spacing w:after="0"/>
              <w:rPr>
                <w:sz w:val="17"/>
                <w:szCs w:val="17"/>
                <w:color w:val="auto"/>
              </w:rPr>
            </w:pPr>
          </w:p>
        </w:tc>
        <w:tc>
          <w:tcPr>
            <w:tcW w:w="1340" w:type="dxa"/>
            <w:vAlign w:val="bottom"/>
          </w:tcPr>
          <w:p>
            <w:pPr>
              <w:jc w:val="right"/>
              <w:ind w:right="130"/>
              <w:spacing w:after="0" w:line="202" w:lineRule="exact"/>
              <w:rPr>
                <w:sz w:val="20"/>
                <w:szCs w:val="20"/>
                <w:color w:val="auto"/>
              </w:rPr>
            </w:pPr>
            <w:r>
              <w:rPr>
                <w:rFonts w:ascii="Arial" w:cs="Arial" w:eastAsia="Arial" w:hAnsi="Arial"/>
                <w:sz w:val="18"/>
                <w:szCs w:val="18"/>
                <w:color w:val="86B6A5"/>
              </w:rPr>
              <w:t>24.1</w:t>
            </w:r>
          </w:p>
        </w:tc>
        <w:tc>
          <w:tcPr>
            <w:tcW w:w="380" w:type="dxa"/>
            <w:vAlign w:val="bottom"/>
          </w:tcPr>
          <w:p>
            <w:pPr>
              <w:spacing w:after="0"/>
              <w:rPr>
                <w:sz w:val="17"/>
                <w:szCs w:val="17"/>
                <w:color w:val="auto"/>
              </w:rPr>
            </w:pPr>
          </w:p>
        </w:tc>
        <w:tc>
          <w:tcPr>
            <w:tcW w:w="1000" w:type="dxa"/>
            <w:vAlign w:val="bottom"/>
          </w:tcPr>
          <w:p>
            <w:pPr>
              <w:jc w:val="right"/>
              <w:ind w:right="50"/>
              <w:spacing w:after="0" w:line="202" w:lineRule="exact"/>
              <w:rPr>
                <w:sz w:val="20"/>
                <w:szCs w:val="20"/>
                <w:color w:val="auto"/>
              </w:rPr>
            </w:pPr>
            <w:r>
              <w:rPr>
                <w:rFonts w:ascii="Arial" w:cs="Arial" w:eastAsia="Arial" w:hAnsi="Arial"/>
                <w:sz w:val="18"/>
                <w:szCs w:val="18"/>
                <w:color w:val="auto"/>
              </w:rPr>
              <w:t>17.5</w:t>
            </w:r>
          </w:p>
        </w:tc>
        <w:tc>
          <w:tcPr>
            <w:tcW w:w="50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21.1</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20" w:type="dxa"/>
            <w:vAlign w:val="bottom"/>
          </w:tcPr>
          <w:p>
            <w:pPr>
              <w:ind w:left="260"/>
              <w:spacing w:after="0" w:line="202" w:lineRule="exact"/>
              <w:rPr>
                <w:sz w:val="20"/>
                <w:szCs w:val="20"/>
                <w:color w:val="auto"/>
              </w:rPr>
            </w:pPr>
            <w:r>
              <w:rPr>
                <w:rFonts w:ascii="Arial" w:cs="Arial" w:eastAsia="Arial" w:hAnsi="Arial"/>
                <w:sz w:val="18"/>
                <w:szCs w:val="18"/>
                <w:color w:val="auto"/>
              </w:rPr>
              <w:t>Excess tax benefit on exercise of stock options</w:t>
            </w:r>
          </w:p>
        </w:tc>
        <w:tc>
          <w:tcPr>
            <w:tcW w:w="120" w:type="dxa"/>
            <w:vAlign w:val="bottom"/>
            <w:shd w:val="clear" w:color="auto" w:fill="E3F1DA"/>
          </w:tcPr>
          <w:p>
            <w:pPr>
              <w:spacing w:after="0"/>
              <w:rPr>
                <w:sz w:val="17"/>
                <w:szCs w:val="17"/>
                <w:color w:val="auto"/>
              </w:rPr>
            </w:pPr>
          </w:p>
        </w:tc>
        <w:tc>
          <w:tcPr>
            <w:tcW w:w="1340" w:type="dxa"/>
            <w:vAlign w:val="bottom"/>
          </w:tcPr>
          <w:p>
            <w:pPr>
              <w:jc w:val="right"/>
              <w:ind w:right="70"/>
              <w:spacing w:after="0" w:line="202" w:lineRule="exact"/>
              <w:rPr>
                <w:sz w:val="20"/>
                <w:szCs w:val="20"/>
                <w:color w:val="auto"/>
              </w:rPr>
            </w:pPr>
            <w:r>
              <w:rPr>
                <w:rFonts w:ascii="Arial" w:cs="Arial" w:eastAsia="Arial" w:hAnsi="Arial"/>
                <w:sz w:val="18"/>
                <w:szCs w:val="18"/>
                <w:color w:val="86B6A5"/>
              </w:rPr>
              <w:t>(1.3)</w:t>
            </w:r>
          </w:p>
        </w:tc>
        <w:tc>
          <w:tcPr>
            <w:tcW w:w="38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(0.5)</w:t>
            </w:r>
          </w:p>
        </w:tc>
        <w:tc>
          <w:tcPr>
            <w:tcW w:w="500" w:type="dxa"/>
            <w:vAlign w:val="bottom"/>
          </w:tcPr>
          <w:p>
            <w:pPr>
              <w:spacing w:after="0"/>
              <w:rPr>
                <w:sz w:val="17"/>
                <w:szCs w:val="17"/>
                <w:color w:val="auto"/>
              </w:rPr>
            </w:pPr>
          </w:p>
        </w:tc>
        <w:tc>
          <w:tcPr>
            <w:tcW w:w="88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03"/>
        </w:trPr>
        <w:tc>
          <w:tcPr>
            <w:tcW w:w="7040" w:type="dxa"/>
            <w:vAlign w:val="bottom"/>
            <w:gridSpan w:val="2"/>
          </w:tcPr>
          <w:p>
            <w:pPr>
              <w:spacing w:after="0" w:line="202" w:lineRule="exact"/>
              <w:rPr>
                <w:sz w:val="20"/>
                <w:szCs w:val="20"/>
                <w:color w:val="auto"/>
              </w:rPr>
            </w:pPr>
            <w:r>
              <w:rPr>
                <w:rFonts w:ascii="Arial" w:cs="Arial" w:eastAsia="Arial" w:hAnsi="Arial"/>
                <w:sz w:val="18"/>
                <w:szCs w:val="18"/>
                <w:color w:val="auto"/>
              </w:rPr>
              <w:t>Change in operating assets and liabilities, excluding the impact of acquisitions:</w:t>
            </w:r>
          </w:p>
        </w:tc>
        <w:tc>
          <w:tcPr>
            <w:tcW w:w="120" w:type="dxa"/>
            <w:vAlign w:val="bottom"/>
            <w:shd w:val="clear" w:color="auto" w:fill="E3F1DA"/>
          </w:tcPr>
          <w:p>
            <w:pPr>
              <w:spacing w:after="0"/>
              <w:rPr>
                <w:sz w:val="17"/>
                <w:szCs w:val="17"/>
                <w:color w:val="auto"/>
              </w:rPr>
            </w:pPr>
          </w:p>
        </w:tc>
        <w:tc>
          <w:tcPr>
            <w:tcW w:w="1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20" w:type="dxa"/>
            <w:vAlign w:val="bottom"/>
          </w:tcPr>
          <w:p>
            <w:pPr>
              <w:ind w:left="260"/>
              <w:spacing w:after="0" w:line="202" w:lineRule="exact"/>
              <w:rPr>
                <w:sz w:val="20"/>
                <w:szCs w:val="20"/>
                <w:color w:val="auto"/>
              </w:rPr>
            </w:pPr>
            <w:r>
              <w:rPr>
                <w:rFonts w:ascii="Arial" w:cs="Arial" w:eastAsia="Arial" w:hAnsi="Arial"/>
                <w:sz w:val="18"/>
                <w:szCs w:val="18"/>
                <w:color w:val="auto"/>
              </w:rPr>
              <w:t>Accounts receivable</w:t>
            </w:r>
          </w:p>
        </w:tc>
        <w:tc>
          <w:tcPr>
            <w:tcW w:w="120" w:type="dxa"/>
            <w:vAlign w:val="bottom"/>
            <w:shd w:val="clear" w:color="auto" w:fill="E3F1DA"/>
          </w:tcPr>
          <w:p>
            <w:pPr>
              <w:spacing w:after="0"/>
              <w:rPr>
                <w:sz w:val="17"/>
                <w:szCs w:val="17"/>
                <w:color w:val="auto"/>
              </w:rPr>
            </w:pPr>
          </w:p>
        </w:tc>
        <w:tc>
          <w:tcPr>
            <w:tcW w:w="1340" w:type="dxa"/>
            <w:vAlign w:val="bottom"/>
          </w:tcPr>
          <w:p>
            <w:pPr>
              <w:jc w:val="right"/>
              <w:ind w:right="70"/>
              <w:spacing w:after="0" w:line="202" w:lineRule="exact"/>
              <w:rPr>
                <w:sz w:val="20"/>
                <w:szCs w:val="20"/>
                <w:color w:val="auto"/>
              </w:rPr>
            </w:pPr>
            <w:r>
              <w:rPr>
                <w:rFonts w:ascii="Arial" w:cs="Arial" w:eastAsia="Arial" w:hAnsi="Arial"/>
                <w:sz w:val="18"/>
                <w:szCs w:val="18"/>
                <w:color w:val="86B6A5"/>
              </w:rPr>
              <w:t>(708.1)</w:t>
            </w:r>
          </w:p>
        </w:tc>
        <w:tc>
          <w:tcPr>
            <w:tcW w:w="380" w:type="dxa"/>
            <w:vAlign w:val="bottom"/>
          </w:tcPr>
          <w:p>
            <w:pPr>
              <w:spacing w:after="0"/>
              <w:rPr>
                <w:sz w:val="17"/>
                <w:szCs w:val="17"/>
                <w:color w:val="auto"/>
              </w:rPr>
            </w:pPr>
          </w:p>
        </w:tc>
        <w:tc>
          <w:tcPr>
            <w:tcW w:w="1000" w:type="dxa"/>
            <w:vAlign w:val="bottom"/>
          </w:tcPr>
          <w:p>
            <w:pPr>
              <w:jc w:val="right"/>
              <w:ind w:right="50"/>
              <w:spacing w:after="0" w:line="202" w:lineRule="exact"/>
              <w:rPr>
                <w:sz w:val="20"/>
                <w:szCs w:val="20"/>
                <w:color w:val="auto"/>
              </w:rPr>
            </w:pPr>
            <w:r>
              <w:rPr>
                <w:rFonts w:ascii="Arial" w:cs="Arial" w:eastAsia="Arial" w:hAnsi="Arial"/>
                <w:sz w:val="18"/>
                <w:szCs w:val="18"/>
                <w:color w:val="auto"/>
              </w:rPr>
              <w:t>663.6</w:t>
            </w:r>
          </w:p>
        </w:tc>
        <w:tc>
          <w:tcPr>
            <w:tcW w:w="500" w:type="dxa"/>
            <w:vAlign w:val="bottom"/>
          </w:tcPr>
          <w:p>
            <w:pPr>
              <w:spacing w:after="0"/>
              <w:rPr>
                <w:sz w:val="17"/>
                <w:szCs w:val="17"/>
                <w:color w:val="auto"/>
              </w:rPr>
            </w:pPr>
          </w:p>
        </w:tc>
        <w:tc>
          <w:tcPr>
            <w:tcW w:w="8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575.0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20" w:type="dxa"/>
            <w:vAlign w:val="bottom"/>
          </w:tcPr>
          <w:p>
            <w:pPr>
              <w:ind w:left="260"/>
              <w:spacing w:after="0" w:line="202" w:lineRule="exact"/>
              <w:rPr>
                <w:sz w:val="20"/>
                <w:szCs w:val="20"/>
                <w:color w:val="auto"/>
              </w:rPr>
            </w:pPr>
            <w:r>
              <w:rPr>
                <w:rFonts w:ascii="Arial" w:cs="Arial" w:eastAsia="Arial" w:hAnsi="Arial"/>
                <w:sz w:val="18"/>
                <w:szCs w:val="18"/>
                <w:color w:val="auto"/>
              </w:rPr>
              <w:t>Other assets</w:t>
            </w:r>
          </w:p>
        </w:tc>
        <w:tc>
          <w:tcPr>
            <w:tcW w:w="120" w:type="dxa"/>
            <w:vAlign w:val="bottom"/>
            <w:shd w:val="clear" w:color="auto" w:fill="E3F1DA"/>
          </w:tcPr>
          <w:p>
            <w:pPr>
              <w:spacing w:after="0"/>
              <w:rPr>
                <w:sz w:val="17"/>
                <w:szCs w:val="17"/>
                <w:color w:val="auto"/>
              </w:rPr>
            </w:pPr>
          </w:p>
        </w:tc>
        <w:tc>
          <w:tcPr>
            <w:tcW w:w="1340" w:type="dxa"/>
            <w:vAlign w:val="bottom"/>
          </w:tcPr>
          <w:p>
            <w:pPr>
              <w:jc w:val="right"/>
              <w:ind w:right="130"/>
              <w:spacing w:after="0" w:line="202" w:lineRule="exact"/>
              <w:rPr>
                <w:sz w:val="20"/>
                <w:szCs w:val="20"/>
                <w:color w:val="auto"/>
              </w:rPr>
            </w:pPr>
            <w:r>
              <w:rPr>
                <w:rFonts w:ascii="Arial" w:cs="Arial" w:eastAsia="Arial" w:hAnsi="Arial"/>
                <w:sz w:val="18"/>
                <w:szCs w:val="18"/>
                <w:color w:val="86B6A5"/>
              </w:rPr>
              <w:t>9.9</w:t>
            </w:r>
          </w:p>
        </w:tc>
        <w:tc>
          <w:tcPr>
            <w:tcW w:w="38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(71.5)</w:t>
            </w:r>
          </w:p>
        </w:tc>
        <w:tc>
          <w:tcPr>
            <w:tcW w:w="500" w:type="dxa"/>
            <w:vAlign w:val="bottom"/>
          </w:tcPr>
          <w:p>
            <w:pPr>
              <w:spacing w:after="0"/>
              <w:rPr>
                <w:sz w:val="17"/>
                <w:szCs w:val="17"/>
                <w:color w:val="auto"/>
              </w:rPr>
            </w:pPr>
          </w:p>
        </w:tc>
        <w:tc>
          <w:tcPr>
            <w:tcW w:w="8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20" w:type="dxa"/>
            <w:vAlign w:val="bottom"/>
          </w:tcPr>
          <w:p>
            <w:pPr>
              <w:ind w:left="260"/>
              <w:spacing w:after="0" w:line="203" w:lineRule="exact"/>
              <w:rPr>
                <w:sz w:val="20"/>
                <w:szCs w:val="20"/>
                <w:color w:val="auto"/>
              </w:rPr>
            </w:pPr>
            <w:r>
              <w:rPr>
                <w:rFonts w:ascii="Arial" w:cs="Arial" w:eastAsia="Arial" w:hAnsi="Arial"/>
                <w:sz w:val="18"/>
                <w:szCs w:val="18"/>
                <w:color w:val="auto"/>
              </w:rPr>
              <w:t>Other liabilities</w:t>
            </w:r>
          </w:p>
        </w:tc>
        <w:tc>
          <w:tcPr>
            <w:tcW w:w="120" w:type="dxa"/>
            <w:vAlign w:val="bottom"/>
            <w:shd w:val="clear" w:color="auto" w:fill="E3F1DA"/>
          </w:tcPr>
          <w:p>
            <w:pPr>
              <w:spacing w:after="0"/>
              <w:rPr>
                <w:sz w:val="17"/>
                <w:szCs w:val="17"/>
                <w:color w:val="auto"/>
              </w:rPr>
            </w:pPr>
          </w:p>
        </w:tc>
        <w:tc>
          <w:tcPr>
            <w:tcW w:w="1340" w:type="dxa"/>
            <w:vAlign w:val="bottom"/>
          </w:tcPr>
          <w:p>
            <w:pPr>
              <w:jc w:val="right"/>
              <w:ind w:right="130"/>
              <w:spacing w:after="0" w:line="203" w:lineRule="exact"/>
              <w:rPr>
                <w:sz w:val="20"/>
                <w:szCs w:val="20"/>
                <w:color w:val="auto"/>
              </w:rPr>
            </w:pPr>
            <w:r>
              <w:rPr>
                <w:rFonts w:ascii="Arial" w:cs="Arial" w:eastAsia="Arial" w:hAnsi="Arial"/>
                <w:sz w:val="18"/>
                <w:szCs w:val="18"/>
                <w:color w:val="86B6A5"/>
              </w:rPr>
              <w:t>621.8</w:t>
            </w:r>
          </w:p>
        </w:tc>
        <w:tc>
          <w:tcPr>
            <w:tcW w:w="38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Arial" w:cs="Arial" w:eastAsia="Arial" w:hAnsi="Arial"/>
                <w:sz w:val="18"/>
                <w:szCs w:val="18"/>
                <w:color w:val="auto"/>
              </w:rPr>
              <w:t>(352.7)</w:t>
            </w:r>
          </w:p>
        </w:tc>
        <w:tc>
          <w:tcPr>
            <w:tcW w:w="500" w:type="dxa"/>
            <w:vAlign w:val="bottom"/>
          </w:tcPr>
          <w:p>
            <w:pPr>
              <w:spacing w:after="0"/>
              <w:rPr>
                <w:sz w:val="17"/>
                <w:szCs w:val="17"/>
                <w:color w:val="auto"/>
              </w:rPr>
            </w:pPr>
          </w:p>
        </w:tc>
        <w:tc>
          <w:tcPr>
            <w:tcW w:w="880" w:type="dxa"/>
            <w:vAlign w:val="bottom"/>
            <w:gridSpan w:val="3"/>
          </w:tcPr>
          <w:p>
            <w:pPr>
              <w:jc w:val="right"/>
              <w:spacing w:after="0" w:line="203" w:lineRule="exact"/>
              <w:rPr>
                <w:sz w:val="20"/>
                <w:szCs w:val="20"/>
                <w:color w:val="auto"/>
              </w:rPr>
            </w:pPr>
            <w:r>
              <w:rPr>
                <w:rFonts w:ascii="Arial" w:cs="Arial" w:eastAsia="Arial" w:hAnsi="Arial"/>
                <w:sz w:val="18"/>
                <w:szCs w:val="18"/>
                <w:color w:val="auto"/>
              </w:rPr>
              <w:t>(272.8)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20" w:type="dxa"/>
            <w:vAlign w:val="bottom"/>
            <w:tcBorders>
              <w:top w:val="single" w:sz="8" w:color="939598"/>
            </w:tcBorders>
          </w:tcPr>
          <w:p>
            <w:pPr>
              <w:spacing w:after="0" w:line="196" w:lineRule="exact"/>
              <w:rPr>
                <w:sz w:val="20"/>
                <w:szCs w:val="20"/>
                <w:color w:val="auto"/>
              </w:rPr>
            </w:pPr>
            <w:r>
              <w:rPr>
                <w:rFonts w:ascii="Arial" w:cs="Arial" w:eastAsia="Arial" w:hAnsi="Arial"/>
                <w:sz w:val="18"/>
                <w:szCs w:val="18"/>
                <w:color w:val="auto"/>
              </w:rPr>
              <w:t>Cash provided by operating activities</w:t>
            </w:r>
          </w:p>
        </w:tc>
        <w:tc>
          <w:tcPr>
            <w:tcW w:w="120" w:type="dxa"/>
            <w:vAlign w:val="bottom"/>
            <w:tcBorders>
              <w:top w:val="single" w:sz="8" w:color="939598"/>
            </w:tcBorders>
            <w:shd w:val="clear" w:color="auto" w:fill="E3F1DA"/>
          </w:tcPr>
          <w:p>
            <w:pPr>
              <w:spacing w:after="0"/>
              <w:rPr>
                <w:sz w:val="17"/>
                <w:szCs w:val="17"/>
                <w:color w:val="auto"/>
              </w:rPr>
            </w:pPr>
          </w:p>
        </w:tc>
        <w:tc>
          <w:tcPr>
            <w:tcW w:w="1340" w:type="dxa"/>
            <w:vAlign w:val="bottom"/>
            <w:tcBorders>
              <w:top w:val="single" w:sz="8" w:color="939598"/>
            </w:tcBorders>
          </w:tcPr>
          <w:p>
            <w:pPr>
              <w:jc w:val="right"/>
              <w:ind w:right="130"/>
              <w:spacing w:after="0" w:line="196" w:lineRule="exact"/>
              <w:rPr>
                <w:sz w:val="20"/>
                <w:szCs w:val="20"/>
                <w:color w:val="auto"/>
              </w:rPr>
            </w:pPr>
            <w:r>
              <w:rPr>
                <w:rFonts w:ascii="Arial" w:cs="Arial" w:eastAsia="Arial" w:hAnsi="Arial"/>
                <w:sz w:val="18"/>
                <w:szCs w:val="18"/>
                <w:color w:val="86B6A5"/>
              </w:rPr>
              <w:t>182.1</w:t>
            </w:r>
          </w:p>
        </w:tc>
        <w:tc>
          <w:tcPr>
            <w:tcW w:w="380" w:type="dxa"/>
            <w:vAlign w:val="bottom"/>
            <w:tcBorders>
              <w:top w:val="single" w:sz="8" w:color="939598"/>
            </w:tcBorders>
          </w:tcPr>
          <w:p>
            <w:pPr>
              <w:spacing w:after="0"/>
              <w:rPr>
                <w:sz w:val="17"/>
                <w:szCs w:val="17"/>
                <w:color w:val="auto"/>
              </w:rPr>
            </w:pPr>
          </w:p>
        </w:tc>
        <w:tc>
          <w:tcPr>
            <w:tcW w:w="1000" w:type="dxa"/>
            <w:vAlign w:val="bottom"/>
            <w:tcBorders>
              <w:top w:val="single" w:sz="8" w:color="939598"/>
            </w:tcBorders>
          </w:tcPr>
          <w:p>
            <w:pPr>
              <w:jc w:val="right"/>
              <w:ind w:right="50"/>
              <w:spacing w:after="0" w:line="196" w:lineRule="exact"/>
              <w:rPr>
                <w:sz w:val="20"/>
                <w:szCs w:val="20"/>
                <w:color w:val="auto"/>
              </w:rPr>
            </w:pPr>
            <w:r>
              <w:rPr>
                <w:rFonts w:ascii="Arial" w:cs="Arial" w:eastAsia="Arial" w:hAnsi="Arial"/>
                <w:sz w:val="18"/>
                <w:szCs w:val="18"/>
                <w:color w:val="auto"/>
              </w:rPr>
              <w:t>414.3</w:t>
            </w:r>
          </w:p>
        </w:tc>
        <w:tc>
          <w:tcPr>
            <w:tcW w:w="500" w:type="dxa"/>
            <w:vAlign w:val="bottom"/>
            <w:tcBorders>
              <w:top w:val="single" w:sz="8" w:color="939598"/>
            </w:tcBorders>
          </w:tcPr>
          <w:p>
            <w:pPr>
              <w:spacing w:after="0"/>
              <w:rPr>
                <w:sz w:val="17"/>
                <w:szCs w:val="17"/>
                <w:color w:val="auto"/>
              </w:rPr>
            </w:pPr>
          </w:p>
        </w:tc>
        <w:tc>
          <w:tcPr>
            <w:tcW w:w="840" w:type="dxa"/>
            <w:vAlign w:val="bottom"/>
            <w:tcBorders>
              <w:top w:val="single" w:sz="8" w:color="939598"/>
            </w:tcBorders>
            <w:gridSpan w:val="2"/>
          </w:tcPr>
          <w:p>
            <w:pPr>
              <w:jc w:val="right"/>
              <w:ind w:right="20"/>
              <w:spacing w:after="0" w:line="196" w:lineRule="exact"/>
              <w:rPr>
                <w:sz w:val="20"/>
                <w:szCs w:val="20"/>
                <w:color w:val="auto"/>
              </w:rPr>
            </w:pPr>
            <w:r>
              <w:rPr>
                <w:rFonts w:ascii="Arial" w:cs="Arial" w:eastAsia="Arial" w:hAnsi="Arial"/>
                <w:sz w:val="18"/>
                <w:szCs w:val="18"/>
                <w:color w:val="auto"/>
              </w:rPr>
              <w:t>792.0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7040" w:type="dxa"/>
            <w:vAlign w:val="bottom"/>
            <w:tcBorders>
              <w:top w:val="single" w:sz="8" w:color="939598"/>
            </w:tcBorders>
            <w:gridSpan w:val="2"/>
          </w:tcPr>
          <w:p>
            <w:pPr>
              <w:spacing w:after="0" w:line="195" w:lineRule="exact"/>
              <w:rPr>
                <w:sz w:val="20"/>
                <w:szCs w:val="20"/>
                <w:color w:val="auto"/>
              </w:rPr>
            </w:pPr>
            <w:r>
              <w:rPr>
                <w:rFonts w:ascii="Arial" w:cs="Arial" w:eastAsia="Arial" w:hAnsi="Arial"/>
                <w:sz w:val="18"/>
                <w:szCs w:val="18"/>
                <w:b w:val="1"/>
                <w:bCs w:val="1"/>
                <w:color w:val="939598"/>
              </w:rPr>
              <w:t>Cash Flows from Investing Activities</w:t>
            </w:r>
          </w:p>
        </w:tc>
        <w:tc>
          <w:tcPr>
            <w:tcW w:w="120" w:type="dxa"/>
            <w:vAlign w:val="bottom"/>
            <w:tcBorders>
              <w:top w:val="single" w:sz="8" w:color="939598"/>
            </w:tcBorders>
            <w:shd w:val="clear" w:color="auto" w:fill="E3F1DA"/>
          </w:tcPr>
          <w:p>
            <w:pPr>
              <w:spacing w:after="0"/>
              <w:rPr>
                <w:sz w:val="16"/>
                <w:szCs w:val="16"/>
                <w:color w:val="auto"/>
              </w:rPr>
            </w:pPr>
          </w:p>
        </w:tc>
        <w:tc>
          <w:tcPr>
            <w:tcW w:w="1340" w:type="dxa"/>
            <w:vAlign w:val="bottom"/>
            <w:tcBorders>
              <w:top w:val="single" w:sz="8" w:color="939598"/>
            </w:tcBorders>
          </w:tcPr>
          <w:p>
            <w:pPr>
              <w:spacing w:after="0"/>
              <w:rPr>
                <w:sz w:val="16"/>
                <w:szCs w:val="16"/>
                <w:color w:val="auto"/>
              </w:rPr>
            </w:pPr>
          </w:p>
        </w:tc>
        <w:tc>
          <w:tcPr>
            <w:tcW w:w="380" w:type="dxa"/>
            <w:vAlign w:val="bottom"/>
            <w:tcBorders>
              <w:top w:val="single" w:sz="8" w:color="939598"/>
            </w:tcBorders>
          </w:tcPr>
          <w:p>
            <w:pPr>
              <w:spacing w:after="0"/>
              <w:rPr>
                <w:sz w:val="16"/>
                <w:szCs w:val="16"/>
                <w:color w:val="auto"/>
              </w:rPr>
            </w:pPr>
          </w:p>
        </w:tc>
        <w:tc>
          <w:tcPr>
            <w:tcW w:w="1000" w:type="dxa"/>
            <w:vAlign w:val="bottom"/>
            <w:tcBorders>
              <w:top w:val="single" w:sz="8" w:color="939598"/>
            </w:tcBorders>
          </w:tcPr>
          <w:p>
            <w:pPr>
              <w:spacing w:after="0"/>
              <w:rPr>
                <w:sz w:val="16"/>
                <w:szCs w:val="16"/>
                <w:color w:val="auto"/>
              </w:rPr>
            </w:pPr>
          </w:p>
        </w:tc>
        <w:tc>
          <w:tcPr>
            <w:tcW w:w="500" w:type="dxa"/>
            <w:vAlign w:val="bottom"/>
            <w:tcBorders>
              <w:top w:val="single" w:sz="8" w:color="939598"/>
            </w:tcBorders>
          </w:tcPr>
          <w:p>
            <w:pPr>
              <w:spacing w:after="0"/>
              <w:rPr>
                <w:sz w:val="16"/>
                <w:szCs w:val="16"/>
                <w:color w:val="auto"/>
              </w:rPr>
            </w:pPr>
          </w:p>
        </w:tc>
        <w:tc>
          <w:tcPr>
            <w:tcW w:w="820" w:type="dxa"/>
            <w:vAlign w:val="bottom"/>
            <w:tcBorders>
              <w:top w:val="single" w:sz="8" w:color="939598"/>
            </w:tcBorders>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040" w:type="dxa"/>
            <w:vAlign w:val="bottom"/>
            <w:gridSpan w:val="2"/>
          </w:tcPr>
          <w:p>
            <w:pPr>
              <w:spacing w:after="0" w:line="202" w:lineRule="exact"/>
              <w:rPr>
                <w:sz w:val="20"/>
                <w:szCs w:val="20"/>
                <w:color w:val="auto"/>
              </w:rPr>
            </w:pPr>
            <w:r>
              <w:rPr>
                <w:rFonts w:ascii="Arial" w:cs="Arial" w:eastAsia="Arial" w:hAnsi="Arial"/>
                <w:sz w:val="18"/>
                <w:szCs w:val="18"/>
                <w:color w:val="auto"/>
              </w:rPr>
              <w:t>Capital expenditures</w:t>
            </w:r>
          </w:p>
        </w:tc>
        <w:tc>
          <w:tcPr>
            <w:tcW w:w="120" w:type="dxa"/>
            <w:vAlign w:val="bottom"/>
            <w:shd w:val="clear" w:color="auto" w:fill="E3F1DA"/>
          </w:tcPr>
          <w:p>
            <w:pPr>
              <w:spacing w:after="0"/>
              <w:rPr>
                <w:sz w:val="17"/>
                <w:szCs w:val="17"/>
                <w:color w:val="auto"/>
              </w:rPr>
            </w:pPr>
          </w:p>
        </w:tc>
        <w:tc>
          <w:tcPr>
            <w:tcW w:w="1340" w:type="dxa"/>
            <w:vAlign w:val="bottom"/>
          </w:tcPr>
          <w:p>
            <w:pPr>
              <w:jc w:val="right"/>
              <w:ind w:right="70"/>
              <w:spacing w:after="0" w:line="202" w:lineRule="exact"/>
              <w:rPr>
                <w:sz w:val="20"/>
                <w:szCs w:val="20"/>
                <w:color w:val="auto"/>
              </w:rPr>
            </w:pPr>
            <w:r>
              <w:rPr>
                <w:rFonts w:ascii="Arial" w:cs="Arial" w:eastAsia="Arial" w:hAnsi="Arial"/>
                <w:sz w:val="18"/>
                <w:szCs w:val="18"/>
                <w:color w:val="86B6A5"/>
              </w:rPr>
              <w:t>(58.5)</w:t>
            </w:r>
          </w:p>
        </w:tc>
        <w:tc>
          <w:tcPr>
            <w:tcW w:w="38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(35.1)</w:t>
            </w:r>
          </w:p>
        </w:tc>
        <w:tc>
          <w:tcPr>
            <w:tcW w:w="500" w:type="dxa"/>
            <w:vAlign w:val="bottom"/>
          </w:tcPr>
          <w:p>
            <w:pPr>
              <w:spacing w:after="0"/>
              <w:rPr>
                <w:sz w:val="17"/>
                <w:szCs w:val="17"/>
                <w:color w:val="auto"/>
              </w:rPr>
            </w:pPr>
          </w:p>
        </w:tc>
        <w:tc>
          <w:tcPr>
            <w:tcW w:w="88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(93.1)</w:t>
            </w:r>
          </w:p>
        </w:tc>
        <w:tc>
          <w:tcPr>
            <w:tcW w:w="0" w:type="dxa"/>
            <w:vAlign w:val="bottom"/>
          </w:tcPr>
          <w:p>
            <w:pPr>
              <w:spacing w:after="0"/>
              <w:rPr>
                <w:sz w:val="1"/>
                <w:szCs w:val="1"/>
                <w:color w:val="auto"/>
              </w:rPr>
            </w:pPr>
          </w:p>
        </w:tc>
      </w:tr>
      <w:tr>
        <w:trPr>
          <w:trHeight w:val="203"/>
        </w:trPr>
        <w:tc>
          <w:tcPr>
            <w:tcW w:w="7040" w:type="dxa"/>
            <w:vAlign w:val="bottom"/>
            <w:gridSpan w:val="2"/>
          </w:tcPr>
          <w:p>
            <w:pPr>
              <w:spacing w:after="0" w:line="202" w:lineRule="exact"/>
              <w:rPr>
                <w:sz w:val="20"/>
                <w:szCs w:val="20"/>
                <w:color w:val="auto"/>
              </w:rPr>
            </w:pPr>
            <w:r>
              <w:rPr>
                <w:rFonts w:ascii="Arial" w:cs="Arial" w:eastAsia="Arial" w:hAnsi="Arial"/>
                <w:sz w:val="18"/>
                <w:szCs w:val="18"/>
                <w:color w:val="auto"/>
              </w:rPr>
              <w:t>Acquisitions of businesses, net of cash acquired</w:t>
            </w:r>
          </w:p>
        </w:tc>
        <w:tc>
          <w:tcPr>
            <w:tcW w:w="120" w:type="dxa"/>
            <w:vAlign w:val="bottom"/>
            <w:shd w:val="clear" w:color="auto" w:fill="E3F1DA"/>
          </w:tcPr>
          <w:p>
            <w:pPr>
              <w:spacing w:after="0"/>
              <w:rPr>
                <w:sz w:val="17"/>
                <w:szCs w:val="17"/>
                <w:color w:val="auto"/>
              </w:rPr>
            </w:pPr>
          </w:p>
        </w:tc>
        <w:tc>
          <w:tcPr>
            <w:tcW w:w="1340" w:type="dxa"/>
            <w:vAlign w:val="bottom"/>
          </w:tcPr>
          <w:p>
            <w:pPr>
              <w:jc w:val="right"/>
              <w:ind w:right="70"/>
              <w:spacing w:after="0" w:line="202" w:lineRule="exact"/>
              <w:rPr>
                <w:sz w:val="20"/>
                <w:szCs w:val="20"/>
                <w:color w:val="auto"/>
              </w:rPr>
            </w:pPr>
            <w:r>
              <w:rPr>
                <w:rFonts w:ascii="Arial" w:cs="Arial" w:eastAsia="Arial" w:hAnsi="Arial"/>
                <w:sz w:val="18"/>
                <w:szCs w:val="18"/>
                <w:color w:val="86B6A5"/>
              </w:rPr>
              <w:t>(270.0)</w:t>
            </w:r>
          </w:p>
        </w:tc>
        <w:tc>
          <w:tcPr>
            <w:tcW w:w="38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(21.6)</w:t>
            </w:r>
          </w:p>
        </w:tc>
        <w:tc>
          <w:tcPr>
            <w:tcW w:w="500" w:type="dxa"/>
            <w:vAlign w:val="bottom"/>
          </w:tcPr>
          <w:p>
            <w:pPr>
              <w:spacing w:after="0"/>
              <w:rPr>
                <w:sz w:val="17"/>
                <w:szCs w:val="17"/>
                <w:color w:val="auto"/>
              </w:rPr>
            </w:pPr>
          </w:p>
        </w:tc>
        <w:tc>
          <w:tcPr>
            <w:tcW w:w="88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(242.0)</w:t>
            </w:r>
          </w:p>
        </w:tc>
        <w:tc>
          <w:tcPr>
            <w:tcW w:w="0" w:type="dxa"/>
            <w:vAlign w:val="bottom"/>
          </w:tcPr>
          <w:p>
            <w:pPr>
              <w:spacing w:after="0"/>
              <w:rPr>
                <w:sz w:val="1"/>
                <w:szCs w:val="1"/>
                <w:color w:val="auto"/>
              </w:rPr>
            </w:pPr>
          </w:p>
        </w:tc>
      </w:tr>
      <w:tr>
        <w:trPr>
          <w:trHeight w:val="203"/>
        </w:trPr>
        <w:tc>
          <w:tcPr>
            <w:tcW w:w="7040" w:type="dxa"/>
            <w:vAlign w:val="bottom"/>
            <w:gridSpan w:val="2"/>
          </w:tcPr>
          <w:p>
            <w:pPr>
              <w:spacing w:after="0" w:line="202" w:lineRule="exact"/>
              <w:rPr>
                <w:sz w:val="20"/>
                <w:szCs w:val="20"/>
                <w:color w:val="auto"/>
              </w:rPr>
            </w:pPr>
            <w:r>
              <w:rPr>
                <w:rFonts w:ascii="Arial" w:cs="Arial" w:eastAsia="Arial" w:hAnsi="Arial"/>
                <w:sz w:val="18"/>
                <w:szCs w:val="18"/>
                <w:color w:val="auto"/>
              </w:rPr>
              <w:t>Proceeds from the sale of an equity investment</w:t>
            </w:r>
          </w:p>
        </w:tc>
        <w:tc>
          <w:tcPr>
            <w:tcW w:w="120" w:type="dxa"/>
            <w:vAlign w:val="bottom"/>
            <w:shd w:val="clear" w:color="auto" w:fill="E3F1DA"/>
          </w:tcPr>
          <w:p>
            <w:pPr>
              <w:spacing w:after="0"/>
              <w:rPr>
                <w:sz w:val="17"/>
                <w:szCs w:val="17"/>
                <w:color w:val="auto"/>
              </w:rPr>
            </w:pPr>
          </w:p>
        </w:tc>
        <w:tc>
          <w:tcPr>
            <w:tcW w:w="1340" w:type="dxa"/>
            <w:vAlign w:val="bottom"/>
          </w:tcPr>
          <w:p>
            <w:pPr>
              <w:jc w:val="right"/>
              <w:ind w:right="130"/>
              <w:spacing w:after="0" w:line="202" w:lineRule="exact"/>
              <w:rPr>
                <w:sz w:val="20"/>
                <w:szCs w:val="20"/>
                <w:color w:val="auto"/>
              </w:rPr>
            </w:pPr>
            <w:r>
              <w:rPr>
                <w:rFonts w:ascii="Arial" w:cs="Arial" w:eastAsia="Arial" w:hAnsi="Arial"/>
                <w:sz w:val="18"/>
                <w:szCs w:val="18"/>
                <w:color w:val="86B6A5"/>
              </w:rPr>
              <w:t>–</w:t>
            </w:r>
          </w:p>
        </w:tc>
        <w:tc>
          <w:tcPr>
            <w:tcW w:w="380" w:type="dxa"/>
            <w:vAlign w:val="bottom"/>
          </w:tcPr>
          <w:p>
            <w:pPr>
              <w:spacing w:after="0"/>
              <w:rPr>
                <w:sz w:val="17"/>
                <w:szCs w:val="17"/>
                <w:color w:val="auto"/>
              </w:rPr>
            </w:pPr>
          </w:p>
        </w:tc>
        <w:tc>
          <w:tcPr>
            <w:tcW w:w="1000" w:type="dxa"/>
            <w:vAlign w:val="bottom"/>
          </w:tcPr>
          <w:p>
            <w:pPr>
              <w:jc w:val="right"/>
              <w:ind w:right="50"/>
              <w:spacing w:after="0" w:line="202" w:lineRule="exact"/>
              <w:rPr>
                <w:sz w:val="20"/>
                <w:szCs w:val="20"/>
                <w:color w:val="auto"/>
              </w:rPr>
            </w:pPr>
            <w:r>
              <w:rPr>
                <w:rFonts w:ascii="Arial" w:cs="Arial" w:eastAsia="Arial" w:hAnsi="Arial"/>
                <w:sz w:val="18"/>
                <w:szCs w:val="18"/>
                <w:color w:val="auto"/>
              </w:rPr>
              <w:t>13.3</w:t>
            </w:r>
          </w:p>
        </w:tc>
        <w:tc>
          <w:tcPr>
            <w:tcW w:w="500" w:type="dxa"/>
            <w:vAlign w:val="bottom"/>
          </w:tcPr>
          <w:p>
            <w:pPr>
              <w:spacing w:after="0"/>
              <w:rPr>
                <w:sz w:val="17"/>
                <w:szCs w:val="17"/>
                <w:color w:val="auto"/>
              </w:rPr>
            </w:pPr>
          </w:p>
        </w:tc>
        <w:tc>
          <w:tcPr>
            <w:tcW w:w="880" w:type="dxa"/>
            <w:vAlign w:val="bottom"/>
            <w:gridSpan w:val="3"/>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040" w:type="dxa"/>
            <w:vAlign w:val="bottom"/>
            <w:tcBorders>
              <w:bottom w:val="single" w:sz="8" w:color="939598"/>
            </w:tcBorders>
            <w:gridSpan w:val="2"/>
          </w:tcPr>
          <w:p>
            <w:pPr>
              <w:spacing w:after="0" w:line="203" w:lineRule="exact"/>
              <w:rPr>
                <w:sz w:val="20"/>
                <w:szCs w:val="20"/>
                <w:color w:val="auto"/>
              </w:rPr>
            </w:pPr>
            <w:r>
              <w:rPr>
                <w:rFonts w:ascii="Arial" w:cs="Arial" w:eastAsia="Arial" w:hAnsi="Arial"/>
                <w:sz w:val="18"/>
                <w:szCs w:val="18"/>
                <w:color w:val="auto"/>
              </w:rPr>
              <w:t>Proceeds from the sale of property and equipment</w:t>
            </w:r>
          </w:p>
        </w:tc>
        <w:tc>
          <w:tcPr>
            <w:tcW w:w="120" w:type="dxa"/>
            <w:vAlign w:val="bottom"/>
            <w:tcBorders>
              <w:bottom w:val="single" w:sz="8" w:color="939598"/>
            </w:tcBorders>
            <w:shd w:val="clear" w:color="auto" w:fill="E3F1DA"/>
          </w:tcPr>
          <w:p>
            <w:pPr>
              <w:spacing w:after="0"/>
              <w:rPr>
                <w:sz w:val="17"/>
                <w:szCs w:val="17"/>
                <w:color w:val="auto"/>
              </w:rPr>
            </w:pPr>
          </w:p>
        </w:tc>
        <w:tc>
          <w:tcPr>
            <w:tcW w:w="1340" w:type="dxa"/>
            <w:vAlign w:val="bottom"/>
            <w:tcBorders>
              <w:bottom w:val="single" w:sz="8" w:color="939598"/>
            </w:tcBorders>
          </w:tcPr>
          <w:p>
            <w:pPr>
              <w:jc w:val="right"/>
              <w:ind w:right="130"/>
              <w:spacing w:after="0" w:line="203" w:lineRule="exact"/>
              <w:rPr>
                <w:sz w:val="20"/>
                <w:szCs w:val="20"/>
                <w:color w:val="auto"/>
              </w:rPr>
            </w:pPr>
            <w:r>
              <w:rPr>
                <w:rFonts w:ascii="Arial" w:cs="Arial" w:eastAsia="Arial" w:hAnsi="Arial"/>
                <w:sz w:val="18"/>
                <w:szCs w:val="18"/>
                <w:color w:val="86B6A5"/>
              </w:rPr>
              <w:t>4.9</w:t>
            </w:r>
          </w:p>
        </w:tc>
        <w:tc>
          <w:tcPr>
            <w:tcW w:w="380" w:type="dxa"/>
            <w:vAlign w:val="bottom"/>
            <w:tcBorders>
              <w:bottom w:val="single" w:sz="8" w:color="939598"/>
            </w:tcBorders>
          </w:tcPr>
          <w:p>
            <w:pPr>
              <w:spacing w:after="0"/>
              <w:rPr>
                <w:sz w:val="17"/>
                <w:szCs w:val="17"/>
                <w:color w:val="auto"/>
              </w:rPr>
            </w:pPr>
          </w:p>
        </w:tc>
        <w:tc>
          <w:tcPr>
            <w:tcW w:w="1000" w:type="dxa"/>
            <w:vAlign w:val="bottom"/>
            <w:tcBorders>
              <w:bottom w:val="single" w:sz="8" w:color="939598"/>
            </w:tcBorders>
          </w:tcPr>
          <w:p>
            <w:pPr>
              <w:jc w:val="right"/>
              <w:ind w:right="50"/>
              <w:spacing w:after="0" w:line="203" w:lineRule="exact"/>
              <w:rPr>
                <w:sz w:val="20"/>
                <w:szCs w:val="20"/>
                <w:color w:val="auto"/>
              </w:rPr>
            </w:pPr>
            <w:r>
              <w:rPr>
                <w:rFonts w:ascii="Arial" w:cs="Arial" w:eastAsia="Arial" w:hAnsi="Arial"/>
                <w:sz w:val="18"/>
                <w:szCs w:val="18"/>
                <w:color w:val="auto"/>
              </w:rPr>
              <w:t>3.6</w:t>
            </w:r>
          </w:p>
        </w:tc>
        <w:tc>
          <w:tcPr>
            <w:tcW w:w="500" w:type="dxa"/>
            <w:vAlign w:val="bottom"/>
            <w:tcBorders>
              <w:bottom w:val="single" w:sz="8" w:color="939598"/>
            </w:tcBorders>
          </w:tcPr>
          <w:p>
            <w:pPr>
              <w:spacing w:after="0"/>
              <w:rPr>
                <w:sz w:val="17"/>
                <w:szCs w:val="17"/>
                <w:color w:val="auto"/>
              </w:rPr>
            </w:pPr>
          </w:p>
        </w:tc>
        <w:tc>
          <w:tcPr>
            <w:tcW w:w="840" w:type="dxa"/>
            <w:vAlign w:val="bottom"/>
            <w:tcBorders>
              <w:bottom w:val="single" w:sz="8" w:color="939598"/>
            </w:tcBorders>
            <w:gridSpan w:val="2"/>
          </w:tcPr>
          <w:p>
            <w:pPr>
              <w:jc w:val="right"/>
              <w:ind w:right="20"/>
              <w:spacing w:after="0" w:line="203" w:lineRule="exact"/>
              <w:rPr>
                <w:sz w:val="20"/>
                <w:szCs w:val="20"/>
                <w:color w:val="auto"/>
              </w:rPr>
            </w:pPr>
            <w:r>
              <w:rPr>
                <w:rFonts w:ascii="Arial" w:cs="Arial" w:eastAsia="Arial" w:hAnsi="Arial"/>
                <w:sz w:val="18"/>
                <w:szCs w:val="18"/>
                <w:color w:val="auto"/>
              </w:rPr>
              <w:t>5.9</w:t>
            </w:r>
          </w:p>
        </w:tc>
        <w:tc>
          <w:tcPr>
            <w:tcW w:w="40" w:type="dxa"/>
            <w:vAlign w:val="bottom"/>
            <w:vMerge w:val="restart"/>
          </w:tcPr>
          <w:p>
            <w:pPr>
              <w:jc w:val="right"/>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196"/>
        </w:trPr>
        <w:tc>
          <w:tcPr>
            <w:tcW w:w="7040" w:type="dxa"/>
            <w:vAlign w:val="bottom"/>
            <w:gridSpan w:val="2"/>
          </w:tcPr>
          <w:p>
            <w:pPr>
              <w:spacing w:after="0" w:line="196" w:lineRule="exact"/>
              <w:rPr>
                <w:sz w:val="20"/>
                <w:szCs w:val="20"/>
                <w:color w:val="auto"/>
              </w:rPr>
            </w:pPr>
            <w:r>
              <w:rPr>
                <w:rFonts w:ascii="Arial" w:cs="Arial" w:eastAsia="Arial" w:hAnsi="Arial"/>
                <w:sz w:val="18"/>
                <w:szCs w:val="18"/>
                <w:color w:val="auto"/>
              </w:rPr>
              <w:t>Cash used in investing activities</w:t>
            </w:r>
          </w:p>
        </w:tc>
        <w:tc>
          <w:tcPr>
            <w:tcW w:w="120" w:type="dxa"/>
            <w:vAlign w:val="bottom"/>
            <w:shd w:val="clear" w:color="auto" w:fill="E3F1DA"/>
          </w:tcPr>
          <w:p>
            <w:pPr>
              <w:spacing w:after="0"/>
              <w:rPr>
                <w:sz w:val="17"/>
                <w:szCs w:val="17"/>
                <w:color w:val="auto"/>
              </w:rPr>
            </w:pPr>
          </w:p>
        </w:tc>
        <w:tc>
          <w:tcPr>
            <w:tcW w:w="1340" w:type="dxa"/>
            <w:vAlign w:val="bottom"/>
          </w:tcPr>
          <w:p>
            <w:pPr>
              <w:jc w:val="right"/>
              <w:ind w:right="70"/>
              <w:spacing w:after="0" w:line="196" w:lineRule="exact"/>
              <w:rPr>
                <w:sz w:val="20"/>
                <w:szCs w:val="20"/>
                <w:color w:val="auto"/>
              </w:rPr>
            </w:pPr>
            <w:r>
              <w:rPr>
                <w:rFonts w:ascii="Arial" w:cs="Arial" w:eastAsia="Arial" w:hAnsi="Arial"/>
                <w:sz w:val="18"/>
                <w:szCs w:val="18"/>
                <w:color w:val="86B6A5"/>
              </w:rPr>
              <w:t>(323.6)</w:t>
            </w:r>
          </w:p>
        </w:tc>
        <w:tc>
          <w:tcPr>
            <w:tcW w:w="380" w:type="dxa"/>
            <w:vAlign w:val="bottom"/>
          </w:tcPr>
          <w:p>
            <w:pPr>
              <w:spacing w:after="0"/>
              <w:rPr>
                <w:sz w:val="17"/>
                <w:szCs w:val="17"/>
                <w:color w:val="auto"/>
              </w:rPr>
            </w:pPr>
          </w:p>
        </w:tc>
        <w:tc>
          <w:tcPr>
            <w:tcW w:w="1000" w:type="dxa"/>
            <w:vAlign w:val="bottom"/>
          </w:tcPr>
          <w:p>
            <w:pPr>
              <w:jc w:val="right"/>
              <w:spacing w:after="0" w:line="196" w:lineRule="exact"/>
              <w:rPr>
                <w:sz w:val="20"/>
                <w:szCs w:val="20"/>
                <w:color w:val="auto"/>
              </w:rPr>
            </w:pPr>
            <w:r>
              <w:rPr>
                <w:rFonts w:ascii="Arial" w:cs="Arial" w:eastAsia="Arial" w:hAnsi="Arial"/>
                <w:sz w:val="18"/>
                <w:szCs w:val="18"/>
                <w:color w:val="auto"/>
              </w:rPr>
              <w:t>(39.8)</w:t>
            </w:r>
          </w:p>
        </w:tc>
        <w:tc>
          <w:tcPr>
            <w:tcW w:w="500" w:type="dxa"/>
            <w:vAlign w:val="bottom"/>
          </w:tcPr>
          <w:p>
            <w:pPr>
              <w:spacing w:after="0"/>
              <w:rPr>
                <w:sz w:val="17"/>
                <w:szCs w:val="17"/>
                <w:color w:val="auto"/>
              </w:rPr>
            </w:pPr>
          </w:p>
        </w:tc>
        <w:tc>
          <w:tcPr>
            <w:tcW w:w="8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(329.2</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7040" w:type="dxa"/>
            <w:vAlign w:val="bottom"/>
            <w:tcBorders>
              <w:top w:val="single" w:sz="8" w:color="939598"/>
            </w:tcBorders>
            <w:gridSpan w:val="2"/>
          </w:tcPr>
          <w:p>
            <w:pPr>
              <w:spacing w:after="0" w:line="195" w:lineRule="exact"/>
              <w:rPr>
                <w:sz w:val="20"/>
                <w:szCs w:val="20"/>
                <w:color w:val="auto"/>
              </w:rPr>
            </w:pPr>
            <w:r>
              <w:rPr>
                <w:rFonts w:ascii="Arial" w:cs="Arial" w:eastAsia="Arial" w:hAnsi="Arial"/>
                <w:sz w:val="18"/>
                <w:szCs w:val="18"/>
                <w:b w:val="1"/>
                <w:bCs w:val="1"/>
                <w:color w:val="939598"/>
              </w:rPr>
              <w:t>Cash Flows from Financing Activities</w:t>
            </w:r>
          </w:p>
        </w:tc>
        <w:tc>
          <w:tcPr>
            <w:tcW w:w="120" w:type="dxa"/>
            <w:vAlign w:val="bottom"/>
            <w:tcBorders>
              <w:top w:val="single" w:sz="8" w:color="939598"/>
            </w:tcBorders>
            <w:shd w:val="clear" w:color="auto" w:fill="E3F1DA"/>
          </w:tcPr>
          <w:p>
            <w:pPr>
              <w:spacing w:after="0"/>
              <w:rPr>
                <w:sz w:val="16"/>
                <w:szCs w:val="16"/>
                <w:color w:val="auto"/>
              </w:rPr>
            </w:pPr>
          </w:p>
        </w:tc>
        <w:tc>
          <w:tcPr>
            <w:tcW w:w="1340" w:type="dxa"/>
            <w:vAlign w:val="bottom"/>
            <w:tcBorders>
              <w:top w:val="single" w:sz="8" w:color="939598"/>
            </w:tcBorders>
          </w:tcPr>
          <w:p>
            <w:pPr>
              <w:spacing w:after="0"/>
              <w:rPr>
                <w:sz w:val="16"/>
                <w:szCs w:val="16"/>
                <w:color w:val="auto"/>
              </w:rPr>
            </w:pPr>
          </w:p>
        </w:tc>
        <w:tc>
          <w:tcPr>
            <w:tcW w:w="380" w:type="dxa"/>
            <w:vAlign w:val="bottom"/>
            <w:tcBorders>
              <w:top w:val="single" w:sz="8" w:color="939598"/>
            </w:tcBorders>
          </w:tcPr>
          <w:p>
            <w:pPr>
              <w:spacing w:after="0"/>
              <w:rPr>
                <w:sz w:val="16"/>
                <w:szCs w:val="16"/>
                <w:color w:val="auto"/>
              </w:rPr>
            </w:pPr>
          </w:p>
        </w:tc>
        <w:tc>
          <w:tcPr>
            <w:tcW w:w="1000" w:type="dxa"/>
            <w:vAlign w:val="bottom"/>
            <w:tcBorders>
              <w:top w:val="single" w:sz="8" w:color="939598"/>
            </w:tcBorders>
          </w:tcPr>
          <w:p>
            <w:pPr>
              <w:spacing w:after="0"/>
              <w:rPr>
                <w:sz w:val="16"/>
                <w:szCs w:val="16"/>
                <w:color w:val="auto"/>
              </w:rPr>
            </w:pPr>
          </w:p>
        </w:tc>
        <w:tc>
          <w:tcPr>
            <w:tcW w:w="500" w:type="dxa"/>
            <w:vAlign w:val="bottom"/>
            <w:tcBorders>
              <w:top w:val="single" w:sz="8" w:color="939598"/>
            </w:tcBorders>
          </w:tcPr>
          <w:p>
            <w:pPr>
              <w:spacing w:after="0"/>
              <w:rPr>
                <w:sz w:val="16"/>
                <w:szCs w:val="16"/>
                <w:color w:val="auto"/>
              </w:rPr>
            </w:pPr>
          </w:p>
        </w:tc>
        <w:tc>
          <w:tcPr>
            <w:tcW w:w="820" w:type="dxa"/>
            <w:vAlign w:val="bottom"/>
            <w:tcBorders>
              <w:top w:val="single" w:sz="8" w:color="939598"/>
            </w:tcBorders>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040" w:type="dxa"/>
            <w:vAlign w:val="bottom"/>
            <w:gridSpan w:val="2"/>
          </w:tcPr>
          <w:p>
            <w:pPr>
              <w:spacing w:after="0" w:line="202" w:lineRule="exact"/>
              <w:rPr>
                <w:sz w:val="20"/>
                <w:szCs w:val="20"/>
                <w:color w:val="auto"/>
              </w:rPr>
            </w:pPr>
            <w:r>
              <w:rPr>
                <w:rFonts w:ascii="Arial" w:cs="Arial" w:eastAsia="Arial" w:hAnsi="Arial"/>
                <w:sz w:val="18"/>
                <w:szCs w:val="18"/>
                <w:color w:val="auto"/>
              </w:rPr>
              <w:t>Net change in short-term borrowings</w:t>
            </w:r>
          </w:p>
        </w:tc>
        <w:tc>
          <w:tcPr>
            <w:tcW w:w="120" w:type="dxa"/>
            <w:vAlign w:val="bottom"/>
            <w:shd w:val="clear" w:color="auto" w:fill="E3F1DA"/>
          </w:tcPr>
          <w:p>
            <w:pPr>
              <w:spacing w:after="0"/>
              <w:rPr>
                <w:sz w:val="17"/>
                <w:szCs w:val="17"/>
                <w:color w:val="auto"/>
              </w:rPr>
            </w:pPr>
          </w:p>
        </w:tc>
        <w:tc>
          <w:tcPr>
            <w:tcW w:w="1340" w:type="dxa"/>
            <w:vAlign w:val="bottom"/>
          </w:tcPr>
          <w:p>
            <w:pPr>
              <w:jc w:val="right"/>
              <w:ind w:right="70"/>
              <w:spacing w:after="0" w:line="202" w:lineRule="exact"/>
              <w:rPr>
                <w:sz w:val="20"/>
                <w:szCs w:val="20"/>
                <w:color w:val="auto"/>
              </w:rPr>
            </w:pPr>
            <w:r>
              <w:rPr>
                <w:rFonts w:ascii="Arial" w:cs="Arial" w:eastAsia="Arial" w:hAnsi="Arial"/>
                <w:sz w:val="18"/>
                <w:szCs w:val="18"/>
                <w:color w:val="86B6A5"/>
              </w:rPr>
              <w:t>(15.6)</w:t>
            </w:r>
          </w:p>
        </w:tc>
        <w:tc>
          <w:tcPr>
            <w:tcW w:w="38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(14.6)</w:t>
            </w:r>
          </w:p>
        </w:tc>
        <w:tc>
          <w:tcPr>
            <w:tcW w:w="50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16.0</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40" w:type="dxa"/>
            <w:vAlign w:val="bottom"/>
            <w:gridSpan w:val="2"/>
          </w:tcPr>
          <w:p>
            <w:pPr>
              <w:spacing w:after="0" w:line="202" w:lineRule="exact"/>
              <w:rPr>
                <w:sz w:val="20"/>
                <w:szCs w:val="20"/>
                <w:color w:val="auto"/>
              </w:rPr>
            </w:pPr>
            <w:r>
              <w:rPr>
                <w:rFonts w:ascii="Arial" w:cs="Arial" w:eastAsia="Arial" w:hAnsi="Arial"/>
                <w:sz w:val="18"/>
                <w:szCs w:val="18"/>
                <w:color w:val="auto"/>
              </w:rPr>
              <w:t>Proceeds from long-term debt</w:t>
            </w:r>
          </w:p>
        </w:tc>
        <w:tc>
          <w:tcPr>
            <w:tcW w:w="120" w:type="dxa"/>
            <w:vAlign w:val="bottom"/>
            <w:shd w:val="clear" w:color="auto" w:fill="E3F1DA"/>
          </w:tcPr>
          <w:p>
            <w:pPr>
              <w:spacing w:after="0"/>
              <w:rPr>
                <w:sz w:val="17"/>
                <w:szCs w:val="17"/>
                <w:color w:val="auto"/>
              </w:rPr>
            </w:pPr>
          </w:p>
        </w:tc>
        <w:tc>
          <w:tcPr>
            <w:tcW w:w="1340" w:type="dxa"/>
            <w:vAlign w:val="bottom"/>
          </w:tcPr>
          <w:p>
            <w:pPr>
              <w:jc w:val="right"/>
              <w:ind w:right="130"/>
              <w:spacing w:after="0" w:line="202" w:lineRule="exact"/>
              <w:rPr>
                <w:sz w:val="20"/>
                <w:szCs w:val="20"/>
                <w:color w:val="auto"/>
              </w:rPr>
            </w:pPr>
            <w:r>
              <w:rPr>
                <w:rFonts w:ascii="Arial" w:cs="Arial" w:eastAsia="Arial" w:hAnsi="Arial"/>
                <w:sz w:val="18"/>
                <w:szCs w:val="18"/>
                <w:color w:val="86B6A5"/>
              </w:rPr>
              <w:t>1.8</w:t>
            </w:r>
          </w:p>
        </w:tc>
        <w:tc>
          <w:tcPr>
            <w:tcW w:w="380" w:type="dxa"/>
            <w:vAlign w:val="bottom"/>
          </w:tcPr>
          <w:p>
            <w:pPr>
              <w:spacing w:after="0"/>
              <w:rPr>
                <w:sz w:val="17"/>
                <w:szCs w:val="17"/>
                <w:color w:val="auto"/>
              </w:rPr>
            </w:pPr>
          </w:p>
        </w:tc>
        <w:tc>
          <w:tcPr>
            <w:tcW w:w="1000" w:type="dxa"/>
            <w:vAlign w:val="bottom"/>
          </w:tcPr>
          <w:p>
            <w:pPr>
              <w:jc w:val="right"/>
              <w:ind w:right="50"/>
              <w:spacing w:after="0" w:line="202" w:lineRule="exact"/>
              <w:rPr>
                <w:sz w:val="20"/>
                <w:szCs w:val="20"/>
                <w:color w:val="auto"/>
              </w:rPr>
            </w:pPr>
            <w:r>
              <w:rPr>
                <w:rFonts w:ascii="Arial" w:cs="Arial" w:eastAsia="Arial" w:hAnsi="Arial"/>
                <w:sz w:val="18"/>
                <w:szCs w:val="18"/>
                <w:color w:val="auto"/>
              </w:rPr>
              <w:t>146.5</w:t>
            </w:r>
          </w:p>
        </w:tc>
        <w:tc>
          <w:tcPr>
            <w:tcW w:w="500" w:type="dxa"/>
            <w:vAlign w:val="bottom"/>
          </w:tcPr>
          <w:p>
            <w:pPr>
              <w:spacing w:after="0"/>
              <w:rPr>
                <w:sz w:val="17"/>
                <w:szCs w:val="17"/>
                <w:color w:val="auto"/>
              </w:rPr>
            </w:pPr>
          </w:p>
        </w:tc>
        <w:tc>
          <w:tcPr>
            <w:tcW w:w="8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233.7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40" w:type="dxa"/>
            <w:vAlign w:val="bottom"/>
            <w:gridSpan w:val="2"/>
          </w:tcPr>
          <w:p>
            <w:pPr>
              <w:spacing w:after="0" w:line="202" w:lineRule="exact"/>
              <w:rPr>
                <w:sz w:val="20"/>
                <w:szCs w:val="20"/>
                <w:color w:val="auto"/>
              </w:rPr>
            </w:pPr>
            <w:r>
              <w:rPr>
                <w:rFonts w:ascii="Arial" w:cs="Arial" w:eastAsia="Arial" w:hAnsi="Arial"/>
                <w:sz w:val="18"/>
                <w:szCs w:val="18"/>
                <w:color w:val="auto"/>
              </w:rPr>
              <w:t>Repayments of long-term debt</w:t>
            </w:r>
          </w:p>
        </w:tc>
        <w:tc>
          <w:tcPr>
            <w:tcW w:w="120" w:type="dxa"/>
            <w:vAlign w:val="bottom"/>
            <w:shd w:val="clear" w:color="auto" w:fill="E3F1DA"/>
          </w:tcPr>
          <w:p>
            <w:pPr>
              <w:spacing w:after="0"/>
              <w:rPr>
                <w:sz w:val="17"/>
                <w:szCs w:val="17"/>
                <w:color w:val="auto"/>
              </w:rPr>
            </w:pPr>
          </w:p>
        </w:tc>
        <w:tc>
          <w:tcPr>
            <w:tcW w:w="1340" w:type="dxa"/>
            <w:vAlign w:val="bottom"/>
          </w:tcPr>
          <w:p>
            <w:pPr>
              <w:jc w:val="right"/>
              <w:ind w:right="70"/>
              <w:spacing w:after="0" w:line="202" w:lineRule="exact"/>
              <w:rPr>
                <w:sz w:val="20"/>
                <w:szCs w:val="20"/>
                <w:color w:val="auto"/>
              </w:rPr>
            </w:pPr>
            <w:r>
              <w:rPr>
                <w:rFonts w:ascii="Arial" w:cs="Arial" w:eastAsia="Arial" w:hAnsi="Arial"/>
                <w:sz w:val="18"/>
                <w:szCs w:val="18"/>
                <w:color w:val="86B6A5"/>
              </w:rPr>
              <w:t>(1.1)</w:t>
            </w:r>
          </w:p>
        </w:tc>
        <w:tc>
          <w:tcPr>
            <w:tcW w:w="38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(359.3)</w:t>
            </w:r>
          </w:p>
        </w:tc>
        <w:tc>
          <w:tcPr>
            <w:tcW w:w="500" w:type="dxa"/>
            <w:vAlign w:val="bottom"/>
          </w:tcPr>
          <w:p>
            <w:pPr>
              <w:spacing w:after="0"/>
              <w:rPr>
                <w:sz w:val="17"/>
                <w:szCs w:val="17"/>
                <w:color w:val="auto"/>
              </w:rPr>
            </w:pPr>
          </w:p>
        </w:tc>
        <w:tc>
          <w:tcPr>
            <w:tcW w:w="88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(170.7)</w:t>
            </w:r>
          </w:p>
        </w:tc>
        <w:tc>
          <w:tcPr>
            <w:tcW w:w="0" w:type="dxa"/>
            <w:vAlign w:val="bottom"/>
          </w:tcPr>
          <w:p>
            <w:pPr>
              <w:spacing w:after="0"/>
              <w:rPr>
                <w:sz w:val="1"/>
                <w:szCs w:val="1"/>
                <w:color w:val="auto"/>
              </w:rPr>
            </w:pPr>
          </w:p>
        </w:tc>
      </w:tr>
      <w:tr>
        <w:trPr>
          <w:trHeight w:val="203"/>
        </w:trPr>
        <w:tc>
          <w:tcPr>
            <w:tcW w:w="7040" w:type="dxa"/>
            <w:vAlign w:val="bottom"/>
            <w:gridSpan w:val="2"/>
          </w:tcPr>
          <w:p>
            <w:pPr>
              <w:spacing w:after="0" w:line="202" w:lineRule="exact"/>
              <w:rPr>
                <w:sz w:val="20"/>
                <w:szCs w:val="20"/>
                <w:color w:val="auto"/>
              </w:rPr>
            </w:pPr>
            <w:r>
              <w:rPr>
                <w:rFonts w:ascii="Arial" w:cs="Arial" w:eastAsia="Arial" w:hAnsi="Arial"/>
                <w:sz w:val="18"/>
                <w:szCs w:val="18"/>
                <w:color w:val="auto"/>
              </w:rPr>
              <w:t>Proceeds from stock option and purchase plans</w:t>
            </w:r>
          </w:p>
        </w:tc>
        <w:tc>
          <w:tcPr>
            <w:tcW w:w="120" w:type="dxa"/>
            <w:vAlign w:val="bottom"/>
            <w:shd w:val="clear" w:color="auto" w:fill="E3F1DA"/>
          </w:tcPr>
          <w:p>
            <w:pPr>
              <w:spacing w:after="0"/>
              <w:rPr>
                <w:sz w:val="17"/>
                <w:szCs w:val="17"/>
                <w:color w:val="auto"/>
              </w:rPr>
            </w:pPr>
          </w:p>
        </w:tc>
        <w:tc>
          <w:tcPr>
            <w:tcW w:w="1340" w:type="dxa"/>
            <w:vAlign w:val="bottom"/>
          </w:tcPr>
          <w:p>
            <w:pPr>
              <w:jc w:val="right"/>
              <w:ind w:right="130"/>
              <w:spacing w:after="0" w:line="202" w:lineRule="exact"/>
              <w:rPr>
                <w:sz w:val="20"/>
                <w:szCs w:val="20"/>
                <w:color w:val="auto"/>
              </w:rPr>
            </w:pPr>
            <w:r>
              <w:rPr>
                <w:rFonts w:ascii="Arial" w:cs="Arial" w:eastAsia="Arial" w:hAnsi="Arial"/>
                <w:sz w:val="18"/>
                <w:szCs w:val="18"/>
                <w:color w:val="86B6A5"/>
              </w:rPr>
              <w:t>27.1</w:t>
            </w:r>
          </w:p>
        </w:tc>
        <w:tc>
          <w:tcPr>
            <w:tcW w:w="380" w:type="dxa"/>
            <w:vAlign w:val="bottom"/>
          </w:tcPr>
          <w:p>
            <w:pPr>
              <w:spacing w:after="0"/>
              <w:rPr>
                <w:sz w:val="17"/>
                <w:szCs w:val="17"/>
                <w:color w:val="auto"/>
              </w:rPr>
            </w:pPr>
          </w:p>
        </w:tc>
        <w:tc>
          <w:tcPr>
            <w:tcW w:w="1000" w:type="dxa"/>
            <w:vAlign w:val="bottom"/>
          </w:tcPr>
          <w:p>
            <w:pPr>
              <w:jc w:val="right"/>
              <w:ind w:right="50"/>
              <w:spacing w:after="0" w:line="202" w:lineRule="exact"/>
              <w:rPr>
                <w:sz w:val="20"/>
                <w:szCs w:val="20"/>
                <w:color w:val="auto"/>
              </w:rPr>
            </w:pPr>
            <w:r>
              <w:rPr>
                <w:rFonts w:ascii="Arial" w:cs="Arial" w:eastAsia="Arial" w:hAnsi="Arial"/>
                <w:sz w:val="18"/>
                <w:szCs w:val="18"/>
                <w:color w:val="auto"/>
              </w:rPr>
              <w:t>14.2</w:t>
            </w:r>
          </w:p>
        </w:tc>
        <w:tc>
          <w:tcPr>
            <w:tcW w:w="50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12.2</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40" w:type="dxa"/>
            <w:vAlign w:val="bottom"/>
            <w:gridSpan w:val="2"/>
          </w:tcPr>
          <w:p>
            <w:pPr>
              <w:spacing w:after="0" w:line="202" w:lineRule="exact"/>
              <w:rPr>
                <w:sz w:val="20"/>
                <w:szCs w:val="20"/>
                <w:color w:val="auto"/>
              </w:rPr>
            </w:pPr>
            <w:r>
              <w:rPr>
                <w:rFonts w:ascii="Arial" w:cs="Arial" w:eastAsia="Arial" w:hAnsi="Arial"/>
                <w:sz w:val="18"/>
                <w:szCs w:val="18"/>
                <w:color w:val="auto"/>
              </w:rPr>
              <w:t>Excess tax benefit on exercise of stock options</w:t>
            </w:r>
          </w:p>
        </w:tc>
        <w:tc>
          <w:tcPr>
            <w:tcW w:w="120" w:type="dxa"/>
            <w:vAlign w:val="bottom"/>
            <w:shd w:val="clear" w:color="auto" w:fill="E3F1DA"/>
          </w:tcPr>
          <w:p>
            <w:pPr>
              <w:spacing w:after="0"/>
              <w:rPr>
                <w:sz w:val="17"/>
                <w:szCs w:val="17"/>
                <w:color w:val="auto"/>
              </w:rPr>
            </w:pPr>
          </w:p>
        </w:tc>
        <w:tc>
          <w:tcPr>
            <w:tcW w:w="1340" w:type="dxa"/>
            <w:vAlign w:val="bottom"/>
          </w:tcPr>
          <w:p>
            <w:pPr>
              <w:jc w:val="right"/>
              <w:ind w:right="130"/>
              <w:spacing w:after="0" w:line="202" w:lineRule="exact"/>
              <w:rPr>
                <w:sz w:val="20"/>
                <w:szCs w:val="20"/>
                <w:color w:val="auto"/>
              </w:rPr>
            </w:pPr>
            <w:r>
              <w:rPr>
                <w:rFonts w:ascii="Arial" w:cs="Arial" w:eastAsia="Arial" w:hAnsi="Arial"/>
                <w:sz w:val="18"/>
                <w:szCs w:val="18"/>
                <w:color w:val="86B6A5"/>
              </w:rPr>
              <w:t>1.3</w:t>
            </w:r>
          </w:p>
        </w:tc>
        <w:tc>
          <w:tcPr>
            <w:tcW w:w="380" w:type="dxa"/>
            <w:vAlign w:val="bottom"/>
          </w:tcPr>
          <w:p>
            <w:pPr>
              <w:spacing w:after="0"/>
              <w:rPr>
                <w:sz w:val="17"/>
                <w:szCs w:val="17"/>
                <w:color w:val="auto"/>
              </w:rPr>
            </w:pPr>
          </w:p>
        </w:tc>
        <w:tc>
          <w:tcPr>
            <w:tcW w:w="1000" w:type="dxa"/>
            <w:vAlign w:val="bottom"/>
          </w:tcPr>
          <w:p>
            <w:pPr>
              <w:jc w:val="right"/>
              <w:ind w:right="50"/>
              <w:spacing w:after="0" w:line="202" w:lineRule="exact"/>
              <w:rPr>
                <w:sz w:val="20"/>
                <w:szCs w:val="20"/>
                <w:color w:val="auto"/>
              </w:rPr>
            </w:pPr>
            <w:r>
              <w:rPr>
                <w:rFonts w:ascii="Arial" w:cs="Arial" w:eastAsia="Arial" w:hAnsi="Arial"/>
                <w:sz w:val="18"/>
                <w:szCs w:val="18"/>
                <w:color w:val="auto"/>
              </w:rPr>
              <w:t>0.5</w:t>
            </w:r>
          </w:p>
        </w:tc>
        <w:tc>
          <w:tcPr>
            <w:tcW w:w="500" w:type="dxa"/>
            <w:vAlign w:val="bottom"/>
          </w:tcPr>
          <w:p>
            <w:pPr>
              <w:spacing w:after="0"/>
              <w:rPr>
                <w:sz w:val="17"/>
                <w:szCs w:val="17"/>
                <w:color w:val="auto"/>
              </w:rPr>
            </w:pPr>
          </w:p>
        </w:tc>
        <w:tc>
          <w:tcPr>
            <w:tcW w:w="8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0.5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40" w:type="dxa"/>
            <w:vAlign w:val="bottom"/>
            <w:gridSpan w:val="2"/>
          </w:tcPr>
          <w:p>
            <w:pPr>
              <w:spacing w:after="0" w:line="202" w:lineRule="exact"/>
              <w:rPr>
                <w:sz w:val="20"/>
                <w:szCs w:val="20"/>
                <w:color w:val="auto"/>
              </w:rPr>
            </w:pPr>
            <w:r>
              <w:rPr>
                <w:rFonts w:ascii="Arial" w:cs="Arial" w:eastAsia="Arial" w:hAnsi="Arial"/>
                <w:sz w:val="18"/>
                <w:szCs w:val="18"/>
                <w:color w:val="auto"/>
              </w:rPr>
              <w:t>Repurchases of common stock</w:t>
            </w:r>
          </w:p>
        </w:tc>
        <w:tc>
          <w:tcPr>
            <w:tcW w:w="120" w:type="dxa"/>
            <w:vAlign w:val="bottom"/>
            <w:shd w:val="clear" w:color="auto" w:fill="E3F1DA"/>
          </w:tcPr>
          <w:p>
            <w:pPr>
              <w:spacing w:after="0"/>
              <w:rPr>
                <w:sz w:val="17"/>
                <w:szCs w:val="17"/>
                <w:color w:val="auto"/>
              </w:rPr>
            </w:pPr>
          </w:p>
        </w:tc>
        <w:tc>
          <w:tcPr>
            <w:tcW w:w="1340" w:type="dxa"/>
            <w:vAlign w:val="bottom"/>
          </w:tcPr>
          <w:p>
            <w:pPr>
              <w:jc w:val="right"/>
              <w:ind w:right="70"/>
              <w:spacing w:after="0" w:line="202" w:lineRule="exact"/>
              <w:rPr>
                <w:sz w:val="20"/>
                <w:szCs w:val="20"/>
                <w:color w:val="auto"/>
              </w:rPr>
            </w:pPr>
            <w:r>
              <w:rPr>
                <w:rFonts w:ascii="Arial" w:cs="Arial" w:eastAsia="Arial" w:hAnsi="Arial"/>
                <w:sz w:val="18"/>
                <w:szCs w:val="18"/>
                <w:color w:val="86B6A5"/>
              </w:rPr>
              <w:t>(34.8)</w:t>
            </w:r>
          </w:p>
        </w:tc>
        <w:tc>
          <w:tcPr>
            <w:tcW w:w="380" w:type="dxa"/>
            <w:vAlign w:val="bottom"/>
          </w:tcPr>
          <w:p>
            <w:pPr>
              <w:spacing w:after="0"/>
              <w:rPr>
                <w:sz w:val="17"/>
                <w:szCs w:val="17"/>
                <w:color w:val="auto"/>
              </w:rPr>
            </w:pPr>
          </w:p>
        </w:tc>
        <w:tc>
          <w:tcPr>
            <w:tcW w:w="1000" w:type="dxa"/>
            <w:vAlign w:val="bottom"/>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500" w:type="dxa"/>
            <w:vAlign w:val="bottom"/>
          </w:tcPr>
          <w:p>
            <w:pPr>
              <w:spacing w:after="0"/>
              <w:rPr>
                <w:sz w:val="17"/>
                <w:szCs w:val="17"/>
                <w:color w:val="auto"/>
              </w:rPr>
            </w:pPr>
          </w:p>
        </w:tc>
        <w:tc>
          <w:tcPr>
            <w:tcW w:w="88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(125.4)</w:t>
            </w:r>
          </w:p>
        </w:tc>
        <w:tc>
          <w:tcPr>
            <w:tcW w:w="0" w:type="dxa"/>
            <w:vAlign w:val="bottom"/>
          </w:tcPr>
          <w:p>
            <w:pPr>
              <w:spacing w:after="0"/>
              <w:rPr>
                <w:sz w:val="1"/>
                <w:szCs w:val="1"/>
                <w:color w:val="auto"/>
              </w:rPr>
            </w:pPr>
          </w:p>
        </w:tc>
      </w:tr>
      <w:tr>
        <w:trPr>
          <w:trHeight w:val="203"/>
        </w:trPr>
        <w:tc>
          <w:tcPr>
            <w:tcW w:w="7040" w:type="dxa"/>
            <w:vAlign w:val="bottom"/>
            <w:gridSpan w:val="2"/>
          </w:tcPr>
          <w:p>
            <w:pPr>
              <w:spacing w:after="0" w:line="202" w:lineRule="exact"/>
              <w:rPr>
                <w:sz w:val="20"/>
                <w:szCs w:val="20"/>
                <w:color w:val="auto"/>
              </w:rPr>
            </w:pPr>
            <w:r>
              <w:rPr>
                <w:rFonts w:ascii="Arial" w:cs="Arial" w:eastAsia="Arial" w:hAnsi="Arial"/>
                <w:sz w:val="18"/>
                <w:szCs w:val="18"/>
                <w:color w:val="auto"/>
              </w:rPr>
              <w:t>Dividends paid</w:t>
            </w:r>
          </w:p>
        </w:tc>
        <w:tc>
          <w:tcPr>
            <w:tcW w:w="120" w:type="dxa"/>
            <w:vAlign w:val="bottom"/>
            <w:shd w:val="clear" w:color="auto" w:fill="E3F1DA"/>
          </w:tcPr>
          <w:p>
            <w:pPr>
              <w:spacing w:after="0"/>
              <w:rPr>
                <w:sz w:val="17"/>
                <w:szCs w:val="17"/>
                <w:color w:val="auto"/>
              </w:rPr>
            </w:pPr>
          </w:p>
        </w:tc>
        <w:tc>
          <w:tcPr>
            <w:tcW w:w="1340" w:type="dxa"/>
            <w:vAlign w:val="bottom"/>
          </w:tcPr>
          <w:p>
            <w:pPr>
              <w:jc w:val="right"/>
              <w:ind w:right="70"/>
              <w:spacing w:after="0" w:line="202" w:lineRule="exact"/>
              <w:rPr>
                <w:sz w:val="20"/>
                <w:szCs w:val="20"/>
                <w:color w:val="auto"/>
              </w:rPr>
            </w:pPr>
            <w:r>
              <w:rPr>
                <w:rFonts w:ascii="Arial" w:cs="Arial" w:eastAsia="Arial" w:hAnsi="Arial"/>
                <w:sz w:val="18"/>
                <w:szCs w:val="18"/>
                <w:color w:val="86B6A5"/>
              </w:rPr>
              <w:t>(60.8)</w:t>
            </w:r>
          </w:p>
        </w:tc>
        <w:tc>
          <w:tcPr>
            <w:tcW w:w="38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(58.0)</w:t>
            </w:r>
          </w:p>
        </w:tc>
        <w:tc>
          <w:tcPr>
            <w:tcW w:w="500" w:type="dxa"/>
            <w:vAlign w:val="bottom"/>
          </w:tcPr>
          <w:p>
            <w:pPr>
              <w:spacing w:after="0"/>
              <w:rPr>
                <w:sz w:val="17"/>
                <w:szCs w:val="17"/>
                <w:color w:val="auto"/>
              </w:rPr>
            </w:pPr>
          </w:p>
        </w:tc>
        <w:tc>
          <w:tcPr>
            <w:tcW w:w="88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(58.1)</w:t>
            </w:r>
          </w:p>
        </w:tc>
        <w:tc>
          <w:tcPr>
            <w:tcW w:w="0" w:type="dxa"/>
            <w:vAlign w:val="bottom"/>
          </w:tcPr>
          <w:p>
            <w:pPr>
              <w:spacing w:after="0"/>
              <w:rPr>
                <w:sz w:val="1"/>
                <w:szCs w:val="1"/>
                <w:color w:val="auto"/>
              </w:rPr>
            </w:pPr>
          </w:p>
        </w:tc>
      </w:tr>
      <w:tr>
        <w:trPr>
          <w:trHeight w:val="196"/>
        </w:trPr>
        <w:tc>
          <w:tcPr>
            <w:tcW w:w="7040" w:type="dxa"/>
            <w:vAlign w:val="bottom"/>
            <w:tcBorders>
              <w:top w:val="single" w:sz="8" w:color="939598"/>
            </w:tcBorders>
            <w:gridSpan w:val="2"/>
          </w:tcPr>
          <w:p>
            <w:pPr>
              <w:spacing w:after="0" w:line="196" w:lineRule="exact"/>
              <w:rPr>
                <w:sz w:val="20"/>
                <w:szCs w:val="20"/>
                <w:color w:val="auto"/>
              </w:rPr>
            </w:pPr>
            <w:r>
              <w:rPr>
                <w:rFonts w:ascii="Arial" w:cs="Arial" w:eastAsia="Arial" w:hAnsi="Arial"/>
                <w:sz w:val="18"/>
                <w:szCs w:val="18"/>
                <w:color w:val="auto"/>
              </w:rPr>
              <w:t>Cash used in financing activities</w:t>
            </w:r>
          </w:p>
        </w:tc>
        <w:tc>
          <w:tcPr>
            <w:tcW w:w="120" w:type="dxa"/>
            <w:vAlign w:val="bottom"/>
            <w:tcBorders>
              <w:top w:val="single" w:sz="8" w:color="939598"/>
            </w:tcBorders>
            <w:shd w:val="clear" w:color="auto" w:fill="E3F1DA"/>
          </w:tcPr>
          <w:p>
            <w:pPr>
              <w:spacing w:after="0"/>
              <w:rPr>
                <w:sz w:val="17"/>
                <w:szCs w:val="17"/>
                <w:color w:val="auto"/>
              </w:rPr>
            </w:pPr>
          </w:p>
        </w:tc>
        <w:tc>
          <w:tcPr>
            <w:tcW w:w="1340" w:type="dxa"/>
            <w:vAlign w:val="bottom"/>
            <w:tcBorders>
              <w:top w:val="single" w:sz="8" w:color="939598"/>
            </w:tcBorders>
          </w:tcPr>
          <w:p>
            <w:pPr>
              <w:jc w:val="right"/>
              <w:ind w:right="70"/>
              <w:spacing w:after="0" w:line="196" w:lineRule="exact"/>
              <w:rPr>
                <w:sz w:val="20"/>
                <w:szCs w:val="20"/>
                <w:color w:val="auto"/>
              </w:rPr>
            </w:pPr>
            <w:r>
              <w:rPr>
                <w:rFonts w:ascii="Arial" w:cs="Arial" w:eastAsia="Arial" w:hAnsi="Arial"/>
                <w:sz w:val="18"/>
                <w:szCs w:val="18"/>
                <w:color w:val="86B6A5"/>
              </w:rPr>
              <w:t>(82.1)</w:t>
            </w:r>
          </w:p>
        </w:tc>
        <w:tc>
          <w:tcPr>
            <w:tcW w:w="380" w:type="dxa"/>
            <w:vAlign w:val="bottom"/>
            <w:tcBorders>
              <w:top w:val="single" w:sz="8" w:color="939598"/>
            </w:tcBorders>
          </w:tcPr>
          <w:p>
            <w:pPr>
              <w:spacing w:after="0"/>
              <w:rPr>
                <w:sz w:val="17"/>
                <w:szCs w:val="17"/>
                <w:color w:val="auto"/>
              </w:rPr>
            </w:pPr>
          </w:p>
        </w:tc>
        <w:tc>
          <w:tcPr>
            <w:tcW w:w="1000" w:type="dxa"/>
            <w:vAlign w:val="bottom"/>
            <w:tcBorders>
              <w:top w:val="single" w:sz="8" w:color="939598"/>
            </w:tcBorders>
          </w:tcPr>
          <w:p>
            <w:pPr>
              <w:jc w:val="right"/>
              <w:spacing w:after="0" w:line="196" w:lineRule="exact"/>
              <w:rPr>
                <w:sz w:val="20"/>
                <w:szCs w:val="20"/>
                <w:color w:val="auto"/>
              </w:rPr>
            </w:pPr>
            <w:r>
              <w:rPr>
                <w:rFonts w:ascii="Arial" w:cs="Arial" w:eastAsia="Arial" w:hAnsi="Arial"/>
                <w:sz w:val="18"/>
                <w:szCs w:val="18"/>
                <w:color w:val="auto"/>
              </w:rPr>
              <w:t>(270.7)</w:t>
            </w:r>
          </w:p>
        </w:tc>
        <w:tc>
          <w:tcPr>
            <w:tcW w:w="500" w:type="dxa"/>
            <w:vAlign w:val="bottom"/>
            <w:tcBorders>
              <w:top w:val="single" w:sz="8" w:color="939598"/>
            </w:tcBorders>
          </w:tcPr>
          <w:p>
            <w:pPr>
              <w:spacing w:after="0"/>
              <w:rPr>
                <w:sz w:val="17"/>
                <w:szCs w:val="17"/>
                <w:color w:val="auto"/>
              </w:rPr>
            </w:pPr>
          </w:p>
        </w:tc>
        <w:tc>
          <w:tcPr>
            <w:tcW w:w="840" w:type="dxa"/>
            <w:vAlign w:val="bottom"/>
            <w:tcBorders>
              <w:top w:val="single" w:sz="8" w:color="939598"/>
            </w:tcBorders>
            <w:gridSpan w:val="2"/>
          </w:tcPr>
          <w:p>
            <w:pPr>
              <w:jc w:val="right"/>
              <w:ind w:right="20"/>
              <w:spacing w:after="0" w:line="196" w:lineRule="exact"/>
              <w:rPr>
                <w:sz w:val="20"/>
                <w:szCs w:val="20"/>
                <w:color w:val="auto"/>
              </w:rPr>
            </w:pPr>
            <w:r>
              <w:rPr>
                <w:rFonts w:ascii="Arial" w:cs="Arial" w:eastAsia="Arial" w:hAnsi="Arial"/>
                <w:sz w:val="18"/>
                <w:szCs w:val="18"/>
                <w:color w:val="auto"/>
              </w:rPr>
              <w:t>(91.8</w:t>
            </w:r>
          </w:p>
        </w:tc>
        <w:tc>
          <w:tcPr>
            <w:tcW w:w="40" w:type="dxa"/>
            <w:vAlign w:val="bottom"/>
          </w:tcPr>
          <w:p>
            <w:pPr>
              <w:jc w:val="right"/>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203"/>
        </w:trPr>
        <w:tc>
          <w:tcPr>
            <w:tcW w:w="7040" w:type="dxa"/>
            <w:vAlign w:val="bottom"/>
            <w:gridSpan w:val="2"/>
          </w:tcPr>
          <w:p>
            <w:pPr>
              <w:spacing w:after="0" w:line="203" w:lineRule="exact"/>
              <w:rPr>
                <w:sz w:val="20"/>
                <w:szCs w:val="20"/>
                <w:color w:val="auto"/>
              </w:rPr>
            </w:pPr>
            <w:r>
              <w:rPr>
                <w:rFonts w:ascii="Arial" w:cs="Arial" w:eastAsia="Arial" w:hAnsi="Arial"/>
                <w:sz w:val="18"/>
                <w:szCs w:val="18"/>
                <w:color w:val="auto"/>
              </w:rPr>
              <w:t>Effect of exchange rate changes on cash</w:t>
            </w:r>
          </w:p>
        </w:tc>
        <w:tc>
          <w:tcPr>
            <w:tcW w:w="120" w:type="dxa"/>
            <w:vAlign w:val="bottom"/>
            <w:shd w:val="clear" w:color="auto" w:fill="E3F1DA"/>
          </w:tcPr>
          <w:p>
            <w:pPr>
              <w:spacing w:after="0"/>
              <w:rPr>
                <w:sz w:val="17"/>
                <w:szCs w:val="17"/>
                <w:color w:val="auto"/>
              </w:rPr>
            </w:pPr>
          </w:p>
        </w:tc>
        <w:tc>
          <w:tcPr>
            <w:tcW w:w="1340" w:type="dxa"/>
            <w:vAlign w:val="bottom"/>
          </w:tcPr>
          <w:p>
            <w:pPr>
              <w:jc w:val="right"/>
              <w:ind w:right="70"/>
              <w:spacing w:after="0" w:line="203" w:lineRule="exact"/>
              <w:rPr>
                <w:sz w:val="20"/>
                <w:szCs w:val="20"/>
                <w:color w:val="auto"/>
              </w:rPr>
            </w:pPr>
            <w:r>
              <w:rPr>
                <w:rFonts w:ascii="Arial" w:cs="Arial" w:eastAsia="Arial" w:hAnsi="Arial"/>
                <w:sz w:val="18"/>
                <w:szCs w:val="18"/>
                <w:color w:val="86B6A5"/>
              </w:rPr>
              <w:t>(18.4)</w:t>
            </w:r>
          </w:p>
        </w:tc>
        <w:tc>
          <w:tcPr>
            <w:tcW w:w="380" w:type="dxa"/>
            <w:vAlign w:val="bottom"/>
          </w:tcPr>
          <w:p>
            <w:pPr>
              <w:spacing w:after="0"/>
              <w:rPr>
                <w:sz w:val="17"/>
                <w:szCs w:val="17"/>
                <w:color w:val="auto"/>
              </w:rPr>
            </w:pPr>
          </w:p>
        </w:tc>
        <w:tc>
          <w:tcPr>
            <w:tcW w:w="1000" w:type="dxa"/>
            <w:vAlign w:val="bottom"/>
          </w:tcPr>
          <w:p>
            <w:pPr>
              <w:jc w:val="right"/>
              <w:ind w:right="50"/>
              <w:spacing w:after="0" w:line="203" w:lineRule="exact"/>
              <w:rPr>
                <w:sz w:val="20"/>
                <w:szCs w:val="20"/>
                <w:color w:val="auto"/>
              </w:rPr>
            </w:pPr>
            <w:r>
              <w:rPr>
                <w:rFonts w:ascii="Arial" w:cs="Arial" w:eastAsia="Arial" w:hAnsi="Arial"/>
                <w:sz w:val="18"/>
                <w:szCs w:val="18"/>
                <w:color w:val="auto"/>
              </w:rPr>
              <w:t>36.8</w:t>
            </w:r>
          </w:p>
        </w:tc>
        <w:tc>
          <w:tcPr>
            <w:tcW w:w="500" w:type="dxa"/>
            <w:vAlign w:val="bottom"/>
          </w:tcPr>
          <w:p>
            <w:pPr>
              <w:spacing w:after="0"/>
              <w:rPr>
                <w:sz w:val="17"/>
                <w:szCs w:val="17"/>
                <w:color w:val="auto"/>
              </w:rPr>
            </w:pPr>
          </w:p>
        </w:tc>
        <w:tc>
          <w:tcPr>
            <w:tcW w:w="880" w:type="dxa"/>
            <w:vAlign w:val="bottom"/>
            <w:gridSpan w:val="3"/>
          </w:tcPr>
          <w:p>
            <w:pPr>
              <w:jc w:val="right"/>
              <w:spacing w:after="0" w:line="203" w:lineRule="exact"/>
              <w:rPr>
                <w:sz w:val="20"/>
                <w:szCs w:val="20"/>
                <w:color w:val="auto"/>
              </w:rPr>
            </w:pPr>
            <w:r>
              <w:rPr>
                <w:rFonts w:ascii="Arial" w:cs="Arial" w:eastAsia="Arial" w:hAnsi="Arial"/>
                <w:sz w:val="18"/>
                <w:szCs w:val="18"/>
                <w:color w:val="auto"/>
              </w:rPr>
              <w:t>(34.5)</w:t>
            </w:r>
          </w:p>
        </w:tc>
        <w:tc>
          <w:tcPr>
            <w:tcW w:w="0" w:type="dxa"/>
            <w:vAlign w:val="bottom"/>
          </w:tcPr>
          <w:p>
            <w:pPr>
              <w:spacing w:after="0"/>
              <w:rPr>
                <w:sz w:val="1"/>
                <w:szCs w:val="1"/>
                <w:color w:val="auto"/>
              </w:rPr>
            </w:pPr>
          </w:p>
        </w:tc>
      </w:tr>
      <w:tr>
        <w:trPr>
          <w:trHeight w:val="195"/>
        </w:trPr>
        <w:tc>
          <w:tcPr>
            <w:tcW w:w="7040" w:type="dxa"/>
            <w:vAlign w:val="bottom"/>
            <w:tcBorders>
              <w:top w:val="single" w:sz="8" w:color="939598"/>
            </w:tcBorders>
            <w:gridSpan w:val="2"/>
          </w:tcPr>
          <w:p>
            <w:pPr>
              <w:spacing w:after="0" w:line="195" w:lineRule="exact"/>
              <w:rPr>
                <w:sz w:val="20"/>
                <w:szCs w:val="20"/>
                <w:color w:val="auto"/>
              </w:rPr>
            </w:pPr>
            <w:r>
              <w:rPr>
                <w:rFonts w:ascii="Arial" w:cs="Arial" w:eastAsia="Arial" w:hAnsi="Arial"/>
                <w:sz w:val="18"/>
                <w:szCs w:val="18"/>
                <w:color w:val="auto"/>
              </w:rPr>
              <w:t>Net (decrease) increase in cash and cash equivalents</w:t>
            </w:r>
          </w:p>
        </w:tc>
        <w:tc>
          <w:tcPr>
            <w:tcW w:w="120" w:type="dxa"/>
            <w:vAlign w:val="bottom"/>
            <w:tcBorders>
              <w:top w:val="single" w:sz="8" w:color="939598"/>
            </w:tcBorders>
            <w:shd w:val="clear" w:color="auto" w:fill="E3F1DA"/>
          </w:tcPr>
          <w:p>
            <w:pPr>
              <w:spacing w:after="0"/>
              <w:rPr>
                <w:sz w:val="16"/>
                <w:szCs w:val="16"/>
                <w:color w:val="auto"/>
              </w:rPr>
            </w:pPr>
          </w:p>
        </w:tc>
        <w:tc>
          <w:tcPr>
            <w:tcW w:w="1340" w:type="dxa"/>
            <w:vAlign w:val="bottom"/>
            <w:tcBorders>
              <w:top w:val="single" w:sz="8" w:color="939598"/>
            </w:tcBorders>
          </w:tcPr>
          <w:p>
            <w:pPr>
              <w:jc w:val="right"/>
              <w:ind w:right="70"/>
              <w:spacing w:after="0" w:line="195" w:lineRule="exact"/>
              <w:rPr>
                <w:sz w:val="20"/>
                <w:szCs w:val="20"/>
                <w:color w:val="auto"/>
              </w:rPr>
            </w:pPr>
            <w:r>
              <w:rPr>
                <w:rFonts w:ascii="Arial" w:cs="Arial" w:eastAsia="Arial" w:hAnsi="Arial"/>
                <w:sz w:val="18"/>
                <w:szCs w:val="18"/>
                <w:color w:val="86B6A5"/>
              </w:rPr>
              <w:t>(242.0)</w:t>
            </w:r>
          </w:p>
        </w:tc>
        <w:tc>
          <w:tcPr>
            <w:tcW w:w="380" w:type="dxa"/>
            <w:vAlign w:val="bottom"/>
            <w:tcBorders>
              <w:top w:val="single" w:sz="8" w:color="939598"/>
            </w:tcBorders>
          </w:tcPr>
          <w:p>
            <w:pPr>
              <w:spacing w:after="0"/>
              <w:rPr>
                <w:sz w:val="16"/>
                <w:szCs w:val="16"/>
                <w:color w:val="auto"/>
              </w:rPr>
            </w:pPr>
          </w:p>
        </w:tc>
        <w:tc>
          <w:tcPr>
            <w:tcW w:w="1000" w:type="dxa"/>
            <w:vAlign w:val="bottom"/>
            <w:tcBorders>
              <w:top w:val="single" w:sz="8" w:color="939598"/>
            </w:tcBorders>
          </w:tcPr>
          <w:p>
            <w:pPr>
              <w:jc w:val="right"/>
              <w:ind w:right="50"/>
              <w:spacing w:after="0" w:line="195" w:lineRule="exact"/>
              <w:rPr>
                <w:sz w:val="20"/>
                <w:szCs w:val="20"/>
                <w:color w:val="auto"/>
              </w:rPr>
            </w:pPr>
            <w:r>
              <w:rPr>
                <w:rFonts w:ascii="Arial" w:cs="Arial" w:eastAsia="Arial" w:hAnsi="Arial"/>
                <w:sz w:val="18"/>
                <w:szCs w:val="18"/>
                <w:color w:val="auto"/>
              </w:rPr>
              <w:t>140.6</w:t>
            </w:r>
          </w:p>
        </w:tc>
        <w:tc>
          <w:tcPr>
            <w:tcW w:w="500" w:type="dxa"/>
            <w:vAlign w:val="bottom"/>
            <w:tcBorders>
              <w:top w:val="single" w:sz="8" w:color="939598"/>
            </w:tcBorders>
          </w:tcPr>
          <w:p>
            <w:pPr>
              <w:spacing w:after="0"/>
              <w:rPr>
                <w:sz w:val="16"/>
                <w:szCs w:val="16"/>
                <w:color w:val="auto"/>
              </w:rPr>
            </w:pPr>
          </w:p>
        </w:tc>
        <w:tc>
          <w:tcPr>
            <w:tcW w:w="840" w:type="dxa"/>
            <w:vAlign w:val="bottom"/>
            <w:tcBorders>
              <w:top w:val="single" w:sz="8" w:color="939598"/>
            </w:tcBorders>
            <w:gridSpan w:val="2"/>
          </w:tcPr>
          <w:p>
            <w:pPr>
              <w:jc w:val="right"/>
              <w:ind w:right="20"/>
              <w:spacing w:after="0" w:line="195" w:lineRule="exact"/>
              <w:rPr>
                <w:sz w:val="20"/>
                <w:szCs w:val="20"/>
                <w:color w:val="auto"/>
              </w:rPr>
            </w:pPr>
            <w:r>
              <w:rPr>
                <w:rFonts w:ascii="Arial" w:cs="Arial" w:eastAsia="Arial" w:hAnsi="Arial"/>
                <w:sz w:val="18"/>
                <w:szCs w:val="18"/>
                <w:color w:val="auto"/>
              </w:rPr>
              <w:t>336.5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040" w:type="dxa"/>
            <w:vAlign w:val="bottom"/>
            <w:tcBorders>
              <w:bottom w:val="single" w:sz="8" w:color="939598"/>
            </w:tcBorders>
            <w:gridSpan w:val="2"/>
          </w:tcPr>
          <w:p>
            <w:pPr>
              <w:spacing w:after="0" w:line="203" w:lineRule="exact"/>
              <w:rPr>
                <w:sz w:val="20"/>
                <w:szCs w:val="20"/>
                <w:color w:val="auto"/>
              </w:rPr>
            </w:pPr>
            <w:r>
              <w:rPr>
                <w:rFonts w:ascii="Arial" w:cs="Arial" w:eastAsia="Arial" w:hAnsi="Arial"/>
                <w:sz w:val="18"/>
                <w:szCs w:val="18"/>
                <w:color w:val="auto"/>
              </w:rPr>
              <w:t>Cash and cash equivalents, beginning of year</w:t>
            </w:r>
          </w:p>
        </w:tc>
        <w:tc>
          <w:tcPr>
            <w:tcW w:w="120" w:type="dxa"/>
            <w:vAlign w:val="bottom"/>
            <w:tcBorders>
              <w:bottom w:val="single" w:sz="8" w:color="939598"/>
            </w:tcBorders>
            <w:shd w:val="clear" w:color="auto" w:fill="E3F1DA"/>
          </w:tcPr>
          <w:p>
            <w:pPr>
              <w:spacing w:after="0"/>
              <w:rPr>
                <w:sz w:val="17"/>
                <w:szCs w:val="17"/>
                <w:color w:val="auto"/>
              </w:rPr>
            </w:pPr>
          </w:p>
        </w:tc>
        <w:tc>
          <w:tcPr>
            <w:tcW w:w="1340" w:type="dxa"/>
            <w:vAlign w:val="bottom"/>
            <w:tcBorders>
              <w:bottom w:val="single" w:sz="8" w:color="939598"/>
            </w:tcBorders>
          </w:tcPr>
          <w:p>
            <w:pPr>
              <w:jc w:val="right"/>
              <w:ind w:right="130"/>
              <w:spacing w:after="0" w:line="203" w:lineRule="exact"/>
              <w:rPr>
                <w:sz w:val="20"/>
                <w:szCs w:val="20"/>
                <w:color w:val="auto"/>
              </w:rPr>
            </w:pPr>
            <w:r>
              <w:rPr>
                <w:rFonts w:ascii="Arial" w:cs="Arial" w:eastAsia="Arial" w:hAnsi="Arial"/>
                <w:sz w:val="18"/>
                <w:szCs w:val="18"/>
                <w:color w:val="86B6A5"/>
              </w:rPr>
              <w:t>1,014.6</w:t>
            </w:r>
          </w:p>
        </w:tc>
        <w:tc>
          <w:tcPr>
            <w:tcW w:w="380" w:type="dxa"/>
            <w:vAlign w:val="bottom"/>
            <w:tcBorders>
              <w:bottom w:val="single" w:sz="8" w:color="939598"/>
            </w:tcBorders>
          </w:tcPr>
          <w:p>
            <w:pPr>
              <w:spacing w:after="0"/>
              <w:rPr>
                <w:sz w:val="17"/>
                <w:szCs w:val="17"/>
                <w:color w:val="auto"/>
              </w:rPr>
            </w:pPr>
          </w:p>
        </w:tc>
        <w:tc>
          <w:tcPr>
            <w:tcW w:w="1000" w:type="dxa"/>
            <w:vAlign w:val="bottom"/>
            <w:tcBorders>
              <w:bottom w:val="single" w:sz="8" w:color="939598"/>
            </w:tcBorders>
          </w:tcPr>
          <w:p>
            <w:pPr>
              <w:jc w:val="right"/>
              <w:ind w:right="50"/>
              <w:spacing w:after="0" w:line="203" w:lineRule="exact"/>
              <w:rPr>
                <w:sz w:val="20"/>
                <w:szCs w:val="20"/>
                <w:color w:val="auto"/>
              </w:rPr>
            </w:pPr>
            <w:r>
              <w:rPr>
                <w:rFonts w:ascii="Arial" w:cs="Arial" w:eastAsia="Arial" w:hAnsi="Arial"/>
                <w:sz w:val="18"/>
                <w:szCs w:val="18"/>
                <w:color w:val="auto"/>
              </w:rPr>
              <w:t>874.0</w:t>
            </w:r>
          </w:p>
        </w:tc>
        <w:tc>
          <w:tcPr>
            <w:tcW w:w="500" w:type="dxa"/>
            <w:vAlign w:val="bottom"/>
            <w:tcBorders>
              <w:bottom w:val="single" w:sz="8" w:color="939598"/>
            </w:tcBorders>
          </w:tcPr>
          <w:p>
            <w:pPr>
              <w:spacing w:after="0"/>
              <w:rPr>
                <w:sz w:val="17"/>
                <w:szCs w:val="17"/>
                <w:color w:val="auto"/>
              </w:rPr>
            </w:pPr>
          </w:p>
        </w:tc>
        <w:tc>
          <w:tcPr>
            <w:tcW w:w="840" w:type="dxa"/>
            <w:vAlign w:val="bottom"/>
            <w:tcBorders>
              <w:bottom w:val="single" w:sz="8" w:color="939598"/>
            </w:tcBorders>
            <w:gridSpan w:val="2"/>
          </w:tcPr>
          <w:p>
            <w:pPr>
              <w:jc w:val="right"/>
              <w:ind w:right="20"/>
              <w:spacing w:after="0" w:line="203" w:lineRule="exact"/>
              <w:rPr>
                <w:sz w:val="20"/>
                <w:szCs w:val="20"/>
                <w:color w:val="auto"/>
              </w:rPr>
            </w:pPr>
            <w:r>
              <w:rPr>
                <w:rFonts w:ascii="Arial" w:cs="Arial" w:eastAsia="Arial" w:hAnsi="Arial"/>
                <w:sz w:val="18"/>
                <w:szCs w:val="18"/>
                <w:color w:val="auto"/>
              </w:rPr>
              <w:t>537.5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40" w:type="dxa"/>
            <w:vAlign w:val="bottom"/>
            <w:gridSpan w:val="2"/>
          </w:tcPr>
          <w:p>
            <w:pPr>
              <w:spacing w:after="0" w:line="196" w:lineRule="exact"/>
              <w:rPr>
                <w:sz w:val="20"/>
                <w:szCs w:val="20"/>
                <w:color w:val="auto"/>
              </w:rPr>
            </w:pPr>
            <w:r>
              <w:rPr>
                <w:rFonts w:ascii="Arial" w:cs="Arial" w:eastAsia="Arial" w:hAnsi="Arial"/>
                <w:sz w:val="18"/>
                <w:szCs w:val="18"/>
                <w:color w:val="auto"/>
              </w:rPr>
              <w:t>Cash and cash equivalents, end of year</w:t>
            </w:r>
          </w:p>
        </w:tc>
        <w:tc>
          <w:tcPr>
            <w:tcW w:w="120" w:type="dxa"/>
            <w:vAlign w:val="bottom"/>
            <w:shd w:val="clear" w:color="auto" w:fill="E3F1DA"/>
          </w:tcPr>
          <w:p>
            <w:pPr>
              <w:jc w:val="right"/>
              <w:spacing w:after="0" w:line="196" w:lineRule="exact"/>
              <w:rPr>
                <w:sz w:val="20"/>
                <w:szCs w:val="20"/>
                <w:color w:val="auto"/>
              </w:rPr>
            </w:pPr>
            <w:r>
              <w:rPr>
                <w:rFonts w:ascii="Arial" w:cs="Arial" w:eastAsia="Arial" w:hAnsi="Arial"/>
                <w:sz w:val="18"/>
                <w:szCs w:val="18"/>
                <w:color w:val="86B6A5"/>
                <w:w w:val="79"/>
              </w:rPr>
              <w:t>$</w:t>
            </w:r>
          </w:p>
        </w:tc>
        <w:tc>
          <w:tcPr>
            <w:tcW w:w="1340" w:type="dxa"/>
            <w:vAlign w:val="bottom"/>
          </w:tcPr>
          <w:p>
            <w:pPr>
              <w:jc w:val="right"/>
              <w:ind w:right="130"/>
              <w:spacing w:after="0" w:line="196" w:lineRule="exact"/>
              <w:rPr>
                <w:sz w:val="20"/>
                <w:szCs w:val="20"/>
                <w:color w:val="auto"/>
              </w:rPr>
            </w:pPr>
            <w:r>
              <w:rPr>
                <w:rFonts w:ascii="Arial" w:cs="Arial" w:eastAsia="Arial" w:hAnsi="Arial"/>
                <w:sz w:val="18"/>
                <w:szCs w:val="18"/>
                <w:color w:val="86B6A5"/>
              </w:rPr>
              <w:t>772.6</w:t>
            </w:r>
          </w:p>
        </w:tc>
        <w:tc>
          <w:tcPr>
            <w:tcW w:w="380" w:type="dxa"/>
            <w:vAlign w:val="bottom"/>
          </w:tcPr>
          <w:p>
            <w:pPr>
              <w:jc w:val="right"/>
              <w:ind w:right="190"/>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Pr>
          <w:p>
            <w:pPr>
              <w:jc w:val="right"/>
              <w:ind w:right="50"/>
              <w:spacing w:after="0" w:line="196" w:lineRule="exact"/>
              <w:rPr>
                <w:sz w:val="20"/>
                <w:szCs w:val="20"/>
                <w:color w:val="auto"/>
              </w:rPr>
            </w:pPr>
            <w:r>
              <w:rPr>
                <w:rFonts w:ascii="Arial" w:cs="Arial" w:eastAsia="Arial" w:hAnsi="Arial"/>
                <w:sz w:val="18"/>
                <w:szCs w:val="18"/>
                <w:color w:val="auto"/>
              </w:rPr>
              <w:t>1,014.6</w:t>
            </w:r>
          </w:p>
        </w:tc>
        <w:tc>
          <w:tcPr>
            <w:tcW w:w="500" w:type="dxa"/>
            <w:vAlign w:val="bottom"/>
          </w:tcPr>
          <w:p>
            <w:pPr>
              <w:jc w:val="right"/>
              <w:ind w:right="230"/>
              <w:spacing w:after="0" w:line="196" w:lineRule="exact"/>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874.0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040" w:type="dxa"/>
            <w:vAlign w:val="bottom"/>
            <w:tcBorders>
              <w:top w:val="single" w:sz="8" w:color="939598"/>
            </w:tcBorders>
            <w:gridSpan w:val="2"/>
          </w:tcPr>
          <w:p>
            <w:pPr>
              <w:spacing w:after="0" w:line="201" w:lineRule="exact"/>
              <w:rPr>
                <w:sz w:val="20"/>
                <w:szCs w:val="20"/>
                <w:color w:val="auto"/>
              </w:rPr>
            </w:pPr>
            <w:r>
              <w:rPr>
                <w:rFonts w:ascii="Arial" w:cs="Arial" w:eastAsia="Arial" w:hAnsi="Arial"/>
                <w:sz w:val="18"/>
                <w:szCs w:val="18"/>
                <w:b w:val="1"/>
                <w:bCs w:val="1"/>
                <w:color w:val="939598"/>
              </w:rPr>
              <w:t>Supplemental Cash Flow Information</w:t>
            </w:r>
          </w:p>
        </w:tc>
        <w:tc>
          <w:tcPr>
            <w:tcW w:w="120" w:type="dxa"/>
            <w:vAlign w:val="bottom"/>
            <w:tcBorders>
              <w:top w:val="single" w:sz="8" w:color="939598"/>
            </w:tcBorders>
            <w:shd w:val="clear" w:color="auto" w:fill="E3F1DA"/>
          </w:tcPr>
          <w:p>
            <w:pPr>
              <w:spacing w:after="0"/>
              <w:rPr>
                <w:sz w:val="17"/>
                <w:szCs w:val="17"/>
                <w:color w:val="auto"/>
              </w:rPr>
            </w:pPr>
          </w:p>
        </w:tc>
        <w:tc>
          <w:tcPr>
            <w:tcW w:w="1340" w:type="dxa"/>
            <w:vAlign w:val="bottom"/>
            <w:tcBorders>
              <w:top w:val="single" w:sz="8" w:color="939598"/>
            </w:tcBorders>
          </w:tcPr>
          <w:p>
            <w:pPr>
              <w:spacing w:after="0"/>
              <w:rPr>
                <w:sz w:val="17"/>
                <w:szCs w:val="17"/>
                <w:color w:val="auto"/>
              </w:rPr>
            </w:pPr>
          </w:p>
        </w:tc>
        <w:tc>
          <w:tcPr>
            <w:tcW w:w="380" w:type="dxa"/>
            <w:vAlign w:val="bottom"/>
            <w:tcBorders>
              <w:top w:val="single" w:sz="8" w:color="939598"/>
            </w:tcBorders>
          </w:tcPr>
          <w:p>
            <w:pPr>
              <w:spacing w:after="0"/>
              <w:rPr>
                <w:sz w:val="17"/>
                <w:szCs w:val="17"/>
                <w:color w:val="auto"/>
              </w:rPr>
            </w:pPr>
          </w:p>
        </w:tc>
        <w:tc>
          <w:tcPr>
            <w:tcW w:w="1000" w:type="dxa"/>
            <w:vAlign w:val="bottom"/>
            <w:tcBorders>
              <w:top w:val="single" w:sz="8" w:color="939598"/>
            </w:tcBorders>
          </w:tcPr>
          <w:p>
            <w:pPr>
              <w:spacing w:after="0"/>
              <w:rPr>
                <w:sz w:val="17"/>
                <w:szCs w:val="17"/>
                <w:color w:val="auto"/>
              </w:rPr>
            </w:pPr>
          </w:p>
        </w:tc>
        <w:tc>
          <w:tcPr>
            <w:tcW w:w="500" w:type="dxa"/>
            <w:vAlign w:val="bottom"/>
            <w:tcBorders>
              <w:top w:val="single" w:sz="8" w:color="939598"/>
            </w:tcBorders>
          </w:tcPr>
          <w:p>
            <w:pPr>
              <w:spacing w:after="0"/>
              <w:rPr>
                <w:sz w:val="17"/>
                <w:szCs w:val="17"/>
                <w:color w:val="auto"/>
              </w:rPr>
            </w:pPr>
          </w:p>
        </w:tc>
        <w:tc>
          <w:tcPr>
            <w:tcW w:w="820" w:type="dxa"/>
            <w:vAlign w:val="bottom"/>
            <w:tcBorders>
              <w:top w:val="single" w:sz="8" w:color="939598"/>
            </w:tcBorders>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040" w:type="dxa"/>
            <w:vAlign w:val="bottom"/>
            <w:tcBorders>
              <w:bottom w:val="single" w:sz="8" w:color="939598"/>
            </w:tcBorders>
            <w:gridSpan w:val="2"/>
          </w:tcPr>
          <w:p>
            <w:pPr>
              <w:spacing w:after="0" w:line="203" w:lineRule="exact"/>
              <w:rPr>
                <w:sz w:val="20"/>
                <w:szCs w:val="20"/>
                <w:color w:val="auto"/>
              </w:rPr>
            </w:pPr>
            <w:r>
              <w:rPr>
                <w:rFonts w:ascii="Arial" w:cs="Arial" w:eastAsia="Arial" w:hAnsi="Arial"/>
                <w:sz w:val="18"/>
                <w:szCs w:val="18"/>
                <w:color w:val="auto"/>
              </w:rPr>
              <w:t>Interest paid</w:t>
            </w:r>
          </w:p>
        </w:tc>
        <w:tc>
          <w:tcPr>
            <w:tcW w:w="120" w:type="dxa"/>
            <w:vAlign w:val="bottom"/>
            <w:tcBorders>
              <w:bottom w:val="single" w:sz="8" w:color="939598"/>
            </w:tcBorders>
            <w:shd w:val="clear" w:color="auto" w:fill="E3F1DA"/>
          </w:tcPr>
          <w:p>
            <w:pPr>
              <w:jc w:val="right"/>
              <w:spacing w:after="0" w:line="203" w:lineRule="exact"/>
              <w:rPr>
                <w:sz w:val="20"/>
                <w:szCs w:val="20"/>
                <w:color w:val="auto"/>
              </w:rPr>
            </w:pPr>
            <w:r>
              <w:rPr>
                <w:rFonts w:ascii="Arial" w:cs="Arial" w:eastAsia="Arial" w:hAnsi="Arial"/>
                <w:sz w:val="18"/>
                <w:szCs w:val="18"/>
                <w:color w:val="86B6A5"/>
                <w:w w:val="79"/>
              </w:rPr>
              <w:t>$</w:t>
            </w:r>
          </w:p>
        </w:tc>
        <w:tc>
          <w:tcPr>
            <w:tcW w:w="1340" w:type="dxa"/>
            <w:vAlign w:val="bottom"/>
            <w:tcBorders>
              <w:bottom w:val="single" w:sz="8" w:color="939598"/>
            </w:tcBorders>
          </w:tcPr>
          <w:p>
            <w:pPr>
              <w:jc w:val="right"/>
              <w:ind w:right="130"/>
              <w:spacing w:after="0" w:line="203" w:lineRule="exact"/>
              <w:rPr>
                <w:sz w:val="20"/>
                <w:szCs w:val="20"/>
                <w:color w:val="auto"/>
              </w:rPr>
            </w:pPr>
            <w:r>
              <w:rPr>
                <w:rFonts w:ascii="Arial" w:cs="Arial" w:eastAsia="Arial" w:hAnsi="Arial"/>
                <w:sz w:val="18"/>
                <w:szCs w:val="18"/>
                <w:color w:val="86B6A5"/>
              </w:rPr>
              <w:t>45.0</w:t>
            </w:r>
          </w:p>
        </w:tc>
        <w:tc>
          <w:tcPr>
            <w:tcW w:w="380" w:type="dxa"/>
            <w:vAlign w:val="bottom"/>
            <w:tcBorders>
              <w:bottom w:val="single" w:sz="8" w:color="939598"/>
            </w:tcBorders>
          </w:tcPr>
          <w:p>
            <w:pPr>
              <w:jc w:val="right"/>
              <w:ind w:right="190"/>
              <w:spacing w:after="0" w:line="203"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939598"/>
            </w:tcBorders>
          </w:tcPr>
          <w:p>
            <w:pPr>
              <w:jc w:val="right"/>
              <w:ind w:right="50"/>
              <w:spacing w:after="0" w:line="203" w:lineRule="exact"/>
              <w:rPr>
                <w:sz w:val="20"/>
                <w:szCs w:val="20"/>
                <w:color w:val="auto"/>
              </w:rPr>
            </w:pPr>
            <w:r>
              <w:rPr>
                <w:rFonts w:ascii="Arial" w:cs="Arial" w:eastAsia="Arial" w:hAnsi="Arial"/>
                <w:sz w:val="18"/>
                <w:szCs w:val="18"/>
                <w:color w:val="auto"/>
              </w:rPr>
              <w:t>62.0</w:t>
            </w:r>
          </w:p>
        </w:tc>
        <w:tc>
          <w:tcPr>
            <w:tcW w:w="500" w:type="dxa"/>
            <w:vAlign w:val="bottom"/>
            <w:tcBorders>
              <w:bottom w:val="single" w:sz="8" w:color="939598"/>
            </w:tcBorders>
          </w:tcPr>
          <w:p>
            <w:pPr>
              <w:jc w:val="right"/>
              <w:ind w:right="230"/>
              <w:spacing w:after="0" w:line="203" w:lineRule="exact"/>
              <w:rPr>
                <w:sz w:val="20"/>
                <w:szCs w:val="20"/>
                <w:color w:val="auto"/>
              </w:rPr>
            </w:pPr>
            <w:r>
              <w:rPr>
                <w:rFonts w:ascii="Arial" w:cs="Arial" w:eastAsia="Arial" w:hAnsi="Arial"/>
                <w:sz w:val="18"/>
                <w:szCs w:val="18"/>
                <w:color w:val="auto"/>
              </w:rPr>
              <w:t>$</w:t>
            </w:r>
          </w:p>
        </w:tc>
        <w:tc>
          <w:tcPr>
            <w:tcW w:w="820" w:type="dxa"/>
            <w:vAlign w:val="bottom"/>
            <w:tcBorders>
              <w:bottom w:val="single" w:sz="8" w:color="939598"/>
            </w:tcBorders>
          </w:tcPr>
          <w:p>
            <w:pPr>
              <w:jc w:val="right"/>
              <w:spacing w:after="0" w:line="203" w:lineRule="exact"/>
              <w:rPr>
                <w:sz w:val="20"/>
                <w:szCs w:val="20"/>
                <w:color w:val="auto"/>
              </w:rPr>
            </w:pPr>
            <w:r>
              <w:rPr>
                <w:rFonts w:ascii="Arial" w:cs="Arial" w:eastAsia="Arial" w:hAnsi="Arial"/>
                <w:sz w:val="18"/>
                <w:szCs w:val="18"/>
                <w:color w:val="auto"/>
              </w:rPr>
              <w:t>64.8</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040" w:type="dxa"/>
            <w:vAlign w:val="bottom"/>
            <w:gridSpan w:val="2"/>
          </w:tcPr>
          <w:p>
            <w:pPr>
              <w:spacing w:after="0" w:line="202" w:lineRule="exact"/>
              <w:rPr>
                <w:sz w:val="20"/>
                <w:szCs w:val="20"/>
                <w:color w:val="auto"/>
              </w:rPr>
            </w:pPr>
            <w:r>
              <w:rPr>
                <w:rFonts w:ascii="Arial" w:cs="Arial" w:eastAsia="Arial" w:hAnsi="Arial"/>
                <w:sz w:val="18"/>
                <w:szCs w:val="18"/>
                <w:color w:val="auto"/>
              </w:rPr>
              <w:t>Income taxes paid</w:t>
            </w:r>
          </w:p>
        </w:tc>
        <w:tc>
          <w:tcPr>
            <w:tcW w:w="120" w:type="dxa"/>
            <w:vAlign w:val="bottom"/>
            <w:shd w:val="clear" w:color="auto" w:fill="E3F1DA"/>
          </w:tcPr>
          <w:p>
            <w:pPr>
              <w:jc w:val="right"/>
              <w:spacing w:after="0" w:line="202" w:lineRule="exact"/>
              <w:rPr>
                <w:sz w:val="20"/>
                <w:szCs w:val="20"/>
                <w:color w:val="auto"/>
              </w:rPr>
            </w:pPr>
            <w:r>
              <w:rPr>
                <w:rFonts w:ascii="Arial" w:cs="Arial" w:eastAsia="Arial" w:hAnsi="Arial"/>
                <w:sz w:val="18"/>
                <w:szCs w:val="18"/>
                <w:color w:val="86B6A5"/>
                <w:w w:val="79"/>
              </w:rPr>
              <w:t>$</w:t>
            </w:r>
          </w:p>
        </w:tc>
        <w:tc>
          <w:tcPr>
            <w:tcW w:w="1340" w:type="dxa"/>
            <w:vAlign w:val="bottom"/>
          </w:tcPr>
          <w:p>
            <w:pPr>
              <w:jc w:val="right"/>
              <w:ind w:right="130"/>
              <w:spacing w:after="0" w:line="202" w:lineRule="exact"/>
              <w:rPr>
                <w:sz w:val="20"/>
                <w:szCs w:val="20"/>
                <w:color w:val="auto"/>
              </w:rPr>
            </w:pPr>
            <w:r>
              <w:rPr>
                <w:rFonts w:ascii="Arial" w:cs="Arial" w:eastAsia="Arial" w:hAnsi="Arial"/>
                <w:sz w:val="18"/>
                <w:szCs w:val="18"/>
                <w:color w:val="86B6A5"/>
              </w:rPr>
              <w:t>78.4</w:t>
            </w:r>
          </w:p>
        </w:tc>
        <w:tc>
          <w:tcPr>
            <w:tcW w:w="380" w:type="dxa"/>
            <w:vAlign w:val="bottom"/>
          </w:tcPr>
          <w:p>
            <w:pPr>
              <w:jc w:val="right"/>
              <w:ind w:right="190"/>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tcPr>
          <w:p>
            <w:pPr>
              <w:jc w:val="right"/>
              <w:ind w:right="50"/>
              <w:spacing w:after="0" w:line="202" w:lineRule="exact"/>
              <w:rPr>
                <w:sz w:val="20"/>
                <w:szCs w:val="20"/>
                <w:color w:val="auto"/>
              </w:rPr>
            </w:pPr>
            <w:r>
              <w:rPr>
                <w:rFonts w:ascii="Arial" w:cs="Arial" w:eastAsia="Arial" w:hAnsi="Arial"/>
                <w:sz w:val="18"/>
                <w:szCs w:val="18"/>
                <w:color w:val="auto"/>
              </w:rPr>
              <w:t>75.2</w:t>
            </w:r>
          </w:p>
        </w:tc>
        <w:tc>
          <w:tcPr>
            <w:tcW w:w="50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293.5</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020" w:type="dxa"/>
            <w:vAlign w:val="bottom"/>
            <w:shd w:val="clear" w:color="auto" w:fill="939598"/>
          </w:tcPr>
          <w:p>
            <w:pPr>
              <w:spacing w:after="0"/>
              <w:rPr>
                <w:sz w:val="2"/>
                <w:szCs w:val="2"/>
                <w:color w:val="auto"/>
              </w:rPr>
            </w:pPr>
          </w:p>
        </w:tc>
        <w:tc>
          <w:tcPr>
            <w:tcW w:w="120" w:type="dxa"/>
            <w:vAlign w:val="bottom"/>
            <w:shd w:val="clear" w:color="auto" w:fill="939598"/>
          </w:tcPr>
          <w:p>
            <w:pPr>
              <w:spacing w:after="0"/>
              <w:rPr>
                <w:sz w:val="2"/>
                <w:szCs w:val="2"/>
                <w:color w:val="auto"/>
              </w:rPr>
            </w:pPr>
          </w:p>
        </w:tc>
        <w:tc>
          <w:tcPr>
            <w:tcW w:w="1340" w:type="dxa"/>
            <w:vAlign w:val="bottom"/>
            <w:shd w:val="clear" w:color="auto" w:fill="939598"/>
          </w:tcPr>
          <w:p>
            <w:pPr>
              <w:spacing w:after="0"/>
              <w:rPr>
                <w:sz w:val="2"/>
                <w:szCs w:val="2"/>
                <w:color w:val="auto"/>
              </w:rPr>
            </w:pPr>
          </w:p>
        </w:tc>
        <w:tc>
          <w:tcPr>
            <w:tcW w:w="380" w:type="dxa"/>
            <w:vAlign w:val="bottom"/>
            <w:shd w:val="clear" w:color="auto" w:fill="939598"/>
          </w:tcPr>
          <w:p>
            <w:pPr>
              <w:spacing w:after="0"/>
              <w:rPr>
                <w:sz w:val="2"/>
                <w:szCs w:val="2"/>
                <w:color w:val="auto"/>
              </w:rPr>
            </w:pPr>
          </w:p>
        </w:tc>
        <w:tc>
          <w:tcPr>
            <w:tcW w:w="1000" w:type="dxa"/>
            <w:vAlign w:val="bottom"/>
            <w:shd w:val="clear" w:color="auto" w:fill="939598"/>
          </w:tcPr>
          <w:p>
            <w:pPr>
              <w:spacing w:after="0"/>
              <w:rPr>
                <w:sz w:val="2"/>
                <w:szCs w:val="2"/>
                <w:color w:val="auto"/>
              </w:rPr>
            </w:pPr>
          </w:p>
        </w:tc>
        <w:tc>
          <w:tcPr>
            <w:tcW w:w="500" w:type="dxa"/>
            <w:vAlign w:val="bottom"/>
            <w:shd w:val="clear" w:color="auto" w:fill="939598"/>
          </w:tcPr>
          <w:p>
            <w:pPr>
              <w:spacing w:after="0"/>
              <w:rPr>
                <w:sz w:val="2"/>
                <w:szCs w:val="2"/>
                <w:color w:val="auto"/>
              </w:rPr>
            </w:pPr>
          </w:p>
        </w:tc>
        <w:tc>
          <w:tcPr>
            <w:tcW w:w="820" w:type="dxa"/>
            <w:vAlign w:val="bottom"/>
            <w:shd w:val="clear" w:color="auto" w:fill="939598"/>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4541520</wp:posOffset>
            </wp:positionH>
            <wp:positionV relativeFrom="paragraph">
              <wp:posOffset>-4741545</wp:posOffset>
            </wp:positionV>
            <wp:extent cx="857885" cy="473392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857885" cy="4733925"/>
                    </a:xfrm>
                    <a:prstGeom prst="rect">
                      <a:avLst/>
                    </a:prstGeom>
                    <a:noFill/>
                  </pic:spPr>
                </pic:pic>
              </a:graphicData>
            </a:graphic>
          </wp:anchor>
        </w:drawing>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4D8ABE"/>
        </w:rPr>
        <w:t xml:space="preserve">46 </w:t>
      </w:r>
      <w:r>
        <w:rPr>
          <w:rFonts w:ascii="Arial" w:cs="Arial" w:eastAsia="Arial" w:hAnsi="Arial"/>
          <w:sz w:val="16"/>
          <w:szCs w:val="16"/>
          <w:color w:val="4D8ABE"/>
        </w:rPr>
        <w:t>Manpower 2010 Annual Report</w:t>
      </w:r>
      <w:r>
        <w:rPr>
          <w:rFonts w:ascii="Arial" w:cs="Arial" w:eastAsia="Arial" w:hAnsi="Arial"/>
          <w:sz w:val="16"/>
          <w:szCs w:val="16"/>
          <w:b w:val="1"/>
          <w:bCs w:val="1"/>
          <w:color w:val="4D8ABE"/>
        </w:rPr>
        <w:t xml:space="preserve"> </w:t>
      </w:r>
      <w:r>
        <w:rPr>
          <w:rFonts w:ascii="Arial" w:cs="Arial" w:eastAsia="Arial" w:hAnsi="Arial"/>
          <w:sz w:val="16"/>
          <w:szCs w:val="16"/>
          <w:b w:val="1"/>
          <w:bCs w:val="1"/>
          <w:color w:val="939598"/>
        </w:rPr>
        <w:t>Consolidated Statements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wp:posOffset>
            </wp:positionV>
            <wp:extent cx="7267575" cy="469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ectPr>
          <w:pgSz w:w="11900" w:h="16838" w:orient="portrait"/>
          <w:cols w:equalWidth="0" w:num="1">
            <w:col w:w="11260"/>
          </w:cols>
          <w:pgMar w:left="240" w:top="345" w:right="399" w:bottom="1440" w:gutter="0" w:footer="0" w:header="0"/>
        </w:sectPr>
      </w:pPr>
    </w:p>
    <w:bookmarkStart w:id="76" w:name="page77"/>
    <w:bookmarkEnd w:id="76"/>
    <w:p>
      <w:pPr>
        <w:spacing w:after="0"/>
        <w:rPr>
          <w:sz w:val="20"/>
          <w:szCs w:val="20"/>
          <w:color w:val="auto"/>
        </w:rPr>
      </w:pPr>
      <w:r>
        <w:rPr>
          <w:rFonts w:ascii="Arial" w:cs="Arial" w:eastAsia="Arial" w:hAnsi="Arial"/>
          <w:sz w:val="22"/>
          <w:szCs w:val="22"/>
          <w:color w:val="4D8ABE"/>
        </w:rPr>
        <w:t>Consolidated Statements of Shareholders’ Equity</w:t>
      </w:r>
    </w:p>
    <w:p>
      <w:pPr>
        <w:spacing w:after="0"/>
        <w:rPr>
          <w:sz w:val="20"/>
          <w:szCs w:val="20"/>
          <w:color w:val="auto"/>
        </w:rPr>
      </w:pPr>
      <w:r>
        <w:rPr>
          <w:rFonts w:ascii="Arial" w:cs="Arial" w:eastAsia="Arial" w:hAnsi="Arial"/>
          <w:sz w:val="18"/>
          <w:szCs w:val="18"/>
          <w:color w:val="4D8ABE"/>
        </w:rPr>
        <w:t>in millions, except share and per share data</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jc w:val="right"/>
              <w:ind w:right="52"/>
              <w:spacing w:after="0"/>
              <w:rPr>
                <w:sz w:val="20"/>
                <w:szCs w:val="20"/>
                <w:color w:val="auto"/>
              </w:rPr>
            </w:pPr>
            <w:r>
              <w:rPr>
                <w:rFonts w:ascii="Arial" w:cs="Arial" w:eastAsia="Arial" w:hAnsi="Arial"/>
                <w:sz w:val="16"/>
                <w:szCs w:val="16"/>
                <w:b w:val="1"/>
                <w:bCs w:val="1"/>
                <w:color w:val="86B6A5"/>
              </w:rPr>
              <w:t>Accumulated</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28"/>
        </w:trPr>
        <w:tc>
          <w:tcPr>
            <w:tcW w:w="2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2440" w:type="dxa"/>
            <w:vAlign w:val="bottom"/>
            <w:gridSpan w:val="4"/>
          </w:tcPr>
          <w:p>
            <w:pPr>
              <w:jc w:val="right"/>
              <w:ind w:right="100"/>
              <w:spacing w:after="0"/>
              <w:rPr>
                <w:sz w:val="20"/>
                <w:szCs w:val="20"/>
                <w:color w:val="auto"/>
              </w:rPr>
            </w:pPr>
            <w:r>
              <w:rPr>
                <w:rFonts w:ascii="Arial" w:cs="Arial" w:eastAsia="Arial" w:hAnsi="Arial"/>
                <w:sz w:val="16"/>
                <w:szCs w:val="16"/>
                <w:b w:val="1"/>
                <w:bCs w:val="1"/>
                <w:color w:val="86B6A5"/>
              </w:rPr>
              <w:t>Common Stock</w:t>
            </w: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ind w:right="52"/>
              <w:spacing w:after="0"/>
              <w:rPr>
                <w:sz w:val="20"/>
                <w:szCs w:val="20"/>
                <w:color w:val="auto"/>
              </w:rPr>
            </w:pPr>
            <w:r>
              <w:rPr>
                <w:rFonts w:ascii="Arial" w:cs="Arial" w:eastAsia="Arial" w:hAnsi="Arial"/>
                <w:sz w:val="16"/>
                <w:szCs w:val="16"/>
                <w:b w:val="1"/>
                <w:bCs w:val="1"/>
                <w:color w:val="86B6A5"/>
              </w:rPr>
              <w:t>Other</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183"/>
        </w:trPr>
        <w:tc>
          <w:tcPr>
            <w:tcW w:w="2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1320" w:type="dxa"/>
            <w:vAlign w:val="bottom"/>
            <w:tcBorders>
              <w:top w:val="single" w:sz="8" w:color="86B6A5"/>
            </w:tcBorders>
          </w:tcPr>
          <w:p>
            <w:pPr>
              <w:spacing w:after="0"/>
              <w:rPr>
                <w:sz w:val="15"/>
                <w:szCs w:val="15"/>
                <w:color w:val="auto"/>
              </w:rPr>
            </w:pPr>
          </w:p>
        </w:tc>
        <w:tc>
          <w:tcPr>
            <w:tcW w:w="240" w:type="dxa"/>
            <w:vAlign w:val="bottom"/>
            <w:tcBorders>
              <w:top w:val="single" w:sz="8" w:color="86B6A5"/>
            </w:tcBorders>
          </w:tcPr>
          <w:p>
            <w:pPr>
              <w:spacing w:after="0"/>
              <w:rPr>
                <w:sz w:val="15"/>
                <w:szCs w:val="15"/>
                <w:color w:val="auto"/>
              </w:rPr>
            </w:pPr>
          </w:p>
        </w:tc>
        <w:tc>
          <w:tcPr>
            <w:tcW w:w="780" w:type="dxa"/>
            <w:vAlign w:val="bottom"/>
            <w:tcBorders>
              <w:top w:val="single" w:sz="8" w:color="86B6A5"/>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Pr>
          <w:p>
            <w:pPr>
              <w:jc w:val="right"/>
              <w:ind w:right="52"/>
              <w:spacing w:after="0"/>
              <w:rPr>
                <w:sz w:val="20"/>
                <w:szCs w:val="20"/>
                <w:color w:val="auto"/>
              </w:rPr>
            </w:pPr>
            <w:r>
              <w:rPr>
                <w:rFonts w:ascii="Arial" w:cs="Arial" w:eastAsia="Arial" w:hAnsi="Arial"/>
                <w:sz w:val="16"/>
                <w:szCs w:val="16"/>
                <w:b w:val="1"/>
                <w:bCs w:val="1"/>
                <w:color w:val="86B6A5"/>
              </w:rPr>
              <w:t>Capital in</w:t>
            </w: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tcPr>
          <w:p>
            <w:pPr>
              <w:jc w:val="right"/>
              <w:ind w:right="52"/>
              <w:spacing w:after="0"/>
              <w:rPr>
                <w:sz w:val="20"/>
                <w:szCs w:val="20"/>
                <w:color w:val="auto"/>
              </w:rPr>
            </w:pPr>
            <w:r>
              <w:rPr>
                <w:rFonts w:ascii="Arial" w:cs="Arial" w:eastAsia="Arial" w:hAnsi="Arial"/>
                <w:sz w:val="16"/>
                <w:szCs w:val="16"/>
                <w:b w:val="1"/>
                <w:bCs w:val="1"/>
                <w:color w:val="86B6A5"/>
                <w:w w:val="99"/>
              </w:rPr>
              <w:t>Comprehensive</w:t>
            </w: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04"/>
        </w:trPr>
        <w:tc>
          <w:tcPr>
            <w:tcW w:w="2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jc w:val="right"/>
              <w:ind w:right="52"/>
              <w:spacing w:after="0"/>
              <w:rPr>
                <w:sz w:val="20"/>
                <w:szCs w:val="20"/>
                <w:color w:val="auto"/>
              </w:rPr>
            </w:pPr>
            <w:r>
              <w:rPr>
                <w:rFonts w:ascii="Arial" w:cs="Arial" w:eastAsia="Arial" w:hAnsi="Arial"/>
                <w:sz w:val="16"/>
                <w:szCs w:val="16"/>
                <w:b w:val="1"/>
                <w:bCs w:val="1"/>
                <w:color w:val="86B6A5"/>
              </w:rPr>
              <w:t>Excess</w:t>
            </w:r>
          </w:p>
        </w:tc>
        <w:tc>
          <w:tcPr>
            <w:tcW w:w="240" w:type="dxa"/>
            <w:vAlign w:val="bottom"/>
          </w:tcPr>
          <w:p>
            <w:pPr>
              <w:spacing w:after="0"/>
              <w:rPr>
                <w:sz w:val="17"/>
                <w:szCs w:val="17"/>
                <w:color w:val="auto"/>
              </w:rPr>
            </w:pPr>
          </w:p>
        </w:tc>
        <w:tc>
          <w:tcPr>
            <w:tcW w:w="880" w:type="dxa"/>
            <w:vAlign w:val="bottom"/>
          </w:tcPr>
          <w:p>
            <w:pPr>
              <w:jc w:val="right"/>
              <w:ind w:right="51"/>
              <w:spacing w:after="0"/>
              <w:rPr>
                <w:sz w:val="20"/>
                <w:szCs w:val="20"/>
                <w:color w:val="auto"/>
              </w:rPr>
            </w:pPr>
            <w:r>
              <w:rPr>
                <w:rFonts w:ascii="Arial" w:cs="Arial" w:eastAsia="Arial" w:hAnsi="Arial"/>
                <w:sz w:val="16"/>
                <w:szCs w:val="16"/>
                <w:b w:val="1"/>
                <w:bCs w:val="1"/>
                <w:color w:val="86B6A5"/>
              </w:rPr>
              <w:t>Retained</w:t>
            </w:r>
          </w:p>
        </w:tc>
        <w:tc>
          <w:tcPr>
            <w:tcW w:w="200" w:type="dxa"/>
            <w:vAlign w:val="bottom"/>
          </w:tcPr>
          <w:p>
            <w:pPr>
              <w:spacing w:after="0"/>
              <w:rPr>
                <w:sz w:val="17"/>
                <w:szCs w:val="17"/>
                <w:color w:val="auto"/>
              </w:rPr>
            </w:pPr>
          </w:p>
        </w:tc>
        <w:tc>
          <w:tcPr>
            <w:tcW w:w="1360" w:type="dxa"/>
            <w:vAlign w:val="bottom"/>
          </w:tcPr>
          <w:p>
            <w:pPr>
              <w:jc w:val="right"/>
              <w:ind w:right="52"/>
              <w:spacing w:after="0"/>
              <w:rPr>
                <w:sz w:val="20"/>
                <w:szCs w:val="20"/>
                <w:color w:val="auto"/>
              </w:rPr>
            </w:pPr>
            <w:r>
              <w:rPr>
                <w:rFonts w:ascii="Arial" w:cs="Arial" w:eastAsia="Arial" w:hAnsi="Arial"/>
                <w:sz w:val="16"/>
                <w:szCs w:val="16"/>
                <w:b w:val="1"/>
                <w:bCs w:val="1"/>
                <w:color w:val="86B6A5"/>
              </w:rPr>
              <w:t>Income</w:t>
            </w:r>
          </w:p>
        </w:tc>
        <w:tc>
          <w:tcPr>
            <w:tcW w:w="240" w:type="dxa"/>
            <w:vAlign w:val="bottom"/>
          </w:tcPr>
          <w:p>
            <w:pPr>
              <w:spacing w:after="0"/>
              <w:rPr>
                <w:sz w:val="17"/>
                <w:szCs w:val="17"/>
                <w:color w:val="auto"/>
              </w:rPr>
            </w:pPr>
          </w:p>
        </w:tc>
        <w:tc>
          <w:tcPr>
            <w:tcW w:w="880" w:type="dxa"/>
            <w:vAlign w:val="bottom"/>
          </w:tcPr>
          <w:p>
            <w:pPr>
              <w:jc w:val="right"/>
              <w:ind w:right="52"/>
              <w:spacing w:after="0"/>
              <w:rPr>
                <w:sz w:val="20"/>
                <w:szCs w:val="20"/>
                <w:color w:val="auto"/>
              </w:rPr>
            </w:pPr>
            <w:r>
              <w:rPr>
                <w:rFonts w:ascii="Arial" w:cs="Arial" w:eastAsia="Arial" w:hAnsi="Arial"/>
                <w:sz w:val="16"/>
                <w:szCs w:val="16"/>
                <w:b w:val="1"/>
                <w:bCs w:val="1"/>
                <w:color w:val="86B6A5"/>
              </w:rPr>
              <w:t>Treasury</w:t>
            </w: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28"/>
        </w:trPr>
        <w:tc>
          <w:tcPr>
            <w:tcW w:w="2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1320" w:type="dxa"/>
            <w:vAlign w:val="bottom"/>
          </w:tcPr>
          <w:p>
            <w:pPr>
              <w:jc w:val="right"/>
              <w:ind w:right="12"/>
              <w:spacing w:after="0"/>
              <w:rPr>
                <w:sz w:val="20"/>
                <w:szCs w:val="20"/>
                <w:color w:val="auto"/>
              </w:rPr>
            </w:pPr>
            <w:r>
              <w:rPr>
                <w:rFonts w:ascii="Arial" w:cs="Arial" w:eastAsia="Arial" w:hAnsi="Arial"/>
                <w:sz w:val="16"/>
                <w:szCs w:val="16"/>
                <w:b w:val="1"/>
                <w:bCs w:val="1"/>
                <w:color w:val="86B6A5"/>
              </w:rPr>
              <w:t>Shares issued</w:t>
            </w:r>
          </w:p>
        </w:tc>
        <w:tc>
          <w:tcPr>
            <w:tcW w:w="24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86B6A5"/>
              </w:rPr>
              <w:t>Par Value</w:t>
            </w:r>
          </w:p>
        </w:tc>
        <w:tc>
          <w:tcPr>
            <w:tcW w:w="220" w:type="dxa"/>
            <w:vAlign w:val="bottom"/>
          </w:tcPr>
          <w:p>
            <w:pPr>
              <w:spacing w:after="0"/>
              <w:rPr>
                <w:sz w:val="19"/>
                <w:szCs w:val="19"/>
                <w:color w:val="auto"/>
              </w:rPr>
            </w:pPr>
          </w:p>
        </w:tc>
        <w:tc>
          <w:tcPr>
            <w:tcW w:w="1060" w:type="dxa"/>
            <w:vAlign w:val="bottom"/>
          </w:tcPr>
          <w:p>
            <w:pPr>
              <w:jc w:val="right"/>
              <w:ind w:right="52"/>
              <w:spacing w:after="0"/>
              <w:rPr>
                <w:sz w:val="20"/>
                <w:szCs w:val="20"/>
                <w:color w:val="auto"/>
              </w:rPr>
            </w:pPr>
            <w:r>
              <w:rPr>
                <w:rFonts w:ascii="Arial" w:cs="Arial" w:eastAsia="Arial" w:hAnsi="Arial"/>
                <w:sz w:val="16"/>
                <w:szCs w:val="16"/>
                <w:b w:val="1"/>
                <w:bCs w:val="1"/>
                <w:color w:val="86B6A5"/>
                <w:w w:val="97"/>
              </w:rPr>
              <w:t>of Par Value</w:t>
            </w:r>
          </w:p>
        </w:tc>
        <w:tc>
          <w:tcPr>
            <w:tcW w:w="240" w:type="dxa"/>
            <w:vAlign w:val="bottom"/>
          </w:tcPr>
          <w:p>
            <w:pPr>
              <w:spacing w:after="0"/>
              <w:rPr>
                <w:sz w:val="19"/>
                <w:szCs w:val="19"/>
                <w:color w:val="auto"/>
              </w:rPr>
            </w:pPr>
          </w:p>
        </w:tc>
        <w:tc>
          <w:tcPr>
            <w:tcW w:w="880" w:type="dxa"/>
            <w:vAlign w:val="bottom"/>
          </w:tcPr>
          <w:p>
            <w:pPr>
              <w:jc w:val="right"/>
              <w:ind w:right="51"/>
              <w:spacing w:after="0"/>
              <w:rPr>
                <w:sz w:val="20"/>
                <w:szCs w:val="20"/>
                <w:color w:val="auto"/>
              </w:rPr>
            </w:pPr>
            <w:r>
              <w:rPr>
                <w:rFonts w:ascii="Arial" w:cs="Arial" w:eastAsia="Arial" w:hAnsi="Arial"/>
                <w:sz w:val="16"/>
                <w:szCs w:val="16"/>
                <w:b w:val="1"/>
                <w:bCs w:val="1"/>
                <w:color w:val="86B6A5"/>
              </w:rPr>
              <w:t>Earnings</w:t>
            </w:r>
          </w:p>
        </w:tc>
        <w:tc>
          <w:tcPr>
            <w:tcW w:w="200" w:type="dxa"/>
            <w:vAlign w:val="bottom"/>
          </w:tcPr>
          <w:p>
            <w:pPr>
              <w:spacing w:after="0"/>
              <w:rPr>
                <w:sz w:val="19"/>
                <w:szCs w:val="19"/>
                <w:color w:val="auto"/>
              </w:rPr>
            </w:pPr>
          </w:p>
        </w:tc>
        <w:tc>
          <w:tcPr>
            <w:tcW w:w="1360" w:type="dxa"/>
            <w:vAlign w:val="bottom"/>
          </w:tcPr>
          <w:p>
            <w:pPr>
              <w:jc w:val="right"/>
              <w:ind w:right="52"/>
              <w:spacing w:after="0"/>
              <w:rPr>
                <w:sz w:val="20"/>
                <w:szCs w:val="20"/>
                <w:color w:val="auto"/>
              </w:rPr>
            </w:pPr>
            <w:r>
              <w:rPr>
                <w:rFonts w:ascii="Arial" w:cs="Arial" w:eastAsia="Arial" w:hAnsi="Arial"/>
                <w:sz w:val="16"/>
                <w:szCs w:val="16"/>
                <w:b w:val="1"/>
                <w:bCs w:val="1"/>
                <w:color w:val="86B6A5"/>
              </w:rPr>
              <w:t>(Loss)</w:t>
            </w:r>
          </w:p>
        </w:tc>
        <w:tc>
          <w:tcPr>
            <w:tcW w:w="240" w:type="dxa"/>
            <w:vAlign w:val="bottom"/>
          </w:tcPr>
          <w:p>
            <w:pPr>
              <w:spacing w:after="0"/>
              <w:rPr>
                <w:sz w:val="19"/>
                <w:szCs w:val="19"/>
                <w:color w:val="auto"/>
              </w:rPr>
            </w:pPr>
          </w:p>
        </w:tc>
        <w:tc>
          <w:tcPr>
            <w:tcW w:w="880" w:type="dxa"/>
            <w:vAlign w:val="bottom"/>
          </w:tcPr>
          <w:p>
            <w:pPr>
              <w:jc w:val="right"/>
              <w:ind w:right="52"/>
              <w:spacing w:after="0"/>
              <w:rPr>
                <w:sz w:val="20"/>
                <w:szCs w:val="20"/>
                <w:color w:val="auto"/>
              </w:rPr>
            </w:pPr>
            <w:r>
              <w:rPr>
                <w:rFonts w:ascii="Arial" w:cs="Arial" w:eastAsia="Arial" w:hAnsi="Arial"/>
                <w:sz w:val="16"/>
                <w:szCs w:val="16"/>
                <w:b w:val="1"/>
                <w:bCs w:val="1"/>
                <w:color w:val="86B6A5"/>
              </w:rPr>
              <w:t>Stock</w:t>
            </w:r>
          </w:p>
        </w:tc>
        <w:tc>
          <w:tcPr>
            <w:tcW w:w="280" w:type="dxa"/>
            <w:vAlign w:val="bottom"/>
          </w:tcPr>
          <w:p>
            <w:pPr>
              <w:spacing w:after="0"/>
              <w:rPr>
                <w:sz w:val="19"/>
                <w:szCs w:val="19"/>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6"/>
                <w:szCs w:val="16"/>
                <w:b w:val="1"/>
                <w:bCs w:val="1"/>
                <w:color w:val="86B6A5"/>
              </w:rPr>
              <w:t>Total</w:t>
            </w:r>
          </w:p>
        </w:tc>
      </w:tr>
      <w:tr>
        <w:trPr>
          <w:trHeight w:val="202"/>
        </w:trPr>
        <w:tc>
          <w:tcPr>
            <w:tcW w:w="20" w:type="dxa"/>
            <w:vAlign w:val="bottom"/>
          </w:tcPr>
          <w:p>
            <w:pPr>
              <w:spacing w:after="0"/>
              <w:rPr>
                <w:sz w:val="17"/>
                <w:szCs w:val="17"/>
                <w:color w:val="auto"/>
              </w:rPr>
            </w:pPr>
          </w:p>
        </w:tc>
        <w:tc>
          <w:tcPr>
            <w:tcW w:w="2680" w:type="dxa"/>
            <w:vAlign w:val="bottom"/>
            <w:tcBorders>
              <w:top w:val="single" w:sz="8" w:color="86B6A5"/>
            </w:tcBorders>
          </w:tcPr>
          <w:p>
            <w:pPr>
              <w:spacing w:after="0" w:line="201" w:lineRule="exact"/>
              <w:rPr>
                <w:sz w:val="20"/>
                <w:szCs w:val="20"/>
                <w:color w:val="auto"/>
              </w:rPr>
            </w:pPr>
            <w:r>
              <w:rPr>
                <w:rFonts w:ascii="Arial" w:cs="Arial" w:eastAsia="Arial" w:hAnsi="Arial"/>
                <w:sz w:val="18"/>
                <w:szCs w:val="18"/>
                <w:color w:val="auto"/>
              </w:rPr>
              <w:t>Balance, January 1, 2008</w:t>
            </w:r>
          </w:p>
        </w:tc>
        <w:tc>
          <w:tcPr>
            <w:tcW w:w="1320" w:type="dxa"/>
            <w:vAlign w:val="bottom"/>
            <w:tcBorders>
              <w:top w:val="single" w:sz="8" w:color="86B6A5"/>
            </w:tcBorders>
          </w:tcPr>
          <w:p>
            <w:pPr>
              <w:jc w:val="right"/>
              <w:ind w:right="12"/>
              <w:spacing w:after="0" w:line="201" w:lineRule="exact"/>
              <w:rPr>
                <w:sz w:val="20"/>
                <w:szCs w:val="20"/>
                <w:color w:val="auto"/>
              </w:rPr>
            </w:pPr>
            <w:r>
              <w:rPr>
                <w:rFonts w:ascii="Arial" w:cs="Arial" w:eastAsia="Arial" w:hAnsi="Arial"/>
                <w:sz w:val="18"/>
                <w:szCs w:val="18"/>
                <w:color w:val="auto"/>
              </w:rPr>
              <w:t>103,414,254</w:t>
            </w:r>
          </w:p>
        </w:tc>
        <w:tc>
          <w:tcPr>
            <w:tcW w:w="240" w:type="dxa"/>
            <w:vAlign w:val="bottom"/>
            <w:tcBorders>
              <w:top w:val="single" w:sz="8" w:color="86B6A5"/>
            </w:tcBorders>
          </w:tcPr>
          <w:p>
            <w:pPr>
              <w:jc w:val="right"/>
              <w:spacing w:after="0" w:line="201" w:lineRule="exact"/>
              <w:rPr>
                <w:sz w:val="20"/>
                <w:szCs w:val="20"/>
                <w:color w:val="auto"/>
              </w:rPr>
            </w:pPr>
            <w:r>
              <w:rPr>
                <w:rFonts w:ascii="Arial" w:cs="Arial" w:eastAsia="Arial" w:hAnsi="Arial"/>
                <w:sz w:val="18"/>
                <w:szCs w:val="18"/>
                <w:color w:val="auto"/>
              </w:rPr>
              <w:t>$</w:t>
            </w:r>
          </w:p>
        </w:tc>
        <w:tc>
          <w:tcPr>
            <w:tcW w:w="880" w:type="dxa"/>
            <w:vAlign w:val="bottom"/>
            <w:tcBorders>
              <w:top w:val="single" w:sz="8" w:color="86B6A5"/>
            </w:tcBorders>
            <w:gridSpan w:val="2"/>
          </w:tcPr>
          <w:p>
            <w:pPr>
              <w:jc w:val="right"/>
              <w:ind w:right="100"/>
              <w:spacing w:after="0" w:line="201" w:lineRule="exact"/>
              <w:rPr>
                <w:sz w:val="20"/>
                <w:szCs w:val="20"/>
                <w:color w:val="auto"/>
              </w:rPr>
            </w:pPr>
            <w:r>
              <w:rPr>
                <w:rFonts w:ascii="Arial" w:cs="Arial" w:eastAsia="Arial" w:hAnsi="Arial"/>
                <w:sz w:val="18"/>
                <w:szCs w:val="18"/>
                <w:color w:val="auto"/>
              </w:rPr>
              <w:t>1.0</w:t>
            </w:r>
          </w:p>
        </w:tc>
        <w:tc>
          <w:tcPr>
            <w:tcW w:w="220" w:type="dxa"/>
            <w:vAlign w:val="bottom"/>
            <w:tcBorders>
              <w:top w:val="single" w:sz="8" w:color="86B6A5"/>
            </w:tcBorders>
          </w:tcPr>
          <w:p>
            <w:pPr>
              <w:jc w:val="right"/>
              <w:spacing w:after="0" w:line="201" w:lineRule="exact"/>
              <w:rPr>
                <w:sz w:val="20"/>
                <w:szCs w:val="20"/>
                <w:color w:val="auto"/>
              </w:rPr>
            </w:pPr>
            <w:r>
              <w:rPr>
                <w:rFonts w:ascii="Arial" w:cs="Arial" w:eastAsia="Arial" w:hAnsi="Arial"/>
                <w:sz w:val="18"/>
                <w:szCs w:val="18"/>
                <w:color w:val="auto"/>
              </w:rPr>
              <w:t>$</w:t>
            </w:r>
          </w:p>
        </w:tc>
        <w:tc>
          <w:tcPr>
            <w:tcW w:w="1060" w:type="dxa"/>
            <w:vAlign w:val="bottom"/>
            <w:tcBorders>
              <w:top w:val="single" w:sz="8" w:color="86B6A5"/>
            </w:tcBorders>
          </w:tcPr>
          <w:p>
            <w:pPr>
              <w:jc w:val="right"/>
              <w:ind w:right="52"/>
              <w:spacing w:after="0" w:line="201" w:lineRule="exact"/>
              <w:rPr>
                <w:sz w:val="20"/>
                <w:szCs w:val="20"/>
                <w:color w:val="auto"/>
              </w:rPr>
            </w:pPr>
            <w:r>
              <w:rPr>
                <w:rFonts w:ascii="Arial" w:cs="Arial" w:eastAsia="Arial" w:hAnsi="Arial"/>
                <w:sz w:val="18"/>
                <w:szCs w:val="18"/>
                <w:color w:val="auto"/>
              </w:rPr>
              <w:t>2,481.8</w:t>
            </w:r>
          </w:p>
        </w:tc>
        <w:tc>
          <w:tcPr>
            <w:tcW w:w="240" w:type="dxa"/>
            <w:vAlign w:val="bottom"/>
            <w:tcBorders>
              <w:top w:val="single" w:sz="8" w:color="86B6A5"/>
            </w:tcBorders>
          </w:tcPr>
          <w:p>
            <w:pPr>
              <w:jc w:val="right"/>
              <w:spacing w:after="0" w:line="201" w:lineRule="exact"/>
              <w:rPr>
                <w:sz w:val="20"/>
                <w:szCs w:val="20"/>
                <w:color w:val="auto"/>
              </w:rPr>
            </w:pPr>
            <w:r>
              <w:rPr>
                <w:rFonts w:ascii="Arial" w:cs="Arial" w:eastAsia="Arial" w:hAnsi="Arial"/>
                <w:sz w:val="18"/>
                <w:szCs w:val="18"/>
                <w:color w:val="auto"/>
              </w:rPr>
              <w:t>$</w:t>
            </w:r>
          </w:p>
        </w:tc>
        <w:tc>
          <w:tcPr>
            <w:tcW w:w="880" w:type="dxa"/>
            <w:vAlign w:val="bottom"/>
            <w:tcBorders>
              <w:top w:val="single" w:sz="8" w:color="86B6A5"/>
            </w:tcBorders>
          </w:tcPr>
          <w:p>
            <w:pPr>
              <w:jc w:val="right"/>
              <w:ind w:right="51"/>
              <w:spacing w:after="0" w:line="201" w:lineRule="exact"/>
              <w:rPr>
                <w:sz w:val="20"/>
                <w:szCs w:val="20"/>
                <w:color w:val="auto"/>
              </w:rPr>
            </w:pPr>
            <w:r>
              <w:rPr>
                <w:rFonts w:ascii="Arial" w:cs="Arial" w:eastAsia="Arial" w:hAnsi="Arial"/>
                <w:sz w:val="18"/>
                <w:szCs w:val="18"/>
                <w:color w:val="auto"/>
              </w:rPr>
              <w:t>1,029.3</w:t>
            </w:r>
          </w:p>
        </w:tc>
        <w:tc>
          <w:tcPr>
            <w:tcW w:w="200" w:type="dxa"/>
            <w:vAlign w:val="bottom"/>
            <w:tcBorders>
              <w:top w:val="single" w:sz="8" w:color="86B6A5"/>
            </w:tcBorders>
          </w:tcPr>
          <w:p>
            <w:pPr>
              <w:jc w:val="right"/>
              <w:spacing w:after="0" w:line="201" w:lineRule="exact"/>
              <w:rPr>
                <w:sz w:val="20"/>
                <w:szCs w:val="20"/>
                <w:color w:val="auto"/>
              </w:rPr>
            </w:pPr>
            <w:r>
              <w:rPr>
                <w:rFonts w:ascii="Arial" w:cs="Arial" w:eastAsia="Arial" w:hAnsi="Arial"/>
                <w:sz w:val="18"/>
                <w:szCs w:val="18"/>
                <w:color w:val="auto"/>
              </w:rPr>
              <w:t>$</w:t>
            </w:r>
          </w:p>
        </w:tc>
        <w:tc>
          <w:tcPr>
            <w:tcW w:w="1360" w:type="dxa"/>
            <w:vAlign w:val="bottom"/>
            <w:tcBorders>
              <w:top w:val="single" w:sz="8" w:color="86B6A5"/>
            </w:tcBorders>
          </w:tcPr>
          <w:p>
            <w:pPr>
              <w:jc w:val="right"/>
              <w:ind w:right="52"/>
              <w:spacing w:after="0" w:line="201" w:lineRule="exact"/>
              <w:rPr>
                <w:sz w:val="20"/>
                <w:szCs w:val="20"/>
                <w:color w:val="auto"/>
              </w:rPr>
            </w:pPr>
            <w:r>
              <w:rPr>
                <w:rFonts w:ascii="Arial" w:cs="Arial" w:eastAsia="Arial" w:hAnsi="Arial"/>
                <w:sz w:val="18"/>
                <w:szCs w:val="18"/>
                <w:color w:val="auto"/>
              </w:rPr>
              <w:t>257.6</w:t>
            </w:r>
          </w:p>
        </w:tc>
        <w:tc>
          <w:tcPr>
            <w:tcW w:w="240" w:type="dxa"/>
            <w:vAlign w:val="bottom"/>
            <w:tcBorders>
              <w:top w:val="single" w:sz="8" w:color="86B6A5"/>
            </w:tcBorders>
          </w:tcPr>
          <w:p>
            <w:pPr>
              <w:jc w:val="right"/>
              <w:spacing w:after="0" w:line="201" w:lineRule="exact"/>
              <w:rPr>
                <w:sz w:val="20"/>
                <w:szCs w:val="20"/>
                <w:color w:val="auto"/>
              </w:rPr>
            </w:pPr>
            <w:r>
              <w:rPr>
                <w:rFonts w:ascii="Arial" w:cs="Arial" w:eastAsia="Arial" w:hAnsi="Arial"/>
                <w:sz w:val="18"/>
                <w:szCs w:val="18"/>
                <w:color w:val="auto"/>
              </w:rPr>
              <w:t>$</w:t>
            </w:r>
          </w:p>
        </w:tc>
        <w:tc>
          <w:tcPr>
            <w:tcW w:w="880" w:type="dxa"/>
            <w:vAlign w:val="bottom"/>
            <w:tcBorders>
              <w:top w:val="single" w:sz="8" w:color="86B6A5"/>
            </w:tcBorders>
          </w:tcPr>
          <w:p>
            <w:pPr>
              <w:jc w:val="right"/>
              <w:spacing w:after="0" w:line="201" w:lineRule="exact"/>
              <w:rPr>
                <w:sz w:val="20"/>
                <w:szCs w:val="20"/>
                <w:color w:val="auto"/>
              </w:rPr>
            </w:pPr>
            <w:r>
              <w:rPr>
                <w:rFonts w:ascii="Arial" w:cs="Arial" w:eastAsia="Arial" w:hAnsi="Arial"/>
                <w:sz w:val="18"/>
                <w:szCs w:val="18"/>
                <w:color w:val="auto"/>
              </w:rPr>
              <w:t>(1,111.4)</w:t>
            </w:r>
          </w:p>
        </w:tc>
        <w:tc>
          <w:tcPr>
            <w:tcW w:w="280" w:type="dxa"/>
            <w:vAlign w:val="bottom"/>
            <w:tcBorders>
              <w:top w:val="single" w:sz="8" w:color="86B6A5"/>
            </w:tcBorders>
          </w:tcPr>
          <w:p>
            <w:pPr>
              <w:jc w:val="right"/>
              <w:ind w:right="10"/>
              <w:spacing w:after="0" w:line="201" w:lineRule="exact"/>
              <w:rPr>
                <w:sz w:val="20"/>
                <w:szCs w:val="20"/>
                <w:color w:val="auto"/>
              </w:rPr>
            </w:pPr>
            <w:r>
              <w:rPr>
                <w:rFonts w:ascii="Arial" w:cs="Arial" w:eastAsia="Arial" w:hAnsi="Arial"/>
                <w:sz w:val="18"/>
                <w:szCs w:val="18"/>
                <w:color w:val="auto"/>
              </w:rPr>
              <w:t>$</w:t>
            </w:r>
          </w:p>
        </w:tc>
        <w:tc>
          <w:tcPr>
            <w:tcW w:w="700" w:type="dxa"/>
            <w:vAlign w:val="bottom"/>
            <w:tcBorders>
              <w:top w:val="single" w:sz="8" w:color="86B6A5"/>
            </w:tcBorders>
          </w:tcPr>
          <w:p>
            <w:pPr>
              <w:jc w:val="right"/>
              <w:spacing w:after="0" w:line="201" w:lineRule="exact"/>
              <w:rPr>
                <w:sz w:val="20"/>
                <w:szCs w:val="20"/>
                <w:color w:val="auto"/>
              </w:rPr>
            </w:pPr>
            <w:r>
              <w:rPr>
                <w:rFonts w:ascii="Arial" w:cs="Arial" w:eastAsia="Arial" w:hAnsi="Arial"/>
                <w:sz w:val="18"/>
                <w:szCs w:val="18"/>
                <w:color w:val="auto"/>
              </w:rPr>
              <w:t>2,658.3</w:t>
            </w:r>
          </w:p>
        </w:tc>
        <w:tc>
          <w:tcPr>
            <w:tcW w:w="60" w:type="dxa"/>
            <w:vAlign w:val="bottom"/>
          </w:tcPr>
          <w:p>
            <w:pPr>
              <w:spacing w:after="0"/>
              <w:rPr>
                <w:sz w:val="17"/>
                <w:szCs w:val="17"/>
                <w:color w:val="auto"/>
              </w:rPr>
            </w:pPr>
          </w:p>
        </w:tc>
      </w:tr>
      <w:tr>
        <w:trPr>
          <w:trHeight w:val="203"/>
        </w:trPr>
        <w:tc>
          <w:tcPr>
            <w:tcW w:w="2700" w:type="dxa"/>
            <w:vAlign w:val="bottom"/>
            <w:gridSpan w:val="2"/>
          </w:tcPr>
          <w:p>
            <w:pPr>
              <w:spacing w:after="0" w:line="202" w:lineRule="exact"/>
              <w:rPr>
                <w:sz w:val="20"/>
                <w:szCs w:val="20"/>
                <w:color w:val="auto"/>
              </w:rPr>
            </w:pPr>
            <w:r>
              <w:rPr>
                <w:rFonts w:ascii="Arial" w:cs="Arial" w:eastAsia="Arial" w:hAnsi="Arial"/>
                <w:sz w:val="18"/>
                <w:szCs w:val="18"/>
                <w:color w:val="auto"/>
              </w:rPr>
              <w:t>Comprehensive Income:</w:t>
            </w:r>
          </w:p>
        </w:tc>
        <w:tc>
          <w:tcPr>
            <w:tcW w:w="1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2680" w:type="dxa"/>
            <w:vAlign w:val="bottom"/>
          </w:tcPr>
          <w:p>
            <w:pPr>
              <w:ind w:left="260"/>
              <w:spacing w:after="0" w:line="202" w:lineRule="exact"/>
              <w:rPr>
                <w:sz w:val="20"/>
                <w:szCs w:val="20"/>
                <w:color w:val="auto"/>
              </w:rPr>
            </w:pPr>
            <w:r>
              <w:rPr>
                <w:rFonts w:ascii="Arial" w:cs="Arial" w:eastAsia="Arial" w:hAnsi="Arial"/>
                <w:sz w:val="18"/>
                <w:szCs w:val="18"/>
                <w:color w:val="auto"/>
              </w:rPr>
              <w:t>Net earnings</w:t>
            </w:r>
          </w:p>
        </w:tc>
        <w:tc>
          <w:tcPr>
            <w:tcW w:w="1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ind w:right="51"/>
              <w:spacing w:after="0" w:line="202" w:lineRule="exact"/>
              <w:rPr>
                <w:sz w:val="20"/>
                <w:szCs w:val="20"/>
                <w:color w:val="auto"/>
              </w:rPr>
            </w:pPr>
            <w:r>
              <w:rPr>
                <w:rFonts w:ascii="Arial" w:cs="Arial" w:eastAsia="Arial" w:hAnsi="Arial"/>
                <w:sz w:val="18"/>
                <w:szCs w:val="18"/>
                <w:color w:val="auto"/>
              </w:rPr>
              <w:t>205.5</w:t>
            </w: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2680" w:type="dxa"/>
            <w:vAlign w:val="bottom"/>
          </w:tcPr>
          <w:p>
            <w:pPr>
              <w:ind w:left="260"/>
              <w:spacing w:after="0" w:line="202" w:lineRule="exact"/>
              <w:rPr>
                <w:sz w:val="20"/>
                <w:szCs w:val="20"/>
                <w:color w:val="auto"/>
              </w:rPr>
            </w:pPr>
            <w:r>
              <w:rPr>
                <w:rFonts w:ascii="Arial" w:cs="Arial" w:eastAsia="Arial" w:hAnsi="Arial"/>
                <w:sz w:val="18"/>
                <w:szCs w:val="18"/>
                <w:color w:val="auto"/>
              </w:rPr>
              <w:t>Foreign currency translation</w:t>
            </w:r>
          </w:p>
        </w:tc>
        <w:tc>
          <w:tcPr>
            <w:tcW w:w="1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(249.9)</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2680" w:type="dxa"/>
            <w:vAlign w:val="bottom"/>
          </w:tcPr>
          <w:p>
            <w:pPr>
              <w:ind w:left="260"/>
              <w:spacing w:after="0" w:line="202" w:lineRule="exact"/>
              <w:rPr>
                <w:sz w:val="20"/>
                <w:szCs w:val="20"/>
                <w:color w:val="auto"/>
              </w:rPr>
            </w:pPr>
            <w:r>
              <w:rPr>
                <w:rFonts w:ascii="Arial" w:cs="Arial" w:eastAsia="Arial" w:hAnsi="Arial"/>
                <w:sz w:val="18"/>
                <w:szCs w:val="18"/>
                <w:color w:val="auto"/>
              </w:rPr>
              <w:t>Unrealized loss on</w:t>
            </w:r>
          </w:p>
        </w:tc>
        <w:tc>
          <w:tcPr>
            <w:tcW w:w="1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2680" w:type="dxa"/>
            <w:vAlign w:val="bottom"/>
          </w:tcPr>
          <w:p>
            <w:pPr>
              <w:ind w:left="520"/>
              <w:spacing w:after="0" w:line="202" w:lineRule="exact"/>
              <w:rPr>
                <w:sz w:val="20"/>
                <w:szCs w:val="20"/>
                <w:color w:val="auto"/>
              </w:rPr>
            </w:pPr>
            <w:r>
              <w:rPr>
                <w:rFonts w:ascii="Arial" w:cs="Arial" w:eastAsia="Arial" w:hAnsi="Arial"/>
                <w:sz w:val="18"/>
                <w:szCs w:val="18"/>
                <w:color w:val="auto"/>
              </w:rPr>
              <w:t>investments, net of tax</w:t>
            </w:r>
          </w:p>
        </w:tc>
        <w:tc>
          <w:tcPr>
            <w:tcW w:w="1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(7.6)</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2680" w:type="dxa"/>
            <w:vAlign w:val="bottom"/>
          </w:tcPr>
          <w:p>
            <w:pPr>
              <w:ind w:left="260"/>
              <w:spacing w:after="0" w:line="202" w:lineRule="exact"/>
              <w:rPr>
                <w:sz w:val="20"/>
                <w:szCs w:val="20"/>
                <w:color w:val="auto"/>
              </w:rPr>
            </w:pPr>
            <w:r>
              <w:rPr>
                <w:rFonts w:ascii="Arial" w:cs="Arial" w:eastAsia="Arial" w:hAnsi="Arial"/>
                <w:sz w:val="18"/>
                <w:szCs w:val="18"/>
                <w:color w:val="auto"/>
              </w:rPr>
              <w:t>Unrealized loss on</w:t>
            </w:r>
          </w:p>
        </w:tc>
        <w:tc>
          <w:tcPr>
            <w:tcW w:w="1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2680" w:type="dxa"/>
            <w:vAlign w:val="bottom"/>
          </w:tcPr>
          <w:p>
            <w:pPr>
              <w:ind w:left="520"/>
              <w:spacing w:after="0" w:line="202" w:lineRule="exact"/>
              <w:rPr>
                <w:sz w:val="20"/>
                <w:szCs w:val="20"/>
                <w:color w:val="auto"/>
              </w:rPr>
            </w:pPr>
            <w:r>
              <w:rPr>
                <w:rFonts w:ascii="Arial" w:cs="Arial" w:eastAsia="Arial" w:hAnsi="Arial"/>
                <w:sz w:val="18"/>
                <w:szCs w:val="18"/>
                <w:color w:val="auto"/>
              </w:rPr>
              <w:t>derivatives, net of tax</w:t>
            </w:r>
          </w:p>
        </w:tc>
        <w:tc>
          <w:tcPr>
            <w:tcW w:w="1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(1.4)</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2680" w:type="dxa"/>
            <w:vAlign w:val="bottom"/>
          </w:tcPr>
          <w:p>
            <w:pPr>
              <w:ind w:left="260"/>
              <w:spacing w:after="0" w:line="202" w:lineRule="exact"/>
              <w:rPr>
                <w:sz w:val="20"/>
                <w:szCs w:val="20"/>
                <w:color w:val="auto"/>
              </w:rPr>
            </w:pPr>
            <w:r>
              <w:rPr>
                <w:rFonts w:ascii="Arial" w:cs="Arial" w:eastAsia="Arial" w:hAnsi="Arial"/>
                <w:sz w:val="18"/>
                <w:szCs w:val="18"/>
                <w:color w:val="auto"/>
              </w:rPr>
              <w:t>Defined benefit pension plans</w:t>
            </w:r>
          </w:p>
        </w:tc>
        <w:tc>
          <w:tcPr>
            <w:tcW w:w="1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2680" w:type="dxa"/>
            <w:vAlign w:val="bottom"/>
          </w:tcPr>
          <w:p>
            <w:pPr>
              <w:ind w:left="520"/>
              <w:spacing w:after="0" w:line="202" w:lineRule="exact"/>
              <w:rPr>
                <w:sz w:val="20"/>
                <w:szCs w:val="20"/>
                <w:color w:val="auto"/>
              </w:rPr>
            </w:pPr>
            <w:r>
              <w:rPr>
                <w:rFonts w:ascii="Arial" w:cs="Arial" w:eastAsia="Arial" w:hAnsi="Arial"/>
                <w:sz w:val="18"/>
                <w:szCs w:val="18"/>
                <w:color w:val="auto"/>
              </w:rPr>
              <w:t>and retiree health care</w:t>
            </w:r>
          </w:p>
        </w:tc>
        <w:tc>
          <w:tcPr>
            <w:tcW w:w="1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2680" w:type="dxa"/>
            <w:vAlign w:val="bottom"/>
          </w:tcPr>
          <w:p>
            <w:pPr>
              <w:ind w:left="520"/>
              <w:spacing w:after="0" w:line="202" w:lineRule="exact"/>
              <w:rPr>
                <w:sz w:val="20"/>
                <w:szCs w:val="20"/>
                <w:color w:val="auto"/>
              </w:rPr>
            </w:pPr>
            <w:r>
              <w:rPr>
                <w:rFonts w:ascii="Arial" w:cs="Arial" w:eastAsia="Arial" w:hAnsi="Arial"/>
                <w:sz w:val="18"/>
                <w:szCs w:val="18"/>
                <w:color w:val="auto"/>
              </w:rPr>
              <w:t>plan, net of tax</w:t>
            </w:r>
          </w:p>
        </w:tc>
        <w:tc>
          <w:tcPr>
            <w:tcW w:w="1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(5.8)</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2700" w:type="dxa"/>
            <w:vAlign w:val="bottom"/>
            <w:gridSpan w:val="2"/>
          </w:tcPr>
          <w:p>
            <w:pPr>
              <w:spacing w:after="0" w:line="202" w:lineRule="exact"/>
              <w:rPr>
                <w:sz w:val="20"/>
                <w:szCs w:val="20"/>
                <w:color w:val="auto"/>
              </w:rPr>
            </w:pPr>
            <w:r>
              <w:rPr>
                <w:rFonts w:ascii="Arial" w:cs="Arial" w:eastAsia="Arial" w:hAnsi="Arial"/>
                <w:sz w:val="18"/>
                <w:szCs w:val="18"/>
                <w:color w:val="auto"/>
              </w:rPr>
              <w:t>Total comprehensive loss</w:t>
            </w:r>
          </w:p>
        </w:tc>
        <w:tc>
          <w:tcPr>
            <w:tcW w:w="1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(59.2)</w:t>
            </w:r>
          </w:p>
        </w:tc>
      </w:tr>
      <w:tr>
        <w:trPr>
          <w:trHeight w:val="203"/>
        </w:trPr>
        <w:tc>
          <w:tcPr>
            <w:tcW w:w="2700" w:type="dxa"/>
            <w:vAlign w:val="bottom"/>
            <w:gridSpan w:val="2"/>
          </w:tcPr>
          <w:p>
            <w:pPr>
              <w:spacing w:after="0" w:line="202" w:lineRule="exact"/>
              <w:rPr>
                <w:sz w:val="20"/>
                <w:szCs w:val="20"/>
                <w:color w:val="auto"/>
              </w:rPr>
            </w:pPr>
            <w:r>
              <w:rPr>
                <w:rFonts w:ascii="Arial" w:cs="Arial" w:eastAsia="Arial" w:hAnsi="Arial"/>
                <w:sz w:val="18"/>
                <w:szCs w:val="18"/>
                <w:color w:val="auto"/>
              </w:rPr>
              <w:t>Effects of changing pension plan</w:t>
            </w:r>
          </w:p>
        </w:tc>
        <w:tc>
          <w:tcPr>
            <w:tcW w:w="1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2680" w:type="dxa"/>
            <w:vAlign w:val="bottom"/>
          </w:tcPr>
          <w:p>
            <w:pPr>
              <w:ind w:left="260"/>
              <w:spacing w:after="0" w:line="202" w:lineRule="exact"/>
              <w:rPr>
                <w:sz w:val="20"/>
                <w:szCs w:val="20"/>
                <w:color w:val="auto"/>
              </w:rPr>
            </w:pPr>
            <w:r>
              <w:rPr>
                <w:rFonts w:ascii="Arial" w:cs="Arial" w:eastAsia="Arial" w:hAnsi="Arial"/>
                <w:sz w:val="18"/>
                <w:szCs w:val="18"/>
                <w:color w:val="auto"/>
              </w:rPr>
              <w:t>measurement date:</w:t>
            </w:r>
          </w:p>
        </w:tc>
        <w:tc>
          <w:tcPr>
            <w:tcW w:w="1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2680" w:type="dxa"/>
            <w:vAlign w:val="bottom"/>
          </w:tcPr>
          <w:p>
            <w:pPr>
              <w:ind w:left="520"/>
              <w:spacing w:after="0" w:line="202" w:lineRule="exact"/>
              <w:rPr>
                <w:sz w:val="20"/>
                <w:szCs w:val="20"/>
                <w:color w:val="auto"/>
              </w:rPr>
            </w:pPr>
            <w:r>
              <w:rPr>
                <w:rFonts w:ascii="Arial" w:cs="Arial" w:eastAsia="Arial" w:hAnsi="Arial"/>
                <w:sz w:val="18"/>
                <w:szCs w:val="18"/>
                <w:color w:val="auto"/>
              </w:rPr>
              <w:t>Service cost, interest cost</w:t>
            </w:r>
          </w:p>
        </w:tc>
        <w:tc>
          <w:tcPr>
            <w:tcW w:w="1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2680" w:type="dxa"/>
            <w:vAlign w:val="bottom"/>
          </w:tcPr>
          <w:p>
            <w:pPr>
              <w:ind w:left="800"/>
              <w:spacing w:after="0" w:line="202" w:lineRule="exact"/>
              <w:rPr>
                <w:sz w:val="20"/>
                <w:szCs w:val="20"/>
                <w:color w:val="auto"/>
              </w:rPr>
            </w:pPr>
            <w:r>
              <w:rPr>
                <w:rFonts w:ascii="Arial" w:cs="Arial" w:eastAsia="Arial" w:hAnsi="Arial"/>
                <w:sz w:val="18"/>
                <w:szCs w:val="18"/>
                <w:color w:val="auto"/>
              </w:rPr>
              <w:t>and return on plan</w:t>
            </w:r>
          </w:p>
        </w:tc>
        <w:tc>
          <w:tcPr>
            <w:tcW w:w="1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2680" w:type="dxa"/>
            <w:vAlign w:val="bottom"/>
          </w:tcPr>
          <w:p>
            <w:pPr>
              <w:ind w:left="800"/>
              <w:spacing w:after="0" w:line="202" w:lineRule="exact"/>
              <w:rPr>
                <w:sz w:val="20"/>
                <w:szCs w:val="20"/>
                <w:color w:val="auto"/>
              </w:rPr>
            </w:pPr>
            <w:r>
              <w:rPr>
                <w:rFonts w:ascii="Arial" w:cs="Arial" w:eastAsia="Arial" w:hAnsi="Arial"/>
                <w:sz w:val="18"/>
                <w:szCs w:val="18"/>
                <w:color w:val="auto"/>
              </w:rPr>
              <w:t>assets for October 1-</w:t>
            </w:r>
          </w:p>
        </w:tc>
        <w:tc>
          <w:tcPr>
            <w:tcW w:w="1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2680" w:type="dxa"/>
            <w:vAlign w:val="bottom"/>
          </w:tcPr>
          <w:p>
            <w:pPr>
              <w:ind w:left="800"/>
              <w:spacing w:after="0" w:line="202" w:lineRule="exact"/>
              <w:rPr>
                <w:sz w:val="20"/>
                <w:szCs w:val="20"/>
                <w:color w:val="auto"/>
              </w:rPr>
            </w:pPr>
            <w:r>
              <w:rPr>
                <w:rFonts w:ascii="Arial" w:cs="Arial" w:eastAsia="Arial" w:hAnsi="Arial"/>
                <w:sz w:val="18"/>
                <w:szCs w:val="18"/>
                <w:color w:val="auto"/>
              </w:rPr>
              <w:t>December 31, net of</w:t>
            </w:r>
          </w:p>
        </w:tc>
        <w:tc>
          <w:tcPr>
            <w:tcW w:w="1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2680" w:type="dxa"/>
            <w:vAlign w:val="bottom"/>
          </w:tcPr>
          <w:p>
            <w:pPr>
              <w:ind w:left="800"/>
              <w:spacing w:after="0" w:line="202" w:lineRule="exact"/>
              <w:rPr>
                <w:sz w:val="20"/>
                <w:szCs w:val="20"/>
                <w:color w:val="auto"/>
              </w:rPr>
            </w:pPr>
            <w:r>
              <w:rPr>
                <w:rFonts w:ascii="Arial" w:cs="Arial" w:eastAsia="Arial" w:hAnsi="Arial"/>
                <w:sz w:val="18"/>
                <w:szCs w:val="18"/>
                <w:color w:val="auto"/>
              </w:rPr>
              <w:t>tax</w:t>
            </w:r>
          </w:p>
        </w:tc>
        <w:tc>
          <w:tcPr>
            <w:tcW w:w="1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ind w:right="51"/>
              <w:spacing w:after="0" w:line="202" w:lineRule="exact"/>
              <w:rPr>
                <w:sz w:val="20"/>
                <w:szCs w:val="20"/>
                <w:color w:val="auto"/>
              </w:rPr>
            </w:pPr>
            <w:r>
              <w:rPr>
                <w:rFonts w:ascii="Arial" w:cs="Arial" w:eastAsia="Arial" w:hAnsi="Arial"/>
                <w:sz w:val="18"/>
                <w:szCs w:val="18"/>
                <w:color w:val="auto"/>
              </w:rPr>
              <w:t>0.1</w:t>
            </w: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0.1</w:t>
            </w: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2680" w:type="dxa"/>
            <w:vAlign w:val="bottom"/>
          </w:tcPr>
          <w:p>
            <w:pPr>
              <w:ind w:left="520"/>
              <w:spacing w:after="0" w:line="202" w:lineRule="exact"/>
              <w:rPr>
                <w:sz w:val="20"/>
                <w:szCs w:val="20"/>
                <w:color w:val="auto"/>
              </w:rPr>
            </w:pPr>
            <w:r>
              <w:rPr>
                <w:rFonts w:ascii="Arial" w:cs="Arial" w:eastAsia="Arial" w:hAnsi="Arial"/>
                <w:sz w:val="18"/>
                <w:szCs w:val="18"/>
                <w:color w:val="auto"/>
              </w:rPr>
              <w:t>Additional loss for October</w:t>
            </w:r>
          </w:p>
        </w:tc>
        <w:tc>
          <w:tcPr>
            <w:tcW w:w="1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2680" w:type="dxa"/>
            <w:vAlign w:val="bottom"/>
          </w:tcPr>
          <w:p>
            <w:pPr>
              <w:ind w:left="800"/>
              <w:spacing w:after="0" w:line="202" w:lineRule="exact"/>
              <w:rPr>
                <w:sz w:val="20"/>
                <w:szCs w:val="20"/>
                <w:color w:val="auto"/>
              </w:rPr>
            </w:pPr>
            <w:r>
              <w:rPr>
                <w:rFonts w:ascii="Arial" w:cs="Arial" w:eastAsia="Arial" w:hAnsi="Arial"/>
                <w:sz w:val="18"/>
                <w:szCs w:val="18"/>
                <w:color w:val="auto"/>
              </w:rPr>
              <w:t>1- December 31, net of</w:t>
            </w:r>
          </w:p>
        </w:tc>
        <w:tc>
          <w:tcPr>
            <w:tcW w:w="1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2680" w:type="dxa"/>
            <w:vAlign w:val="bottom"/>
          </w:tcPr>
          <w:p>
            <w:pPr>
              <w:ind w:left="800"/>
              <w:spacing w:after="0" w:line="202" w:lineRule="exact"/>
              <w:rPr>
                <w:sz w:val="20"/>
                <w:szCs w:val="20"/>
                <w:color w:val="auto"/>
              </w:rPr>
            </w:pPr>
            <w:r>
              <w:rPr>
                <w:rFonts w:ascii="Arial" w:cs="Arial" w:eastAsia="Arial" w:hAnsi="Arial"/>
                <w:sz w:val="18"/>
                <w:szCs w:val="18"/>
                <w:color w:val="auto"/>
              </w:rPr>
              <w:t>tax</w:t>
            </w:r>
          </w:p>
        </w:tc>
        <w:tc>
          <w:tcPr>
            <w:tcW w:w="1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(1.8)</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(1.8)</w:t>
            </w:r>
          </w:p>
        </w:tc>
      </w:tr>
      <w:tr>
        <w:trPr>
          <w:trHeight w:val="203"/>
        </w:trPr>
        <w:tc>
          <w:tcPr>
            <w:tcW w:w="2700" w:type="dxa"/>
            <w:vAlign w:val="bottom"/>
            <w:gridSpan w:val="2"/>
          </w:tcPr>
          <w:p>
            <w:pPr>
              <w:spacing w:after="0" w:line="202" w:lineRule="exact"/>
              <w:rPr>
                <w:sz w:val="20"/>
                <w:szCs w:val="20"/>
                <w:color w:val="auto"/>
              </w:rPr>
            </w:pPr>
            <w:r>
              <w:rPr>
                <w:rFonts w:ascii="Arial" w:cs="Arial" w:eastAsia="Arial" w:hAnsi="Arial"/>
                <w:sz w:val="18"/>
                <w:szCs w:val="18"/>
                <w:color w:val="auto"/>
              </w:rPr>
              <w:t>Issuances under equity plans,</w:t>
            </w:r>
          </w:p>
        </w:tc>
        <w:tc>
          <w:tcPr>
            <w:tcW w:w="1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2680" w:type="dxa"/>
            <w:vAlign w:val="bottom"/>
          </w:tcPr>
          <w:p>
            <w:pPr>
              <w:ind w:left="260"/>
              <w:spacing w:after="0" w:line="202" w:lineRule="exact"/>
              <w:rPr>
                <w:sz w:val="20"/>
                <w:szCs w:val="20"/>
                <w:color w:val="auto"/>
              </w:rPr>
            </w:pPr>
            <w:r>
              <w:rPr>
                <w:rFonts w:ascii="Arial" w:cs="Arial" w:eastAsia="Arial" w:hAnsi="Arial"/>
                <w:sz w:val="18"/>
                <w:szCs w:val="18"/>
                <w:color w:val="auto"/>
              </w:rPr>
              <w:t>including tax benefits</w:t>
            </w:r>
          </w:p>
        </w:tc>
        <w:tc>
          <w:tcPr>
            <w:tcW w:w="1320" w:type="dxa"/>
            <w:vAlign w:val="bottom"/>
          </w:tcPr>
          <w:p>
            <w:pPr>
              <w:jc w:val="right"/>
              <w:ind w:right="12"/>
              <w:spacing w:after="0" w:line="202" w:lineRule="exact"/>
              <w:rPr>
                <w:sz w:val="20"/>
                <w:szCs w:val="20"/>
                <w:color w:val="auto"/>
              </w:rPr>
            </w:pPr>
            <w:r>
              <w:rPr>
                <w:rFonts w:ascii="Arial" w:cs="Arial" w:eastAsia="Arial" w:hAnsi="Arial"/>
                <w:sz w:val="18"/>
                <w:szCs w:val="18"/>
                <w:color w:val="auto"/>
              </w:rPr>
              <w:t>341,884</w:t>
            </w: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jc w:val="right"/>
              <w:ind w:right="52"/>
              <w:spacing w:after="0" w:line="202" w:lineRule="exact"/>
              <w:rPr>
                <w:sz w:val="20"/>
                <w:szCs w:val="20"/>
                <w:color w:val="auto"/>
              </w:rPr>
            </w:pPr>
            <w:r>
              <w:rPr>
                <w:rFonts w:ascii="Arial" w:cs="Arial" w:eastAsia="Arial" w:hAnsi="Arial"/>
                <w:sz w:val="18"/>
                <w:szCs w:val="18"/>
                <w:color w:val="auto"/>
              </w:rPr>
              <w:t>11.9</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ind w:right="52"/>
              <w:spacing w:after="0" w:line="202" w:lineRule="exact"/>
              <w:rPr>
                <w:sz w:val="20"/>
                <w:szCs w:val="20"/>
                <w:color w:val="auto"/>
              </w:rPr>
            </w:pPr>
            <w:r>
              <w:rPr>
                <w:rFonts w:ascii="Arial" w:cs="Arial" w:eastAsia="Arial" w:hAnsi="Arial"/>
                <w:sz w:val="18"/>
                <w:szCs w:val="18"/>
                <w:color w:val="auto"/>
              </w:rPr>
              <w:t>0.8</w:t>
            </w:r>
          </w:p>
        </w:tc>
        <w:tc>
          <w:tcPr>
            <w:tcW w:w="28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12.7</w:t>
            </w:r>
          </w:p>
        </w:tc>
        <w:tc>
          <w:tcPr>
            <w:tcW w:w="60" w:type="dxa"/>
            <w:vAlign w:val="bottom"/>
          </w:tcPr>
          <w:p>
            <w:pPr>
              <w:spacing w:after="0"/>
              <w:rPr>
                <w:sz w:val="17"/>
                <w:szCs w:val="17"/>
                <w:color w:val="auto"/>
              </w:rPr>
            </w:pPr>
          </w:p>
        </w:tc>
      </w:tr>
      <w:tr>
        <w:trPr>
          <w:trHeight w:val="203"/>
        </w:trPr>
        <w:tc>
          <w:tcPr>
            <w:tcW w:w="2700" w:type="dxa"/>
            <w:vAlign w:val="bottom"/>
            <w:gridSpan w:val="2"/>
          </w:tcPr>
          <w:p>
            <w:pPr>
              <w:spacing w:after="0" w:line="202" w:lineRule="exact"/>
              <w:rPr>
                <w:sz w:val="20"/>
                <w:szCs w:val="20"/>
                <w:color w:val="auto"/>
              </w:rPr>
            </w:pPr>
            <w:r>
              <w:rPr>
                <w:rFonts w:ascii="Arial" w:cs="Arial" w:eastAsia="Arial" w:hAnsi="Arial"/>
                <w:sz w:val="18"/>
                <w:szCs w:val="18"/>
                <w:color w:val="auto"/>
              </w:rPr>
              <w:t>Share-based compensation</w:t>
            </w:r>
          </w:p>
        </w:tc>
        <w:tc>
          <w:tcPr>
            <w:tcW w:w="1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2680" w:type="dxa"/>
            <w:vAlign w:val="bottom"/>
          </w:tcPr>
          <w:p>
            <w:pPr>
              <w:ind w:left="260"/>
              <w:spacing w:after="0" w:line="202" w:lineRule="exact"/>
              <w:rPr>
                <w:sz w:val="20"/>
                <w:szCs w:val="20"/>
                <w:color w:val="auto"/>
              </w:rPr>
            </w:pPr>
            <w:r>
              <w:rPr>
                <w:rFonts w:ascii="Arial" w:cs="Arial" w:eastAsia="Arial" w:hAnsi="Arial"/>
                <w:sz w:val="18"/>
                <w:szCs w:val="18"/>
                <w:color w:val="auto"/>
              </w:rPr>
              <w:t>expense</w:t>
            </w:r>
          </w:p>
        </w:tc>
        <w:tc>
          <w:tcPr>
            <w:tcW w:w="1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jc w:val="right"/>
              <w:ind w:right="52"/>
              <w:spacing w:after="0" w:line="202" w:lineRule="exact"/>
              <w:rPr>
                <w:sz w:val="20"/>
                <w:szCs w:val="20"/>
                <w:color w:val="auto"/>
              </w:rPr>
            </w:pPr>
            <w:r>
              <w:rPr>
                <w:rFonts w:ascii="Arial" w:cs="Arial" w:eastAsia="Arial" w:hAnsi="Arial"/>
                <w:sz w:val="18"/>
                <w:szCs w:val="18"/>
                <w:color w:val="auto"/>
              </w:rPr>
              <w:t>21.1</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21.1</w:t>
            </w:r>
          </w:p>
        </w:tc>
        <w:tc>
          <w:tcPr>
            <w:tcW w:w="60" w:type="dxa"/>
            <w:vAlign w:val="bottom"/>
          </w:tcPr>
          <w:p>
            <w:pPr>
              <w:spacing w:after="0"/>
              <w:rPr>
                <w:sz w:val="17"/>
                <w:szCs w:val="17"/>
                <w:color w:val="auto"/>
              </w:rPr>
            </w:pPr>
          </w:p>
        </w:tc>
      </w:tr>
      <w:tr>
        <w:trPr>
          <w:trHeight w:val="203"/>
        </w:trPr>
        <w:tc>
          <w:tcPr>
            <w:tcW w:w="2700" w:type="dxa"/>
            <w:vAlign w:val="bottom"/>
            <w:gridSpan w:val="2"/>
          </w:tcPr>
          <w:p>
            <w:pPr>
              <w:spacing w:after="0" w:line="202" w:lineRule="exact"/>
              <w:rPr>
                <w:sz w:val="20"/>
                <w:szCs w:val="20"/>
                <w:color w:val="auto"/>
              </w:rPr>
            </w:pPr>
            <w:r>
              <w:rPr>
                <w:rFonts w:ascii="Arial" w:cs="Arial" w:eastAsia="Arial" w:hAnsi="Arial"/>
                <w:sz w:val="18"/>
                <w:szCs w:val="18"/>
                <w:color w:val="auto"/>
              </w:rPr>
              <w:t>Dividends ($0.74 per share)</w:t>
            </w:r>
          </w:p>
        </w:tc>
        <w:tc>
          <w:tcPr>
            <w:tcW w:w="1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(58.1)</w:t>
            </w: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(58.1)</w:t>
            </w:r>
          </w:p>
        </w:tc>
      </w:tr>
      <w:tr>
        <w:trPr>
          <w:trHeight w:val="203"/>
        </w:trPr>
        <w:tc>
          <w:tcPr>
            <w:tcW w:w="2700" w:type="dxa"/>
            <w:vAlign w:val="bottom"/>
            <w:gridSpan w:val="2"/>
          </w:tcPr>
          <w:p>
            <w:pPr>
              <w:spacing w:after="0" w:line="203" w:lineRule="exact"/>
              <w:rPr>
                <w:sz w:val="20"/>
                <w:szCs w:val="20"/>
                <w:color w:val="auto"/>
              </w:rPr>
            </w:pPr>
            <w:r>
              <w:rPr>
                <w:rFonts w:ascii="Arial" w:cs="Arial" w:eastAsia="Arial" w:hAnsi="Arial"/>
                <w:sz w:val="18"/>
                <w:szCs w:val="18"/>
                <w:color w:val="auto"/>
              </w:rPr>
              <w:t>Repurchases of common stock</w:t>
            </w:r>
          </w:p>
        </w:tc>
        <w:tc>
          <w:tcPr>
            <w:tcW w:w="1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Arial" w:cs="Arial" w:eastAsia="Arial" w:hAnsi="Arial"/>
                <w:sz w:val="18"/>
                <w:szCs w:val="18"/>
                <w:color w:val="auto"/>
              </w:rPr>
              <w:t>(113.7)</w:t>
            </w:r>
          </w:p>
        </w:tc>
        <w:tc>
          <w:tcPr>
            <w:tcW w:w="280" w:type="dxa"/>
            <w:vAlign w:val="bottom"/>
          </w:tcPr>
          <w:p>
            <w:pPr>
              <w:spacing w:after="0"/>
              <w:rPr>
                <w:sz w:val="17"/>
                <w:szCs w:val="17"/>
                <w:color w:val="auto"/>
              </w:rPr>
            </w:pPr>
          </w:p>
        </w:tc>
        <w:tc>
          <w:tcPr>
            <w:tcW w:w="76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(113.7)</w:t>
            </w:r>
          </w:p>
        </w:tc>
      </w:tr>
      <w:tr>
        <w:trPr>
          <w:trHeight w:val="195"/>
        </w:trPr>
        <w:tc>
          <w:tcPr>
            <w:tcW w:w="2700" w:type="dxa"/>
            <w:vAlign w:val="bottom"/>
            <w:tcBorders>
              <w:top w:val="single" w:sz="8" w:color="939598"/>
            </w:tcBorders>
            <w:gridSpan w:val="2"/>
          </w:tcPr>
          <w:p>
            <w:pPr>
              <w:spacing w:after="0" w:line="195" w:lineRule="exact"/>
              <w:rPr>
                <w:sz w:val="20"/>
                <w:szCs w:val="20"/>
                <w:color w:val="auto"/>
              </w:rPr>
            </w:pPr>
            <w:r>
              <w:rPr>
                <w:rFonts w:ascii="Arial" w:cs="Arial" w:eastAsia="Arial" w:hAnsi="Arial"/>
                <w:sz w:val="18"/>
                <w:szCs w:val="18"/>
                <w:color w:val="auto"/>
              </w:rPr>
              <w:t>Balance, December 31, 2008</w:t>
            </w:r>
          </w:p>
        </w:tc>
        <w:tc>
          <w:tcPr>
            <w:tcW w:w="1320" w:type="dxa"/>
            <w:vAlign w:val="bottom"/>
            <w:tcBorders>
              <w:top w:val="single" w:sz="8" w:color="939598"/>
            </w:tcBorders>
          </w:tcPr>
          <w:p>
            <w:pPr>
              <w:jc w:val="right"/>
              <w:ind w:right="12"/>
              <w:spacing w:after="0" w:line="195" w:lineRule="exact"/>
              <w:rPr>
                <w:sz w:val="20"/>
                <w:szCs w:val="20"/>
                <w:color w:val="auto"/>
              </w:rPr>
            </w:pPr>
            <w:r>
              <w:rPr>
                <w:rFonts w:ascii="Arial" w:cs="Arial" w:eastAsia="Arial" w:hAnsi="Arial"/>
                <w:sz w:val="18"/>
                <w:szCs w:val="18"/>
                <w:color w:val="auto"/>
              </w:rPr>
              <w:t>103,756,138</w:t>
            </w:r>
          </w:p>
        </w:tc>
        <w:tc>
          <w:tcPr>
            <w:tcW w:w="240" w:type="dxa"/>
            <w:vAlign w:val="bottom"/>
            <w:tcBorders>
              <w:top w:val="single" w:sz="8" w:color="939598"/>
            </w:tcBorders>
          </w:tcPr>
          <w:p>
            <w:pPr>
              <w:spacing w:after="0"/>
              <w:rPr>
                <w:sz w:val="16"/>
                <w:szCs w:val="16"/>
                <w:color w:val="auto"/>
              </w:rPr>
            </w:pPr>
          </w:p>
        </w:tc>
        <w:tc>
          <w:tcPr>
            <w:tcW w:w="880" w:type="dxa"/>
            <w:vAlign w:val="bottom"/>
            <w:tcBorders>
              <w:top w:val="single" w:sz="8" w:color="939598"/>
            </w:tcBorders>
            <w:gridSpan w:val="2"/>
          </w:tcPr>
          <w:p>
            <w:pPr>
              <w:jc w:val="right"/>
              <w:ind w:right="100"/>
              <w:spacing w:after="0" w:line="195" w:lineRule="exact"/>
              <w:rPr>
                <w:sz w:val="20"/>
                <w:szCs w:val="20"/>
                <w:color w:val="auto"/>
              </w:rPr>
            </w:pPr>
            <w:r>
              <w:rPr>
                <w:rFonts w:ascii="Arial" w:cs="Arial" w:eastAsia="Arial" w:hAnsi="Arial"/>
                <w:sz w:val="18"/>
                <w:szCs w:val="18"/>
                <w:color w:val="auto"/>
              </w:rPr>
              <w:t>1.0</w:t>
            </w:r>
          </w:p>
        </w:tc>
        <w:tc>
          <w:tcPr>
            <w:tcW w:w="220" w:type="dxa"/>
            <w:vAlign w:val="bottom"/>
            <w:tcBorders>
              <w:top w:val="single" w:sz="8" w:color="939598"/>
            </w:tcBorders>
          </w:tcPr>
          <w:p>
            <w:pPr>
              <w:spacing w:after="0"/>
              <w:rPr>
                <w:sz w:val="16"/>
                <w:szCs w:val="16"/>
                <w:color w:val="auto"/>
              </w:rPr>
            </w:pPr>
          </w:p>
        </w:tc>
        <w:tc>
          <w:tcPr>
            <w:tcW w:w="1060" w:type="dxa"/>
            <w:vAlign w:val="bottom"/>
            <w:tcBorders>
              <w:top w:val="single" w:sz="8" w:color="939598"/>
            </w:tcBorders>
          </w:tcPr>
          <w:p>
            <w:pPr>
              <w:jc w:val="right"/>
              <w:ind w:right="52"/>
              <w:spacing w:after="0" w:line="195" w:lineRule="exact"/>
              <w:rPr>
                <w:sz w:val="20"/>
                <w:szCs w:val="20"/>
                <w:color w:val="auto"/>
              </w:rPr>
            </w:pPr>
            <w:r>
              <w:rPr>
                <w:rFonts w:ascii="Arial" w:cs="Arial" w:eastAsia="Arial" w:hAnsi="Arial"/>
                <w:sz w:val="18"/>
                <w:szCs w:val="18"/>
                <w:color w:val="auto"/>
              </w:rPr>
              <w:t>2,514.8</w:t>
            </w:r>
          </w:p>
        </w:tc>
        <w:tc>
          <w:tcPr>
            <w:tcW w:w="240" w:type="dxa"/>
            <w:vAlign w:val="bottom"/>
            <w:tcBorders>
              <w:top w:val="single" w:sz="8" w:color="939598"/>
            </w:tcBorders>
          </w:tcPr>
          <w:p>
            <w:pPr>
              <w:spacing w:after="0"/>
              <w:rPr>
                <w:sz w:val="16"/>
                <w:szCs w:val="16"/>
                <w:color w:val="auto"/>
              </w:rPr>
            </w:pPr>
          </w:p>
        </w:tc>
        <w:tc>
          <w:tcPr>
            <w:tcW w:w="880" w:type="dxa"/>
            <w:vAlign w:val="bottom"/>
            <w:tcBorders>
              <w:top w:val="single" w:sz="8" w:color="939598"/>
            </w:tcBorders>
          </w:tcPr>
          <w:p>
            <w:pPr>
              <w:jc w:val="right"/>
              <w:ind w:right="51"/>
              <w:spacing w:after="0" w:line="195" w:lineRule="exact"/>
              <w:rPr>
                <w:sz w:val="20"/>
                <w:szCs w:val="20"/>
                <w:color w:val="auto"/>
              </w:rPr>
            </w:pPr>
            <w:r>
              <w:rPr>
                <w:rFonts w:ascii="Arial" w:cs="Arial" w:eastAsia="Arial" w:hAnsi="Arial"/>
                <w:sz w:val="18"/>
                <w:szCs w:val="18"/>
                <w:color w:val="auto"/>
              </w:rPr>
              <w:t>1,176.8</w:t>
            </w:r>
          </w:p>
        </w:tc>
        <w:tc>
          <w:tcPr>
            <w:tcW w:w="200" w:type="dxa"/>
            <w:vAlign w:val="bottom"/>
            <w:tcBorders>
              <w:top w:val="single" w:sz="8" w:color="939598"/>
            </w:tcBorders>
          </w:tcPr>
          <w:p>
            <w:pPr>
              <w:spacing w:after="0"/>
              <w:rPr>
                <w:sz w:val="16"/>
                <w:szCs w:val="16"/>
                <w:color w:val="auto"/>
              </w:rPr>
            </w:pPr>
          </w:p>
        </w:tc>
        <w:tc>
          <w:tcPr>
            <w:tcW w:w="1360" w:type="dxa"/>
            <w:vAlign w:val="bottom"/>
            <w:tcBorders>
              <w:top w:val="single" w:sz="8" w:color="939598"/>
            </w:tcBorders>
          </w:tcPr>
          <w:p>
            <w:pPr>
              <w:jc w:val="right"/>
              <w:spacing w:after="0" w:line="195" w:lineRule="exact"/>
              <w:rPr>
                <w:sz w:val="20"/>
                <w:szCs w:val="20"/>
                <w:color w:val="auto"/>
              </w:rPr>
            </w:pPr>
            <w:r>
              <w:rPr>
                <w:rFonts w:ascii="Arial" w:cs="Arial" w:eastAsia="Arial" w:hAnsi="Arial"/>
                <w:sz w:val="18"/>
                <w:szCs w:val="18"/>
                <w:color w:val="auto"/>
              </w:rPr>
              <w:t>(8.9)</w:t>
            </w:r>
          </w:p>
        </w:tc>
        <w:tc>
          <w:tcPr>
            <w:tcW w:w="240" w:type="dxa"/>
            <w:vAlign w:val="bottom"/>
            <w:tcBorders>
              <w:top w:val="single" w:sz="8" w:color="939598"/>
            </w:tcBorders>
          </w:tcPr>
          <w:p>
            <w:pPr>
              <w:spacing w:after="0"/>
              <w:rPr>
                <w:sz w:val="16"/>
                <w:szCs w:val="16"/>
                <w:color w:val="auto"/>
              </w:rPr>
            </w:pPr>
          </w:p>
        </w:tc>
        <w:tc>
          <w:tcPr>
            <w:tcW w:w="880" w:type="dxa"/>
            <w:vAlign w:val="bottom"/>
            <w:tcBorders>
              <w:top w:val="single" w:sz="8" w:color="939598"/>
            </w:tcBorders>
          </w:tcPr>
          <w:p>
            <w:pPr>
              <w:jc w:val="right"/>
              <w:spacing w:after="0" w:line="195" w:lineRule="exact"/>
              <w:rPr>
                <w:sz w:val="20"/>
                <w:szCs w:val="20"/>
                <w:color w:val="auto"/>
              </w:rPr>
            </w:pPr>
            <w:r>
              <w:rPr>
                <w:rFonts w:ascii="Arial" w:cs="Arial" w:eastAsia="Arial" w:hAnsi="Arial"/>
                <w:sz w:val="18"/>
                <w:szCs w:val="18"/>
                <w:color w:val="auto"/>
              </w:rPr>
              <w:t>(1,224.3)</w:t>
            </w:r>
          </w:p>
        </w:tc>
        <w:tc>
          <w:tcPr>
            <w:tcW w:w="280" w:type="dxa"/>
            <w:vAlign w:val="bottom"/>
            <w:tcBorders>
              <w:top w:val="single" w:sz="8" w:color="939598"/>
            </w:tcBorders>
          </w:tcPr>
          <w:p>
            <w:pPr>
              <w:spacing w:after="0"/>
              <w:rPr>
                <w:sz w:val="16"/>
                <w:szCs w:val="16"/>
                <w:color w:val="auto"/>
              </w:rPr>
            </w:pPr>
          </w:p>
        </w:tc>
        <w:tc>
          <w:tcPr>
            <w:tcW w:w="700" w:type="dxa"/>
            <w:vAlign w:val="bottom"/>
            <w:tcBorders>
              <w:top w:val="single" w:sz="8" w:color="939598"/>
            </w:tcBorders>
          </w:tcPr>
          <w:p>
            <w:pPr>
              <w:jc w:val="right"/>
              <w:spacing w:after="0" w:line="195" w:lineRule="exact"/>
              <w:rPr>
                <w:sz w:val="20"/>
                <w:szCs w:val="20"/>
                <w:color w:val="auto"/>
              </w:rPr>
            </w:pPr>
            <w:r>
              <w:rPr>
                <w:rFonts w:ascii="Arial" w:cs="Arial" w:eastAsia="Arial" w:hAnsi="Arial"/>
                <w:sz w:val="18"/>
                <w:szCs w:val="18"/>
                <w:color w:val="auto"/>
              </w:rPr>
              <w:t>2,459.4</w:t>
            </w:r>
          </w:p>
        </w:tc>
        <w:tc>
          <w:tcPr>
            <w:tcW w:w="60" w:type="dxa"/>
            <w:vAlign w:val="bottom"/>
          </w:tcPr>
          <w:p>
            <w:pPr>
              <w:spacing w:after="0"/>
              <w:rPr>
                <w:sz w:val="16"/>
                <w:szCs w:val="16"/>
                <w:color w:val="auto"/>
              </w:rPr>
            </w:pPr>
          </w:p>
        </w:tc>
      </w:tr>
      <w:tr>
        <w:trPr>
          <w:trHeight w:val="203"/>
        </w:trPr>
        <w:tc>
          <w:tcPr>
            <w:tcW w:w="2700" w:type="dxa"/>
            <w:vAlign w:val="bottom"/>
            <w:gridSpan w:val="2"/>
          </w:tcPr>
          <w:p>
            <w:pPr>
              <w:spacing w:after="0" w:line="202" w:lineRule="exact"/>
              <w:rPr>
                <w:sz w:val="20"/>
                <w:szCs w:val="20"/>
                <w:color w:val="auto"/>
              </w:rPr>
            </w:pPr>
            <w:r>
              <w:rPr>
                <w:rFonts w:ascii="Arial" w:cs="Arial" w:eastAsia="Arial" w:hAnsi="Arial"/>
                <w:sz w:val="18"/>
                <w:szCs w:val="18"/>
                <w:color w:val="auto"/>
              </w:rPr>
              <w:t>Comprehensive Income:</w:t>
            </w:r>
          </w:p>
        </w:tc>
        <w:tc>
          <w:tcPr>
            <w:tcW w:w="1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2680" w:type="dxa"/>
            <w:vAlign w:val="bottom"/>
          </w:tcPr>
          <w:p>
            <w:pPr>
              <w:ind w:left="260"/>
              <w:spacing w:after="0" w:line="202" w:lineRule="exact"/>
              <w:rPr>
                <w:sz w:val="20"/>
                <w:szCs w:val="20"/>
                <w:color w:val="auto"/>
              </w:rPr>
            </w:pPr>
            <w:r>
              <w:rPr>
                <w:rFonts w:ascii="Arial" w:cs="Arial" w:eastAsia="Arial" w:hAnsi="Arial"/>
                <w:sz w:val="18"/>
                <w:szCs w:val="18"/>
                <w:color w:val="auto"/>
              </w:rPr>
              <w:t>Net loss</w:t>
            </w:r>
          </w:p>
        </w:tc>
        <w:tc>
          <w:tcPr>
            <w:tcW w:w="1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(9.2)</w:t>
            </w: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2680" w:type="dxa"/>
            <w:vAlign w:val="bottom"/>
          </w:tcPr>
          <w:p>
            <w:pPr>
              <w:ind w:left="260"/>
              <w:spacing w:after="0" w:line="202" w:lineRule="exact"/>
              <w:rPr>
                <w:sz w:val="20"/>
                <w:szCs w:val="20"/>
                <w:color w:val="auto"/>
              </w:rPr>
            </w:pPr>
            <w:r>
              <w:rPr>
                <w:rFonts w:ascii="Arial" w:cs="Arial" w:eastAsia="Arial" w:hAnsi="Arial"/>
                <w:sz w:val="18"/>
                <w:szCs w:val="18"/>
                <w:color w:val="auto"/>
              </w:rPr>
              <w:t>Foreign currency translation</w:t>
            </w:r>
          </w:p>
        </w:tc>
        <w:tc>
          <w:tcPr>
            <w:tcW w:w="1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jc w:val="right"/>
              <w:ind w:right="52"/>
              <w:spacing w:after="0" w:line="202" w:lineRule="exact"/>
              <w:rPr>
                <w:sz w:val="20"/>
                <w:szCs w:val="20"/>
                <w:color w:val="auto"/>
              </w:rPr>
            </w:pPr>
            <w:r>
              <w:rPr>
                <w:rFonts w:ascii="Arial" w:cs="Arial" w:eastAsia="Arial" w:hAnsi="Arial"/>
                <w:sz w:val="18"/>
                <w:szCs w:val="18"/>
                <w:color w:val="auto"/>
              </w:rPr>
              <w:t>107.0</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2680" w:type="dxa"/>
            <w:vAlign w:val="bottom"/>
          </w:tcPr>
          <w:p>
            <w:pPr>
              <w:ind w:left="260"/>
              <w:spacing w:after="0" w:line="202" w:lineRule="exact"/>
              <w:rPr>
                <w:sz w:val="20"/>
                <w:szCs w:val="20"/>
                <w:color w:val="auto"/>
              </w:rPr>
            </w:pPr>
            <w:r>
              <w:rPr>
                <w:rFonts w:ascii="Arial" w:cs="Arial" w:eastAsia="Arial" w:hAnsi="Arial"/>
                <w:sz w:val="18"/>
                <w:szCs w:val="18"/>
                <w:color w:val="auto"/>
              </w:rPr>
              <w:t>Unrealized gain on</w:t>
            </w:r>
          </w:p>
        </w:tc>
        <w:tc>
          <w:tcPr>
            <w:tcW w:w="1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2680" w:type="dxa"/>
            <w:vAlign w:val="bottom"/>
          </w:tcPr>
          <w:p>
            <w:pPr>
              <w:ind w:left="520"/>
              <w:spacing w:after="0" w:line="202" w:lineRule="exact"/>
              <w:rPr>
                <w:sz w:val="20"/>
                <w:szCs w:val="20"/>
                <w:color w:val="auto"/>
              </w:rPr>
            </w:pPr>
            <w:r>
              <w:rPr>
                <w:rFonts w:ascii="Arial" w:cs="Arial" w:eastAsia="Arial" w:hAnsi="Arial"/>
                <w:sz w:val="18"/>
                <w:szCs w:val="18"/>
                <w:color w:val="auto"/>
              </w:rPr>
              <w:t>investments, net of tax</w:t>
            </w:r>
          </w:p>
        </w:tc>
        <w:tc>
          <w:tcPr>
            <w:tcW w:w="1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jc w:val="right"/>
              <w:ind w:right="52"/>
              <w:spacing w:after="0" w:line="202" w:lineRule="exact"/>
              <w:rPr>
                <w:sz w:val="20"/>
                <w:szCs w:val="20"/>
                <w:color w:val="auto"/>
              </w:rPr>
            </w:pPr>
            <w:r>
              <w:rPr>
                <w:rFonts w:ascii="Arial" w:cs="Arial" w:eastAsia="Arial" w:hAnsi="Arial"/>
                <w:sz w:val="18"/>
                <w:szCs w:val="18"/>
                <w:color w:val="auto"/>
              </w:rPr>
              <w:t>4.3</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2680" w:type="dxa"/>
            <w:vAlign w:val="bottom"/>
          </w:tcPr>
          <w:p>
            <w:pPr>
              <w:ind w:left="260"/>
              <w:spacing w:after="0" w:line="202" w:lineRule="exact"/>
              <w:rPr>
                <w:sz w:val="20"/>
                <w:szCs w:val="20"/>
                <w:color w:val="auto"/>
              </w:rPr>
            </w:pPr>
            <w:r>
              <w:rPr>
                <w:rFonts w:ascii="Arial" w:cs="Arial" w:eastAsia="Arial" w:hAnsi="Arial"/>
                <w:sz w:val="18"/>
                <w:szCs w:val="18"/>
                <w:color w:val="auto"/>
              </w:rPr>
              <w:t>Reclassification to earnings of</w:t>
            </w:r>
          </w:p>
        </w:tc>
        <w:tc>
          <w:tcPr>
            <w:tcW w:w="1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2680" w:type="dxa"/>
            <w:vAlign w:val="bottom"/>
          </w:tcPr>
          <w:p>
            <w:pPr>
              <w:ind w:left="520"/>
              <w:spacing w:after="0" w:line="202" w:lineRule="exact"/>
              <w:rPr>
                <w:sz w:val="20"/>
                <w:szCs w:val="20"/>
                <w:color w:val="auto"/>
              </w:rPr>
            </w:pPr>
            <w:r>
              <w:rPr>
                <w:rFonts w:ascii="Arial" w:cs="Arial" w:eastAsia="Arial" w:hAnsi="Arial"/>
                <w:sz w:val="18"/>
                <w:szCs w:val="18"/>
                <w:color w:val="auto"/>
              </w:rPr>
              <w:t>loss on derivatives, net of</w:t>
            </w:r>
          </w:p>
        </w:tc>
        <w:tc>
          <w:tcPr>
            <w:tcW w:w="1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2680" w:type="dxa"/>
            <w:vAlign w:val="bottom"/>
          </w:tcPr>
          <w:p>
            <w:pPr>
              <w:ind w:left="520"/>
              <w:spacing w:after="0" w:line="202" w:lineRule="exact"/>
              <w:rPr>
                <w:sz w:val="20"/>
                <w:szCs w:val="20"/>
                <w:color w:val="auto"/>
              </w:rPr>
            </w:pPr>
            <w:r>
              <w:rPr>
                <w:rFonts w:ascii="Arial" w:cs="Arial" w:eastAsia="Arial" w:hAnsi="Arial"/>
                <w:sz w:val="18"/>
                <w:szCs w:val="18"/>
                <w:color w:val="auto"/>
              </w:rPr>
              <w:t>tax</w:t>
            </w:r>
          </w:p>
        </w:tc>
        <w:tc>
          <w:tcPr>
            <w:tcW w:w="1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jc w:val="right"/>
              <w:ind w:right="52"/>
              <w:spacing w:after="0" w:line="202" w:lineRule="exact"/>
              <w:rPr>
                <w:sz w:val="20"/>
                <w:szCs w:val="20"/>
                <w:color w:val="auto"/>
              </w:rPr>
            </w:pPr>
            <w:r>
              <w:rPr>
                <w:rFonts w:ascii="Arial" w:cs="Arial" w:eastAsia="Arial" w:hAnsi="Arial"/>
                <w:sz w:val="18"/>
                <w:szCs w:val="18"/>
                <w:color w:val="auto"/>
              </w:rPr>
              <w:t>4.3</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2680" w:type="dxa"/>
            <w:vAlign w:val="bottom"/>
          </w:tcPr>
          <w:p>
            <w:pPr>
              <w:ind w:left="260"/>
              <w:spacing w:after="0" w:line="202" w:lineRule="exact"/>
              <w:rPr>
                <w:sz w:val="20"/>
                <w:szCs w:val="20"/>
                <w:color w:val="auto"/>
              </w:rPr>
            </w:pPr>
            <w:r>
              <w:rPr>
                <w:rFonts w:ascii="Arial" w:cs="Arial" w:eastAsia="Arial" w:hAnsi="Arial"/>
                <w:sz w:val="18"/>
                <w:szCs w:val="18"/>
                <w:color w:val="auto"/>
              </w:rPr>
              <w:t>Unrealized gain on</w:t>
            </w:r>
          </w:p>
        </w:tc>
        <w:tc>
          <w:tcPr>
            <w:tcW w:w="1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2680" w:type="dxa"/>
            <w:vAlign w:val="bottom"/>
          </w:tcPr>
          <w:p>
            <w:pPr>
              <w:ind w:left="520"/>
              <w:spacing w:after="0" w:line="202" w:lineRule="exact"/>
              <w:rPr>
                <w:sz w:val="20"/>
                <w:szCs w:val="20"/>
                <w:color w:val="auto"/>
              </w:rPr>
            </w:pPr>
            <w:r>
              <w:rPr>
                <w:rFonts w:ascii="Arial" w:cs="Arial" w:eastAsia="Arial" w:hAnsi="Arial"/>
                <w:sz w:val="18"/>
                <w:szCs w:val="18"/>
                <w:color w:val="auto"/>
              </w:rPr>
              <w:t>derivatives, net of tax</w:t>
            </w:r>
          </w:p>
        </w:tc>
        <w:tc>
          <w:tcPr>
            <w:tcW w:w="1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jc w:val="right"/>
              <w:ind w:right="52"/>
              <w:spacing w:after="0" w:line="202" w:lineRule="exact"/>
              <w:rPr>
                <w:sz w:val="20"/>
                <w:szCs w:val="20"/>
                <w:color w:val="auto"/>
              </w:rPr>
            </w:pPr>
            <w:r>
              <w:rPr>
                <w:rFonts w:ascii="Arial" w:cs="Arial" w:eastAsia="Arial" w:hAnsi="Arial"/>
                <w:sz w:val="18"/>
                <w:szCs w:val="18"/>
                <w:color w:val="auto"/>
              </w:rPr>
              <w:t>0.3</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2680" w:type="dxa"/>
            <w:vAlign w:val="bottom"/>
          </w:tcPr>
          <w:p>
            <w:pPr>
              <w:ind w:left="260"/>
              <w:spacing w:after="0" w:line="202" w:lineRule="exact"/>
              <w:rPr>
                <w:sz w:val="20"/>
                <w:szCs w:val="20"/>
                <w:color w:val="auto"/>
              </w:rPr>
            </w:pPr>
            <w:r>
              <w:rPr>
                <w:rFonts w:ascii="Arial" w:cs="Arial" w:eastAsia="Arial" w:hAnsi="Arial"/>
                <w:sz w:val="18"/>
                <w:szCs w:val="18"/>
                <w:color w:val="auto"/>
              </w:rPr>
              <w:t>Defined benefit pension plans</w:t>
            </w:r>
          </w:p>
        </w:tc>
        <w:tc>
          <w:tcPr>
            <w:tcW w:w="1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2680" w:type="dxa"/>
            <w:vAlign w:val="bottom"/>
          </w:tcPr>
          <w:p>
            <w:pPr>
              <w:ind w:left="520"/>
              <w:spacing w:after="0" w:line="202" w:lineRule="exact"/>
              <w:rPr>
                <w:sz w:val="20"/>
                <w:szCs w:val="20"/>
                <w:color w:val="auto"/>
              </w:rPr>
            </w:pPr>
            <w:r>
              <w:rPr>
                <w:rFonts w:ascii="Arial" w:cs="Arial" w:eastAsia="Arial" w:hAnsi="Arial"/>
                <w:sz w:val="18"/>
                <w:szCs w:val="18"/>
                <w:color w:val="auto"/>
              </w:rPr>
              <w:t>and retiree health care</w:t>
            </w:r>
          </w:p>
        </w:tc>
        <w:tc>
          <w:tcPr>
            <w:tcW w:w="1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2680" w:type="dxa"/>
            <w:vAlign w:val="bottom"/>
          </w:tcPr>
          <w:p>
            <w:pPr>
              <w:ind w:left="520"/>
              <w:spacing w:after="0" w:line="202" w:lineRule="exact"/>
              <w:rPr>
                <w:sz w:val="20"/>
                <w:szCs w:val="20"/>
                <w:color w:val="auto"/>
              </w:rPr>
            </w:pPr>
            <w:r>
              <w:rPr>
                <w:rFonts w:ascii="Arial" w:cs="Arial" w:eastAsia="Arial" w:hAnsi="Arial"/>
                <w:sz w:val="18"/>
                <w:szCs w:val="18"/>
                <w:color w:val="auto"/>
              </w:rPr>
              <w:t>plan, net of tax</w:t>
            </w:r>
          </w:p>
        </w:tc>
        <w:tc>
          <w:tcPr>
            <w:tcW w:w="1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(0.1)</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2700" w:type="dxa"/>
            <w:vAlign w:val="bottom"/>
            <w:gridSpan w:val="2"/>
          </w:tcPr>
          <w:p>
            <w:pPr>
              <w:spacing w:after="0" w:line="202" w:lineRule="exact"/>
              <w:rPr>
                <w:sz w:val="20"/>
                <w:szCs w:val="20"/>
                <w:color w:val="auto"/>
              </w:rPr>
            </w:pPr>
            <w:r>
              <w:rPr>
                <w:rFonts w:ascii="Arial" w:cs="Arial" w:eastAsia="Arial" w:hAnsi="Arial"/>
                <w:sz w:val="18"/>
                <w:szCs w:val="18"/>
                <w:color w:val="auto"/>
              </w:rPr>
              <w:t>Total comprehensive income</w:t>
            </w:r>
          </w:p>
        </w:tc>
        <w:tc>
          <w:tcPr>
            <w:tcW w:w="1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106.6</w:t>
            </w:r>
          </w:p>
        </w:tc>
        <w:tc>
          <w:tcPr>
            <w:tcW w:w="60" w:type="dxa"/>
            <w:vAlign w:val="bottom"/>
          </w:tcPr>
          <w:p>
            <w:pPr>
              <w:spacing w:after="0"/>
              <w:rPr>
                <w:sz w:val="17"/>
                <w:szCs w:val="17"/>
                <w:color w:val="auto"/>
              </w:rPr>
            </w:pPr>
          </w:p>
        </w:tc>
      </w:tr>
      <w:tr>
        <w:trPr>
          <w:trHeight w:val="203"/>
        </w:trPr>
        <w:tc>
          <w:tcPr>
            <w:tcW w:w="2700" w:type="dxa"/>
            <w:vAlign w:val="bottom"/>
            <w:gridSpan w:val="2"/>
          </w:tcPr>
          <w:p>
            <w:pPr>
              <w:spacing w:after="0" w:line="202" w:lineRule="exact"/>
              <w:rPr>
                <w:sz w:val="20"/>
                <w:szCs w:val="20"/>
                <w:color w:val="auto"/>
              </w:rPr>
            </w:pPr>
            <w:r>
              <w:rPr>
                <w:rFonts w:ascii="Arial" w:cs="Arial" w:eastAsia="Arial" w:hAnsi="Arial"/>
                <w:sz w:val="18"/>
                <w:szCs w:val="18"/>
                <w:color w:val="auto"/>
              </w:rPr>
              <w:t>Issuances under equity plans,</w:t>
            </w:r>
          </w:p>
        </w:tc>
        <w:tc>
          <w:tcPr>
            <w:tcW w:w="1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2680" w:type="dxa"/>
            <w:vAlign w:val="bottom"/>
          </w:tcPr>
          <w:p>
            <w:pPr>
              <w:ind w:left="260"/>
              <w:spacing w:after="0" w:line="202" w:lineRule="exact"/>
              <w:rPr>
                <w:sz w:val="20"/>
                <w:szCs w:val="20"/>
                <w:color w:val="auto"/>
              </w:rPr>
            </w:pPr>
            <w:r>
              <w:rPr>
                <w:rFonts w:ascii="Arial" w:cs="Arial" w:eastAsia="Arial" w:hAnsi="Arial"/>
                <w:sz w:val="18"/>
                <w:szCs w:val="18"/>
                <w:color w:val="auto"/>
              </w:rPr>
              <w:t>including tax benefits</w:t>
            </w:r>
          </w:p>
        </w:tc>
        <w:tc>
          <w:tcPr>
            <w:tcW w:w="1320" w:type="dxa"/>
            <w:vAlign w:val="bottom"/>
          </w:tcPr>
          <w:p>
            <w:pPr>
              <w:jc w:val="right"/>
              <w:ind w:right="12"/>
              <w:spacing w:after="0" w:line="202" w:lineRule="exact"/>
              <w:rPr>
                <w:sz w:val="20"/>
                <w:szCs w:val="20"/>
                <w:color w:val="auto"/>
              </w:rPr>
            </w:pPr>
            <w:r>
              <w:rPr>
                <w:rFonts w:ascii="Arial" w:cs="Arial" w:eastAsia="Arial" w:hAnsi="Arial"/>
                <w:sz w:val="18"/>
                <w:szCs w:val="18"/>
                <w:color w:val="auto"/>
              </w:rPr>
              <w:t>641,827</w:t>
            </w: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jc w:val="right"/>
              <w:ind w:right="52"/>
              <w:spacing w:after="0" w:line="202" w:lineRule="exact"/>
              <w:rPr>
                <w:sz w:val="20"/>
                <w:szCs w:val="20"/>
                <w:color w:val="auto"/>
              </w:rPr>
            </w:pPr>
            <w:r>
              <w:rPr>
                <w:rFonts w:ascii="Arial" w:cs="Arial" w:eastAsia="Arial" w:hAnsi="Arial"/>
                <w:sz w:val="18"/>
                <w:szCs w:val="18"/>
                <w:color w:val="auto"/>
              </w:rPr>
              <w:t>15.5</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(0.9)</w:t>
            </w:r>
          </w:p>
        </w:tc>
        <w:tc>
          <w:tcPr>
            <w:tcW w:w="28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14.6</w:t>
            </w:r>
          </w:p>
        </w:tc>
        <w:tc>
          <w:tcPr>
            <w:tcW w:w="60" w:type="dxa"/>
            <w:vAlign w:val="bottom"/>
          </w:tcPr>
          <w:p>
            <w:pPr>
              <w:spacing w:after="0"/>
              <w:rPr>
                <w:sz w:val="17"/>
                <w:szCs w:val="17"/>
                <w:color w:val="auto"/>
              </w:rPr>
            </w:pPr>
          </w:p>
        </w:tc>
      </w:tr>
      <w:tr>
        <w:trPr>
          <w:trHeight w:val="203"/>
        </w:trPr>
        <w:tc>
          <w:tcPr>
            <w:tcW w:w="2700" w:type="dxa"/>
            <w:vAlign w:val="bottom"/>
            <w:gridSpan w:val="2"/>
          </w:tcPr>
          <w:p>
            <w:pPr>
              <w:spacing w:after="0" w:line="202" w:lineRule="exact"/>
              <w:rPr>
                <w:sz w:val="20"/>
                <w:szCs w:val="20"/>
                <w:color w:val="auto"/>
              </w:rPr>
            </w:pPr>
            <w:r>
              <w:rPr>
                <w:rFonts w:ascii="Arial" w:cs="Arial" w:eastAsia="Arial" w:hAnsi="Arial"/>
                <w:sz w:val="18"/>
                <w:szCs w:val="18"/>
                <w:color w:val="auto"/>
              </w:rPr>
              <w:t>Share-based compensation</w:t>
            </w:r>
          </w:p>
        </w:tc>
        <w:tc>
          <w:tcPr>
            <w:tcW w:w="1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2680" w:type="dxa"/>
            <w:vAlign w:val="bottom"/>
          </w:tcPr>
          <w:p>
            <w:pPr>
              <w:ind w:left="260"/>
              <w:spacing w:after="0" w:line="202" w:lineRule="exact"/>
              <w:rPr>
                <w:sz w:val="20"/>
                <w:szCs w:val="20"/>
                <w:color w:val="auto"/>
              </w:rPr>
            </w:pPr>
            <w:r>
              <w:rPr>
                <w:rFonts w:ascii="Arial" w:cs="Arial" w:eastAsia="Arial" w:hAnsi="Arial"/>
                <w:sz w:val="18"/>
                <w:szCs w:val="18"/>
                <w:color w:val="auto"/>
              </w:rPr>
              <w:t>expense</w:t>
            </w:r>
          </w:p>
        </w:tc>
        <w:tc>
          <w:tcPr>
            <w:tcW w:w="1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jc w:val="right"/>
              <w:ind w:right="52"/>
              <w:spacing w:after="0" w:line="202" w:lineRule="exact"/>
              <w:rPr>
                <w:sz w:val="20"/>
                <w:szCs w:val="20"/>
                <w:color w:val="auto"/>
              </w:rPr>
            </w:pPr>
            <w:r>
              <w:rPr>
                <w:rFonts w:ascii="Arial" w:cs="Arial" w:eastAsia="Arial" w:hAnsi="Arial"/>
                <w:sz w:val="18"/>
                <w:szCs w:val="18"/>
                <w:color w:val="auto"/>
              </w:rPr>
              <w:t>17.5</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17.5</w:t>
            </w:r>
          </w:p>
        </w:tc>
        <w:tc>
          <w:tcPr>
            <w:tcW w:w="60" w:type="dxa"/>
            <w:vAlign w:val="bottom"/>
          </w:tcPr>
          <w:p>
            <w:pPr>
              <w:spacing w:after="0"/>
              <w:rPr>
                <w:sz w:val="17"/>
                <w:szCs w:val="17"/>
                <w:color w:val="auto"/>
              </w:rPr>
            </w:pPr>
          </w:p>
        </w:tc>
      </w:tr>
      <w:tr>
        <w:trPr>
          <w:trHeight w:val="203"/>
        </w:trPr>
        <w:tc>
          <w:tcPr>
            <w:tcW w:w="2700" w:type="dxa"/>
            <w:vAlign w:val="bottom"/>
            <w:gridSpan w:val="2"/>
          </w:tcPr>
          <w:p>
            <w:pPr>
              <w:spacing w:after="0" w:line="202" w:lineRule="exact"/>
              <w:rPr>
                <w:sz w:val="20"/>
                <w:szCs w:val="20"/>
                <w:color w:val="auto"/>
              </w:rPr>
            </w:pPr>
            <w:r>
              <w:rPr>
                <w:rFonts w:ascii="Arial" w:cs="Arial" w:eastAsia="Arial" w:hAnsi="Arial"/>
                <w:sz w:val="18"/>
                <w:szCs w:val="18"/>
                <w:color w:val="auto"/>
              </w:rPr>
              <w:t>Dividends ($0.74 per share)</w:t>
            </w:r>
          </w:p>
        </w:tc>
        <w:tc>
          <w:tcPr>
            <w:tcW w:w="1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(58.0)</w:t>
            </w: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(58.0)</w:t>
            </w:r>
          </w:p>
        </w:tc>
      </w:tr>
      <w:tr>
        <w:trPr>
          <w:trHeight w:val="203"/>
        </w:trPr>
        <w:tc>
          <w:tcPr>
            <w:tcW w:w="2700" w:type="dxa"/>
            <w:vAlign w:val="bottom"/>
            <w:gridSpan w:val="2"/>
          </w:tcPr>
          <w:p>
            <w:pPr>
              <w:spacing w:after="0" w:line="203" w:lineRule="exact"/>
              <w:rPr>
                <w:sz w:val="20"/>
                <w:szCs w:val="20"/>
                <w:color w:val="auto"/>
              </w:rPr>
            </w:pPr>
            <w:r>
              <w:rPr>
                <w:rFonts w:ascii="Arial" w:cs="Arial" w:eastAsia="Arial" w:hAnsi="Arial"/>
                <w:sz w:val="18"/>
                <w:szCs w:val="18"/>
                <w:color w:val="auto"/>
              </w:rPr>
              <w:t>Other</w:t>
            </w:r>
          </w:p>
        </w:tc>
        <w:tc>
          <w:tcPr>
            <w:tcW w:w="1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Arial" w:cs="Arial" w:eastAsia="Arial" w:hAnsi="Arial"/>
                <w:sz w:val="18"/>
                <w:szCs w:val="18"/>
                <w:color w:val="auto"/>
              </w:rPr>
              <w:t>(3.6)</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(3.6)</w:t>
            </w:r>
          </w:p>
        </w:tc>
      </w:tr>
      <w:tr>
        <w:trPr>
          <w:trHeight w:val="195"/>
        </w:trPr>
        <w:tc>
          <w:tcPr>
            <w:tcW w:w="2700" w:type="dxa"/>
            <w:vAlign w:val="bottom"/>
            <w:tcBorders>
              <w:top w:val="single" w:sz="8" w:color="939598"/>
            </w:tcBorders>
            <w:gridSpan w:val="2"/>
          </w:tcPr>
          <w:p>
            <w:pPr>
              <w:spacing w:after="0" w:line="195" w:lineRule="exact"/>
              <w:rPr>
                <w:sz w:val="20"/>
                <w:szCs w:val="20"/>
                <w:color w:val="auto"/>
              </w:rPr>
            </w:pPr>
            <w:r>
              <w:rPr>
                <w:rFonts w:ascii="Arial" w:cs="Arial" w:eastAsia="Arial" w:hAnsi="Arial"/>
                <w:sz w:val="18"/>
                <w:szCs w:val="18"/>
                <w:color w:val="auto"/>
              </w:rPr>
              <w:t>Balance, December 31, 2009</w:t>
            </w:r>
          </w:p>
        </w:tc>
        <w:tc>
          <w:tcPr>
            <w:tcW w:w="1320" w:type="dxa"/>
            <w:vAlign w:val="bottom"/>
            <w:tcBorders>
              <w:top w:val="single" w:sz="8" w:color="939598"/>
            </w:tcBorders>
          </w:tcPr>
          <w:p>
            <w:pPr>
              <w:jc w:val="right"/>
              <w:ind w:right="12"/>
              <w:spacing w:after="0" w:line="195" w:lineRule="exact"/>
              <w:rPr>
                <w:sz w:val="20"/>
                <w:szCs w:val="20"/>
                <w:color w:val="auto"/>
              </w:rPr>
            </w:pPr>
            <w:r>
              <w:rPr>
                <w:rFonts w:ascii="Arial" w:cs="Arial" w:eastAsia="Arial" w:hAnsi="Arial"/>
                <w:sz w:val="18"/>
                <w:szCs w:val="18"/>
                <w:color w:val="auto"/>
              </w:rPr>
              <w:t>104,397,965</w:t>
            </w:r>
          </w:p>
        </w:tc>
        <w:tc>
          <w:tcPr>
            <w:tcW w:w="240" w:type="dxa"/>
            <w:vAlign w:val="bottom"/>
            <w:tcBorders>
              <w:top w:val="single" w:sz="8" w:color="939598"/>
            </w:tcBorders>
          </w:tcPr>
          <w:p>
            <w:pPr>
              <w:spacing w:after="0"/>
              <w:rPr>
                <w:sz w:val="16"/>
                <w:szCs w:val="16"/>
                <w:color w:val="auto"/>
              </w:rPr>
            </w:pPr>
          </w:p>
        </w:tc>
        <w:tc>
          <w:tcPr>
            <w:tcW w:w="880" w:type="dxa"/>
            <w:vAlign w:val="bottom"/>
            <w:tcBorders>
              <w:top w:val="single" w:sz="8" w:color="939598"/>
            </w:tcBorders>
            <w:gridSpan w:val="2"/>
          </w:tcPr>
          <w:p>
            <w:pPr>
              <w:jc w:val="right"/>
              <w:ind w:right="100"/>
              <w:spacing w:after="0" w:line="195" w:lineRule="exact"/>
              <w:rPr>
                <w:sz w:val="20"/>
                <w:szCs w:val="20"/>
                <w:color w:val="auto"/>
              </w:rPr>
            </w:pPr>
            <w:r>
              <w:rPr>
                <w:rFonts w:ascii="Arial" w:cs="Arial" w:eastAsia="Arial" w:hAnsi="Arial"/>
                <w:sz w:val="18"/>
                <w:szCs w:val="18"/>
                <w:color w:val="auto"/>
              </w:rPr>
              <w:t>1.0</w:t>
            </w:r>
          </w:p>
        </w:tc>
        <w:tc>
          <w:tcPr>
            <w:tcW w:w="220" w:type="dxa"/>
            <w:vAlign w:val="bottom"/>
            <w:tcBorders>
              <w:top w:val="single" w:sz="8" w:color="939598"/>
            </w:tcBorders>
          </w:tcPr>
          <w:p>
            <w:pPr>
              <w:spacing w:after="0"/>
              <w:rPr>
                <w:sz w:val="16"/>
                <w:szCs w:val="16"/>
                <w:color w:val="auto"/>
              </w:rPr>
            </w:pPr>
          </w:p>
        </w:tc>
        <w:tc>
          <w:tcPr>
            <w:tcW w:w="1060" w:type="dxa"/>
            <w:vAlign w:val="bottom"/>
            <w:tcBorders>
              <w:top w:val="single" w:sz="8" w:color="939598"/>
            </w:tcBorders>
          </w:tcPr>
          <w:p>
            <w:pPr>
              <w:jc w:val="right"/>
              <w:ind w:right="52"/>
              <w:spacing w:after="0" w:line="195" w:lineRule="exact"/>
              <w:rPr>
                <w:sz w:val="20"/>
                <w:szCs w:val="20"/>
                <w:color w:val="auto"/>
              </w:rPr>
            </w:pPr>
            <w:r>
              <w:rPr>
                <w:rFonts w:ascii="Arial" w:cs="Arial" w:eastAsia="Arial" w:hAnsi="Arial"/>
                <w:sz w:val="18"/>
                <w:szCs w:val="18"/>
                <w:color w:val="auto"/>
              </w:rPr>
              <w:t>2,544.2</w:t>
            </w:r>
          </w:p>
        </w:tc>
        <w:tc>
          <w:tcPr>
            <w:tcW w:w="240" w:type="dxa"/>
            <w:vAlign w:val="bottom"/>
            <w:tcBorders>
              <w:top w:val="single" w:sz="8" w:color="939598"/>
            </w:tcBorders>
          </w:tcPr>
          <w:p>
            <w:pPr>
              <w:spacing w:after="0"/>
              <w:rPr>
                <w:sz w:val="16"/>
                <w:szCs w:val="16"/>
                <w:color w:val="auto"/>
              </w:rPr>
            </w:pPr>
          </w:p>
        </w:tc>
        <w:tc>
          <w:tcPr>
            <w:tcW w:w="880" w:type="dxa"/>
            <w:vAlign w:val="bottom"/>
            <w:tcBorders>
              <w:top w:val="single" w:sz="8" w:color="939598"/>
            </w:tcBorders>
          </w:tcPr>
          <w:p>
            <w:pPr>
              <w:jc w:val="right"/>
              <w:ind w:right="51"/>
              <w:spacing w:after="0" w:line="195" w:lineRule="exact"/>
              <w:rPr>
                <w:sz w:val="20"/>
                <w:szCs w:val="20"/>
                <w:color w:val="auto"/>
              </w:rPr>
            </w:pPr>
            <w:r>
              <w:rPr>
                <w:rFonts w:ascii="Arial" w:cs="Arial" w:eastAsia="Arial" w:hAnsi="Arial"/>
                <w:sz w:val="18"/>
                <w:szCs w:val="18"/>
                <w:color w:val="auto"/>
              </w:rPr>
              <w:t>1,109.6</w:t>
            </w:r>
          </w:p>
        </w:tc>
        <w:tc>
          <w:tcPr>
            <w:tcW w:w="200" w:type="dxa"/>
            <w:vAlign w:val="bottom"/>
            <w:tcBorders>
              <w:top w:val="single" w:sz="8" w:color="939598"/>
            </w:tcBorders>
          </w:tcPr>
          <w:p>
            <w:pPr>
              <w:spacing w:after="0"/>
              <w:rPr>
                <w:sz w:val="16"/>
                <w:szCs w:val="16"/>
                <w:color w:val="auto"/>
              </w:rPr>
            </w:pPr>
          </w:p>
        </w:tc>
        <w:tc>
          <w:tcPr>
            <w:tcW w:w="1360" w:type="dxa"/>
            <w:vAlign w:val="bottom"/>
            <w:tcBorders>
              <w:top w:val="single" w:sz="8" w:color="939598"/>
            </w:tcBorders>
          </w:tcPr>
          <w:p>
            <w:pPr>
              <w:jc w:val="right"/>
              <w:ind w:right="52"/>
              <w:spacing w:after="0" w:line="195" w:lineRule="exact"/>
              <w:rPr>
                <w:sz w:val="20"/>
                <w:szCs w:val="20"/>
                <w:color w:val="auto"/>
              </w:rPr>
            </w:pPr>
            <w:r>
              <w:rPr>
                <w:rFonts w:ascii="Arial" w:cs="Arial" w:eastAsia="Arial" w:hAnsi="Arial"/>
                <w:sz w:val="18"/>
                <w:szCs w:val="18"/>
                <w:color w:val="auto"/>
              </w:rPr>
              <w:t>106.9</w:t>
            </w:r>
          </w:p>
        </w:tc>
        <w:tc>
          <w:tcPr>
            <w:tcW w:w="240" w:type="dxa"/>
            <w:vAlign w:val="bottom"/>
            <w:tcBorders>
              <w:top w:val="single" w:sz="8" w:color="939598"/>
            </w:tcBorders>
          </w:tcPr>
          <w:p>
            <w:pPr>
              <w:spacing w:after="0"/>
              <w:rPr>
                <w:sz w:val="16"/>
                <w:szCs w:val="16"/>
                <w:color w:val="auto"/>
              </w:rPr>
            </w:pPr>
          </w:p>
        </w:tc>
        <w:tc>
          <w:tcPr>
            <w:tcW w:w="880" w:type="dxa"/>
            <w:vAlign w:val="bottom"/>
            <w:tcBorders>
              <w:top w:val="single" w:sz="8" w:color="939598"/>
            </w:tcBorders>
          </w:tcPr>
          <w:p>
            <w:pPr>
              <w:jc w:val="right"/>
              <w:spacing w:after="0" w:line="195" w:lineRule="exact"/>
              <w:rPr>
                <w:sz w:val="20"/>
                <w:szCs w:val="20"/>
                <w:color w:val="auto"/>
              </w:rPr>
            </w:pPr>
            <w:r>
              <w:rPr>
                <w:rFonts w:ascii="Arial" w:cs="Arial" w:eastAsia="Arial" w:hAnsi="Arial"/>
                <w:sz w:val="18"/>
                <w:szCs w:val="18"/>
                <w:color w:val="auto"/>
              </w:rPr>
              <w:t>(1,225.2)</w:t>
            </w:r>
          </w:p>
        </w:tc>
        <w:tc>
          <w:tcPr>
            <w:tcW w:w="280" w:type="dxa"/>
            <w:vAlign w:val="bottom"/>
            <w:tcBorders>
              <w:top w:val="single" w:sz="8" w:color="939598"/>
            </w:tcBorders>
          </w:tcPr>
          <w:p>
            <w:pPr>
              <w:spacing w:after="0"/>
              <w:rPr>
                <w:sz w:val="16"/>
                <w:szCs w:val="16"/>
                <w:color w:val="auto"/>
              </w:rPr>
            </w:pPr>
          </w:p>
        </w:tc>
        <w:tc>
          <w:tcPr>
            <w:tcW w:w="700" w:type="dxa"/>
            <w:vAlign w:val="bottom"/>
            <w:tcBorders>
              <w:top w:val="single" w:sz="8" w:color="939598"/>
            </w:tcBorders>
          </w:tcPr>
          <w:p>
            <w:pPr>
              <w:jc w:val="right"/>
              <w:spacing w:after="0" w:line="195" w:lineRule="exact"/>
              <w:rPr>
                <w:sz w:val="20"/>
                <w:szCs w:val="20"/>
                <w:color w:val="auto"/>
              </w:rPr>
            </w:pPr>
            <w:r>
              <w:rPr>
                <w:rFonts w:ascii="Arial" w:cs="Arial" w:eastAsia="Arial" w:hAnsi="Arial"/>
                <w:sz w:val="18"/>
                <w:szCs w:val="18"/>
                <w:color w:val="auto"/>
              </w:rPr>
              <w:t>2,536.5</w:t>
            </w:r>
          </w:p>
        </w:tc>
        <w:tc>
          <w:tcPr>
            <w:tcW w:w="60" w:type="dxa"/>
            <w:vAlign w:val="bottom"/>
          </w:tcPr>
          <w:p>
            <w:pPr>
              <w:spacing w:after="0"/>
              <w:rPr>
                <w:sz w:val="16"/>
                <w:szCs w:val="16"/>
                <w:color w:val="auto"/>
              </w:rPr>
            </w:pPr>
          </w:p>
        </w:tc>
      </w:tr>
      <w:tr>
        <w:trPr>
          <w:trHeight w:val="203"/>
        </w:trPr>
        <w:tc>
          <w:tcPr>
            <w:tcW w:w="2700" w:type="dxa"/>
            <w:vAlign w:val="bottom"/>
            <w:gridSpan w:val="2"/>
          </w:tcPr>
          <w:p>
            <w:pPr>
              <w:spacing w:after="0" w:line="202" w:lineRule="exact"/>
              <w:rPr>
                <w:sz w:val="20"/>
                <w:szCs w:val="20"/>
                <w:color w:val="auto"/>
              </w:rPr>
            </w:pPr>
            <w:r>
              <w:rPr>
                <w:rFonts w:ascii="Arial" w:cs="Arial" w:eastAsia="Arial" w:hAnsi="Arial"/>
                <w:sz w:val="18"/>
                <w:szCs w:val="18"/>
                <w:color w:val="auto"/>
              </w:rPr>
              <w:t>Comprehensive Income:</w:t>
            </w:r>
          </w:p>
        </w:tc>
        <w:tc>
          <w:tcPr>
            <w:tcW w:w="1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2680" w:type="dxa"/>
            <w:vAlign w:val="bottom"/>
          </w:tcPr>
          <w:p>
            <w:pPr>
              <w:ind w:left="260"/>
              <w:spacing w:after="0" w:line="202" w:lineRule="exact"/>
              <w:rPr>
                <w:sz w:val="20"/>
                <w:szCs w:val="20"/>
                <w:color w:val="auto"/>
              </w:rPr>
            </w:pPr>
            <w:r>
              <w:rPr>
                <w:rFonts w:ascii="Arial" w:cs="Arial" w:eastAsia="Arial" w:hAnsi="Arial"/>
                <w:sz w:val="18"/>
                <w:szCs w:val="18"/>
                <w:color w:val="auto"/>
              </w:rPr>
              <w:t>Net loss</w:t>
            </w:r>
          </w:p>
        </w:tc>
        <w:tc>
          <w:tcPr>
            <w:tcW w:w="1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(263.6)</w:t>
            </w: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2680" w:type="dxa"/>
            <w:vAlign w:val="bottom"/>
          </w:tcPr>
          <w:p>
            <w:pPr>
              <w:ind w:left="260"/>
              <w:spacing w:after="0" w:line="202" w:lineRule="exact"/>
              <w:rPr>
                <w:sz w:val="20"/>
                <w:szCs w:val="20"/>
                <w:color w:val="auto"/>
              </w:rPr>
            </w:pPr>
            <w:r>
              <w:rPr>
                <w:rFonts w:ascii="Arial" w:cs="Arial" w:eastAsia="Arial" w:hAnsi="Arial"/>
                <w:sz w:val="18"/>
                <w:szCs w:val="18"/>
                <w:color w:val="auto"/>
              </w:rPr>
              <w:t>Foreign currency translation</w:t>
            </w:r>
          </w:p>
        </w:tc>
        <w:tc>
          <w:tcPr>
            <w:tcW w:w="1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(14.4)</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2680" w:type="dxa"/>
            <w:vAlign w:val="bottom"/>
          </w:tcPr>
          <w:p>
            <w:pPr>
              <w:ind w:left="260"/>
              <w:spacing w:after="0" w:line="202" w:lineRule="exact"/>
              <w:rPr>
                <w:sz w:val="20"/>
                <w:szCs w:val="20"/>
                <w:color w:val="auto"/>
              </w:rPr>
            </w:pPr>
            <w:r>
              <w:rPr>
                <w:rFonts w:ascii="Arial" w:cs="Arial" w:eastAsia="Arial" w:hAnsi="Arial"/>
                <w:sz w:val="18"/>
                <w:szCs w:val="18"/>
                <w:color w:val="auto"/>
              </w:rPr>
              <w:t>Unrealized gain on</w:t>
            </w:r>
          </w:p>
        </w:tc>
        <w:tc>
          <w:tcPr>
            <w:tcW w:w="1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2680" w:type="dxa"/>
            <w:vAlign w:val="bottom"/>
          </w:tcPr>
          <w:p>
            <w:pPr>
              <w:ind w:left="520"/>
              <w:spacing w:after="0" w:line="202" w:lineRule="exact"/>
              <w:rPr>
                <w:sz w:val="20"/>
                <w:szCs w:val="20"/>
                <w:color w:val="auto"/>
              </w:rPr>
            </w:pPr>
            <w:r>
              <w:rPr>
                <w:rFonts w:ascii="Arial" w:cs="Arial" w:eastAsia="Arial" w:hAnsi="Arial"/>
                <w:sz w:val="18"/>
                <w:szCs w:val="18"/>
                <w:color w:val="auto"/>
              </w:rPr>
              <w:t>investments, net of tax</w:t>
            </w:r>
          </w:p>
        </w:tc>
        <w:tc>
          <w:tcPr>
            <w:tcW w:w="1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jc w:val="right"/>
              <w:ind w:right="52"/>
              <w:spacing w:after="0" w:line="202" w:lineRule="exact"/>
              <w:rPr>
                <w:sz w:val="20"/>
                <w:szCs w:val="20"/>
                <w:color w:val="auto"/>
              </w:rPr>
            </w:pPr>
            <w:r>
              <w:rPr>
                <w:rFonts w:ascii="Arial" w:cs="Arial" w:eastAsia="Arial" w:hAnsi="Arial"/>
                <w:sz w:val="18"/>
                <w:szCs w:val="18"/>
                <w:color w:val="auto"/>
              </w:rPr>
              <w:t>1.4</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2680" w:type="dxa"/>
            <w:vAlign w:val="bottom"/>
          </w:tcPr>
          <w:p>
            <w:pPr>
              <w:ind w:left="260"/>
              <w:spacing w:after="0" w:line="202" w:lineRule="exact"/>
              <w:rPr>
                <w:sz w:val="20"/>
                <w:szCs w:val="20"/>
                <w:color w:val="auto"/>
              </w:rPr>
            </w:pPr>
            <w:r>
              <w:rPr>
                <w:rFonts w:ascii="Arial" w:cs="Arial" w:eastAsia="Arial" w:hAnsi="Arial"/>
                <w:sz w:val="18"/>
                <w:szCs w:val="18"/>
                <w:color w:val="auto"/>
              </w:rPr>
              <w:t>Defined benefit pension plans</w:t>
            </w:r>
          </w:p>
        </w:tc>
        <w:tc>
          <w:tcPr>
            <w:tcW w:w="1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2680" w:type="dxa"/>
            <w:vAlign w:val="bottom"/>
          </w:tcPr>
          <w:p>
            <w:pPr>
              <w:ind w:left="520"/>
              <w:spacing w:after="0" w:line="202" w:lineRule="exact"/>
              <w:rPr>
                <w:sz w:val="20"/>
                <w:szCs w:val="20"/>
                <w:color w:val="auto"/>
              </w:rPr>
            </w:pPr>
            <w:r>
              <w:rPr>
                <w:rFonts w:ascii="Arial" w:cs="Arial" w:eastAsia="Arial" w:hAnsi="Arial"/>
                <w:sz w:val="18"/>
                <w:szCs w:val="18"/>
                <w:color w:val="auto"/>
              </w:rPr>
              <w:t>and retiree health care</w:t>
            </w:r>
          </w:p>
        </w:tc>
        <w:tc>
          <w:tcPr>
            <w:tcW w:w="1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2680" w:type="dxa"/>
            <w:vAlign w:val="bottom"/>
          </w:tcPr>
          <w:p>
            <w:pPr>
              <w:ind w:left="520"/>
              <w:spacing w:after="0" w:line="202" w:lineRule="exact"/>
              <w:rPr>
                <w:sz w:val="20"/>
                <w:szCs w:val="20"/>
                <w:color w:val="auto"/>
              </w:rPr>
            </w:pPr>
            <w:r>
              <w:rPr>
                <w:rFonts w:ascii="Arial" w:cs="Arial" w:eastAsia="Arial" w:hAnsi="Arial"/>
                <w:sz w:val="18"/>
                <w:szCs w:val="18"/>
                <w:color w:val="auto"/>
              </w:rPr>
              <w:t>plan, net of tax</w:t>
            </w:r>
          </w:p>
        </w:tc>
        <w:tc>
          <w:tcPr>
            <w:tcW w:w="1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(6.9)</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2700" w:type="dxa"/>
            <w:vAlign w:val="bottom"/>
            <w:gridSpan w:val="2"/>
          </w:tcPr>
          <w:p>
            <w:pPr>
              <w:spacing w:after="0" w:line="202" w:lineRule="exact"/>
              <w:rPr>
                <w:sz w:val="20"/>
                <w:szCs w:val="20"/>
                <w:color w:val="auto"/>
              </w:rPr>
            </w:pPr>
            <w:r>
              <w:rPr>
                <w:rFonts w:ascii="Arial" w:cs="Arial" w:eastAsia="Arial" w:hAnsi="Arial"/>
                <w:sz w:val="18"/>
                <w:szCs w:val="18"/>
                <w:color w:val="auto"/>
              </w:rPr>
              <w:t>Total comprehensive loss</w:t>
            </w:r>
          </w:p>
        </w:tc>
        <w:tc>
          <w:tcPr>
            <w:tcW w:w="1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(283.5)</w:t>
            </w:r>
          </w:p>
        </w:tc>
      </w:tr>
      <w:tr>
        <w:trPr>
          <w:trHeight w:val="203"/>
        </w:trPr>
        <w:tc>
          <w:tcPr>
            <w:tcW w:w="2700" w:type="dxa"/>
            <w:vAlign w:val="bottom"/>
            <w:gridSpan w:val="2"/>
          </w:tcPr>
          <w:p>
            <w:pPr>
              <w:spacing w:after="0" w:line="202" w:lineRule="exact"/>
              <w:rPr>
                <w:sz w:val="20"/>
                <w:szCs w:val="20"/>
                <w:color w:val="auto"/>
              </w:rPr>
            </w:pPr>
            <w:r>
              <w:rPr>
                <w:rFonts w:ascii="Arial" w:cs="Arial" w:eastAsia="Arial" w:hAnsi="Arial"/>
                <w:sz w:val="18"/>
                <w:szCs w:val="18"/>
                <w:color w:val="auto"/>
              </w:rPr>
              <w:t>Issuances under equity plans,</w:t>
            </w:r>
          </w:p>
        </w:tc>
        <w:tc>
          <w:tcPr>
            <w:tcW w:w="1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2680" w:type="dxa"/>
            <w:vAlign w:val="bottom"/>
          </w:tcPr>
          <w:p>
            <w:pPr>
              <w:ind w:left="260"/>
              <w:spacing w:after="0" w:line="202" w:lineRule="exact"/>
              <w:rPr>
                <w:sz w:val="20"/>
                <w:szCs w:val="20"/>
                <w:color w:val="auto"/>
              </w:rPr>
            </w:pPr>
            <w:r>
              <w:rPr>
                <w:rFonts w:ascii="Arial" w:cs="Arial" w:eastAsia="Arial" w:hAnsi="Arial"/>
                <w:sz w:val="18"/>
                <w:szCs w:val="18"/>
                <w:color w:val="auto"/>
              </w:rPr>
              <w:t>including tax benefits</w:t>
            </w:r>
          </w:p>
        </w:tc>
        <w:tc>
          <w:tcPr>
            <w:tcW w:w="1320" w:type="dxa"/>
            <w:vAlign w:val="bottom"/>
          </w:tcPr>
          <w:p>
            <w:pPr>
              <w:jc w:val="right"/>
              <w:ind w:right="12"/>
              <w:spacing w:after="0" w:line="202" w:lineRule="exact"/>
              <w:rPr>
                <w:sz w:val="20"/>
                <w:szCs w:val="20"/>
                <w:color w:val="auto"/>
              </w:rPr>
            </w:pPr>
            <w:r>
              <w:rPr>
                <w:rFonts w:ascii="Arial" w:cs="Arial" w:eastAsia="Arial" w:hAnsi="Arial"/>
                <w:sz w:val="18"/>
                <w:szCs w:val="18"/>
                <w:color w:val="auto"/>
              </w:rPr>
              <w:t>699,244</w:t>
            </w: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jc w:val="right"/>
              <w:ind w:right="52"/>
              <w:spacing w:after="0" w:line="202" w:lineRule="exact"/>
              <w:rPr>
                <w:sz w:val="20"/>
                <w:szCs w:val="20"/>
                <w:color w:val="auto"/>
              </w:rPr>
            </w:pPr>
            <w:r>
              <w:rPr>
                <w:rFonts w:ascii="Arial" w:cs="Arial" w:eastAsia="Arial" w:hAnsi="Arial"/>
                <w:sz w:val="18"/>
                <w:szCs w:val="18"/>
                <w:color w:val="auto"/>
              </w:rPr>
              <w:t>26.2</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ind w:right="52"/>
              <w:spacing w:after="0" w:line="202" w:lineRule="exact"/>
              <w:rPr>
                <w:sz w:val="20"/>
                <w:szCs w:val="20"/>
                <w:color w:val="auto"/>
              </w:rPr>
            </w:pPr>
            <w:r>
              <w:rPr>
                <w:rFonts w:ascii="Arial" w:cs="Arial" w:eastAsia="Arial" w:hAnsi="Arial"/>
                <w:sz w:val="18"/>
                <w:szCs w:val="18"/>
                <w:color w:val="auto"/>
              </w:rPr>
              <w:t>2.2</w:t>
            </w:r>
          </w:p>
        </w:tc>
        <w:tc>
          <w:tcPr>
            <w:tcW w:w="28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28.4</w:t>
            </w:r>
          </w:p>
        </w:tc>
        <w:tc>
          <w:tcPr>
            <w:tcW w:w="60" w:type="dxa"/>
            <w:vAlign w:val="bottom"/>
          </w:tcPr>
          <w:p>
            <w:pPr>
              <w:spacing w:after="0"/>
              <w:rPr>
                <w:sz w:val="17"/>
                <w:szCs w:val="17"/>
                <w:color w:val="auto"/>
              </w:rPr>
            </w:pPr>
          </w:p>
        </w:tc>
      </w:tr>
      <w:tr>
        <w:trPr>
          <w:trHeight w:val="203"/>
        </w:trPr>
        <w:tc>
          <w:tcPr>
            <w:tcW w:w="2700" w:type="dxa"/>
            <w:vAlign w:val="bottom"/>
            <w:gridSpan w:val="2"/>
          </w:tcPr>
          <w:p>
            <w:pPr>
              <w:spacing w:after="0" w:line="202" w:lineRule="exact"/>
              <w:rPr>
                <w:sz w:val="20"/>
                <w:szCs w:val="20"/>
                <w:color w:val="auto"/>
              </w:rPr>
            </w:pPr>
            <w:r>
              <w:rPr>
                <w:rFonts w:ascii="Arial" w:cs="Arial" w:eastAsia="Arial" w:hAnsi="Arial"/>
                <w:sz w:val="18"/>
                <w:szCs w:val="18"/>
                <w:color w:val="auto"/>
              </w:rPr>
              <w:t>Issuance for business acquisition</w:t>
            </w:r>
          </w:p>
        </w:tc>
        <w:tc>
          <w:tcPr>
            <w:tcW w:w="1320" w:type="dxa"/>
            <w:vAlign w:val="bottom"/>
          </w:tcPr>
          <w:p>
            <w:pPr>
              <w:jc w:val="right"/>
              <w:ind w:right="12"/>
              <w:spacing w:after="0" w:line="202" w:lineRule="exact"/>
              <w:rPr>
                <w:sz w:val="20"/>
                <w:szCs w:val="20"/>
                <w:color w:val="auto"/>
              </w:rPr>
            </w:pPr>
            <w:r>
              <w:rPr>
                <w:rFonts w:ascii="Arial" w:cs="Arial" w:eastAsia="Arial" w:hAnsi="Arial"/>
                <w:sz w:val="18"/>
                <w:szCs w:val="18"/>
                <w:color w:val="auto"/>
              </w:rPr>
              <w:t>3,197,396</w:t>
            </w:r>
          </w:p>
        </w:tc>
        <w:tc>
          <w:tcPr>
            <w:tcW w:w="240" w:type="dxa"/>
            <w:vAlign w:val="bottom"/>
          </w:tcPr>
          <w:p>
            <w:pPr>
              <w:spacing w:after="0"/>
              <w:rPr>
                <w:sz w:val="17"/>
                <w:szCs w:val="17"/>
                <w:color w:val="auto"/>
              </w:rPr>
            </w:pPr>
          </w:p>
        </w:tc>
        <w:tc>
          <w:tcPr>
            <w:tcW w:w="8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0.1</w:t>
            </w:r>
          </w:p>
        </w:tc>
        <w:tc>
          <w:tcPr>
            <w:tcW w:w="220" w:type="dxa"/>
            <w:vAlign w:val="bottom"/>
          </w:tcPr>
          <w:p>
            <w:pPr>
              <w:spacing w:after="0"/>
              <w:rPr>
                <w:sz w:val="17"/>
                <w:szCs w:val="17"/>
                <w:color w:val="auto"/>
              </w:rPr>
            </w:pPr>
          </w:p>
        </w:tc>
        <w:tc>
          <w:tcPr>
            <w:tcW w:w="1060" w:type="dxa"/>
            <w:vAlign w:val="bottom"/>
          </w:tcPr>
          <w:p>
            <w:pPr>
              <w:jc w:val="right"/>
              <w:ind w:right="52"/>
              <w:spacing w:after="0" w:line="202" w:lineRule="exact"/>
              <w:rPr>
                <w:sz w:val="20"/>
                <w:szCs w:val="20"/>
                <w:color w:val="auto"/>
              </w:rPr>
            </w:pPr>
            <w:r>
              <w:rPr>
                <w:rFonts w:ascii="Arial" w:cs="Arial" w:eastAsia="Arial" w:hAnsi="Arial"/>
                <w:sz w:val="18"/>
                <w:szCs w:val="18"/>
                <w:color w:val="auto"/>
              </w:rPr>
              <w:t>188.4</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188.5</w:t>
            </w:r>
          </w:p>
        </w:tc>
        <w:tc>
          <w:tcPr>
            <w:tcW w:w="60" w:type="dxa"/>
            <w:vAlign w:val="bottom"/>
          </w:tcPr>
          <w:p>
            <w:pPr>
              <w:spacing w:after="0"/>
              <w:rPr>
                <w:sz w:val="17"/>
                <w:szCs w:val="17"/>
                <w:color w:val="auto"/>
              </w:rPr>
            </w:pPr>
          </w:p>
        </w:tc>
      </w:tr>
      <w:tr>
        <w:trPr>
          <w:trHeight w:val="203"/>
        </w:trPr>
        <w:tc>
          <w:tcPr>
            <w:tcW w:w="2700" w:type="dxa"/>
            <w:vAlign w:val="bottom"/>
            <w:gridSpan w:val="2"/>
          </w:tcPr>
          <w:p>
            <w:pPr>
              <w:spacing w:after="0" w:line="202" w:lineRule="exact"/>
              <w:rPr>
                <w:sz w:val="20"/>
                <w:szCs w:val="20"/>
                <w:color w:val="auto"/>
              </w:rPr>
            </w:pPr>
            <w:r>
              <w:rPr>
                <w:rFonts w:ascii="Arial" w:cs="Arial" w:eastAsia="Arial" w:hAnsi="Arial"/>
                <w:sz w:val="18"/>
                <w:szCs w:val="18"/>
                <w:color w:val="auto"/>
              </w:rPr>
              <w:t>Share-based compensation</w:t>
            </w:r>
          </w:p>
        </w:tc>
        <w:tc>
          <w:tcPr>
            <w:tcW w:w="1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2680" w:type="dxa"/>
            <w:vAlign w:val="bottom"/>
          </w:tcPr>
          <w:p>
            <w:pPr>
              <w:ind w:left="260"/>
              <w:spacing w:after="0" w:line="202" w:lineRule="exact"/>
              <w:rPr>
                <w:sz w:val="20"/>
                <w:szCs w:val="20"/>
                <w:color w:val="auto"/>
              </w:rPr>
            </w:pPr>
            <w:r>
              <w:rPr>
                <w:rFonts w:ascii="Arial" w:cs="Arial" w:eastAsia="Arial" w:hAnsi="Arial"/>
                <w:sz w:val="18"/>
                <w:szCs w:val="18"/>
                <w:color w:val="auto"/>
              </w:rPr>
              <w:t>expense</w:t>
            </w:r>
          </w:p>
        </w:tc>
        <w:tc>
          <w:tcPr>
            <w:tcW w:w="1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jc w:val="right"/>
              <w:ind w:right="52"/>
              <w:spacing w:after="0" w:line="202" w:lineRule="exact"/>
              <w:rPr>
                <w:sz w:val="20"/>
                <w:szCs w:val="20"/>
                <w:color w:val="auto"/>
              </w:rPr>
            </w:pPr>
            <w:r>
              <w:rPr>
                <w:rFonts w:ascii="Arial" w:cs="Arial" w:eastAsia="Arial" w:hAnsi="Arial"/>
                <w:sz w:val="18"/>
                <w:szCs w:val="18"/>
                <w:color w:val="auto"/>
              </w:rPr>
              <w:t>24.1</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24.1</w:t>
            </w:r>
          </w:p>
        </w:tc>
        <w:tc>
          <w:tcPr>
            <w:tcW w:w="60" w:type="dxa"/>
            <w:vAlign w:val="bottom"/>
          </w:tcPr>
          <w:p>
            <w:pPr>
              <w:spacing w:after="0"/>
              <w:rPr>
                <w:sz w:val="17"/>
                <w:szCs w:val="17"/>
                <w:color w:val="auto"/>
              </w:rPr>
            </w:pPr>
          </w:p>
        </w:tc>
      </w:tr>
      <w:tr>
        <w:trPr>
          <w:trHeight w:val="203"/>
        </w:trPr>
        <w:tc>
          <w:tcPr>
            <w:tcW w:w="2700" w:type="dxa"/>
            <w:vAlign w:val="bottom"/>
            <w:gridSpan w:val="2"/>
          </w:tcPr>
          <w:p>
            <w:pPr>
              <w:spacing w:after="0" w:line="202" w:lineRule="exact"/>
              <w:rPr>
                <w:sz w:val="20"/>
                <w:szCs w:val="20"/>
                <w:color w:val="auto"/>
              </w:rPr>
            </w:pPr>
            <w:r>
              <w:rPr>
                <w:rFonts w:ascii="Arial" w:cs="Arial" w:eastAsia="Arial" w:hAnsi="Arial"/>
                <w:sz w:val="18"/>
                <w:szCs w:val="18"/>
                <w:color w:val="auto"/>
              </w:rPr>
              <w:t>Dividends ($0.74 per share)</w:t>
            </w:r>
          </w:p>
        </w:tc>
        <w:tc>
          <w:tcPr>
            <w:tcW w:w="1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(60.8)</w:t>
            </w: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(60.8)</w:t>
            </w:r>
          </w:p>
        </w:tc>
      </w:tr>
      <w:tr>
        <w:trPr>
          <w:trHeight w:val="203"/>
        </w:trPr>
        <w:tc>
          <w:tcPr>
            <w:tcW w:w="2700" w:type="dxa"/>
            <w:vAlign w:val="bottom"/>
            <w:gridSpan w:val="2"/>
          </w:tcPr>
          <w:p>
            <w:pPr>
              <w:spacing w:after="0" w:line="202" w:lineRule="exact"/>
              <w:rPr>
                <w:sz w:val="20"/>
                <w:szCs w:val="20"/>
                <w:color w:val="auto"/>
              </w:rPr>
            </w:pPr>
            <w:r>
              <w:rPr>
                <w:rFonts w:ascii="Arial" w:cs="Arial" w:eastAsia="Arial" w:hAnsi="Arial"/>
                <w:sz w:val="18"/>
                <w:szCs w:val="18"/>
                <w:color w:val="auto"/>
              </w:rPr>
              <w:t>Repurchases of common stock</w:t>
            </w:r>
          </w:p>
        </w:tc>
        <w:tc>
          <w:tcPr>
            <w:tcW w:w="1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(34.8)</w:t>
            </w:r>
          </w:p>
        </w:tc>
        <w:tc>
          <w:tcPr>
            <w:tcW w:w="280" w:type="dxa"/>
            <w:vAlign w:val="bottom"/>
          </w:tcPr>
          <w:p>
            <w:pPr>
              <w:spacing w:after="0"/>
              <w:rPr>
                <w:sz w:val="17"/>
                <w:szCs w:val="17"/>
                <w:color w:val="auto"/>
              </w:rPr>
            </w:pPr>
          </w:p>
        </w:tc>
        <w:tc>
          <w:tcPr>
            <w:tcW w:w="7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(34.8)</w:t>
            </w:r>
          </w:p>
        </w:tc>
      </w:tr>
      <w:tr>
        <w:trPr>
          <w:trHeight w:val="203"/>
        </w:trPr>
        <w:tc>
          <w:tcPr>
            <w:tcW w:w="2700" w:type="dxa"/>
            <w:vAlign w:val="bottom"/>
            <w:gridSpan w:val="2"/>
          </w:tcPr>
          <w:p>
            <w:pPr>
              <w:spacing w:after="0" w:line="203" w:lineRule="exact"/>
              <w:rPr>
                <w:sz w:val="20"/>
                <w:szCs w:val="20"/>
                <w:color w:val="auto"/>
              </w:rPr>
            </w:pPr>
            <w:r>
              <w:rPr>
                <w:rFonts w:ascii="Arial" w:cs="Arial" w:eastAsia="Arial" w:hAnsi="Arial"/>
                <w:sz w:val="18"/>
                <w:szCs w:val="18"/>
                <w:color w:val="auto"/>
              </w:rPr>
              <w:t>Other</w:t>
            </w:r>
          </w:p>
        </w:tc>
        <w:tc>
          <w:tcPr>
            <w:tcW w:w="1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Arial" w:cs="Arial" w:eastAsia="Arial" w:hAnsi="Arial"/>
                <w:sz w:val="18"/>
                <w:szCs w:val="18"/>
                <w:color w:val="auto"/>
              </w:rPr>
              <w:t>(1.2)</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(1.2)</w:t>
            </w:r>
          </w:p>
        </w:tc>
      </w:tr>
      <w:tr>
        <w:trPr>
          <w:trHeight w:val="203"/>
        </w:trPr>
        <w:tc>
          <w:tcPr>
            <w:tcW w:w="2700" w:type="dxa"/>
            <w:vAlign w:val="bottom"/>
            <w:tcBorders>
              <w:top w:val="single" w:sz="8" w:color="939598"/>
              <w:bottom w:val="single" w:sz="8" w:color="939598"/>
            </w:tcBorders>
            <w:gridSpan w:val="2"/>
          </w:tcPr>
          <w:p>
            <w:pPr>
              <w:spacing w:after="0" w:line="196" w:lineRule="exact"/>
              <w:rPr>
                <w:sz w:val="20"/>
                <w:szCs w:val="20"/>
                <w:color w:val="auto"/>
              </w:rPr>
            </w:pPr>
            <w:r>
              <w:rPr>
                <w:rFonts w:ascii="Arial" w:cs="Arial" w:eastAsia="Arial" w:hAnsi="Arial"/>
                <w:sz w:val="18"/>
                <w:szCs w:val="18"/>
                <w:color w:val="auto"/>
              </w:rPr>
              <w:t>Balance, December 31, 2010</w:t>
            </w:r>
          </w:p>
        </w:tc>
        <w:tc>
          <w:tcPr>
            <w:tcW w:w="1320" w:type="dxa"/>
            <w:vAlign w:val="bottom"/>
            <w:tcBorders>
              <w:top w:val="single" w:sz="8" w:color="939598"/>
              <w:bottom w:val="single" w:sz="8" w:color="939598"/>
            </w:tcBorders>
          </w:tcPr>
          <w:p>
            <w:pPr>
              <w:jc w:val="right"/>
              <w:ind w:right="12"/>
              <w:spacing w:after="0" w:line="196" w:lineRule="exact"/>
              <w:rPr>
                <w:sz w:val="20"/>
                <w:szCs w:val="20"/>
                <w:color w:val="auto"/>
              </w:rPr>
            </w:pPr>
            <w:r>
              <w:rPr>
                <w:rFonts w:ascii="Arial" w:cs="Arial" w:eastAsia="Arial" w:hAnsi="Arial"/>
                <w:sz w:val="18"/>
                <w:szCs w:val="18"/>
                <w:color w:val="auto"/>
              </w:rPr>
              <w:t>108,294,605</w:t>
            </w:r>
          </w:p>
        </w:tc>
        <w:tc>
          <w:tcPr>
            <w:tcW w:w="240" w:type="dxa"/>
            <w:vAlign w:val="bottom"/>
            <w:tcBorders>
              <w:top w:val="single" w:sz="8" w:color="939598"/>
              <w:bottom w:val="single" w:sz="8" w:color="939598"/>
            </w:tcBorders>
          </w:tcPr>
          <w:p>
            <w:pPr>
              <w:jc w:val="right"/>
              <w:spacing w:after="0" w:line="196" w:lineRule="exact"/>
              <w:rPr>
                <w:sz w:val="20"/>
                <w:szCs w:val="20"/>
                <w:color w:val="auto"/>
              </w:rPr>
            </w:pPr>
            <w:r>
              <w:rPr>
                <w:rFonts w:ascii="Arial" w:cs="Arial" w:eastAsia="Arial" w:hAnsi="Arial"/>
                <w:sz w:val="18"/>
                <w:szCs w:val="18"/>
                <w:color w:val="auto"/>
              </w:rPr>
              <w:t>$</w:t>
            </w:r>
          </w:p>
        </w:tc>
        <w:tc>
          <w:tcPr>
            <w:tcW w:w="880" w:type="dxa"/>
            <w:vAlign w:val="bottom"/>
            <w:tcBorders>
              <w:top w:val="single" w:sz="8" w:color="939598"/>
              <w:bottom w:val="single" w:sz="8" w:color="939598"/>
            </w:tcBorders>
            <w:gridSpan w:val="2"/>
          </w:tcPr>
          <w:p>
            <w:pPr>
              <w:jc w:val="right"/>
              <w:ind w:right="100"/>
              <w:spacing w:after="0" w:line="196" w:lineRule="exact"/>
              <w:rPr>
                <w:sz w:val="20"/>
                <w:szCs w:val="20"/>
                <w:color w:val="auto"/>
              </w:rPr>
            </w:pPr>
            <w:r>
              <w:rPr>
                <w:rFonts w:ascii="Arial" w:cs="Arial" w:eastAsia="Arial" w:hAnsi="Arial"/>
                <w:sz w:val="18"/>
                <w:szCs w:val="18"/>
                <w:color w:val="auto"/>
              </w:rPr>
              <w:t>1.1</w:t>
            </w:r>
          </w:p>
        </w:tc>
        <w:tc>
          <w:tcPr>
            <w:tcW w:w="220" w:type="dxa"/>
            <w:vAlign w:val="bottom"/>
            <w:tcBorders>
              <w:top w:val="single" w:sz="8" w:color="939598"/>
              <w:bottom w:val="single" w:sz="8" w:color="939598"/>
            </w:tcBorders>
          </w:tcPr>
          <w:p>
            <w:pPr>
              <w:jc w:val="right"/>
              <w:spacing w:after="0" w:line="196" w:lineRule="exact"/>
              <w:rPr>
                <w:sz w:val="20"/>
                <w:szCs w:val="20"/>
                <w:color w:val="auto"/>
              </w:rPr>
            </w:pPr>
            <w:r>
              <w:rPr>
                <w:rFonts w:ascii="Arial" w:cs="Arial" w:eastAsia="Arial" w:hAnsi="Arial"/>
                <w:sz w:val="18"/>
                <w:szCs w:val="18"/>
                <w:color w:val="auto"/>
              </w:rPr>
              <w:t>$</w:t>
            </w:r>
          </w:p>
        </w:tc>
        <w:tc>
          <w:tcPr>
            <w:tcW w:w="1060" w:type="dxa"/>
            <w:vAlign w:val="bottom"/>
            <w:tcBorders>
              <w:top w:val="single" w:sz="8" w:color="939598"/>
              <w:bottom w:val="single" w:sz="8" w:color="939598"/>
            </w:tcBorders>
          </w:tcPr>
          <w:p>
            <w:pPr>
              <w:jc w:val="right"/>
              <w:ind w:right="52"/>
              <w:spacing w:after="0" w:line="196" w:lineRule="exact"/>
              <w:rPr>
                <w:sz w:val="20"/>
                <w:szCs w:val="20"/>
                <w:color w:val="auto"/>
              </w:rPr>
            </w:pPr>
            <w:r>
              <w:rPr>
                <w:rFonts w:ascii="Arial" w:cs="Arial" w:eastAsia="Arial" w:hAnsi="Arial"/>
                <w:sz w:val="18"/>
                <w:szCs w:val="18"/>
                <w:color w:val="auto"/>
              </w:rPr>
              <w:t>2,781.7</w:t>
            </w:r>
          </w:p>
        </w:tc>
        <w:tc>
          <w:tcPr>
            <w:tcW w:w="240" w:type="dxa"/>
            <w:vAlign w:val="bottom"/>
            <w:tcBorders>
              <w:top w:val="single" w:sz="8" w:color="939598"/>
              <w:bottom w:val="single" w:sz="8" w:color="939598"/>
            </w:tcBorders>
          </w:tcPr>
          <w:p>
            <w:pPr>
              <w:jc w:val="right"/>
              <w:spacing w:after="0" w:line="196" w:lineRule="exact"/>
              <w:rPr>
                <w:sz w:val="20"/>
                <w:szCs w:val="20"/>
                <w:color w:val="auto"/>
              </w:rPr>
            </w:pPr>
            <w:r>
              <w:rPr>
                <w:rFonts w:ascii="Arial" w:cs="Arial" w:eastAsia="Arial" w:hAnsi="Arial"/>
                <w:sz w:val="18"/>
                <w:szCs w:val="18"/>
                <w:color w:val="auto"/>
              </w:rPr>
              <w:t>$</w:t>
            </w:r>
          </w:p>
        </w:tc>
        <w:tc>
          <w:tcPr>
            <w:tcW w:w="880" w:type="dxa"/>
            <w:vAlign w:val="bottom"/>
            <w:tcBorders>
              <w:top w:val="single" w:sz="8" w:color="939598"/>
              <w:bottom w:val="single" w:sz="8" w:color="939598"/>
            </w:tcBorders>
          </w:tcPr>
          <w:p>
            <w:pPr>
              <w:jc w:val="right"/>
              <w:ind w:right="51"/>
              <w:spacing w:after="0" w:line="196" w:lineRule="exact"/>
              <w:rPr>
                <w:sz w:val="20"/>
                <w:szCs w:val="20"/>
                <w:color w:val="auto"/>
              </w:rPr>
            </w:pPr>
            <w:r>
              <w:rPr>
                <w:rFonts w:ascii="Arial" w:cs="Arial" w:eastAsia="Arial" w:hAnsi="Arial"/>
                <w:sz w:val="18"/>
                <w:szCs w:val="18"/>
                <w:color w:val="auto"/>
              </w:rPr>
              <w:t>785.2</w:t>
            </w:r>
          </w:p>
        </w:tc>
        <w:tc>
          <w:tcPr>
            <w:tcW w:w="200" w:type="dxa"/>
            <w:vAlign w:val="bottom"/>
            <w:tcBorders>
              <w:top w:val="single" w:sz="8" w:color="939598"/>
              <w:bottom w:val="single" w:sz="8" w:color="939598"/>
            </w:tcBorders>
          </w:tcPr>
          <w:p>
            <w:pPr>
              <w:jc w:val="right"/>
              <w:spacing w:after="0" w:line="196" w:lineRule="exact"/>
              <w:rPr>
                <w:sz w:val="20"/>
                <w:szCs w:val="20"/>
                <w:color w:val="auto"/>
              </w:rPr>
            </w:pPr>
            <w:r>
              <w:rPr>
                <w:rFonts w:ascii="Arial" w:cs="Arial" w:eastAsia="Arial" w:hAnsi="Arial"/>
                <w:sz w:val="18"/>
                <w:szCs w:val="18"/>
                <w:color w:val="auto"/>
              </w:rPr>
              <w:t>$</w:t>
            </w:r>
          </w:p>
        </w:tc>
        <w:tc>
          <w:tcPr>
            <w:tcW w:w="1360" w:type="dxa"/>
            <w:vAlign w:val="bottom"/>
            <w:tcBorders>
              <w:top w:val="single" w:sz="8" w:color="939598"/>
              <w:bottom w:val="single" w:sz="8" w:color="939598"/>
            </w:tcBorders>
          </w:tcPr>
          <w:p>
            <w:pPr>
              <w:jc w:val="right"/>
              <w:ind w:right="52"/>
              <w:spacing w:after="0" w:line="196" w:lineRule="exact"/>
              <w:rPr>
                <w:sz w:val="20"/>
                <w:szCs w:val="20"/>
                <w:color w:val="auto"/>
              </w:rPr>
            </w:pPr>
            <w:r>
              <w:rPr>
                <w:rFonts w:ascii="Arial" w:cs="Arial" w:eastAsia="Arial" w:hAnsi="Arial"/>
                <w:sz w:val="18"/>
                <w:szCs w:val="18"/>
                <w:color w:val="auto"/>
              </w:rPr>
              <w:t>87.0</w:t>
            </w:r>
          </w:p>
        </w:tc>
        <w:tc>
          <w:tcPr>
            <w:tcW w:w="240" w:type="dxa"/>
            <w:vAlign w:val="bottom"/>
            <w:tcBorders>
              <w:top w:val="single" w:sz="8" w:color="939598"/>
              <w:bottom w:val="single" w:sz="8" w:color="939598"/>
            </w:tcBorders>
          </w:tcPr>
          <w:p>
            <w:pPr>
              <w:jc w:val="right"/>
              <w:spacing w:after="0" w:line="196" w:lineRule="exact"/>
              <w:rPr>
                <w:sz w:val="20"/>
                <w:szCs w:val="20"/>
                <w:color w:val="auto"/>
              </w:rPr>
            </w:pPr>
            <w:r>
              <w:rPr>
                <w:rFonts w:ascii="Arial" w:cs="Arial" w:eastAsia="Arial" w:hAnsi="Arial"/>
                <w:sz w:val="18"/>
                <w:szCs w:val="18"/>
                <w:color w:val="auto"/>
              </w:rPr>
              <w:t>$</w:t>
            </w:r>
          </w:p>
        </w:tc>
        <w:tc>
          <w:tcPr>
            <w:tcW w:w="880" w:type="dxa"/>
            <w:vAlign w:val="bottom"/>
            <w:tcBorders>
              <w:top w:val="single" w:sz="8" w:color="939598"/>
              <w:bottom w:val="single" w:sz="8" w:color="939598"/>
            </w:tcBorders>
          </w:tcPr>
          <w:p>
            <w:pPr>
              <w:jc w:val="right"/>
              <w:spacing w:after="0" w:line="196" w:lineRule="exact"/>
              <w:rPr>
                <w:sz w:val="20"/>
                <w:szCs w:val="20"/>
                <w:color w:val="auto"/>
              </w:rPr>
            </w:pPr>
            <w:r>
              <w:rPr>
                <w:rFonts w:ascii="Arial" w:cs="Arial" w:eastAsia="Arial" w:hAnsi="Arial"/>
                <w:sz w:val="18"/>
                <w:szCs w:val="18"/>
                <w:color w:val="auto"/>
              </w:rPr>
              <w:t>(1,257.8)</w:t>
            </w:r>
          </w:p>
        </w:tc>
        <w:tc>
          <w:tcPr>
            <w:tcW w:w="280" w:type="dxa"/>
            <w:vAlign w:val="bottom"/>
            <w:tcBorders>
              <w:top w:val="single" w:sz="8" w:color="939598"/>
              <w:bottom w:val="single" w:sz="8" w:color="939598"/>
            </w:tcBorders>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700" w:type="dxa"/>
            <w:vAlign w:val="bottom"/>
            <w:tcBorders>
              <w:top w:val="single" w:sz="8" w:color="939598"/>
              <w:bottom w:val="single" w:sz="8" w:color="939598"/>
            </w:tcBorders>
          </w:tcPr>
          <w:p>
            <w:pPr>
              <w:jc w:val="right"/>
              <w:spacing w:after="0" w:line="196" w:lineRule="exact"/>
              <w:rPr>
                <w:sz w:val="20"/>
                <w:szCs w:val="20"/>
                <w:color w:val="auto"/>
              </w:rPr>
            </w:pPr>
            <w:r>
              <w:rPr>
                <w:rFonts w:ascii="Arial" w:cs="Arial" w:eastAsia="Arial" w:hAnsi="Arial"/>
                <w:sz w:val="18"/>
                <w:szCs w:val="18"/>
                <w:color w:val="auto"/>
              </w:rPr>
              <w:t>2,397.2</w:t>
            </w:r>
          </w:p>
        </w:tc>
        <w:tc>
          <w:tcPr>
            <w:tcW w:w="60" w:type="dxa"/>
            <w:vAlign w:val="bottom"/>
          </w:tcPr>
          <w:p>
            <w:pPr>
              <w:spacing w:after="0"/>
              <w:rPr>
                <w:sz w:val="17"/>
                <w:szCs w:val="17"/>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ectPr>
          <w:pgSz w:w="11900" w:h="16838" w:orient="portrait"/>
          <w:cols w:equalWidth="0" w:num="1">
            <w:col w:w="11260"/>
          </w:cols>
          <w:pgMar w:left="240" w:top="345" w:right="399" w:bottom="0" w:gutter="0" w:footer="0" w:header="0"/>
        </w:sectPr>
      </w:pPr>
    </w:p>
    <w:bookmarkStart w:id="77" w:name="page78"/>
    <w:bookmarkEnd w:id="77"/>
    <w:p>
      <w:pPr>
        <w:ind w:left="3900"/>
        <w:spacing w:after="0"/>
        <w:rPr>
          <w:sz w:val="20"/>
          <w:szCs w:val="20"/>
          <w:color w:val="auto"/>
        </w:rPr>
      </w:pPr>
      <w:r>
        <w:rPr>
          <w:rFonts w:ascii="Arial" w:cs="Arial" w:eastAsia="Arial" w:hAnsi="Arial"/>
          <w:sz w:val="16"/>
          <w:szCs w:val="16"/>
          <w:b w:val="1"/>
          <w:bCs w:val="1"/>
          <w:color w:val="939598"/>
        </w:rPr>
        <w:t xml:space="preserve">Consolidated Statements of Shareholders’ Equity </w:t>
      </w:r>
      <w:r>
        <w:rPr>
          <w:rFonts w:ascii="Arial" w:cs="Arial" w:eastAsia="Arial" w:hAnsi="Arial"/>
          <w:sz w:val="16"/>
          <w:szCs w:val="16"/>
          <w:color w:val="4D8ABE"/>
        </w:rPr>
        <w:t>Manpower 2010 Annual Report</w:t>
      </w:r>
      <w:r>
        <w:rPr>
          <w:rFonts w:ascii="Arial" w:cs="Arial" w:eastAsia="Arial" w:hAnsi="Arial"/>
          <w:sz w:val="16"/>
          <w:szCs w:val="16"/>
          <w:b w:val="1"/>
          <w:bCs w:val="1"/>
          <w:color w:val="939598"/>
        </w:rPr>
        <w:t xml:space="preserve"> </w:t>
      </w:r>
      <w:r>
        <w:rPr>
          <w:rFonts w:ascii="Arial" w:cs="Arial" w:eastAsia="Arial" w:hAnsi="Arial"/>
          <w:sz w:val="16"/>
          <w:szCs w:val="16"/>
          <w:b w:val="1"/>
          <w:bCs w:val="1"/>
          <w:color w:val="4D8ABE"/>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12700</wp:posOffset>
            </wp:positionV>
            <wp:extent cx="7267575" cy="469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ectPr>
          <w:pgSz w:w="11900" w:h="16838" w:orient="portrait"/>
          <w:cols w:equalWidth="0" w:num="1">
            <w:col w:w="10220"/>
          </w:cols>
          <w:pgMar w:left="1440" w:top="121" w:right="239" w:bottom="1440" w:gutter="0" w:footer="0" w:header="0"/>
        </w:sectPr>
      </w:pPr>
    </w:p>
    <w:bookmarkStart w:id="78" w:name="page79"/>
    <w:bookmarkEnd w:id="78"/>
    <w:p>
      <w:pPr>
        <w:spacing w:after="0"/>
        <w:rPr>
          <w:sz w:val="20"/>
          <w:szCs w:val="20"/>
          <w:color w:val="auto"/>
        </w:rPr>
      </w:pPr>
      <w:r>
        <w:rPr>
          <w:rFonts w:ascii="Arial" w:cs="Arial" w:eastAsia="Arial" w:hAnsi="Arial"/>
          <w:sz w:val="22"/>
          <w:szCs w:val="22"/>
          <w:color w:val="4D8ABE"/>
        </w:rPr>
        <w:t>Notes To Consolidated Financial Statements</w:t>
      </w:r>
    </w:p>
    <w:p>
      <w:pPr>
        <w:spacing w:after="0"/>
        <w:rPr>
          <w:sz w:val="20"/>
          <w:szCs w:val="20"/>
          <w:color w:val="auto"/>
        </w:rPr>
      </w:pPr>
      <w:r>
        <w:rPr>
          <w:rFonts w:ascii="Arial" w:cs="Arial" w:eastAsia="Arial" w:hAnsi="Arial"/>
          <w:sz w:val="18"/>
          <w:szCs w:val="18"/>
          <w:color w:val="4D8ABE"/>
        </w:rPr>
        <w:t>in millions, except share and per share data</w:t>
      </w:r>
    </w:p>
    <w:p>
      <w:pPr>
        <w:spacing w:after="0" w:line="209" w:lineRule="exact"/>
        <w:rPr>
          <w:sz w:val="20"/>
          <w:szCs w:val="20"/>
          <w:color w:val="auto"/>
        </w:rPr>
      </w:pPr>
    </w:p>
    <w:p>
      <w:pPr>
        <w:spacing w:after="0"/>
        <w:rPr>
          <w:sz w:val="20"/>
          <w:szCs w:val="20"/>
          <w:color w:val="auto"/>
        </w:rPr>
      </w:pPr>
      <w:r>
        <w:rPr>
          <w:rFonts w:ascii="Arial" w:cs="Arial" w:eastAsia="Arial" w:hAnsi="Arial"/>
          <w:sz w:val="24"/>
          <w:szCs w:val="24"/>
          <w:color w:val="86B6A5"/>
        </w:rPr>
        <w:t>01.</w:t>
      </w:r>
    </w:p>
    <w:p>
      <w:pPr>
        <w:spacing w:after="0" w:line="8" w:lineRule="exact"/>
        <w:rPr>
          <w:sz w:val="20"/>
          <w:szCs w:val="20"/>
          <w:color w:val="auto"/>
        </w:rPr>
      </w:pPr>
    </w:p>
    <w:p>
      <w:pPr>
        <w:spacing w:after="0"/>
        <w:rPr>
          <w:sz w:val="20"/>
          <w:szCs w:val="20"/>
          <w:color w:val="auto"/>
        </w:rPr>
      </w:pPr>
      <w:r>
        <w:rPr>
          <w:rFonts w:ascii="Arial" w:cs="Arial" w:eastAsia="Arial" w:hAnsi="Arial"/>
          <w:sz w:val="24"/>
          <w:szCs w:val="24"/>
          <w:color w:val="86B6A5"/>
        </w:rPr>
        <w:t>Summary Of Significant Accounting Policies</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color w:val="4D8ABE"/>
        </w:rPr>
        <w:t>NATURE OF OPERATIONS</w:t>
      </w:r>
    </w:p>
    <w:p>
      <w:pPr>
        <w:spacing w:after="0" w:line="23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Manpower Inc. is a world leader in the workforce solutions and services industry. Our worldwide network of nearly 3,900 offices in 82 countries and territories enables us to meet the needs of our clients in all industry segments. Our largest operations, based on revenues, are located in the U.S., France, Italy and the United Kingdom. We specialize in permanent, temporary and contract recruitment and assessment; training and development; outsourcing; career management and workforce consulting services. We provide services to a wide variety of clients, none of which individually comprise a significant portion of revenues for us as a whole.</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color w:val="4D8ABE"/>
        </w:rPr>
        <w:t>USE OF ESTIMATES</w:t>
      </w:r>
    </w:p>
    <w:p>
      <w:pPr>
        <w:spacing w:after="0" w:line="23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requires us to make estimates and assumptions that affect the reported amounts of assets and liabilities and disclosure of contingent assets and liabilities at the date of the financial statements and the reported amounts of revenues and expenses for the reporting period. Actual results could differ from these estimates.</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color w:val="4D8ABE"/>
        </w:rPr>
        <w:t>BASIS OF CONSOLIDATION</w:t>
      </w:r>
    </w:p>
    <w:p>
      <w:pPr>
        <w:spacing w:after="0" w:line="23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consolidated financial statements include our operating results and the operating results of all of our subsidiaries. For subsidiaries in which we have an ownership interest of 50% or less, but more than 20%, the consolidated financial statements reflect our ownership share of those earnings using the equity method of accounting. These investments, as well as certain other relationships, are also evaluated for consolidation under the accounting guidance on consolidation of variable interest entities. These investments were $71.6 and $65.5 as of December 31, 2010 and 2009, respectively, and are included in Other Assets in the consolidated balance sheets. Included in Shareholders’ Equity as of December 31, 2010 and 2009 are $60.8 and $56.2 of unremitted earnings from investments accounted for using the equity method. All signific ant intercompany accounts and transactions have been eliminated in consolidation.</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b w:val="1"/>
          <w:bCs w:val="1"/>
          <w:color w:val="4D8ABE"/>
        </w:rPr>
        <w:t>REVENUES AND RECEIVABLES</w:t>
      </w:r>
    </w:p>
    <w:p>
      <w:pPr>
        <w:spacing w:after="0" w:line="23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generate revenues from sales of services by our company-owned branch operations and from fees earned on sales of services by our franchise operations. Revenues are recognized as services are performed. The majority of our revenues are generated by our recruitment business, where billings are generally negotiated and invoiced on a per-hour basis. Accordingly, as contingent workers are placed, we record revenue based on the hours worked. Permanent recruitment revenues are recorded as placements are made. Provisions for sales allowances, based on historical experience, are recognized at the time the related sale is recognized.</w:t>
      </w:r>
    </w:p>
    <w:p>
      <w:pPr>
        <w:spacing w:after="0" w:line="203" w:lineRule="exact"/>
        <w:rPr>
          <w:sz w:val="20"/>
          <w:szCs w:val="20"/>
          <w:color w:val="auto"/>
        </w:rPr>
      </w:pPr>
    </w:p>
    <w:p>
      <w:pPr>
        <w:jc w:val="both"/>
        <w:spacing w:after="0"/>
        <w:rPr>
          <w:sz w:val="20"/>
          <w:szCs w:val="20"/>
          <w:color w:val="auto"/>
        </w:rPr>
      </w:pPr>
      <w:r>
        <w:rPr>
          <w:rFonts w:ascii="Arial" w:cs="Arial" w:eastAsia="Arial" w:hAnsi="Arial"/>
          <w:sz w:val="18"/>
          <w:szCs w:val="18"/>
          <w:color w:val="auto"/>
        </w:rPr>
        <w:t>Our franchise agreements generally state that franchise fees are calculated based on a percentage of revenues. We record franchise fee revenues monthly based on the amounts due under the franchise agreements for that month. Franchise fees, which are included in Revenues from Services, were $23.6, $22.3, and $30.9 for the years ended December 31, 2010, 2009 and 2008, respectively.</w:t>
      </w:r>
    </w:p>
    <w:p>
      <w:pPr>
        <w:spacing w:after="0" w:line="203"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In our outplacement business, we recognize revenue from individual programs over the estimated period in which services are rendered to candidates. For large projects within the outplacement business, we recognize revenue ratably over the period in which the services are provided. In our consulting business, revenue is recognized upon the performance of the service under the consulting service contract. For performance-based contracts, we defer recognizing revenue until the performance criteria has been met.</w:t>
      </w:r>
    </w:p>
    <w:p>
      <w:pPr>
        <w:spacing w:after="0" w:line="202"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amount billed for outplacement, consulting services and performance-based contracts in excess of the amount recognized as revenue is recorded as Deferred Revenue and included in Accrued Liabilities for the current portion and Other Long-Term Liabilities for the long-term portion in our Consolidated Balance Sheets. As of December 31, 2010 and 2009, the current portion of Deferred Revenue was $53.8 and $54.3, respectively, and the long-term portion of Deferred Revenue was $29.8 and $25.2, respectively.</w:t>
      </w:r>
    </w:p>
    <w:p>
      <w:pPr>
        <w:spacing w:after="0" w:line="202"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We record revenues from sales of services and the related direct costs in accordance with the accounting guidance on reporting revenue gross as a principal versus net as an agent. In situations where we act as a principal in the transaction, we report gross revenues and cost of services. When we act as an agent, we report the revenues on a net basis. Amounts billed to clients for out-of-pocket or other cost reimbursements are included in Revenues from Services, and the related costs are included in Cost of Services.</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color w:val="4D8ABE"/>
        </w:rPr>
        <w:t xml:space="preserve">48 </w:t>
      </w:r>
      <w:r>
        <w:rPr>
          <w:rFonts w:ascii="Arial" w:cs="Arial" w:eastAsia="Arial" w:hAnsi="Arial"/>
          <w:sz w:val="16"/>
          <w:szCs w:val="16"/>
          <w:color w:val="4D8ABE"/>
        </w:rPr>
        <w:t>Manpower 2010 Annual Report</w:t>
      </w:r>
      <w:r>
        <w:rPr>
          <w:rFonts w:ascii="Arial" w:cs="Arial" w:eastAsia="Arial" w:hAnsi="Arial"/>
          <w:sz w:val="16"/>
          <w:szCs w:val="16"/>
          <w:b w:val="1"/>
          <w:bCs w:val="1"/>
          <w:color w:val="4D8ABE"/>
        </w:rPr>
        <w:t xml:space="preserve"> </w:t>
      </w:r>
      <w:r>
        <w:rPr>
          <w:rFonts w:ascii="Arial" w:cs="Arial" w:eastAsia="Arial" w:hAnsi="Arial"/>
          <w:sz w:val="16"/>
          <w:szCs w:val="16"/>
          <w:b w:val="1"/>
          <w:bCs w:val="1"/>
          <w:color w:val="939598"/>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wp:posOffset>
            </wp:positionV>
            <wp:extent cx="7267575" cy="469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ectPr>
          <w:pgSz w:w="11900" w:h="16838" w:orient="portrait"/>
          <w:cols w:equalWidth="0" w:num="1">
            <w:col w:w="11420"/>
          </w:cols>
          <w:pgMar w:left="240" w:top="345" w:right="239" w:bottom="1440" w:gutter="0" w:footer="0" w:header="0"/>
        </w:sectPr>
      </w:pPr>
    </w:p>
    <w:bookmarkStart w:id="79" w:name="page80"/>
    <w:bookmarkEnd w:id="79"/>
    <w:p>
      <w:pPr>
        <w:spacing w:after="0"/>
        <w:rPr>
          <w:sz w:val="20"/>
          <w:szCs w:val="20"/>
          <w:color w:val="auto"/>
        </w:rPr>
      </w:pPr>
      <w:r>
        <w:rPr>
          <w:rFonts w:ascii="Arial" w:cs="Arial" w:eastAsia="Arial" w:hAnsi="Arial"/>
          <w:sz w:val="16"/>
          <w:szCs w:val="16"/>
          <w:b w:val="1"/>
          <w:bCs w:val="1"/>
          <w:color w:val="4D8ABE"/>
        </w:rPr>
        <w:t>ALLOWANCE FOR DOUBTFUL ACCOUNTS</w:t>
      </w:r>
    </w:p>
    <w:p>
      <w:pPr>
        <w:spacing w:after="0" w:line="23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We have an Allowance for Doubtful Accounts recorded as an estimate of the Accounts Receivable balance that may not be collected. This allowance is calculated on an entity-by-entity basis with consideration for historical write-off experience, the current aging of receivables and a specific review for potential bad debts. Items that affect this balance mainly include bad debt expense and the write-off of accounts receivable balances.</w:t>
      </w:r>
    </w:p>
    <w:p>
      <w:pPr>
        <w:spacing w:after="0" w:line="202"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Bad debt expense is recorded as Selling and Administrative Expenses in our Consolidated Statements of Operations and was $28.9, $27.8 and $23.4 in 2010, 2009 and 2008, respectively. Factors that would cause this provision to increase primarily relate to increased bankruptcies by our clients and other difficulties collecting amounts billed. On the other hand, an improved write-off experience and aging of receivables would result in a decrease to the provision. Write-offs were $33.5, $39.0 and $21.5 for 2010, 2009 and 2008, respectively. The increase in write-offs subsequent to 2008 was primarily due to an increase in customers not being able to pay because of the decline in the economic environment between 2009 and 2010.</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color w:val="4D8ABE"/>
        </w:rPr>
        <w:t>ADVERTISING COSTS</w:t>
      </w:r>
    </w:p>
    <w:p>
      <w:pPr>
        <w:spacing w:after="0" w:line="238"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We expense production costs of advertising as they are incurred. Advertising expenses were $29.2, $29.4 and $62.6 in 2010, 2009 and 2008, respectively.</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color w:val="4D8ABE"/>
        </w:rPr>
        <w:t>EMPLOYMENT-RELATED ITEMS</w:t>
      </w:r>
    </w:p>
    <w:p>
      <w:pPr>
        <w:spacing w:after="0" w:line="23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During 2008, we received additional information, which was based on communications with the French Central Agency, indicating that the 2007 modification to the calculation of payroll taxes under certain French social programs aimed at encouraging the employment of low-wage workers was also applicable to 2005. This modification reduced the amount of payroll taxes that we were required to remit, therefore, we recognized $68.2 ($43.8 after tax) of a net benefit to Gross Profit in 2008. The proceeds for a majority of this amount were received in 2008 with the remainder in 2009.</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color w:val="4D8ABE"/>
        </w:rPr>
        <w:t>REORGANIZATION COSTS</w:t>
      </w:r>
    </w:p>
    <w:p>
      <w:pPr>
        <w:spacing w:after="0" w:line="23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We recorded reorganization costs of $ 36.1, $33.5 and $ 37.2 in 2010, 2009 and 2008, respectively, in Selling and Administrative Expenses, primarily related to severances as well as office closures and consolidations in several countries. As of December 31, 2010, $80.9 has been paid out of these reserves, of which $23.1 was paid during 2010. We expect a majority of the remaining $34.2 will be paid or utilized in 2011. Changes in the reorganization liability balances for each reportable segment and Corporate are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jc w:val="right"/>
              <w:ind w:right="52"/>
              <w:spacing w:after="0"/>
              <w:rPr>
                <w:sz w:val="20"/>
                <w:szCs w:val="20"/>
                <w:color w:val="auto"/>
              </w:rPr>
            </w:pPr>
            <w:r>
              <w:rPr>
                <w:rFonts w:ascii="Arial" w:cs="Arial" w:eastAsia="Arial" w:hAnsi="Arial"/>
                <w:sz w:val="16"/>
                <w:szCs w:val="16"/>
                <w:b w:val="1"/>
                <w:bCs w:val="1"/>
                <w:color w:val="86B6A5"/>
              </w:rPr>
              <w:t>Right</w:t>
            </w: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28"/>
        </w:trPr>
        <w:tc>
          <w:tcPr>
            <w:tcW w:w="2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60" w:type="dxa"/>
            <w:vAlign w:val="bottom"/>
          </w:tcPr>
          <w:p>
            <w:pPr>
              <w:jc w:val="right"/>
              <w:spacing w:after="0" w:line="221" w:lineRule="exact"/>
              <w:rPr>
                <w:sz w:val="20"/>
                <w:szCs w:val="20"/>
                <w:color w:val="auto"/>
              </w:rPr>
            </w:pPr>
            <w:r>
              <w:rPr>
                <w:rFonts w:ascii="Arial" w:cs="Arial" w:eastAsia="Arial" w:hAnsi="Arial"/>
                <w:sz w:val="16"/>
                <w:szCs w:val="16"/>
                <w:b w:val="1"/>
                <w:bCs w:val="1"/>
                <w:color w:val="86B6A5"/>
                <w:w w:val="99"/>
              </w:rPr>
              <w:t>Americas</w:t>
            </w:r>
            <w:r>
              <w:rPr>
                <w:rFonts w:ascii="Arial" w:cs="Arial" w:eastAsia="Arial" w:hAnsi="Arial"/>
                <w:sz w:val="22"/>
                <w:szCs w:val="22"/>
                <w:b w:val="1"/>
                <w:bCs w:val="1"/>
                <w:color w:val="86B6A5"/>
                <w:w w:val="99"/>
                <w:vertAlign w:val="superscript"/>
              </w:rPr>
              <w:t>(1)</w:t>
            </w:r>
          </w:p>
        </w:tc>
        <w:tc>
          <w:tcPr>
            <w:tcW w:w="260" w:type="dxa"/>
            <w:vAlign w:val="bottom"/>
          </w:tcPr>
          <w:p>
            <w:pPr>
              <w:spacing w:after="0"/>
              <w:rPr>
                <w:sz w:val="19"/>
                <w:szCs w:val="19"/>
                <w:color w:val="auto"/>
              </w:rPr>
            </w:pPr>
          </w:p>
        </w:tc>
        <w:tc>
          <w:tcPr>
            <w:tcW w:w="820" w:type="dxa"/>
            <w:vAlign w:val="bottom"/>
          </w:tcPr>
          <w:p>
            <w:pPr>
              <w:jc w:val="right"/>
              <w:ind w:right="51"/>
              <w:spacing w:after="0"/>
              <w:rPr>
                <w:sz w:val="20"/>
                <w:szCs w:val="20"/>
                <w:color w:val="auto"/>
              </w:rPr>
            </w:pPr>
            <w:r>
              <w:rPr>
                <w:rFonts w:ascii="Arial" w:cs="Arial" w:eastAsia="Arial" w:hAnsi="Arial"/>
                <w:sz w:val="16"/>
                <w:szCs w:val="16"/>
                <w:b w:val="1"/>
                <w:bCs w:val="1"/>
                <w:color w:val="86B6A5"/>
              </w:rPr>
              <w:t>France</w:t>
            </w:r>
          </w:p>
        </w:tc>
        <w:tc>
          <w:tcPr>
            <w:tcW w:w="340" w:type="dxa"/>
            <w:vAlign w:val="bottom"/>
          </w:tcPr>
          <w:p>
            <w:pPr>
              <w:spacing w:after="0"/>
              <w:rPr>
                <w:sz w:val="19"/>
                <w:szCs w:val="19"/>
                <w:color w:val="auto"/>
              </w:rPr>
            </w:pPr>
          </w:p>
        </w:tc>
        <w:tc>
          <w:tcPr>
            <w:tcW w:w="820" w:type="dxa"/>
            <w:vAlign w:val="bottom"/>
          </w:tcPr>
          <w:p>
            <w:pPr>
              <w:jc w:val="right"/>
              <w:spacing w:after="0" w:line="221" w:lineRule="exact"/>
              <w:rPr>
                <w:sz w:val="20"/>
                <w:szCs w:val="20"/>
                <w:color w:val="auto"/>
              </w:rPr>
            </w:pPr>
            <w:r>
              <w:rPr>
                <w:rFonts w:ascii="Arial" w:cs="Arial" w:eastAsia="Arial" w:hAnsi="Arial"/>
                <w:sz w:val="16"/>
                <w:szCs w:val="16"/>
                <w:b w:val="1"/>
                <w:bCs w:val="1"/>
                <w:color w:val="86B6A5"/>
              </w:rPr>
              <w:t>EMEA</w:t>
            </w:r>
            <w:r>
              <w:rPr>
                <w:rFonts w:ascii="Arial" w:cs="Arial" w:eastAsia="Arial" w:hAnsi="Arial"/>
                <w:sz w:val="22"/>
                <w:szCs w:val="22"/>
                <w:b w:val="1"/>
                <w:bCs w:val="1"/>
                <w:color w:val="86B6A5"/>
                <w:vertAlign w:val="superscript"/>
              </w:rPr>
              <w:t>(2)</w:t>
            </w:r>
          </w:p>
        </w:tc>
        <w:tc>
          <w:tcPr>
            <w:tcW w:w="140" w:type="dxa"/>
            <w:vAlign w:val="bottom"/>
          </w:tcPr>
          <w:p>
            <w:pPr>
              <w:spacing w:after="0"/>
              <w:rPr>
                <w:sz w:val="19"/>
                <w:szCs w:val="19"/>
                <w:color w:val="auto"/>
              </w:rPr>
            </w:pPr>
          </w:p>
        </w:tc>
        <w:tc>
          <w:tcPr>
            <w:tcW w:w="1060" w:type="dxa"/>
            <w:vAlign w:val="bottom"/>
          </w:tcPr>
          <w:p>
            <w:pPr>
              <w:jc w:val="right"/>
              <w:ind w:right="51"/>
              <w:spacing w:after="0"/>
              <w:rPr>
                <w:sz w:val="20"/>
                <w:szCs w:val="20"/>
                <w:color w:val="auto"/>
              </w:rPr>
            </w:pPr>
            <w:r>
              <w:rPr>
                <w:rFonts w:ascii="Arial" w:cs="Arial" w:eastAsia="Arial" w:hAnsi="Arial"/>
                <w:sz w:val="16"/>
                <w:szCs w:val="16"/>
                <w:b w:val="1"/>
                <w:bCs w:val="1"/>
                <w:color w:val="86B6A5"/>
              </w:rPr>
              <w:t>Asia Pacific</w:t>
            </w:r>
          </w:p>
        </w:tc>
        <w:tc>
          <w:tcPr>
            <w:tcW w:w="180" w:type="dxa"/>
            <w:vAlign w:val="bottom"/>
          </w:tcPr>
          <w:p>
            <w:pPr>
              <w:spacing w:after="0"/>
              <w:rPr>
                <w:sz w:val="19"/>
                <w:szCs w:val="19"/>
                <w:color w:val="auto"/>
              </w:rPr>
            </w:pPr>
          </w:p>
        </w:tc>
        <w:tc>
          <w:tcPr>
            <w:tcW w:w="1140" w:type="dxa"/>
            <w:vAlign w:val="bottom"/>
          </w:tcPr>
          <w:p>
            <w:pPr>
              <w:jc w:val="right"/>
              <w:ind w:right="52"/>
              <w:spacing w:after="0"/>
              <w:rPr>
                <w:sz w:val="20"/>
                <w:szCs w:val="20"/>
                <w:color w:val="auto"/>
              </w:rPr>
            </w:pPr>
            <w:r>
              <w:rPr>
                <w:rFonts w:ascii="Arial" w:cs="Arial" w:eastAsia="Arial" w:hAnsi="Arial"/>
                <w:sz w:val="16"/>
                <w:szCs w:val="16"/>
                <w:b w:val="1"/>
                <w:bCs w:val="1"/>
                <w:color w:val="86B6A5"/>
              </w:rPr>
              <w:t>Management</w:t>
            </w:r>
          </w:p>
        </w:tc>
        <w:tc>
          <w:tcPr>
            <w:tcW w:w="200" w:type="dxa"/>
            <w:vAlign w:val="bottom"/>
          </w:tcPr>
          <w:p>
            <w:pPr>
              <w:spacing w:after="0"/>
              <w:rPr>
                <w:sz w:val="19"/>
                <w:szCs w:val="19"/>
                <w:color w:val="auto"/>
              </w:rPr>
            </w:pPr>
          </w:p>
        </w:tc>
        <w:tc>
          <w:tcPr>
            <w:tcW w:w="920" w:type="dxa"/>
            <w:vAlign w:val="bottom"/>
          </w:tcPr>
          <w:p>
            <w:pPr>
              <w:jc w:val="right"/>
              <w:ind w:right="51"/>
              <w:spacing w:after="0"/>
              <w:rPr>
                <w:sz w:val="20"/>
                <w:szCs w:val="20"/>
                <w:color w:val="auto"/>
              </w:rPr>
            </w:pPr>
            <w:r>
              <w:rPr>
                <w:rFonts w:ascii="Arial" w:cs="Arial" w:eastAsia="Arial" w:hAnsi="Arial"/>
                <w:sz w:val="16"/>
                <w:szCs w:val="16"/>
                <w:b w:val="1"/>
                <w:bCs w:val="1"/>
                <w:color w:val="86B6A5"/>
                <w:w w:val="99"/>
              </w:rPr>
              <w:t>Corporate</w:t>
            </w:r>
          </w:p>
        </w:tc>
        <w:tc>
          <w:tcPr>
            <w:tcW w:w="380" w:type="dxa"/>
            <w:vAlign w:val="bottom"/>
          </w:tcPr>
          <w:p>
            <w:pPr>
              <w:spacing w:after="0"/>
              <w:rPr>
                <w:sz w:val="19"/>
                <w:szCs w:val="19"/>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6"/>
                <w:szCs w:val="16"/>
                <w:b w:val="1"/>
                <w:bCs w:val="1"/>
                <w:color w:val="86B6A5"/>
              </w:rPr>
              <w:t>Total</w:t>
            </w:r>
          </w:p>
        </w:tc>
      </w:tr>
      <w:tr>
        <w:trPr>
          <w:trHeight w:val="202"/>
        </w:trPr>
        <w:tc>
          <w:tcPr>
            <w:tcW w:w="20" w:type="dxa"/>
            <w:vAlign w:val="bottom"/>
          </w:tcPr>
          <w:p>
            <w:pPr>
              <w:spacing w:after="0"/>
              <w:rPr>
                <w:sz w:val="17"/>
                <w:szCs w:val="17"/>
                <w:color w:val="auto"/>
              </w:rPr>
            </w:pPr>
          </w:p>
        </w:tc>
        <w:tc>
          <w:tcPr>
            <w:tcW w:w="2780" w:type="dxa"/>
            <w:vAlign w:val="bottom"/>
            <w:tcBorders>
              <w:top w:val="single" w:sz="8" w:color="86B6A5"/>
            </w:tcBorders>
          </w:tcPr>
          <w:p>
            <w:pPr>
              <w:spacing w:after="0" w:line="201" w:lineRule="exact"/>
              <w:rPr>
                <w:sz w:val="20"/>
                <w:szCs w:val="20"/>
                <w:color w:val="auto"/>
              </w:rPr>
            </w:pPr>
            <w:r>
              <w:rPr>
                <w:rFonts w:ascii="Arial" w:cs="Arial" w:eastAsia="Arial" w:hAnsi="Arial"/>
                <w:sz w:val="18"/>
                <w:szCs w:val="18"/>
                <w:color w:val="auto"/>
              </w:rPr>
              <w:t>Balance, January 1, 2009</w:t>
            </w:r>
          </w:p>
        </w:tc>
        <w:tc>
          <w:tcPr>
            <w:tcW w:w="580" w:type="dxa"/>
            <w:vAlign w:val="bottom"/>
            <w:tcBorders>
              <w:top w:val="single" w:sz="8" w:color="86B6A5"/>
            </w:tcBorders>
          </w:tcPr>
          <w:p>
            <w:pPr>
              <w:jc w:val="right"/>
              <w:spacing w:after="0" w:line="201" w:lineRule="exact"/>
              <w:rPr>
                <w:sz w:val="20"/>
                <w:szCs w:val="20"/>
                <w:color w:val="auto"/>
              </w:rPr>
            </w:pPr>
            <w:r>
              <w:rPr>
                <w:rFonts w:ascii="Arial" w:cs="Arial" w:eastAsia="Arial" w:hAnsi="Arial"/>
                <w:sz w:val="18"/>
                <w:szCs w:val="18"/>
                <w:color w:val="auto"/>
              </w:rPr>
              <w:t>$</w:t>
            </w:r>
          </w:p>
        </w:tc>
        <w:tc>
          <w:tcPr>
            <w:tcW w:w="960" w:type="dxa"/>
            <w:vAlign w:val="bottom"/>
            <w:tcBorders>
              <w:top w:val="single" w:sz="8" w:color="86B6A5"/>
            </w:tcBorders>
          </w:tcPr>
          <w:p>
            <w:pPr>
              <w:jc w:val="right"/>
              <w:ind w:right="91"/>
              <w:spacing w:after="0" w:line="201" w:lineRule="exact"/>
              <w:rPr>
                <w:sz w:val="20"/>
                <w:szCs w:val="20"/>
                <w:color w:val="auto"/>
              </w:rPr>
            </w:pPr>
            <w:r>
              <w:rPr>
                <w:rFonts w:ascii="Arial" w:cs="Arial" w:eastAsia="Arial" w:hAnsi="Arial"/>
                <w:sz w:val="18"/>
                <w:szCs w:val="18"/>
                <w:color w:val="auto"/>
              </w:rPr>
              <w:t>8.9</w:t>
            </w:r>
          </w:p>
        </w:tc>
        <w:tc>
          <w:tcPr>
            <w:tcW w:w="260" w:type="dxa"/>
            <w:vAlign w:val="bottom"/>
            <w:tcBorders>
              <w:top w:val="single" w:sz="8" w:color="86B6A5"/>
            </w:tcBorders>
          </w:tcPr>
          <w:p>
            <w:pPr>
              <w:jc w:val="right"/>
              <w:ind w:right="30"/>
              <w:spacing w:after="0" w:line="201" w:lineRule="exact"/>
              <w:rPr>
                <w:sz w:val="20"/>
                <w:szCs w:val="20"/>
                <w:color w:val="auto"/>
              </w:rPr>
            </w:pPr>
            <w:r>
              <w:rPr>
                <w:rFonts w:ascii="Arial" w:cs="Arial" w:eastAsia="Arial" w:hAnsi="Arial"/>
                <w:sz w:val="18"/>
                <w:szCs w:val="18"/>
                <w:color w:val="auto"/>
              </w:rPr>
              <w:t>$</w:t>
            </w:r>
          </w:p>
        </w:tc>
        <w:tc>
          <w:tcPr>
            <w:tcW w:w="820" w:type="dxa"/>
            <w:vAlign w:val="bottom"/>
            <w:tcBorders>
              <w:top w:val="single" w:sz="8" w:color="86B6A5"/>
            </w:tcBorders>
          </w:tcPr>
          <w:p>
            <w:pPr>
              <w:jc w:val="right"/>
              <w:ind w:right="51"/>
              <w:spacing w:after="0" w:line="201" w:lineRule="exact"/>
              <w:rPr>
                <w:sz w:val="20"/>
                <w:szCs w:val="20"/>
                <w:color w:val="auto"/>
              </w:rPr>
            </w:pPr>
            <w:r>
              <w:rPr>
                <w:rFonts w:ascii="Arial" w:cs="Arial" w:eastAsia="Arial" w:hAnsi="Arial"/>
                <w:sz w:val="18"/>
                <w:szCs w:val="18"/>
                <w:color w:val="auto"/>
              </w:rPr>
              <w:t>4.5</w:t>
            </w:r>
          </w:p>
        </w:tc>
        <w:tc>
          <w:tcPr>
            <w:tcW w:w="340" w:type="dxa"/>
            <w:vAlign w:val="bottom"/>
            <w:tcBorders>
              <w:top w:val="single" w:sz="8" w:color="86B6A5"/>
            </w:tcBorders>
          </w:tcPr>
          <w:p>
            <w:pPr>
              <w:jc w:val="right"/>
              <w:ind w:right="70"/>
              <w:spacing w:after="0" w:line="201" w:lineRule="exact"/>
              <w:rPr>
                <w:sz w:val="20"/>
                <w:szCs w:val="20"/>
                <w:color w:val="auto"/>
              </w:rPr>
            </w:pPr>
            <w:r>
              <w:rPr>
                <w:rFonts w:ascii="Arial" w:cs="Arial" w:eastAsia="Arial" w:hAnsi="Arial"/>
                <w:sz w:val="18"/>
                <w:szCs w:val="18"/>
                <w:color w:val="auto"/>
              </w:rPr>
              <w:t>$</w:t>
            </w:r>
          </w:p>
        </w:tc>
        <w:tc>
          <w:tcPr>
            <w:tcW w:w="820" w:type="dxa"/>
            <w:vAlign w:val="bottom"/>
            <w:tcBorders>
              <w:top w:val="single" w:sz="8" w:color="86B6A5"/>
            </w:tcBorders>
          </w:tcPr>
          <w:p>
            <w:pPr>
              <w:jc w:val="right"/>
              <w:ind w:right="91"/>
              <w:spacing w:after="0" w:line="201" w:lineRule="exact"/>
              <w:rPr>
                <w:sz w:val="20"/>
                <w:szCs w:val="20"/>
                <w:color w:val="auto"/>
              </w:rPr>
            </w:pPr>
            <w:r>
              <w:rPr>
                <w:rFonts w:ascii="Arial" w:cs="Arial" w:eastAsia="Arial" w:hAnsi="Arial"/>
                <w:sz w:val="18"/>
                <w:szCs w:val="18"/>
                <w:color w:val="auto"/>
              </w:rPr>
              <w:t>16.2</w:t>
            </w:r>
          </w:p>
        </w:tc>
        <w:tc>
          <w:tcPr>
            <w:tcW w:w="140" w:type="dxa"/>
            <w:vAlign w:val="bottom"/>
            <w:tcBorders>
              <w:top w:val="single" w:sz="8" w:color="86B6A5"/>
            </w:tcBorders>
          </w:tcPr>
          <w:p>
            <w:pPr>
              <w:jc w:val="right"/>
              <w:spacing w:after="0" w:line="201" w:lineRule="exact"/>
              <w:rPr>
                <w:sz w:val="20"/>
                <w:szCs w:val="20"/>
                <w:color w:val="auto"/>
              </w:rPr>
            </w:pPr>
            <w:r>
              <w:rPr>
                <w:rFonts w:ascii="Arial" w:cs="Arial" w:eastAsia="Arial" w:hAnsi="Arial"/>
                <w:sz w:val="18"/>
                <w:szCs w:val="18"/>
                <w:color w:val="auto"/>
              </w:rPr>
              <w:t>$</w:t>
            </w:r>
          </w:p>
        </w:tc>
        <w:tc>
          <w:tcPr>
            <w:tcW w:w="1060" w:type="dxa"/>
            <w:vAlign w:val="bottom"/>
            <w:tcBorders>
              <w:top w:val="single" w:sz="8" w:color="86B6A5"/>
            </w:tcBorders>
          </w:tcPr>
          <w:p>
            <w:pPr>
              <w:jc w:val="right"/>
              <w:ind w:right="51"/>
              <w:spacing w:after="0" w:line="201" w:lineRule="exact"/>
              <w:rPr>
                <w:sz w:val="20"/>
                <w:szCs w:val="20"/>
                <w:color w:val="auto"/>
              </w:rPr>
            </w:pPr>
            <w:r>
              <w:rPr>
                <w:rFonts w:ascii="Arial" w:cs="Arial" w:eastAsia="Arial" w:hAnsi="Arial"/>
                <w:sz w:val="18"/>
                <w:szCs w:val="18"/>
                <w:color w:val="auto"/>
              </w:rPr>
              <w:t>0.1</w:t>
            </w:r>
          </w:p>
        </w:tc>
        <w:tc>
          <w:tcPr>
            <w:tcW w:w="180" w:type="dxa"/>
            <w:vAlign w:val="bottom"/>
            <w:tcBorders>
              <w:top w:val="single" w:sz="8" w:color="86B6A5"/>
            </w:tcBorders>
          </w:tcPr>
          <w:p>
            <w:pPr>
              <w:jc w:val="right"/>
              <w:spacing w:after="0" w:line="201" w:lineRule="exact"/>
              <w:rPr>
                <w:sz w:val="20"/>
                <w:szCs w:val="20"/>
                <w:color w:val="auto"/>
              </w:rPr>
            </w:pPr>
            <w:r>
              <w:rPr>
                <w:rFonts w:ascii="Arial" w:cs="Arial" w:eastAsia="Arial" w:hAnsi="Arial"/>
                <w:sz w:val="18"/>
                <w:szCs w:val="18"/>
                <w:color w:val="auto"/>
              </w:rPr>
              <w:t>$</w:t>
            </w:r>
          </w:p>
        </w:tc>
        <w:tc>
          <w:tcPr>
            <w:tcW w:w="1140" w:type="dxa"/>
            <w:vAlign w:val="bottom"/>
            <w:tcBorders>
              <w:top w:val="single" w:sz="8" w:color="86B6A5"/>
            </w:tcBorders>
          </w:tcPr>
          <w:p>
            <w:pPr>
              <w:jc w:val="right"/>
              <w:ind w:right="52"/>
              <w:spacing w:after="0" w:line="201" w:lineRule="exact"/>
              <w:rPr>
                <w:sz w:val="20"/>
                <w:szCs w:val="20"/>
                <w:color w:val="auto"/>
              </w:rPr>
            </w:pPr>
            <w:r>
              <w:rPr>
                <w:rFonts w:ascii="Arial" w:cs="Arial" w:eastAsia="Arial" w:hAnsi="Arial"/>
                <w:sz w:val="18"/>
                <w:szCs w:val="18"/>
                <w:color w:val="auto"/>
              </w:rPr>
              <w:t>1.0</w:t>
            </w:r>
          </w:p>
        </w:tc>
        <w:tc>
          <w:tcPr>
            <w:tcW w:w="200" w:type="dxa"/>
            <w:vAlign w:val="bottom"/>
            <w:tcBorders>
              <w:top w:val="single" w:sz="8" w:color="86B6A5"/>
            </w:tcBorders>
          </w:tcPr>
          <w:p>
            <w:pPr>
              <w:jc w:val="right"/>
              <w:spacing w:after="0" w:line="201" w:lineRule="exact"/>
              <w:rPr>
                <w:sz w:val="20"/>
                <w:szCs w:val="20"/>
                <w:color w:val="auto"/>
              </w:rPr>
            </w:pPr>
            <w:r>
              <w:rPr>
                <w:rFonts w:ascii="Arial" w:cs="Arial" w:eastAsia="Arial" w:hAnsi="Arial"/>
                <w:sz w:val="18"/>
                <w:szCs w:val="18"/>
                <w:color w:val="auto"/>
              </w:rPr>
              <w:t>$</w:t>
            </w:r>
          </w:p>
        </w:tc>
        <w:tc>
          <w:tcPr>
            <w:tcW w:w="920" w:type="dxa"/>
            <w:vAlign w:val="bottom"/>
            <w:tcBorders>
              <w:top w:val="single" w:sz="8" w:color="86B6A5"/>
            </w:tcBorders>
          </w:tcPr>
          <w:p>
            <w:pPr>
              <w:jc w:val="right"/>
              <w:ind w:right="51"/>
              <w:spacing w:after="0" w:line="201" w:lineRule="exact"/>
              <w:rPr>
                <w:sz w:val="20"/>
                <w:szCs w:val="20"/>
                <w:color w:val="auto"/>
              </w:rPr>
            </w:pPr>
            <w:r>
              <w:rPr>
                <w:rFonts w:ascii="Arial" w:cs="Arial" w:eastAsia="Arial" w:hAnsi="Arial"/>
                <w:sz w:val="18"/>
                <w:szCs w:val="18"/>
                <w:color w:val="auto"/>
              </w:rPr>
              <w:t>0.2</w:t>
            </w:r>
          </w:p>
        </w:tc>
        <w:tc>
          <w:tcPr>
            <w:tcW w:w="380" w:type="dxa"/>
            <w:vAlign w:val="bottom"/>
            <w:tcBorders>
              <w:top w:val="single" w:sz="8" w:color="86B6A5"/>
            </w:tcBorders>
          </w:tcPr>
          <w:p>
            <w:pPr>
              <w:jc w:val="right"/>
              <w:ind w:right="110"/>
              <w:spacing w:after="0" w:line="201" w:lineRule="exact"/>
              <w:rPr>
                <w:sz w:val="20"/>
                <w:szCs w:val="20"/>
                <w:color w:val="auto"/>
              </w:rPr>
            </w:pPr>
            <w:r>
              <w:rPr>
                <w:rFonts w:ascii="Arial" w:cs="Arial" w:eastAsia="Arial" w:hAnsi="Arial"/>
                <w:sz w:val="18"/>
                <w:szCs w:val="18"/>
                <w:color w:val="auto"/>
              </w:rPr>
              <w:t>$</w:t>
            </w:r>
          </w:p>
        </w:tc>
        <w:tc>
          <w:tcPr>
            <w:tcW w:w="600" w:type="dxa"/>
            <w:vAlign w:val="bottom"/>
            <w:tcBorders>
              <w:top w:val="single" w:sz="8" w:color="86B6A5"/>
            </w:tcBorders>
          </w:tcPr>
          <w:p>
            <w:pPr>
              <w:jc w:val="right"/>
              <w:spacing w:after="0" w:line="201" w:lineRule="exact"/>
              <w:rPr>
                <w:sz w:val="20"/>
                <w:szCs w:val="20"/>
                <w:color w:val="auto"/>
              </w:rPr>
            </w:pPr>
            <w:r>
              <w:rPr>
                <w:rFonts w:ascii="Arial" w:cs="Arial" w:eastAsia="Arial" w:hAnsi="Arial"/>
                <w:sz w:val="18"/>
                <w:szCs w:val="18"/>
                <w:color w:val="auto"/>
              </w:rPr>
              <w:t>30.9</w:t>
            </w:r>
          </w:p>
        </w:tc>
        <w:tc>
          <w:tcPr>
            <w:tcW w:w="60" w:type="dxa"/>
            <w:vAlign w:val="bottom"/>
          </w:tcPr>
          <w:p>
            <w:pPr>
              <w:spacing w:after="0"/>
              <w:rPr>
                <w:sz w:val="17"/>
                <w:szCs w:val="17"/>
                <w:color w:val="auto"/>
              </w:rPr>
            </w:pPr>
          </w:p>
        </w:tc>
      </w:tr>
      <w:tr>
        <w:trPr>
          <w:trHeight w:val="203"/>
        </w:trPr>
        <w:tc>
          <w:tcPr>
            <w:tcW w:w="2800" w:type="dxa"/>
            <w:vAlign w:val="bottom"/>
            <w:gridSpan w:val="2"/>
          </w:tcPr>
          <w:p>
            <w:pPr>
              <w:spacing w:after="0" w:line="202" w:lineRule="exact"/>
              <w:rPr>
                <w:sz w:val="20"/>
                <w:szCs w:val="20"/>
                <w:color w:val="auto"/>
              </w:rPr>
            </w:pPr>
            <w:r>
              <w:rPr>
                <w:rFonts w:ascii="Arial" w:cs="Arial" w:eastAsia="Arial" w:hAnsi="Arial"/>
                <w:sz w:val="18"/>
                <w:szCs w:val="18"/>
                <w:color w:val="auto"/>
              </w:rPr>
              <w:t>Severance costs</w:t>
            </w:r>
          </w:p>
        </w:tc>
        <w:tc>
          <w:tcPr>
            <w:tcW w:w="580" w:type="dxa"/>
            <w:vAlign w:val="bottom"/>
          </w:tcPr>
          <w:p>
            <w:pPr>
              <w:spacing w:after="0"/>
              <w:rPr>
                <w:sz w:val="17"/>
                <w:szCs w:val="17"/>
                <w:color w:val="auto"/>
              </w:rPr>
            </w:pPr>
          </w:p>
        </w:tc>
        <w:tc>
          <w:tcPr>
            <w:tcW w:w="960" w:type="dxa"/>
            <w:vAlign w:val="bottom"/>
          </w:tcPr>
          <w:p>
            <w:pPr>
              <w:jc w:val="right"/>
              <w:ind w:right="91"/>
              <w:spacing w:after="0" w:line="202" w:lineRule="exact"/>
              <w:rPr>
                <w:sz w:val="20"/>
                <w:szCs w:val="20"/>
                <w:color w:val="auto"/>
              </w:rPr>
            </w:pPr>
            <w:r>
              <w:rPr>
                <w:rFonts w:ascii="Arial" w:cs="Arial" w:eastAsia="Arial" w:hAnsi="Arial"/>
                <w:sz w:val="18"/>
                <w:szCs w:val="18"/>
                <w:color w:val="auto"/>
              </w:rPr>
              <w:t>5.8</w:t>
            </w:r>
          </w:p>
        </w:tc>
        <w:tc>
          <w:tcPr>
            <w:tcW w:w="260" w:type="dxa"/>
            <w:vAlign w:val="bottom"/>
          </w:tcPr>
          <w:p>
            <w:pPr>
              <w:spacing w:after="0"/>
              <w:rPr>
                <w:sz w:val="17"/>
                <w:szCs w:val="17"/>
                <w:color w:val="auto"/>
              </w:rPr>
            </w:pPr>
          </w:p>
        </w:tc>
        <w:tc>
          <w:tcPr>
            <w:tcW w:w="820" w:type="dxa"/>
            <w:vAlign w:val="bottom"/>
          </w:tcPr>
          <w:p>
            <w:pPr>
              <w:jc w:val="right"/>
              <w:ind w:right="51"/>
              <w:spacing w:after="0" w:line="202"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820" w:type="dxa"/>
            <w:vAlign w:val="bottom"/>
          </w:tcPr>
          <w:p>
            <w:pPr>
              <w:jc w:val="right"/>
              <w:ind w:right="91"/>
              <w:spacing w:after="0" w:line="202" w:lineRule="exact"/>
              <w:rPr>
                <w:sz w:val="20"/>
                <w:szCs w:val="20"/>
                <w:color w:val="auto"/>
              </w:rPr>
            </w:pPr>
            <w:r>
              <w:rPr>
                <w:rFonts w:ascii="Arial" w:cs="Arial" w:eastAsia="Arial" w:hAnsi="Arial"/>
                <w:sz w:val="18"/>
                <w:szCs w:val="18"/>
                <w:color w:val="auto"/>
              </w:rPr>
              <w:t>11.8</w:t>
            </w:r>
          </w:p>
        </w:tc>
        <w:tc>
          <w:tcPr>
            <w:tcW w:w="140" w:type="dxa"/>
            <w:vAlign w:val="bottom"/>
          </w:tcPr>
          <w:p>
            <w:pPr>
              <w:spacing w:after="0"/>
              <w:rPr>
                <w:sz w:val="17"/>
                <w:szCs w:val="17"/>
                <w:color w:val="auto"/>
              </w:rPr>
            </w:pPr>
          </w:p>
        </w:tc>
        <w:tc>
          <w:tcPr>
            <w:tcW w:w="1060" w:type="dxa"/>
            <w:vAlign w:val="bottom"/>
          </w:tcPr>
          <w:p>
            <w:pPr>
              <w:jc w:val="right"/>
              <w:ind w:right="51"/>
              <w:spacing w:after="0" w:line="202" w:lineRule="exact"/>
              <w:rPr>
                <w:sz w:val="20"/>
                <w:szCs w:val="20"/>
                <w:color w:val="auto"/>
              </w:rPr>
            </w:pPr>
            <w:r>
              <w:rPr>
                <w:rFonts w:ascii="Arial" w:cs="Arial" w:eastAsia="Arial" w:hAnsi="Arial"/>
                <w:sz w:val="18"/>
                <w:szCs w:val="18"/>
                <w:color w:val="auto"/>
              </w:rPr>
              <w:t>1.9</w:t>
            </w:r>
          </w:p>
        </w:tc>
        <w:tc>
          <w:tcPr>
            <w:tcW w:w="180" w:type="dxa"/>
            <w:vAlign w:val="bottom"/>
          </w:tcPr>
          <w:p>
            <w:pPr>
              <w:spacing w:after="0"/>
              <w:rPr>
                <w:sz w:val="17"/>
                <w:szCs w:val="17"/>
                <w:color w:val="auto"/>
              </w:rPr>
            </w:pPr>
          </w:p>
        </w:tc>
        <w:tc>
          <w:tcPr>
            <w:tcW w:w="1140" w:type="dxa"/>
            <w:vAlign w:val="bottom"/>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920" w:type="dxa"/>
            <w:vAlign w:val="bottom"/>
          </w:tcPr>
          <w:p>
            <w:pPr>
              <w:jc w:val="right"/>
              <w:ind w:right="51"/>
              <w:spacing w:after="0" w:line="202" w:lineRule="exact"/>
              <w:rPr>
                <w:sz w:val="20"/>
                <w:szCs w:val="20"/>
                <w:color w:val="auto"/>
              </w:rPr>
            </w:pPr>
            <w:r>
              <w:rPr>
                <w:rFonts w:ascii="Arial" w:cs="Arial" w:eastAsia="Arial" w:hAnsi="Arial"/>
                <w:sz w:val="18"/>
                <w:szCs w:val="18"/>
                <w:color w:val="auto"/>
              </w:rPr>
              <w:t>0.9</w:t>
            </w:r>
          </w:p>
        </w:tc>
        <w:tc>
          <w:tcPr>
            <w:tcW w:w="38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20.4</w:t>
            </w:r>
          </w:p>
        </w:tc>
        <w:tc>
          <w:tcPr>
            <w:tcW w:w="60" w:type="dxa"/>
            <w:vAlign w:val="bottom"/>
          </w:tcPr>
          <w:p>
            <w:pPr>
              <w:spacing w:after="0"/>
              <w:rPr>
                <w:sz w:val="17"/>
                <w:szCs w:val="17"/>
                <w:color w:val="auto"/>
              </w:rPr>
            </w:pPr>
          </w:p>
        </w:tc>
      </w:tr>
      <w:tr>
        <w:trPr>
          <w:trHeight w:val="203"/>
        </w:trPr>
        <w:tc>
          <w:tcPr>
            <w:tcW w:w="2800" w:type="dxa"/>
            <w:vAlign w:val="bottom"/>
            <w:gridSpan w:val="2"/>
          </w:tcPr>
          <w:p>
            <w:pPr>
              <w:spacing w:after="0" w:line="202" w:lineRule="exact"/>
              <w:rPr>
                <w:sz w:val="20"/>
                <w:szCs w:val="20"/>
                <w:color w:val="auto"/>
              </w:rPr>
            </w:pPr>
            <w:r>
              <w:rPr>
                <w:rFonts w:ascii="Arial" w:cs="Arial" w:eastAsia="Arial" w:hAnsi="Arial"/>
                <w:sz w:val="18"/>
                <w:szCs w:val="18"/>
                <w:color w:val="auto"/>
              </w:rPr>
              <w:t>Office closure costs</w:t>
            </w:r>
          </w:p>
        </w:tc>
        <w:tc>
          <w:tcPr>
            <w:tcW w:w="580" w:type="dxa"/>
            <w:vAlign w:val="bottom"/>
          </w:tcPr>
          <w:p>
            <w:pPr>
              <w:spacing w:after="0"/>
              <w:rPr>
                <w:sz w:val="17"/>
                <w:szCs w:val="17"/>
                <w:color w:val="auto"/>
              </w:rPr>
            </w:pPr>
          </w:p>
        </w:tc>
        <w:tc>
          <w:tcPr>
            <w:tcW w:w="960" w:type="dxa"/>
            <w:vAlign w:val="bottom"/>
          </w:tcPr>
          <w:p>
            <w:pPr>
              <w:jc w:val="right"/>
              <w:ind w:right="91"/>
              <w:spacing w:after="0" w:line="202" w:lineRule="exact"/>
              <w:rPr>
                <w:sz w:val="20"/>
                <w:szCs w:val="20"/>
                <w:color w:val="auto"/>
              </w:rPr>
            </w:pPr>
            <w:r>
              <w:rPr>
                <w:rFonts w:ascii="Arial" w:cs="Arial" w:eastAsia="Arial" w:hAnsi="Arial"/>
                <w:sz w:val="18"/>
                <w:szCs w:val="18"/>
                <w:color w:val="auto"/>
              </w:rPr>
              <w:t>2.9</w:t>
            </w:r>
          </w:p>
        </w:tc>
        <w:tc>
          <w:tcPr>
            <w:tcW w:w="260" w:type="dxa"/>
            <w:vAlign w:val="bottom"/>
          </w:tcPr>
          <w:p>
            <w:pPr>
              <w:spacing w:after="0"/>
              <w:rPr>
                <w:sz w:val="17"/>
                <w:szCs w:val="17"/>
                <w:color w:val="auto"/>
              </w:rPr>
            </w:pPr>
          </w:p>
        </w:tc>
        <w:tc>
          <w:tcPr>
            <w:tcW w:w="820" w:type="dxa"/>
            <w:vAlign w:val="bottom"/>
          </w:tcPr>
          <w:p>
            <w:pPr>
              <w:jc w:val="right"/>
              <w:ind w:right="51"/>
              <w:spacing w:after="0" w:line="202" w:lineRule="exact"/>
              <w:rPr>
                <w:sz w:val="20"/>
                <w:szCs w:val="20"/>
                <w:color w:val="auto"/>
              </w:rPr>
            </w:pPr>
            <w:r>
              <w:rPr>
                <w:rFonts w:ascii="Arial" w:cs="Arial" w:eastAsia="Arial" w:hAnsi="Arial"/>
                <w:sz w:val="18"/>
                <w:szCs w:val="18"/>
                <w:color w:val="auto"/>
              </w:rPr>
              <w:t>5.6</w:t>
            </w:r>
          </w:p>
        </w:tc>
        <w:tc>
          <w:tcPr>
            <w:tcW w:w="340" w:type="dxa"/>
            <w:vAlign w:val="bottom"/>
          </w:tcPr>
          <w:p>
            <w:pPr>
              <w:spacing w:after="0"/>
              <w:rPr>
                <w:sz w:val="17"/>
                <w:szCs w:val="17"/>
                <w:color w:val="auto"/>
              </w:rPr>
            </w:pPr>
          </w:p>
        </w:tc>
        <w:tc>
          <w:tcPr>
            <w:tcW w:w="820" w:type="dxa"/>
            <w:vAlign w:val="bottom"/>
          </w:tcPr>
          <w:p>
            <w:pPr>
              <w:jc w:val="right"/>
              <w:ind w:right="91"/>
              <w:spacing w:after="0" w:line="202" w:lineRule="exact"/>
              <w:rPr>
                <w:sz w:val="20"/>
                <w:szCs w:val="20"/>
                <w:color w:val="auto"/>
              </w:rPr>
            </w:pPr>
            <w:r>
              <w:rPr>
                <w:rFonts w:ascii="Arial" w:cs="Arial" w:eastAsia="Arial" w:hAnsi="Arial"/>
                <w:sz w:val="18"/>
                <w:szCs w:val="18"/>
                <w:color w:val="auto"/>
              </w:rPr>
              <w:t>3.9</w:t>
            </w:r>
          </w:p>
        </w:tc>
        <w:tc>
          <w:tcPr>
            <w:tcW w:w="140" w:type="dxa"/>
            <w:vAlign w:val="bottom"/>
          </w:tcPr>
          <w:p>
            <w:pPr>
              <w:spacing w:after="0"/>
              <w:rPr>
                <w:sz w:val="17"/>
                <w:szCs w:val="17"/>
                <w:color w:val="auto"/>
              </w:rPr>
            </w:pPr>
          </w:p>
        </w:tc>
        <w:tc>
          <w:tcPr>
            <w:tcW w:w="1060" w:type="dxa"/>
            <w:vAlign w:val="bottom"/>
          </w:tcPr>
          <w:p>
            <w:pPr>
              <w:jc w:val="right"/>
              <w:ind w:right="51"/>
              <w:spacing w:after="0" w:line="202" w:lineRule="exact"/>
              <w:rPr>
                <w:sz w:val="20"/>
                <w:szCs w:val="20"/>
                <w:color w:val="auto"/>
              </w:rPr>
            </w:pPr>
            <w:r>
              <w:rPr>
                <w:rFonts w:ascii="Arial" w:cs="Arial" w:eastAsia="Arial" w:hAnsi="Arial"/>
                <w:sz w:val="18"/>
                <w:szCs w:val="18"/>
                <w:color w:val="auto"/>
              </w:rPr>
              <w:t>0.7</w:t>
            </w:r>
          </w:p>
        </w:tc>
        <w:tc>
          <w:tcPr>
            <w:tcW w:w="180" w:type="dxa"/>
            <w:vAlign w:val="bottom"/>
          </w:tcPr>
          <w:p>
            <w:pPr>
              <w:spacing w:after="0"/>
              <w:rPr>
                <w:sz w:val="17"/>
                <w:szCs w:val="17"/>
                <w:color w:val="auto"/>
              </w:rPr>
            </w:pPr>
          </w:p>
        </w:tc>
        <w:tc>
          <w:tcPr>
            <w:tcW w:w="1140" w:type="dxa"/>
            <w:vAlign w:val="bottom"/>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920" w:type="dxa"/>
            <w:vAlign w:val="bottom"/>
          </w:tcPr>
          <w:p>
            <w:pPr>
              <w:jc w:val="right"/>
              <w:ind w:right="51"/>
              <w:spacing w:after="0" w:line="202" w:lineRule="exact"/>
              <w:rPr>
                <w:sz w:val="20"/>
                <w:szCs w:val="20"/>
                <w:color w:val="auto"/>
              </w:rPr>
            </w:pPr>
            <w:r>
              <w:rPr>
                <w:rFonts w:ascii="Arial" w:cs="Arial" w:eastAsia="Arial" w:hAnsi="Arial"/>
                <w:sz w:val="18"/>
                <w:szCs w:val="18"/>
                <w:color w:val="auto"/>
              </w:rPr>
              <w:t>–</w:t>
            </w:r>
          </w:p>
        </w:tc>
        <w:tc>
          <w:tcPr>
            <w:tcW w:w="38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13.1</w:t>
            </w:r>
          </w:p>
        </w:tc>
        <w:tc>
          <w:tcPr>
            <w:tcW w:w="60" w:type="dxa"/>
            <w:vAlign w:val="bottom"/>
          </w:tcPr>
          <w:p>
            <w:pPr>
              <w:spacing w:after="0"/>
              <w:rPr>
                <w:sz w:val="17"/>
                <w:szCs w:val="17"/>
                <w:color w:val="auto"/>
              </w:rPr>
            </w:pPr>
          </w:p>
        </w:tc>
      </w:tr>
      <w:tr>
        <w:trPr>
          <w:trHeight w:val="203"/>
        </w:trPr>
        <w:tc>
          <w:tcPr>
            <w:tcW w:w="2800" w:type="dxa"/>
            <w:vAlign w:val="bottom"/>
            <w:gridSpan w:val="2"/>
          </w:tcPr>
          <w:p>
            <w:pPr>
              <w:spacing w:after="0" w:line="203" w:lineRule="exact"/>
              <w:rPr>
                <w:sz w:val="20"/>
                <w:szCs w:val="20"/>
                <w:color w:val="auto"/>
              </w:rPr>
            </w:pPr>
            <w:r>
              <w:rPr>
                <w:rFonts w:ascii="Arial" w:cs="Arial" w:eastAsia="Arial" w:hAnsi="Arial"/>
                <w:sz w:val="18"/>
                <w:szCs w:val="18"/>
                <w:color w:val="auto"/>
              </w:rPr>
              <w:t>Costs paid or utilized</w:t>
            </w:r>
          </w:p>
        </w:tc>
        <w:tc>
          <w:tcPr>
            <w:tcW w:w="580" w:type="dxa"/>
            <w:vAlign w:val="bottom"/>
          </w:tcPr>
          <w:p>
            <w:pPr>
              <w:spacing w:after="0"/>
              <w:rPr>
                <w:sz w:val="17"/>
                <w:szCs w:val="17"/>
                <w:color w:val="auto"/>
              </w:rPr>
            </w:pPr>
          </w:p>
        </w:tc>
        <w:tc>
          <w:tcPr>
            <w:tcW w:w="960" w:type="dxa"/>
            <w:vAlign w:val="bottom"/>
          </w:tcPr>
          <w:p>
            <w:pPr>
              <w:jc w:val="right"/>
              <w:ind w:right="31"/>
              <w:spacing w:after="0" w:line="203" w:lineRule="exact"/>
              <w:rPr>
                <w:sz w:val="20"/>
                <w:szCs w:val="20"/>
                <w:color w:val="auto"/>
              </w:rPr>
            </w:pPr>
            <w:r>
              <w:rPr>
                <w:rFonts w:ascii="Arial" w:cs="Arial" w:eastAsia="Arial" w:hAnsi="Arial"/>
                <w:sz w:val="18"/>
                <w:szCs w:val="18"/>
                <w:color w:val="auto"/>
              </w:rPr>
              <w:t>(13.5)</w:t>
            </w:r>
          </w:p>
        </w:tc>
        <w:tc>
          <w:tcPr>
            <w:tcW w:w="260" w:type="dxa"/>
            <w:vAlign w:val="bottom"/>
          </w:tcPr>
          <w:p>
            <w:pPr>
              <w:spacing w:after="0"/>
              <w:rPr>
                <w:sz w:val="17"/>
                <w:szCs w:val="17"/>
                <w:color w:val="auto"/>
              </w:rPr>
            </w:pPr>
          </w:p>
        </w:tc>
        <w:tc>
          <w:tcPr>
            <w:tcW w:w="820" w:type="dxa"/>
            <w:vAlign w:val="bottom"/>
          </w:tcPr>
          <w:p>
            <w:pPr>
              <w:jc w:val="right"/>
              <w:spacing w:after="0" w:line="203" w:lineRule="exact"/>
              <w:rPr>
                <w:sz w:val="20"/>
                <w:szCs w:val="20"/>
                <w:color w:val="auto"/>
              </w:rPr>
            </w:pPr>
            <w:r>
              <w:rPr>
                <w:rFonts w:ascii="Arial" w:cs="Arial" w:eastAsia="Arial" w:hAnsi="Arial"/>
                <w:sz w:val="18"/>
                <w:szCs w:val="18"/>
                <w:color w:val="auto"/>
              </w:rPr>
              <w:t>(4.4)</w:t>
            </w:r>
          </w:p>
        </w:tc>
        <w:tc>
          <w:tcPr>
            <w:tcW w:w="340" w:type="dxa"/>
            <w:vAlign w:val="bottom"/>
          </w:tcPr>
          <w:p>
            <w:pPr>
              <w:spacing w:after="0"/>
              <w:rPr>
                <w:sz w:val="17"/>
                <w:szCs w:val="17"/>
                <w:color w:val="auto"/>
              </w:rPr>
            </w:pPr>
          </w:p>
        </w:tc>
        <w:tc>
          <w:tcPr>
            <w:tcW w:w="820" w:type="dxa"/>
            <w:vAlign w:val="bottom"/>
          </w:tcPr>
          <w:p>
            <w:pPr>
              <w:jc w:val="right"/>
              <w:ind w:right="31"/>
              <w:spacing w:after="0" w:line="203" w:lineRule="exact"/>
              <w:rPr>
                <w:sz w:val="20"/>
                <w:szCs w:val="20"/>
                <w:color w:val="auto"/>
              </w:rPr>
            </w:pPr>
            <w:r>
              <w:rPr>
                <w:rFonts w:ascii="Arial" w:cs="Arial" w:eastAsia="Arial" w:hAnsi="Arial"/>
                <w:sz w:val="18"/>
                <w:szCs w:val="18"/>
                <w:color w:val="auto"/>
              </w:rPr>
              <w:t>(22.4)</w:t>
            </w:r>
          </w:p>
        </w:tc>
        <w:tc>
          <w:tcPr>
            <w:tcW w:w="14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Arial" w:cs="Arial" w:eastAsia="Arial" w:hAnsi="Arial"/>
                <w:sz w:val="18"/>
                <w:szCs w:val="18"/>
                <w:color w:val="auto"/>
              </w:rPr>
              <w:t>(1.2)</w:t>
            </w:r>
          </w:p>
        </w:tc>
        <w:tc>
          <w:tcPr>
            <w:tcW w:w="180" w:type="dxa"/>
            <w:vAlign w:val="bottom"/>
          </w:tcPr>
          <w:p>
            <w:pPr>
              <w:spacing w:after="0"/>
              <w:rPr>
                <w:sz w:val="17"/>
                <w:szCs w:val="17"/>
                <w:color w:val="auto"/>
              </w:rPr>
            </w:pPr>
          </w:p>
        </w:tc>
        <w:tc>
          <w:tcPr>
            <w:tcW w:w="1140" w:type="dxa"/>
            <w:vAlign w:val="bottom"/>
          </w:tcPr>
          <w:p>
            <w:pPr>
              <w:jc w:val="right"/>
              <w:spacing w:after="0" w:line="203" w:lineRule="exact"/>
              <w:rPr>
                <w:sz w:val="20"/>
                <w:szCs w:val="20"/>
                <w:color w:val="auto"/>
              </w:rPr>
            </w:pPr>
            <w:r>
              <w:rPr>
                <w:rFonts w:ascii="Arial" w:cs="Arial" w:eastAsia="Arial" w:hAnsi="Arial"/>
                <w:sz w:val="18"/>
                <w:szCs w:val="18"/>
                <w:color w:val="auto"/>
              </w:rPr>
              <w:t>(0.6)</w:t>
            </w:r>
          </w:p>
        </w:tc>
        <w:tc>
          <w:tcPr>
            <w:tcW w:w="200" w:type="dxa"/>
            <w:vAlign w:val="bottom"/>
          </w:tcPr>
          <w:p>
            <w:pPr>
              <w:spacing w:after="0"/>
              <w:rPr>
                <w:sz w:val="17"/>
                <w:szCs w:val="17"/>
                <w:color w:val="auto"/>
              </w:rPr>
            </w:pPr>
          </w:p>
        </w:tc>
        <w:tc>
          <w:tcPr>
            <w:tcW w:w="920" w:type="dxa"/>
            <w:vAlign w:val="bottom"/>
          </w:tcPr>
          <w:p>
            <w:pPr>
              <w:jc w:val="right"/>
              <w:spacing w:after="0" w:line="203" w:lineRule="exact"/>
              <w:rPr>
                <w:sz w:val="20"/>
                <w:szCs w:val="20"/>
                <w:color w:val="auto"/>
              </w:rPr>
            </w:pPr>
            <w:r>
              <w:rPr>
                <w:rFonts w:ascii="Arial" w:cs="Arial" w:eastAsia="Arial" w:hAnsi="Arial"/>
                <w:sz w:val="18"/>
                <w:szCs w:val="18"/>
                <w:color w:val="auto"/>
              </w:rPr>
              <w:t>(1.1)</w:t>
            </w:r>
          </w:p>
        </w:tc>
        <w:tc>
          <w:tcPr>
            <w:tcW w:w="380" w:type="dxa"/>
            <w:vAlign w:val="bottom"/>
          </w:tcPr>
          <w:p>
            <w:pPr>
              <w:spacing w:after="0"/>
              <w:rPr>
                <w:sz w:val="17"/>
                <w:szCs w:val="17"/>
                <w:color w:val="auto"/>
              </w:rPr>
            </w:pPr>
          </w:p>
        </w:tc>
        <w:tc>
          <w:tcPr>
            <w:tcW w:w="66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(43.2)</w:t>
            </w:r>
          </w:p>
        </w:tc>
      </w:tr>
      <w:tr>
        <w:trPr>
          <w:trHeight w:val="203"/>
        </w:trPr>
        <w:tc>
          <w:tcPr>
            <w:tcW w:w="2800" w:type="dxa"/>
            <w:vAlign w:val="bottom"/>
            <w:tcBorders>
              <w:top w:val="single" w:sz="8" w:color="939598"/>
              <w:bottom w:val="single" w:sz="8" w:color="939598"/>
            </w:tcBorders>
            <w:gridSpan w:val="2"/>
          </w:tcPr>
          <w:p>
            <w:pPr>
              <w:spacing w:after="0" w:line="196" w:lineRule="exact"/>
              <w:rPr>
                <w:sz w:val="20"/>
                <w:szCs w:val="20"/>
                <w:color w:val="auto"/>
              </w:rPr>
            </w:pPr>
            <w:r>
              <w:rPr>
                <w:rFonts w:ascii="Arial" w:cs="Arial" w:eastAsia="Arial" w:hAnsi="Arial"/>
                <w:sz w:val="18"/>
                <w:szCs w:val="18"/>
                <w:color w:val="auto"/>
              </w:rPr>
              <w:t>Balance, December 31, 2009</w:t>
            </w:r>
          </w:p>
        </w:tc>
        <w:tc>
          <w:tcPr>
            <w:tcW w:w="580" w:type="dxa"/>
            <w:vAlign w:val="bottom"/>
            <w:tcBorders>
              <w:top w:val="single" w:sz="8" w:color="939598"/>
              <w:bottom w:val="single" w:sz="8" w:color="939598"/>
            </w:tcBorders>
          </w:tcPr>
          <w:p>
            <w:pPr>
              <w:spacing w:after="0"/>
              <w:rPr>
                <w:sz w:val="17"/>
                <w:szCs w:val="17"/>
                <w:color w:val="auto"/>
              </w:rPr>
            </w:pPr>
          </w:p>
        </w:tc>
        <w:tc>
          <w:tcPr>
            <w:tcW w:w="960" w:type="dxa"/>
            <w:vAlign w:val="bottom"/>
            <w:tcBorders>
              <w:top w:val="single" w:sz="8" w:color="939598"/>
              <w:bottom w:val="single" w:sz="8" w:color="939598"/>
            </w:tcBorders>
          </w:tcPr>
          <w:p>
            <w:pPr>
              <w:jc w:val="right"/>
              <w:ind w:right="91"/>
              <w:spacing w:after="0" w:line="196" w:lineRule="exact"/>
              <w:rPr>
                <w:sz w:val="20"/>
                <w:szCs w:val="20"/>
                <w:color w:val="auto"/>
              </w:rPr>
            </w:pPr>
            <w:r>
              <w:rPr>
                <w:rFonts w:ascii="Arial" w:cs="Arial" w:eastAsia="Arial" w:hAnsi="Arial"/>
                <w:sz w:val="18"/>
                <w:szCs w:val="18"/>
                <w:color w:val="auto"/>
              </w:rPr>
              <w:t>4.1</w:t>
            </w:r>
          </w:p>
        </w:tc>
        <w:tc>
          <w:tcPr>
            <w:tcW w:w="260" w:type="dxa"/>
            <w:vAlign w:val="bottom"/>
            <w:tcBorders>
              <w:top w:val="single" w:sz="8" w:color="939598"/>
              <w:bottom w:val="single" w:sz="8" w:color="939598"/>
            </w:tcBorders>
          </w:tcPr>
          <w:p>
            <w:pPr>
              <w:spacing w:after="0"/>
              <w:rPr>
                <w:sz w:val="17"/>
                <w:szCs w:val="17"/>
                <w:color w:val="auto"/>
              </w:rPr>
            </w:pPr>
          </w:p>
        </w:tc>
        <w:tc>
          <w:tcPr>
            <w:tcW w:w="820" w:type="dxa"/>
            <w:vAlign w:val="bottom"/>
            <w:tcBorders>
              <w:top w:val="single" w:sz="8" w:color="939598"/>
              <w:bottom w:val="single" w:sz="8" w:color="939598"/>
            </w:tcBorders>
          </w:tcPr>
          <w:p>
            <w:pPr>
              <w:jc w:val="right"/>
              <w:ind w:right="51"/>
              <w:spacing w:after="0" w:line="196" w:lineRule="exact"/>
              <w:rPr>
                <w:sz w:val="20"/>
                <w:szCs w:val="20"/>
                <w:color w:val="auto"/>
              </w:rPr>
            </w:pPr>
            <w:r>
              <w:rPr>
                <w:rFonts w:ascii="Arial" w:cs="Arial" w:eastAsia="Arial" w:hAnsi="Arial"/>
                <w:sz w:val="18"/>
                <w:szCs w:val="18"/>
                <w:color w:val="auto"/>
              </w:rPr>
              <w:t>5.7</w:t>
            </w:r>
          </w:p>
        </w:tc>
        <w:tc>
          <w:tcPr>
            <w:tcW w:w="340" w:type="dxa"/>
            <w:vAlign w:val="bottom"/>
            <w:tcBorders>
              <w:top w:val="single" w:sz="8" w:color="939598"/>
              <w:bottom w:val="single" w:sz="8" w:color="939598"/>
            </w:tcBorders>
          </w:tcPr>
          <w:p>
            <w:pPr>
              <w:spacing w:after="0"/>
              <w:rPr>
                <w:sz w:val="17"/>
                <w:szCs w:val="17"/>
                <w:color w:val="auto"/>
              </w:rPr>
            </w:pPr>
          </w:p>
        </w:tc>
        <w:tc>
          <w:tcPr>
            <w:tcW w:w="820" w:type="dxa"/>
            <w:vAlign w:val="bottom"/>
            <w:tcBorders>
              <w:top w:val="single" w:sz="8" w:color="939598"/>
              <w:bottom w:val="single" w:sz="8" w:color="939598"/>
            </w:tcBorders>
          </w:tcPr>
          <w:p>
            <w:pPr>
              <w:jc w:val="right"/>
              <w:ind w:right="91"/>
              <w:spacing w:after="0" w:line="196" w:lineRule="exact"/>
              <w:rPr>
                <w:sz w:val="20"/>
                <w:szCs w:val="20"/>
                <w:color w:val="auto"/>
              </w:rPr>
            </w:pPr>
            <w:r>
              <w:rPr>
                <w:rFonts w:ascii="Arial" w:cs="Arial" w:eastAsia="Arial" w:hAnsi="Arial"/>
                <w:sz w:val="18"/>
                <w:szCs w:val="18"/>
                <w:color w:val="auto"/>
              </w:rPr>
              <w:t>9.5</w:t>
            </w:r>
          </w:p>
        </w:tc>
        <w:tc>
          <w:tcPr>
            <w:tcW w:w="140" w:type="dxa"/>
            <w:vAlign w:val="bottom"/>
            <w:tcBorders>
              <w:top w:val="single" w:sz="8" w:color="939598"/>
              <w:bottom w:val="single" w:sz="8" w:color="939598"/>
            </w:tcBorders>
          </w:tcPr>
          <w:p>
            <w:pPr>
              <w:spacing w:after="0"/>
              <w:rPr>
                <w:sz w:val="17"/>
                <w:szCs w:val="17"/>
                <w:color w:val="auto"/>
              </w:rPr>
            </w:pPr>
          </w:p>
        </w:tc>
        <w:tc>
          <w:tcPr>
            <w:tcW w:w="1060" w:type="dxa"/>
            <w:vAlign w:val="bottom"/>
            <w:tcBorders>
              <w:top w:val="single" w:sz="8" w:color="939598"/>
              <w:bottom w:val="single" w:sz="8" w:color="939598"/>
            </w:tcBorders>
          </w:tcPr>
          <w:p>
            <w:pPr>
              <w:jc w:val="right"/>
              <w:ind w:right="51"/>
              <w:spacing w:after="0" w:line="196" w:lineRule="exact"/>
              <w:rPr>
                <w:sz w:val="20"/>
                <w:szCs w:val="20"/>
                <w:color w:val="auto"/>
              </w:rPr>
            </w:pPr>
            <w:r>
              <w:rPr>
                <w:rFonts w:ascii="Arial" w:cs="Arial" w:eastAsia="Arial" w:hAnsi="Arial"/>
                <w:sz w:val="18"/>
                <w:szCs w:val="18"/>
                <w:color w:val="auto"/>
              </w:rPr>
              <w:t>1.5</w:t>
            </w:r>
          </w:p>
        </w:tc>
        <w:tc>
          <w:tcPr>
            <w:tcW w:w="180" w:type="dxa"/>
            <w:vAlign w:val="bottom"/>
            <w:tcBorders>
              <w:top w:val="single" w:sz="8" w:color="939598"/>
              <w:bottom w:val="single" w:sz="8" w:color="939598"/>
            </w:tcBorders>
          </w:tcPr>
          <w:p>
            <w:pPr>
              <w:spacing w:after="0"/>
              <w:rPr>
                <w:sz w:val="17"/>
                <w:szCs w:val="17"/>
                <w:color w:val="auto"/>
              </w:rPr>
            </w:pPr>
          </w:p>
        </w:tc>
        <w:tc>
          <w:tcPr>
            <w:tcW w:w="1140" w:type="dxa"/>
            <w:vAlign w:val="bottom"/>
            <w:tcBorders>
              <w:top w:val="single" w:sz="8" w:color="939598"/>
              <w:bottom w:val="single" w:sz="8" w:color="939598"/>
            </w:tcBorders>
          </w:tcPr>
          <w:p>
            <w:pPr>
              <w:jc w:val="right"/>
              <w:ind w:right="52"/>
              <w:spacing w:after="0" w:line="196" w:lineRule="exact"/>
              <w:rPr>
                <w:sz w:val="20"/>
                <w:szCs w:val="20"/>
                <w:color w:val="auto"/>
              </w:rPr>
            </w:pPr>
            <w:r>
              <w:rPr>
                <w:rFonts w:ascii="Arial" w:cs="Arial" w:eastAsia="Arial" w:hAnsi="Arial"/>
                <w:sz w:val="18"/>
                <w:szCs w:val="18"/>
                <w:color w:val="auto"/>
              </w:rPr>
              <w:t>0.4</w:t>
            </w:r>
          </w:p>
        </w:tc>
        <w:tc>
          <w:tcPr>
            <w:tcW w:w="200" w:type="dxa"/>
            <w:vAlign w:val="bottom"/>
            <w:tcBorders>
              <w:top w:val="single" w:sz="8" w:color="939598"/>
              <w:bottom w:val="single" w:sz="8" w:color="939598"/>
            </w:tcBorders>
          </w:tcPr>
          <w:p>
            <w:pPr>
              <w:spacing w:after="0"/>
              <w:rPr>
                <w:sz w:val="17"/>
                <w:szCs w:val="17"/>
                <w:color w:val="auto"/>
              </w:rPr>
            </w:pPr>
          </w:p>
        </w:tc>
        <w:tc>
          <w:tcPr>
            <w:tcW w:w="920" w:type="dxa"/>
            <w:vAlign w:val="bottom"/>
            <w:tcBorders>
              <w:top w:val="single" w:sz="8" w:color="939598"/>
              <w:bottom w:val="single" w:sz="8" w:color="939598"/>
            </w:tcBorders>
          </w:tcPr>
          <w:p>
            <w:pPr>
              <w:jc w:val="right"/>
              <w:ind w:right="51"/>
              <w:spacing w:after="0" w:line="196" w:lineRule="exact"/>
              <w:rPr>
                <w:sz w:val="20"/>
                <w:szCs w:val="20"/>
                <w:color w:val="auto"/>
              </w:rPr>
            </w:pPr>
            <w:r>
              <w:rPr>
                <w:rFonts w:ascii="Arial" w:cs="Arial" w:eastAsia="Arial" w:hAnsi="Arial"/>
                <w:sz w:val="18"/>
                <w:szCs w:val="18"/>
                <w:color w:val="auto"/>
              </w:rPr>
              <w:t>–</w:t>
            </w:r>
          </w:p>
        </w:tc>
        <w:tc>
          <w:tcPr>
            <w:tcW w:w="380" w:type="dxa"/>
            <w:vAlign w:val="bottom"/>
            <w:tcBorders>
              <w:top w:val="single" w:sz="8" w:color="939598"/>
              <w:bottom w:val="single" w:sz="8" w:color="939598"/>
            </w:tcBorders>
          </w:tcPr>
          <w:p>
            <w:pPr>
              <w:spacing w:after="0"/>
              <w:rPr>
                <w:sz w:val="17"/>
                <w:szCs w:val="17"/>
                <w:color w:val="auto"/>
              </w:rPr>
            </w:pPr>
          </w:p>
        </w:tc>
        <w:tc>
          <w:tcPr>
            <w:tcW w:w="600" w:type="dxa"/>
            <w:vAlign w:val="bottom"/>
            <w:tcBorders>
              <w:top w:val="single" w:sz="8" w:color="939598"/>
              <w:bottom w:val="single" w:sz="8" w:color="939598"/>
            </w:tcBorders>
          </w:tcPr>
          <w:p>
            <w:pPr>
              <w:jc w:val="right"/>
              <w:spacing w:after="0" w:line="196" w:lineRule="exact"/>
              <w:rPr>
                <w:sz w:val="20"/>
                <w:szCs w:val="20"/>
                <w:color w:val="auto"/>
              </w:rPr>
            </w:pPr>
            <w:r>
              <w:rPr>
                <w:rFonts w:ascii="Arial" w:cs="Arial" w:eastAsia="Arial" w:hAnsi="Arial"/>
                <w:sz w:val="18"/>
                <w:szCs w:val="18"/>
                <w:color w:val="auto"/>
              </w:rPr>
              <w:t>21.2</w:t>
            </w:r>
          </w:p>
        </w:tc>
        <w:tc>
          <w:tcPr>
            <w:tcW w:w="60" w:type="dxa"/>
            <w:vAlign w:val="bottom"/>
          </w:tcPr>
          <w:p>
            <w:pPr>
              <w:spacing w:after="0"/>
              <w:rPr>
                <w:sz w:val="17"/>
                <w:szCs w:val="17"/>
                <w:color w:val="auto"/>
              </w:rPr>
            </w:pPr>
          </w:p>
        </w:tc>
      </w:tr>
      <w:tr>
        <w:trPr>
          <w:trHeight w:val="202"/>
        </w:trPr>
        <w:tc>
          <w:tcPr>
            <w:tcW w:w="2800" w:type="dxa"/>
            <w:vAlign w:val="bottom"/>
            <w:gridSpan w:val="2"/>
          </w:tcPr>
          <w:p>
            <w:pPr>
              <w:spacing w:after="0" w:line="201" w:lineRule="exact"/>
              <w:rPr>
                <w:sz w:val="20"/>
                <w:szCs w:val="20"/>
                <w:color w:val="auto"/>
              </w:rPr>
            </w:pPr>
            <w:r>
              <w:rPr>
                <w:rFonts w:ascii="Arial" w:cs="Arial" w:eastAsia="Arial" w:hAnsi="Arial"/>
                <w:sz w:val="18"/>
                <w:szCs w:val="18"/>
                <w:color w:val="auto"/>
              </w:rPr>
              <w:t>Severance costs</w:t>
            </w:r>
          </w:p>
        </w:tc>
        <w:tc>
          <w:tcPr>
            <w:tcW w:w="580" w:type="dxa"/>
            <w:vAlign w:val="bottom"/>
          </w:tcPr>
          <w:p>
            <w:pPr>
              <w:spacing w:after="0"/>
              <w:rPr>
                <w:sz w:val="17"/>
                <w:szCs w:val="17"/>
                <w:color w:val="auto"/>
              </w:rPr>
            </w:pPr>
          </w:p>
        </w:tc>
        <w:tc>
          <w:tcPr>
            <w:tcW w:w="960" w:type="dxa"/>
            <w:vAlign w:val="bottom"/>
          </w:tcPr>
          <w:p>
            <w:pPr>
              <w:jc w:val="right"/>
              <w:ind w:right="91"/>
              <w:spacing w:after="0" w:line="201" w:lineRule="exact"/>
              <w:rPr>
                <w:sz w:val="20"/>
                <w:szCs w:val="20"/>
                <w:color w:val="auto"/>
              </w:rPr>
            </w:pPr>
            <w:r>
              <w:rPr>
                <w:rFonts w:ascii="Arial" w:cs="Arial" w:eastAsia="Arial" w:hAnsi="Arial"/>
                <w:sz w:val="18"/>
                <w:szCs w:val="18"/>
                <w:color w:val="auto"/>
              </w:rPr>
              <w:t>3.8</w:t>
            </w:r>
          </w:p>
        </w:tc>
        <w:tc>
          <w:tcPr>
            <w:tcW w:w="260" w:type="dxa"/>
            <w:vAlign w:val="bottom"/>
          </w:tcPr>
          <w:p>
            <w:pPr>
              <w:spacing w:after="0"/>
              <w:rPr>
                <w:sz w:val="17"/>
                <w:szCs w:val="17"/>
                <w:color w:val="auto"/>
              </w:rPr>
            </w:pPr>
          </w:p>
        </w:tc>
        <w:tc>
          <w:tcPr>
            <w:tcW w:w="820" w:type="dxa"/>
            <w:vAlign w:val="bottom"/>
          </w:tcPr>
          <w:p>
            <w:pPr>
              <w:jc w:val="right"/>
              <w:ind w:right="51"/>
              <w:spacing w:after="0" w:line="201" w:lineRule="exact"/>
              <w:rPr>
                <w:sz w:val="20"/>
                <w:szCs w:val="20"/>
                <w:color w:val="auto"/>
              </w:rPr>
            </w:pPr>
            <w:r>
              <w:rPr>
                <w:rFonts w:ascii="Arial" w:cs="Arial" w:eastAsia="Arial" w:hAnsi="Arial"/>
                <w:sz w:val="18"/>
                <w:szCs w:val="18"/>
                <w:color w:val="auto"/>
              </w:rPr>
              <w:t>0.3</w:t>
            </w:r>
          </w:p>
        </w:tc>
        <w:tc>
          <w:tcPr>
            <w:tcW w:w="340" w:type="dxa"/>
            <w:vAlign w:val="bottom"/>
          </w:tcPr>
          <w:p>
            <w:pPr>
              <w:spacing w:after="0"/>
              <w:rPr>
                <w:sz w:val="17"/>
                <w:szCs w:val="17"/>
                <w:color w:val="auto"/>
              </w:rPr>
            </w:pPr>
          </w:p>
        </w:tc>
        <w:tc>
          <w:tcPr>
            <w:tcW w:w="820" w:type="dxa"/>
            <w:vAlign w:val="bottom"/>
          </w:tcPr>
          <w:p>
            <w:pPr>
              <w:jc w:val="right"/>
              <w:ind w:right="91"/>
              <w:spacing w:after="0" w:line="201" w:lineRule="exact"/>
              <w:rPr>
                <w:sz w:val="20"/>
                <w:szCs w:val="20"/>
                <w:color w:val="auto"/>
              </w:rPr>
            </w:pPr>
            <w:r>
              <w:rPr>
                <w:rFonts w:ascii="Arial" w:cs="Arial" w:eastAsia="Arial" w:hAnsi="Arial"/>
                <w:sz w:val="18"/>
                <w:szCs w:val="18"/>
                <w:color w:val="auto"/>
              </w:rPr>
              <w:t>3.2</w:t>
            </w:r>
          </w:p>
        </w:tc>
        <w:tc>
          <w:tcPr>
            <w:tcW w:w="140" w:type="dxa"/>
            <w:vAlign w:val="bottom"/>
          </w:tcPr>
          <w:p>
            <w:pPr>
              <w:spacing w:after="0"/>
              <w:rPr>
                <w:sz w:val="17"/>
                <w:szCs w:val="17"/>
                <w:color w:val="auto"/>
              </w:rPr>
            </w:pPr>
          </w:p>
        </w:tc>
        <w:tc>
          <w:tcPr>
            <w:tcW w:w="1060" w:type="dxa"/>
            <w:vAlign w:val="bottom"/>
          </w:tcPr>
          <w:p>
            <w:pPr>
              <w:jc w:val="right"/>
              <w:ind w:right="51"/>
              <w:spacing w:after="0" w:line="201" w:lineRule="exact"/>
              <w:rPr>
                <w:sz w:val="20"/>
                <w:szCs w:val="20"/>
                <w:color w:val="auto"/>
              </w:rPr>
            </w:pPr>
            <w:r>
              <w:rPr>
                <w:rFonts w:ascii="Arial" w:cs="Arial" w:eastAsia="Arial" w:hAnsi="Arial"/>
                <w:sz w:val="18"/>
                <w:szCs w:val="18"/>
                <w:color w:val="auto"/>
              </w:rPr>
              <w:t>0.7</w:t>
            </w:r>
          </w:p>
        </w:tc>
        <w:tc>
          <w:tcPr>
            <w:tcW w:w="180" w:type="dxa"/>
            <w:vAlign w:val="bottom"/>
          </w:tcPr>
          <w:p>
            <w:pPr>
              <w:spacing w:after="0"/>
              <w:rPr>
                <w:sz w:val="17"/>
                <w:szCs w:val="17"/>
                <w:color w:val="auto"/>
              </w:rPr>
            </w:pPr>
          </w:p>
        </w:tc>
        <w:tc>
          <w:tcPr>
            <w:tcW w:w="1140" w:type="dxa"/>
            <w:vAlign w:val="bottom"/>
          </w:tcPr>
          <w:p>
            <w:pPr>
              <w:jc w:val="right"/>
              <w:ind w:right="52"/>
              <w:spacing w:after="0" w:line="201" w:lineRule="exact"/>
              <w:rPr>
                <w:sz w:val="20"/>
                <w:szCs w:val="20"/>
                <w:color w:val="auto"/>
              </w:rPr>
            </w:pPr>
            <w:r>
              <w:rPr>
                <w:rFonts w:ascii="Arial" w:cs="Arial" w:eastAsia="Arial" w:hAnsi="Arial"/>
                <w:sz w:val="18"/>
                <w:szCs w:val="18"/>
                <w:color w:val="auto"/>
              </w:rPr>
              <w:t>10.8</w:t>
            </w:r>
          </w:p>
        </w:tc>
        <w:tc>
          <w:tcPr>
            <w:tcW w:w="200" w:type="dxa"/>
            <w:vAlign w:val="bottom"/>
          </w:tcPr>
          <w:p>
            <w:pPr>
              <w:spacing w:after="0"/>
              <w:rPr>
                <w:sz w:val="17"/>
                <w:szCs w:val="17"/>
                <w:color w:val="auto"/>
              </w:rPr>
            </w:pPr>
          </w:p>
        </w:tc>
        <w:tc>
          <w:tcPr>
            <w:tcW w:w="920" w:type="dxa"/>
            <w:vAlign w:val="bottom"/>
          </w:tcPr>
          <w:p>
            <w:pPr>
              <w:jc w:val="right"/>
              <w:ind w:right="51"/>
              <w:spacing w:after="0" w:line="201" w:lineRule="exact"/>
              <w:rPr>
                <w:sz w:val="20"/>
                <w:szCs w:val="20"/>
                <w:color w:val="auto"/>
              </w:rPr>
            </w:pPr>
            <w:r>
              <w:rPr>
                <w:rFonts w:ascii="Arial" w:cs="Arial" w:eastAsia="Arial" w:hAnsi="Arial"/>
                <w:sz w:val="18"/>
                <w:szCs w:val="18"/>
                <w:color w:val="auto"/>
              </w:rPr>
              <w:t>1.2</w:t>
            </w:r>
          </w:p>
        </w:tc>
        <w:tc>
          <w:tcPr>
            <w:tcW w:w="380" w:type="dxa"/>
            <w:vAlign w:val="bottom"/>
          </w:tcPr>
          <w:p>
            <w:pPr>
              <w:spacing w:after="0"/>
              <w:rPr>
                <w:sz w:val="17"/>
                <w:szCs w:val="17"/>
                <w:color w:val="auto"/>
              </w:rPr>
            </w:pPr>
          </w:p>
        </w:tc>
        <w:tc>
          <w:tcPr>
            <w:tcW w:w="600" w:type="dxa"/>
            <w:vAlign w:val="bottom"/>
          </w:tcPr>
          <w:p>
            <w:pPr>
              <w:jc w:val="right"/>
              <w:spacing w:after="0" w:line="201" w:lineRule="exact"/>
              <w:rPr>
                <w:sz w:val="20"/>
                <w:szCs w:val="20"/>
                <w:color w:val="auto"/>
              </w:rPr>
            </w:pPr>
            <w:r>
              <w:rPr>
                <w:rFonts w:ascii="Arial" w:cs="Arial" w:eastAsia="Arial" w:hAnsi="Arial"/>
                <w:sz w:val="18"/>
                <w:szCs w:val="18"/>
                <w:color w:val="auto"/>
              </w:rPr>
              <w:t>20.0</w:t>
            </w:r>
          </w:p>
        </w:tc>
        <w:tc>
          <w:tcPr>
            <w:tcW w:w="60" w:type="dxa"/>
            <w:vAlign w:val="bottom"/>
          </w:tcPr>
          <w:p>
            <w:pPr>
              <w:spacing w:after="0"/>
              <w:rPr>
                <w:sz w:val="17"/>
                <w:szCs w:val="17"/>
                <w:color w:val="auto"/>
              </w:rPr>
            </w:pPr>
          </w:p>
        </w:tc>
      </w:tr>
      <w:tr>
        <w:trPr>
          <w:trHeight w:val="203"/>
        </w:trPr>
        <w:tc>
          <w:tcPr>
            <w:tcW w:w="2800" w:type="dxa"/>
            <w:vAlign w:val="bottom"/>
            <w:gridSpan w:val="2"/>
          </w:tcPr>
          <w:p>
            <w:pPr>
              <w:spacing w:after="0" w:line="202" w:lineRule="exact"/>
              <w:rPr>
                <w:sz w:val="20"/>
                <w:szCs w:val="20"/>
                <w:color w:val="auto"/>
              </w:rPr>
            </w:pPr>
            <w:r>
              <w:rPr>
                <w:rFonts w:ascii="Arial" w:cs="Arial" w:eastAsia="Arial" w:hAnsi="Arial"/>
                <w:sz w:val="18"/>
                <w:szCs w:val="18"/>
                <w:color w:val="auto"/>
              </w:rPr>
              <w:t>Office closure costs</w:t>
            </w:r>
          </w:p>
        </w:tc>
        <w:tc>
          <w:tcPr>
            <w:tcW w:w="580" w:type="dxa"/>
            <w:vAlign w:val="bottom"/>
          </w:tcPr>
          <w:p>
            <w:pPr>
              <w:spacing w:after="0"/>
              <w:rPr>
                <w:sz w:val="17"/>
                <w:szCs w:val="17"/>
                <w:color w:val="auto"/>
              </w:rPr>
            </w:pPr>
          </w:p>
        </w:tc>
        <w:tc>
          <w:tcPr>
            <w:tcW w:w="960" w:type="dxa"/>
            <w:vAlign w:val="bottom"/>
          </w:tcPr>
          <w:p>
            <w:pPr>
              <w:jc w:val="right"/>
              <w:ind w:right="91"/>
              <w:spacing w:after="0" w:line="202" w:lineRule="exact"/>
              <w:rPr>
                <w:sz w:val="20"/>
                <w:szCs w:val="20"/>
                <w:color w:val="auto"/>
              </w:rPr>
            </w:pPr>
            <w:r>
              <w:rPr>
                <w:rFonts w:ascii="Arial" w:cs="Arial" w:eastAsia="Arial" w:hAnsi="Arial"/>
                <w:sz w:val="18"/>
                <w:szCs w:val="18"/>
                <w:color w:val="auto"/>
              </w:rPr>
              <w:t>3.8</w:t>
            </w:r>
          </w:p>
        </w:tc>
        <w:tc>
          <w:tcPr>
            <w:tcW w:w="260" w:type="dxa"/>
            <w:vAlign w:val="bottom"/>
          </w:tcPr>
          <w:p>
            <w:pPr>
              <w:spacing w:after="0"/>
              <w:rPr>
                <w:sz w:val="17"/>
                <w:szCs w:val="17"/>
                <w:color w:val="auto"/>
              </w:rPr>
            </w:pPr>
          </w:p>
        </w:tc>
        <w:tc>
          <w:tcPr>
            <w:tcW w:w="820" w:type="dxa"/>
            <w:vAlign w:val="bottom"/>
          </w:tcPr>
          <w:p>
            <w:pPr>
              <w:jc w:val="right"/>
              <w:ind w:right="51"/>
              <w:spacing w:after="0" w:line="202" w:lineRule="exact"/>
              <w:rPr>
                <w:sz w:val="20"/>
                <w:szCs w:val="20"/>
                <w:color w:val="auto"/>
              </w:rPr>
            </w:pPr>
            <w:r>
              <w:rPr>
                <w:rFonts w:ascii="Arial" w:cs="Arial" w:eastAsia="Arial" w:hAnsi="Arial"/>
                <w:sz w:val="18"/>
                <w:szCs w:val="18"/>
                <w:color w:val="auto"/>
              </w:rPr>
              <w:t>3.7</w:t>
            </w:r>
          </w:p>
        </w:tc>
        <w:tc>
          <w:tcPr>
            <w:tcW w:w="340" w:type="dxa"/>
            <w:vAlign w:val="bottom"/>
          </w:tcPr>
          <w:p>
            <w:pPr>
              <w:spacing w:after="0"/>
              <w:rPr>
                <w:sz w:val="17"/>
                <w:szCs w:val="17"/>
                <w:color w:val="auto"/>
              </w:rPr>
            </w:pPr>
          </w:p>
        </w:tc>
        <w:tc>
          <w:tcPr>
            <w:tcW w:w="820" w:type="dxa"/>
            <w:vAlign w:val="bottom"/>
          </w:tcPr>
          <w:p>
            <w:pPr>
              <w:jc w:val="right"/>
              <w:ind w:right="91"/>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060" w:type="dxa"/>
            <w:vAlign w:val="bottom"/>
          </w:tcPr>
          <w:p>
            <w:pPr>
              <w:jc w:val="right"/>
              <w:ind w:right="51"/>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140" w:type="dxa"/>
            <w:vAlign w:val="bottom"/>
          </w:tcPr>
          <w:p>
            <w:pPr>
              <w:jc w:val="right"/>
              <w:ind w:right="52"/>
              <w:spacing w:after="0" w:line="202" w:lineRule="exact"/>
              <w:rPr>
                <w:sz w:val="20"/>
                <w:szCs w:val="20"/>
                <w:color w:val="auto"/>
              </w:rPr>
            </w:pPr>
            <w:r>
              <w:rPr>
                <w:rFonts w:ascii="Arial" w:cs="Arial" w:eastAsia="Arial" w:hAnsi="Arial"/>
                <w:sz w:val="18"/>
                <w:szCs w:val="18"/>
                <w:color w:val="auto"/>
              </w:rPr>
              <w:t>8.6</w:t>
            </w:r>
          </w:p>
        </w:tc>
        <w:tc>
          <w:tcPr>
            <w:tcW w:w="200" w:type="dxa"/>
            <w:vAlign w:val="bottom"/>
          </w:tcPr>
          <w:p>
            <w:pPr>
              <w:spacing w:after="0"/>
              <w:rPr>
                <w:sz w:val="17"/>
                <w:szCs w:val="17"/>
                <w:color w:val="auto"/>
              </w:rPr>
            </w:pPr>
          </w:p>
        </w:tc>
        <w:tc>
          <w:tcPr>
            <w:tcW w:w="920" w:type="dxa"/>
            <w:vAlign w:val="bottom"/>
          </w:tcPr>
          <w:p>
            <w:pPr>
              <w:jc w:val="right"/>
              <w:ind w:right="51"/>
              <w:spacing w:after="0" w:line="202" w:lineRule="exact"/>
              <w:rPr>
                <w:sz w:val="20"/>
                <w:szCs w:val="20"/>
                <w:color w:val="auto"/>
              </w:rPr>
            </w:pPr>
            <w:r>
              <w:rPr>
                <w:rFonts w:ascii="Arial" w:cs="Arial" w:eastAsia="Arial" w:hAnsi="Arial"/>
                <w:sz w:val="18"/>
                <w:szCs w:val="18"/>
                <w:color w:val="auto"/>
              </w:rPr>
              <w:t>–</w:t>
            </w:r>
          </w:p>
        </w:tc>
        <w:tc>
          <w:tcPr>
            <w:tcW w:w="38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16.1</w:t>
            </w:r>
          </w:p>
        </w:tc>
        <w:tc>
          <w:tcPr>
            <w:tcW w:w="60" w:type="dxa"/>
            <w:vAlign w:val="bottom"/>
          </w:tcPr>
          <w:p>
            <w:pPr>
              <w:spacing w:after="0"/>
              <w:rPr>
                <w:sz w:val="17"/>
                <w:szCs w:val="17"/>
                <w:color w:val="auto"/>
              </w:rPr>
            </w:pPr>
          </w:p>
        </w:tc>
      </w:tr>
      <w:tr>
        <w:trPr>
          <w:trHeight w:val="203"/>
        </w:trPr>
        <w:tc>
          <w:tcPr>
            <w:tcW w:w="2800" w:type="dxa"/>
            <w:vAlign w:val="bottom"/>
            <w:gridSpan w:val="2"/>
          </w:tcPr>
          <w:p>
            <w:pPr>
              <w:spacing w:after="0" w:line="203" w:lineRule="exact"/>
              <w:rPr>
                <w:sz w:val="20"/>
                <w:szCs w:val="20"/>
                <w:color w:val="auto"/>
              </w:rPr>
            </w:pPr>
            <w:r>
              <w:rPr>
                <w:rFonts w:ascii="Arial" w:cs="Arial" w:eastAsia="Arial" w:hAnsi="Arial"/>
                <w:sz w:val="18"/>
                <w:szCs w:val="18"/>
                <w:color w:val="auto"/>
              </w:rPr>
              <w:t>Costs paid or utilized</w:t>
            </w:r>
          </w:p>
        </w:tc>
        <w:tc>
          <w:tcPr>
            <w:tcW w:w="580" w:type="dxa"/>
            <w:vAlign w:val="bottom"/>
          </w:tcPr>
          <w:p>
            <w:pPr>
              <w:spacing w:after="0"/>
              <w:rPr>
                <w:sz w:val="17"/>
                <w:szCs w:val="17"/>
                <w:color w:val="auto"/>
              </w:rPr>
            </w:pPr>
          </w:p>
        </w:tc>
        <w:tc>
          <w:tcPr>
            <w:tcW w:w="960" w:type="dxa"/>
            <w:vAlign w:val="bottom"/>
          </w:tcPr>
          <w:p>
            <w:pPr>
              <w:jc w:val="right"/>
              <w:ind w:right="31"/>
              <w:spacing w:after="0" w:line="203" w:lineRule="exact"/>
              <w:rPr>
                <w:sz w:val="20"/>
                <w:szCs w:val="20"/>
                <w:color w:val="auto"/>
              </w:rPr>
            </w:pPr>
            <w:r>
              <w:rPr>
                <w:rFonts w:ascii="Arial" w:cs="Arial" w:eastAsia="Arial" w:hAnsi="Arial"/>
                <w:sz w:val="18"/>
                <w:szCs w:val="18"/>
                <w:color w:val="auto"/>
              </w:rPr>
              <w:t>(4.3)</w:t>
            </w:r>
          </w:p>
        </w:tc>
        <w:tc>
          <w:tcPr>
            <w:tcW w:w="260" w:type="dxa"/>
            <w:vAlign w:val="bottom"/>
          </w:tcPr>
          <w:p>
            <w:pPr>
              <w:spacing w:after="0"/>
              <w:rPr>
                <w:sz w:val="17"/>
                <w:szCs w:val="17"/>
                <w:color w:val="auto"/>
              </w:rPr>
            </w:pPr>
          </w:p>
        </w:tc>
        <w:tc>
          <w:tcPr>
            <w:tcW w:w="820" w:type="dxa"/>
            <w:vAlign w:val="bottom"/>
          </w:tcPr>
          <w:p>
            <w:pPr>
              <w:jc w:val="right"/>
              <w:spacing w:after="0" w:line="203" w:lineRule="exact"/>
              <w:rPr>
                <w:sz w:val="20"/>
                <w:szCs w:val="20"/>
                <w:color w:val="auto"/>
              </w:rPr>
            </w:pPr>
            <w:r>
              <w:rPr>
                <w:rFonts w:ascii="Arial" w:cs="Arial" w:eastAsia="Arial" w:hAnsi="Arial"/>
                <w:sz w:val="18"/>
                <w:szCs w:val="18"/>
                <w:color w:val="auto"/>
              </w:rPr>
              <w:t>(4.1)</w:t>
            </w:r>
          </w:p>
        </w:tc>
        <w:tc>
          <w:tcPr>
            <w:tcW w:w="340" w:type="dxa"/>
            <w:vAlign w:val="bottom"/>
          </w:tcPr>
          <w:p>
            <w:pPr>
              <w:spacing w:after="0"/>
              <w:rPr>
                <w:sz w:val="17"/>
                <w:szCs w:val="17"/>
                <w:color w:val="auto"/>
              </w:rPr>
            </w:pPr>
          </w:p>
        </w:tc>
        <w:tc>
          <w:tcPr>
            <w:tcW w:w="820" w:type="dxa"/>
            <w:vAlign w:val="bottom"/>
          </w:tcPr>
          <w:p>
            <w:pPr>
              <w:jc w:val="right"/>
              <w:ind w:right="31"/>
              <w:spacing w:after="0" w:line="203" w:lineRule="exact"/>
              <w:rPr>
                <w:sz w:val="20"/>
                <w:szCs w:val="20"/>
                <w:color w:val="auto"/>
              </w:rPr>
            </w:pPr>
            <w:r>
              <w:rPr>
                <w:rFonts w:ascii="Arial" w:cs="Arial" w:eastAsia="Arial" w:hAnsi="Arial"/>
                <w:sz w:val="18"/>
                <w:szCs w:val="18"/>
                <w:color w:val="auto"/>
              </w:rPr>
              <w:t>(7.7)</w:t>
            </w:r>
          </w:p>
        </w:tc>
        <w:tc>
          <w:tcPr>
            <w:tcW w:w="14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Arial" w:cs="Arial" w:eastAsia="Arial" w:hAnsi="Arial"/>
                <w:sz w:val="18"/>
                <w:szCs w:val="18"/>
                <w:color w:val="auto"/>
              </w:rPr>
              <w:t>(1.5)</w:t>
            </w:r>
          </w:p>
        </w:tc>
        <w:tc>
          <w:tcPr>
            <w:tcW w:w="180" w:type="dxa"/>
            <w:vAlign w:val="bottom"/>
          </w:tcPr>
          <w:p>
            <w:pPr>
              <w:spacing w:after="0"/>
              <w:rPr>
                <w:sz w:val="17"/>
                <w:szCs w:val="17"/>
                <w:color w:val="auto"/>
              </w:rPr>
            </w:pPr>
          </w:p>
        </w:tc>
        <w:tc>
          <w:tcPr>
            <w:tcW w:w="1140" w:type="dxa"/>
            <w:vAlign w:val="bottom"/>
          </w:tcPr>
          <w:p>
            <w:pPr>
              <w:jc w:val="right"/>
              <w:spacing w:after="0" w:line="203" w:lineRule="exact"/>
              <w:rPr>
                <w:sz w:val="20"/>
                <w:szCs w:val="20"/>
                <w:color w:val="auto"/>
              </w:rPr>
            </w:pPr>
            <w:r>
              <w:rPr>
                <w:rFonts w:ascii="Arial" w:cs="Arial" w:eastAsia="Arial" w:hAnsi="Arial"/>
                <w:sz w:val="18"/>
                <w:szCs w:val="18"/>
                <w:color w:val="auto"/>
              </w:rPr>
              <w:t>(5.4)</w:t>
            </w:r>
          </w:p>
        </w:tc>
        <w:tc>
          <w:tcPr>
            <w:tcW w:w="200" w:type="dxa"/>
            <w:vAlign w:val="bottom"/>
          </w:tcPr>
          <w:p>
            <w:pPr>
              <w:spacing w:after="0"/>
              <w:rPr>
                <w:sz w:val="17"/>
                <w:szCs w:val="17"/>
                <w:color w:val="auto"/>
              </w:rPr>
            </w:pPr>
          </w:p>
        </w:tc>
        <w:tc>
          <w:tcPr>
            <w:tcW w:w="920" w:type="dxa"/>
            <w:vAlign w:val="bottom"/>
          </w:tcPr>
          <w:p>
            <w:pPr>
              <w:jc w:val="right"/>
              <w:spacing w:after="0" w:line="203" w:lineRule="exact"/>
              <w:rPr>
                <w:sz w:val="20"/>
                <w:szCs w:val="20"/>
                <w:color w:val="auto"/>
              </w:rPr>
            </w:pPr>
            <w:r>
              <w:rPr>
                <w:rFonts w:ascii="Arial" w:cs="Arial" w:eastAsia="Arial" w:hAnsi="Arial"/>
                <w:sz w:val="18"/>
                <w:szCs w:val="18"/>
                <w:color w:val="auto"/>
              </w:rPr>
              <w:t>(0.1)</w:t>
            </w:r>
          </w:p>
        </w:tc>
        <w:tc>
          <w:tcPr>
            <w:tcW w:w="380" w:type="dxa"/>
            <w:vAlign w:val="bottom"/>
          </w:tcPr>
          <w:p>
            <w:pPr>
              <w:spacing w:after="0"/>
              <w:rPr>
                <w:sz w:val="17"/>
                <w:szCs w:val="17"/>
                <w:color w:val="auto"/>
              </w:rPr>
            </w:pPr>
          </w:p>
        </w:tc>
        <w:tc>
          <w:tcPr>
            <w:tcW w:w="66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(23.1)</w:t>
            </w:r>
          </w:p>
        </w:tc>
      </w:tr>
      <w:tr>
        <w:trPr>
          <w:trHeight w:val="203"/>
        </w:trPr>
        <w:tc>
          <w:tcPr>
            <w:tcW w:w="2800" w:type="dxa"/>
            <w:vAlign w:val="bottom"/>
            <w:tcBorders>
              <w:top w:val="single" w:sz="8" w:color="939598"/>
              <w:bottom w:val="single" w:sz="8" w:color="939598"/>
            </w:tcBorders>
            <w:gridSpan w:val="2"/>
          </w:tcPr>
          <w:p>
            <w:pPr>
              <w:spacing w:after="0" w:line="196" w:lineRule="exact"/>
              <w:rPr>
                <w:sz w:val="20"/>
                <w:szCs w:val="20"/>
                <w:color w:val="auto"/>
              </w:rPr>
            </w:pPr>
            <w:r>
              <w:rPr>
                <w:rFonts w:ascii="Arial" w:cs="Arial" w:eastAsia="Arial" w:hAnsi="Arial"/>
                <w:sz w:val="18"/>
                <w:szCs w:val="18"/>
                <w:color w:val="auto"/>
              </w:rPr>
              <w:t>Balance, December 31, 2010</w:t>
            </w:r>
          </w:p>
        </w:tc>
        <w:tc>
          <w:tcPr>
            <w:tcW w:w="580" w:type="dxa"/>
            <w:vAlign w:val="bottom"/>
            <w:tcBorders>
              <w:top w:val="single" w:sz="8" w:color="939598"/>
              <w:bottom w:val="single" w:sz="8" w:color="939598"/>
            </w:tcBorders>
          </w:tcPr>
          <w:p>
            <w:pPr>
              <w:jc w:val="right"/>
              <w:spacing w:after="0" w:line="196" w:lineRule="exact"/>
              <w:rPr>
                <w:sz w:val="20"/>
                <w:szCs w:val="20"/>
                <w:color w:val="auto"/>
              </w:rPr>
            </w:pPr>
            <w:r>
              <w:rPr>
                <w:rFonts w:ascii="Arial" w:cs="Arial" w:eastAsia="Arial" w:hAnsi="Arial"/>
                <w:sz w:val="18"/>
                <w:szCs w:val="18"/>
                <w:color w:val="auto"/>
              </w:rPr>
              <w:t>$</w:t>
            </w:r>
          </w:p>
        </w:tc>
        <w:tc>
          <w:tcPr>
            <w:tcW w:w="960" w:type="dxa"/>
            <w:vAlign w:val="bottom"/>
            <w:tcBorders>
              <w:top w:val="single" w:sz="8" w:color="939598"/>
              <w:bottom w:val="single" w:sz="8" w:color="939598"/>
            </w:tcBorders>
          </w:tcPr>
          <w:p>
            <w:pPr>
              <w:jc w:val="right"/>
              <w:ind w:right="91"/>
              <w:spacing w:after="0" w:line="196" w:lineRule="exact"/>
              <w:rPr>
                <w:sz w:val="20"/>
                <w:szCs w:val="20"/>
                <w:color w:val="auto"/>
              </w:rPr>
            </w:pPr>
            <w:r>
              <w:rPr>
                <w:rFonts w:ascii="Arial" w:cs="Arial" w:eastAsia="Arial" w:hAnsi="Arial"/>
                <w:sz w:val="18"/>
                <w:szCs w:val="18"/>
                <w:color w:val="auto"/>
              </w:rPr>
              <w:t>7.4</w:t>
            </w:r>
          </w:p>
        </w:tc>
        <w:tc>
          <w:tcPr>
            <w:tcW w:w="260" w:type="dxa"/>
            <w:vAlign w:val="bottom"/>
            <w:tcBorders>
              <w:top w:val="single" w:sz="8" w:color="939598"/>
              <w:bottom w:val="single" w:sz="8" w:color="939598"/>
            </w:tcBorders>
          </w:tcPr>
          <w:p>
            <w:pPr>
              <w:jc w:val="right"/>
              <w:ind w:right="30"/>
              <w:spacing w:after="0" w:line="196" w:lineRule="exact"/>
              <w:rPr>
                <w:sz w:val="20"/>
                <w:szCs w:val="20"/>
                <w:color w:val="auto"/>
              </w:rPr>
            </w:pPr>
            <w:r>
              <w:rPr>
                <w:rFonts w:ascii="Arial" w:cs="Arial" w:eastAsia="Arial" w:hAnsi="Arial"/>
                <w:sz w:val="18"/>
                <w:szCs w:val="18"/>
                <w:color w:val="auto"/>
              </w:rPr>
              <w:t>$</w:t>
            </w:r>
          </w:p>
        </w:tc>
        <w:tc>
          <w:tcPr>
            <w:tcW w:w="820" w:type="dxa"/>
            <w:vAlign w:val="bottom"/>
            <w:tcBorders>
              <w:top w:val="single" w:sz="8" w:color="939598"/>
              <w:bottom w:val="single" w:sz="8" w:color="939598"/>
            </w:tcBorders>
          </w:tcPr>
          <w:p>
            <w:pPr>
              <w:jc w:val="right"/>
              <w:ind w:right="51"/>
              <w:spacing w:after="0" w:line="196" w:lineRule="exact"/>
              <w:rPr>
                <w:sz w:val="20"/>
                <w:szCs w:val="20"/>
                <w:color w:val="auto"/>
              </w:rPr>
            </w:pPr>
            <w:r>
              <w:rPr>
                <w:rFonts w:ascii="Arial" w:cs="Arial" w:eastAsia="Arial" w:hAnsi="Arial"/>
                <w:sz w:val="18"/>
                <w:szCs w:val="18"/>
                <w:color w:val="auto"/>
              </w:rPr>
              <w:t>5.6</w:t>
            </w:r>
          </w:p>
        </w:tc>
        <w:tc>
          <w:tcPr>
            <w:tcW w:w="340" w:type="dxa"/>
            <w:vAlign w:val="bottom"/>
            <w:tcBorders>
              <w:top w:val="single" w:sz="8" w:color="939598"/>
              <w:bottom w:val="single" w:sz="8" w:color="939598"/>
            </w:tcBorders>
          </w:tcPr>
          <w:p>
            <w:pPr>
              <w:jc w:val="right"/>
              <w:ind w:right="70"/>
              <w:spacing w:after="0" w:line="196" w:lineRule="exact"/>
              <w:rPr>
                <w:sz w:val="20"/>
                <w:szCs w:val="20"/>
                <w:color w:val="auto"/>
              </w:rPr>
            </w:pPr>
            <w:r>
              <w:rPr>
                <w:rFonts w:ascii="Arial" w:cs="Arial" w:eastAsia="Arial" w:hAnsi="Arial"/>
                <w:sz w:val="18"/>
                <w:szCs w:val="18"/>
                <w:color w:val="auto"/>
              </w:rPr>
              <w:t>$</w:t>
            </w:r>
          </w:p>
        </w:tc>
        <w:tc>
          <w:tcPr>
            <w:tcW w:w="820" w:type="dxa"/>
            <w:vAlign w:val="bottom"/>
            <w:tcBorders>
              <w:top w:val="single" w:sz="8" w:color="939598"/>
              <w:bottom w:val="single" w:sz="8" w:color="939598"/>
            </w:tcBorders>
          </w:tcPr>
          <w:p>
            <w:pPr>
              <w:jc w:val="right"/>
              <w:ind w:right="91"/>
              <w:spacing w:after="0" w:line="196" w:lineRule="exact"/>
              <w:rPr>
                <w:sz w:val="20"/>
                <w:szCs w:val="20"/>
                <w:color w:val="auto"/>
              </w:rPr>
            </w:pPr>
            <w:r>
              <w:rPr>
                <w:rFonts w:ascii="Arial" w:cs="Arial" w:eastAsia="Arial" w:hAnsi="Arial"/>
                <w:sz w:val="18"/>
                <w:szCs w:val="18"/>
                <w:color w:val="auto"/>
              </w:rPr>
              <w:t>5.0</w:t>
            </w:r>
          </w:p>
        </w:tc>
        <w:tc>
          <w:tcPr>
            <w:tcW w:w="140" w:type="dxa"/>
            <w:vAlign w:val="bottom"/>
            <w:tcBorders>
              <w:top w:val="single" w:sz="8" w:color="939598"/>
              <w:bottom w:val="single" w:sz="8" w:color="939598"/>
            </w:tcBorders>
          </w:tcPr>
          <w:p>
            <w:pPr>
              <w:jc w:val="right"/>
              <w:spacing w:after="0" w:line="196" w:lineRule="exact"/>
              <w:rPr>
                <w:sz w:val="20"/>
                <w:szCs w:val="20"/>
                <w:color w:val="auto"/>
              </w:rPr>
            </w:pPr>
            <w:r>
              <w:rPr>
                <w:rFonts w:ascii="Arial" w:cs="Arial" w:eastAsia="Arial" w:hAnsi="Arial"/>
                <w:sz w:val="18"/>
                <w:szCs w:val="18"/>
                <w:color w:val="auto"/>
              </w:rPr>
              <w:t>$</w:t>
            </w:r>
          </w:p>
        </w:tc>
        <w:tc>
          <w:tcPr>
            <w:tcW w:w="1060" w:type="dxa"/>
            <w:vAlign w:val="bottom"/>
            <w:tcBorders>
              <w:top w:val="single" w:sz="8" w:color="939598"/>
              <w:bottom w:val="single" w:sz="8" w:color="939598"/>
            </w:tcBorders>
          </w:tcPr>
          <w:p>
            <w:pPr>
              <w:jc w:val="right"/>
              <w:ind w:right="51"/>
              <w:spacing w:after="0" w:line="196" w:lineRule="exact"/>
              <w:rPr>
                <w:sz w:val="20"/>
                <w:szCs w:val="20"/>
                <w:color w:val="auto"/>
              </w:rPr>
            </w:pPr>
            <w:r>
              <w:rPr>
                <w:rFonts w:ascii="Arial" w:cs="Arial" w:eastAsia="Arial" w:hAnsi="Arial"/>
                <w:sz w:val="18"/>
                <w:szCs w:val="18"/>
                <w:color w:val="auto"/>
              </w:rPr>
              <w:t>0.7</w:t>
            </w:r>
          </w:p>
        </w:tc>
        <w:tc>
          <w:tcPr>
            <w:tcW w:w="180" w:type="dxa"/>
            <w:vAlign w:val="bottom"/>
            <w:tcBorders>
              <w:top w:val="single" w:sz="8" w:color="939598"/>
              <w:bottom w:val="single" w:sz="8" w:color="939598"/>
            </w:tcBorders>
          </w:tcPr>
          <w:p>
            <w:pPr>
              <w:jc w:val="right"/>
              <w:spacing w:after="0" w:line="196" w:lineRule="exact"/>
              <w:rPr>
                <w:sz w:val="20"/>
                <w:szCs w:val="20"/>
                <w:color w:val="auto"/>
              </w:rPr>
            </w:pPr>
            <w:r>
              <w:rPr>
                <w:rFonts w:ascii="Arial" w:cs="Arial" w:eastAsia="Arial" w:hAnsi="Arial"/>
                <w:sz w:val="18"/>
                <w:szCs w:val="18"/>
                <w:color w:val="auto"/>
              </w:rPr>
              <w:t>$</w:t>
            </w:r>
          </w:p>
        </w:tc>
        <w:tc>
          <w:tcPr>
            <w:tcW w:w="1140" w:type="dxa"/>
            <w:vAlign w:val="bottom"/>
            <w:tcBorders>
              <w:top w:val="single" w:sz="8" w:color="939598"/>
              <w:bottom w:val="single" w:sz="8" w:color="939598"/>
            </w:tcBorders>
          </w:tcPr>
          <w:p>
            <w:pPr>
              <w:jc w:val="right"/>
              <w:ind w:right="52"/>
              <w:spacing w:after="0" w:line="196" w:lineRule="exact"/>
              <w:rPr>
                <w:sz w:val="20"/>
                <w:szCs w:val="20"/>
                <w:color w:val="auto"/>
              </w:rPr>
            </w:pPr>
            <w:r>
              <w:rPr>
                <w:rFonts w:ascii="Arial" w:cs="Arial" w:eastAsia="Arial" w:hAnsi="Arial"/>
                <w:sz w:val="18"/>
                <w:szCs w:val="18"/>
                <w:color w:val="auto"/>
              </w:rPr>
              <w:t>14.4</w:t>
            </w:r>
          </w:p>
        </w:tc>
        <w:tc>
          <w:tcPr>
            <w:tcW w:w="200" w:type="dxa"/>
            <w:vAlign w:val="bottom"/>
            <w:tcBorders>
              <w:top w:val="single" w:sz="8" w:color="939598"/>
              <w:bottom w:val="single" w:sz="8" w:color="939598"/>
            </w:tcBorders>
          </w:tcPr>
          <w:p>
            <w:pPr>
              <w:jc w:val="right"/>
              <w:spacing w:after="0" w:line="196" w:lineRule="exact"/>
              <w:rPr>
                <w:sz w:val="20"/>
                <w:szCs w:val="20"/>
                <w:color w:val="auto"/>
              </w:rPr>
            </w:pPr>
            <w:r>
              <w:rPr>
                <w:rFonts w:ascii="Arial" w:cs="Arial" w:eastAsia="Arial" w:hAnsi="Arial"/>
                <w:sz w:val="18"/>
                <w:szCs w:val="18"/>
                <w:color w:val="auto"/>
              </w:rPr>
              <w:t>$</w:t>
            </w:r>
          </w:p>
        </w:tc>
        <w:tc>
          <w:tcPr>
            <w:tcW w:w="920" w:type="dxa"/>
            <w:vAlign w:val="bottom"/>
            <w:tcBorders>
              <w:top w:val="single" w:sz="8" w:color="939598"/>
              <w:bottom w:val="single" w:sz="8" w:color="939598"/>
            </w:tcBorders>
          </w:tcPr>
          <w:p>
            <w:pPr>
              <w:jc w:val="right"/>
              <w:ind w:right="51"/>
              <w:spacing w:after="0" w:line="196" w:lineRule="exact"/>
              <w:rPr>
                <w:sz w:val="20"/>
                <w:szCs w:val="20"/>
                <w:color w:val="auto"/>
              </w:rPr>
            </w:pPr>
            <w:r>
              <w:rPr>
                <w:rFonts w:ascii="Arial" w:cs="Arial" w:eastAsia="Arial" w:hAnsi="Arial"/>
                <w:sz w:val="18"/>
                <w:szCs w:val="18"/>
                <w:color w:val="auto"/>
              </w:rPr>
              <w:t>1.1</w:t>
            </w:r>
          </w:p>
        </w:tc>
        <w:tc>
          <w:tcPr>
            <w:tcW w:w="380" w:type="dxa"/>
            <w:vAlign w:val="bottom"/>
            <w:tcBorders>
              <w:top w:val="single" w:sz="8" w:color="939598"/>
              <w:bottom w:val="single" w:sz="8" w:color="939598"/>
            </w:tcBorders>
          </w:tcPr>
          <w:p>
            <w:pPr>
              <w:jc w:val="right"/>
              <w:ind w:right="110"/>
              <w:spacing w:after="0" w:line="196" w:lineRule="exact"/>
              <w:rPr>
                <w:sz w:val="20"/>
                <w:szCs w:val="20"/>
                <w:color w:val="auto"/>
              </w:rPr>
            </w:pPr>
            <w:r>
              <w:rPr>
                <w:rFonts w:ascii="Arial" w:cs="Arial" w:eastAsia="Arial" w:hAnsi="Arial"/>
                <w:sz w:val="18"/>
                <w:szCs w:val="18"/>
                <w:color w:val="auto"/>
              </w:rPr>
              <w:t>$</w:t>
            </w:r>
          </w:p>
        </w:tc>
        <w:tc>
          <w:tcPr>
            <w:tcW w:w="600" w:type="dxa"/>
            <w:vAlign w:val="bottom"/>
            <w:tcBorders>
              <w:top w:val="single" w:sz="8" w:color="939598"/>
              <w:bottom w:val="single" w:sz="8" w:color="939598"/>
            </w:tcBorders>
          </w:tcPr>
          <w:p>
            <w:pPr>
              <w:jc w:val="right"/>
              <w:spacing w:after="0" w:line="196" w:lineRule="exact"/>
              <w:rPr>
                <w:sz w:val="20"/>
                <w:szCs w:val="20"/>
                <w:color w:val="auto"/>
              </w:rPr>
            </w:pPr>
            <w:r>
              <w:rPr>
                <w:rFonts w:ascii="Arial" w:cs="Arial" w:eastAsia="Arial" w:hAnsi="Arial"/>
                <w:sz w:val="18"/>
                <w:szCs w:val="18"/>
                <w:color w:val="auto"/>
              </w:rPr>
              <w:t>34.2</w:t>
            </w:r>
          </w:p>
        </w:tc>
        <w:tc>
          <w:tcPr>
            <w:tcW w:w="60" w:type="dxa"/>
            <w:vAlign w:val="bottom"/>
          </w:tcPr>
          <w:p>
            <w:pPr>
              <w:spacing w:after="0"/>
              <w:rPr>
                <w:sz w:val="17"/>
                <w:szCs w:val="17"/>
                <w:color w:val="auto"/>
              </w:rPr>
            </w:pPr>
          </w:p>
        </w:tc>
      </w:tr>
    </w:tbl>
    <w:p>
      <w:pPr>
        <w:spacing w:after="0" w:line="204" w:lineRule="exact"/>
        <w:rPr>
          <w:sz w:val="20"/>
          <w:szCs w:val="20"/>
          <w:color w:val="auto"/>
        </w:rPr>
      </w:pPr>
    </w:p>
    <w:p>
      <w:pPr>
        <w:jc w:val="both"/>
        <w:ind w:left="580" w:hanging="572"/>
        <w:spacing w:after="0" w:line="246" w:lineRule="auto"/>
        <w:tabs>
          <w:tab w:leader="none" w:pos="580" w:val="left"/>
        </w:tabs>
        <w:numPr>
          <w:ilvl w:val="0"/>
          <w:numId w:val="47"/>
        </w:numPr>
        <w:rPr>
          <w:rFonts w:ascii="Arial" w:cs="Arial" w:eastAsia="Arial" w:hAnsi="Arial"/>
          <w:sz w:val="16"/>
          <w:szCs w:val="16"/>
          <w:color w:val="auto"/>
        </w:rPr>
      </w:pPr>
      <w:r>
        <w:rPr>
          <w:rFonts w:ascii="Arial" w:cs="Arial" w:eastAsia="Arial" w:hAnsi="Arial"/>
          <w:sz w:val="16"/>
          <w:szCs w:val="16"/>
          <w:color w:val="auto"/>
        </w:rPr>
        <w:t>Balance related to United States was $8.8 as of January 1, 2009. In 2009, United States incurred $5.4 for severance costs and $2.8 for office closure costs and paid $13.1, resulting in a $3.9 reorganization liability as of December 31, 2009. In 2010, United States incurred $3.6 for severance costs and $3.8 for office closure costs and paid $3.9, leaving a $7.4 liability as of December 31, 2010. The reorganization costs for Jefferson Wells are included in the amounts for the United States. See Note 14 to the Consolidated Financial Statements for further information.</w:t>
      </w:r>
    </w:p>
    <w:p>
      <w:pPr>
        <w:spacing w:after="0" w:line="1" w:lineRule="exact"/>
        <w:rPr>
          <w:rFonts w:ascii="Arial" w:cs="Arial" w:eastAsia="Arial" w:hAnsi="Arial"/>
          <w:sz w:val="16"/>
          <w:szCs w:val="16"/>
          <w:color w:val="auto"/>
        </w:rPr>
      </w:pPr>
    </w:p>
    <w:p>
      <w:pPr>
        <w:ind w:left="580" w:hanging="572"/>
        <w:spacing w:after="0" w:line="260" w:lineRule="auto"/>
        <w:tabs>
          <w:tab w:leader="none" w:pos="580" w:val="left"/>
        </w:tabs>
        <w:numPr>
          <w:ilvl w:val="0"/>
          <w:numId w:val="47"/>
        </w:numPr>
        <w:rPr>
          <w:rFonts w:ascii="Arial" w:cs="Arial" w:eastAsia="Arial" w:hAnsi="Arial"/>
          <w:sz w:val="16"/>
          <w:szCs w:val="16"/>
          <w:color w:val="auto"/>
        </w:rPr>
      </w:pPr>
      <w:r>
        <w:rPr>
          <w:rFonts w:ascii="Arial" w:cs="Arial" w:eastAsia="Arial" w:hAnsi="Arial"/>
          <w:sz w:val="16"/>
          <w:szCs w:val="16"/>
          <w:color w:val="auto"/>
        </w:rPr>
        <w:t>Balance related to Italy was $0.6 as of January 1, 2009. In 2009, Italy incurred $4.1 for severance costs and $0.8 for office closure costs and paid $5.5, leaving no reorganization liability as of December 31, 2009. In 2010, Italy incurred no reorganization costs.</w:t>
      </w:r>
    </w:p>
    <w:p>
      <w:pPr>
        <w:spacing w:after="0" w:line="176"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939598"/>
        </w:rPr>
        <w:t xml:space="preserve">Notes to Consolidated Financial Statements </w:t>
      </w:r>
      <w:r>
        <w:rPr>
          <w:rFonts w:ascii="Arial" w:cs="Arial" w:eastAsia="Arial" w:hAnsi="Arial"/>
          <w:sz w:val="16"/>
          <w:szCs w:val="16"/>
          <w:color w:val="4D8ABE"/>
        </w:rPr>
        <w:t>Manpower 2010 Annual Report</w:t>
      </w:r>
      <w:r>
        <w:rPr>
          <w:rFonts w:ascii="Arial" w:cs="Arial" w:eastAsia="Arial" w:hAnsi="Arial"/>
          <w:sz w:val="16"/>
          <w:szCs w:val="16"/>
          <w:b w:val="1"/>
          <w:bCs w:val="1"/>
          <w:color w:val="939598"/>
        </w:rPr>
        <w:t xml:space="preserve"> </w:t>
      </w:r>
      <w:r>
        <w:rPr>
          <w:rFonts w:ascii="Arial" w:cs="Arial" w:eastAsia="Arial" w:hAnsi="Arial"/>
          <w:sz w:val="16"/>
          <w:szCs w:val="16"/>
          <w:b w:val="1"/>
          <w:bCs w:val="1"/>
          <w:color w:val="4D8ABE"/>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wp:posOffset>
            </wp:positionV>
            <wp:extent cx="7267575" cy="469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ectPr>
          <w:pgSz w:w="11900" w:h="16838" w:orient="portrait"/>
          <w:cols w:equalWidth="0" w:num="1">
            <w:col w:w="11420"/>
          </w:cols>
          <w:pgMar w:left="240" w:top="338" w:right="239" w:bottom="1440" w:gutter="0" w:footer="0" w:header="0"/>
        </w:sectPr>
      </w:pPr>
    </w:p>
    <w:bookmarkStart w:id="80" w:name="page81"/>
    <w:bookmarkEnd w:id="80"/>
    <w:p>
      <w:pPr>
        <w:spacing w:after="0"/>
        <w:rPr>
          <w:sz w:val="20"/>
          <w:szCs w:val="20"/>
          <w:color w:val="auto"/>
        </w:rPr>
      </w:pPr>
      <w:r>
        <w:rPr>
          <w:rFonts w:ascii="Arial" w:cs="Arial" w:eastAsia="Arial" w:hAnsi="Arial"/>
          <w:sz w:val="22"/>
          <w:szCs w:val="22"/>
          <w:color w:val="4D8ABE"/>
        </w:rPr>
        <w:t>Notes To Consolidated Financial Statements</w:t>
      </w:r>
    </w:p>
    <w:p>
      <w:pPr>
        <w:spacing w:after="0"/>
        <w:rPr>
          <w:sz w:val="20"/>
          <w:szCs w:val="20"/>
          <w:color w:val="auto"/>
        </w:rPr>
      </w:pPr>
      <w:r>
        <w:rPr>
          <w:rFonts w:ascii="Arial" w:cs="Arial" w:eastAsia="Arial" w:hAnsi="Arial"/>
          <w:sz w:val="18"/>
          <w:szCs w:val="18"/>
          <w:color w:val="4D8ABE"/>
        </w:rPr>
        <w:t>in millions, except share and per share data</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4D8ABE"/>
        </w:rPr>
        <w:t>INCOME TAXES</w:t>
      </w:r>
    </w:p>
    <w:p>
      <w:pPr>
        <w:spacing w:after="0" w:line="238" w:lineRule="exact"/>
        <w:rPr>
          <w:sz w:val="20"/>
          <w:szCs w:val="20"/>
          <w:color w:val="auto"/>
        </w:rPr>
      </w:pPr>
    </w:p>
    <w:p>
      <w:pPr>
        <w:jc w:val="both"/>
        <w:ind w:right="80"/>
        <w:spacing w:after="0" w:line="238" w:lineRule="auto"/>
        <w:rPr>
          <w:sz w:val="20"/>
          <w:szCs w:val="20"/>
          <w:color w:val="auto"/>
        </w:rPr>
      </w:pPr>
      <w:r>
        <w:rPr>
          <w:rFonts w:ascii="Arial" w:cs="Arial" w:eastAsia="Arial" w:hAnsi="Arial"/>
          <w:sz w:val="18"/>
          <w:szCs w:val="18"/>
          <w:color w:val="auto"/>
        </w:rPr>
        <w:t>We account for income taxes in accordance with the accounting guidance on income taxes. Deferred tax assets and liabilities are recognized for the future tax consequences attributable to differences between financial statement carrying amounts of existing assets and liabilities and their respective tax basis, and net operating loss and tax credit carryforwards. Deferred tax assets and liabilities are measured using enacted tax rates expected to apply to taxable income in the years in which those temporary differences are expected to be recovered or settled. We record a valuation allowance against deferred tax assets for which utilization of the asset is not likely.</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color w:val="4D8ABE"/>
        </w:rPr>
        <w:t>FAIR VALUE MEASUREMENTS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The assets and liabilities measured and recorded at fair value on a recurring basis are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560" w:type="dxa"/>
            <w:vAlign w:val="bottom"/>
            <w:gridSpan w:val="5"/>
          </w:tcPr>
          <w:p>
            <w:pPr>
              <w:jc w:val="right"/>
              <w:ind w:right="80"/>
              <w:spacing w:after="0"/>
              <w:rPr>
                <w:sz w:val="20"/>
                <w:szCs w:val="20"/>
                <w:color w:val="auto"/>
              </w:rPr>
            </w:pPr>
            <w:r>
              <w:rPr>
                <w:rFonts w:ascii="Arial" w:cs="Arial" w:eastAsia="Arial" w:hAnsi="Arial"/>
                <w:sz w:val="16"/>
                <w:szCs w:val="16"/>
                <w:b w:val="1"/>
                <w:bCs w:val="1"/>
                <w:color w:val="86B6A5"/>
              </w:rPr>
              <w:t>Fair Value Measurements Using</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500" w:type="dxa"/>
            <w:vAlign w:val="bottom"/>
            <w:gridSpan w:val="5"/>
          </w:tcPr>
          <w:p>
            <w:pPr>
              <w:jc w:val="right"/>
              <w:ind w:right="20"/>
              <w:spacing w:after="0"/>
              <w:rPr>
                <w:sz w:val="20"/>
                <w:szCs w:val="20"/>
                <w:color w:val="auto"/>
              </w:rPr>
            </w:pPr>
            <w:r>
              <w:rPr>
                <w:rFonts w:ascii="Arial" w:cs="Arial" w:eastAsia="Arial" w:hAnsi="Arial"/>
                <w:sz w:val="16"/>
                <w:szCs w:val="16"/>
                <w:b w:val="1"/>
                <w:bCs w:val="1"/>
                <w:color w:val="86B6A5"/>
              </w:rPr>
              <w:t>Fair Value Measurements Using</w:t>
            </w:r>
          </w:p>
        </w:tc>
      </w:tr>
      <w:tr>
        <w:trPr>
          <w:trHeight w:val="184"/>
        </w:trPr>
        <w:tc>
          <w:tcPr>
            <w:tcW w:w="20" w:type="dxa"/>
            <w:vAlign w:val="bottom"/>
          </w:tcPr>
          <w:p>
            <w:pPr>
              <w:spacing w:after="0"/>
              <w:rPr>
                <w:sz w:val="16"/>
                <w:szCs w:val="16"/>
                <w:color w:val="auto"/>
              </w:rPr>
            </w:pPr>
          </w:p>
        </w:tc>
        <w:tc>
          <w:tcPr>
            <w:tcW w:w="1380" w:type="dxa"/>
            <w:vAlign w:val="bottom"/>
            <w:tcBorders>
              <w:top w:val="single" w:sz="8" w:color="86B6A5"/>
            </w:tcBorders>
          </w:tcPr>
          <w:p>
            <w:pPr>
              <w:spacing w:after="0"/>
              <w:rPr>
                <w:sz w:val="16"/>
                <w:szCs w:val="16"/>
                <w:color w:val="auto"/>
              </w:rPr>
            </w:pPr>
          </w:p>
        </w:tc>
        <w:tc>
          <w:tcPr>
            <w:tcW w:w="100" w:type="dxa"/>
            <w:vAlign w:val="bottom"/>
            <w:tcBorders>
              <w:top w:val="single" w:sz="8" w:color="86B6A5"/>
            </w:tcBorders>
          </w:tcPr>
          <w:p>
            <w:pPr>
              <w:spacing w:after="0"/>
              <w:rPr>
                <w:sz w:val="16"/>
                <w:szCs w:val="16"/>
                <w:color w:val="auto"/>
              </w:rPr>
            </w:pPr>
          </w:p>
        </w:tc>
        <w:tc>
          <w:tcPr>
            <w:tcW w:w="1240" w:type="dxa"/>
            <w:vAlign w:val="bottom"/>
            <w:tcBorders>
              <w:top w:val="single" w:sz="8" w:color="86B6A5"/>
            </w:tcBorders>
          </w:tcPr>
          <w:p>
            <w:pPr>
              <w:spacing w:after="0"/>
              <w:rPr>
                <w:sz w:val="16"/>
                <w:szCs w:val="16"/>
                <w:color w:val="auto"/>
              </w:rPr>
            </w:pPr>
          </w:p>
        </w:tc>
        <w:tc>
          <w:tcPr>
            <w:tcW w:w="100" w:type="dxa"/>
            <w:vAlign w:val="bottom"/>
            <w:tcBorders>
              <w:top w:val="single" w:sz="8" w:color="86B6A5"/>
            </w:tcBorders>
          </w:tcPr>
          <w:p>
            <w:pPr>
              <w:spacing w:after="0"/>
              <w:rPr>
                <w:sz w:val="16"/>
                <w:szCs w:val="16"/>
                <w:color w:val="auto"/>
              </w:rPr>
            </w:pPr>
          </w:p>
        </w:tc>
        <w:tc>
          <w:tcPr>
            <w:tcW w:w="920" w:type="dxa"/>
            <w:vAlign w:val="bottom"/>
            <w:tcBorders>
              <w:top w:val="single" w:sz="8" w:color="86B6A5"/>
            </w:tcBorders>
          </w:tcPr>
          <w:p>
            <w:pPr>
              <w:jc w:val="right"/>
              <w:spacing w:after="0"/>
              <w:rPr>
                <w:sz w:val="20"/>
                <w:szCs w:val="20"/>
                <w:color w:val="auto"/>
              </w:rPr>
            </w:pPr>
            <w:r>
              <w:rPr>
                <w:rFonts w:ascii="Arial" w:cs="Arial" w:eastAsia="Arial" w:hAnsi="Arial"/>
                <w:sz w:val="16"/>
                <w:szCs w:val="16"/>
                <w:b w:val="1"/>
                <w:bCs w:val="1"/>
                <w:color w:val="86B6A5"/>
              </w:rPr>
              <w:t>Quoted</w:t>
            </w:r>
          </w:p>
        </w:tc>
        <w:tc>
          <w:tcPr>
            <w:tcW w:w="240" w:type="dxa"/>
            <w:vAlign w:val="bottom"/>
            <w:tcBorders>
              <w:top w:val="single" w:sz="8" w:color="86B6A5"/>
            </w:tcBorders>
          </w:tcPr>
          <w:p>
            <w:pPr>
              <w:spacing w:after="0"/>
              <w:rPr>
                <w:sz w:val="16"/>
                <w:szCs w:val="16"/>
                <w:color w:val="auto"/>
              </w:rPr>
            </w:pPr>
          </w:p>
        </w:tc>
        <w:tc>
          <w:tcPr>
            <w:tcW w:w="960" w:type="dxa"/>
            <w:vAlign w:val="bottom"/>
            <w:tcBorders>
              <w:top w:val="single" w:sz="8" w:color="86B6A5"/>
            </w:tcBorders>
          </w:tcPr>
          <w:p>
            <w:pPr>
              <w:spacing w:after="0"/>
              <w:rPr>
                <w:sz w:val="16"/>
                <w:szCs w:val="16"/>
                <w:color w:val="auto"/>
              </w:rPr>
            </w:pPr>
          </w:p>
        </w:tc>
        <w:tc>
          <w:tcPr>
            <w:tcW w:w="200" w:type="dxa"/>
            <w:vAlign w:val="bottom"/>
            <w:tcBorders>
              <w:top w:val="single" w:sz="8" w:color="86B6A5"/>
            </w:tcBorders>
          </w:tcPr>
          <w:p>
            <w:pPr>
              <w:spacing w:after="0"/>
              <w:rPr>
                <w:sz w:val="16"/>
                <w:szCs w:val="16"/>
                <w:color w:val="auto"/>
              </w:rPr>
            </w:pPr>
          </w:p>
        </w:tc>
        <w:tc>
          <w:tcPr>
            <w:tcW w:w="1080" w:type="dxa"/>
            <w:vAlign w:val="bottom"/>
            <w:tcBorders>
              <w:top w:val="single" w:sz="8" w:color="86B6A5"/>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top w:val="single" w:sz="8" w:color="86B6A5"/>
            </w:tcBorders>
          </w:tcPr>
          <w:p>
            <w:pPr>
              <w:spacing w:after="0"/>
              <w:rPr>
                <w:sz w:val="16"/>
                <w:szCs w:val="16"/>
                <w:color w:val="auto"/>
              </w:rPr>
            </w:pPr>
          </w:p>
        </w:tc>
        <w:tc>
          <w:tcPr>
            <w:tcW w:w="1160" w:type="dxa"/>
            <w:vAlign w:val="bottom"/>
            <w:tcBorders>
              <w:top w:val="single" w:sz="8" w:color="86B6A5"/>
            </w:tcBorders>
          </w:tcPr>
          <w:p>
            <w:pPr>
              <w:spacing w:after="0"/>
              <w:rPr>
                <w:sz w:val="16"/>
                <w:szCs w:val="16"/>
                <w:color w:val="auto"/>
              </w:rPr>
            </w:pPr>
          </w:p>
        </w:tc>
        <w:tc>
          <w:tcPr>
            <w:tcW w:w="180" w:type="dxa"/>
            <w:vAlign w:val="bottom"/>
            <w:tcBorders>
              <w:top w:val="single" w:sz="8" w:color="86B6A5"/>
            </w:tcBorders>
          </w:tcPr>
          <w:p>
            <w:pPr>
              <w:spacing w:after="0"/>
              <w:rPr>
                <w:sz w:val="16"/>
                <w:szCs w:val="16"/>
                <w:color w:val="auto"/>
              </w:rPr>
            </w:pPr>
          </w:p>
        </w:tc>
        <w:tc>
          <w:tcPr>
            <w:tcW w:w="920" w:type="dxa"/>
            <w:vAlign w:val="bottom"/>
            <w:tcBorders>
              <w:top w:val="single" w:sz="8" w:color="86B6A5"/>
            </w:tcBorders>
          </w:tcPr>
          <w:p>
            <w:pPr>
              <w:jc w:val="right"/>
              <w:spacing w:after="0"/>
              <w:rPr>
                <w:sz w:val="20"/>
                <w:szCs w:val="20"/>
                <w:color w:val="auto"/>
              </w:rPr>
            </w:pPr>
            <w:r>
              <w:rPr>
                <w:rFonts w:ascii="Arial" w:cs="Arial" w:eastAsia="Arial" w:hAnsi="Arial"/>
                <w:sz w:val="16"/>
                <w:szCs w:val="16"/>
                <w:b w:val="1"/>
                <w:bCs w:val="1"/>
                <w:color w:val="86B6A5"/>
              </w:rPr>
              <w:t>Quoted</w:t>
            </w:r>
          </w:p>
        </w:tc>
        <w:tc>
          <w:tcPr>
            <w:tcW w:w="220" w:type="dxa"/>
            <w:vAlign w:val="bottom"/>
            <w:tcBorders>
              <w:top w:val="single" w:sz="8" w:color="86B6A5"/>
            </w:tcBorders>
          </w:tcPr>
          <w:p>
            <w:pPr>
              <w:spacing w:after="0"/>
              <w:rPr>
                <w:sz w:val="16"/>
                <w:szCs w:val="16"/>
                <w:color w:val="auto"/>
              </w:rPr>
            </w:pPr>
          </w:p>
        </w:tc>
        <w:tc>
          <w:tcPr>
            <w:tcW w:w="980" w:type="dxa"/>
            <w:vAlign w:val="bottom"/>
            <w:tcBorders>
              <w:top w:val="single" w:sz="8" w:color="86B6A5"/>
            </w:tcBorders>
          </w:tcPr>
          <w:p>
            <w:pPr>
              <w:spacing w:after="0"/>
              <w:rPr>
                <w:sz w:val="16"/>
                <w:szCs w:val="16"/>
                <w:color w:val="auto"/>
              </w:rPr>
            </w:pPr>
          </w:p>
        </w:tc>
        <w:tc>
          <w:tcPr>
            <w:tcW w:w="200" w:type="dxa"/>
            <w:vAlign w:val="bottom"/>
            <w:tcBorders>
              <w:top w:val="single" w:sz="8" w:color="86B6A5"/>
            </w:tcBorders>
          </w:tcPr>
          <w:p>
            <w:pPr>
              <w:spacing w:after="0"/>
              <w:rPr>
                <w:sz w:val="16"/>
                <w:szCs w:val="16"/>
                <w:color w:val="auto"/>
              </w:rPr>
            </w:pPr>
          </w:p>
        </w:tc>
        <w:tc>
          <w:tcPr>
            <w:tcW w:w="1080" w:type="dxa"/>
            <w:vAlign w:val="bottom"/>
            <w:tcBorders>
              <w:top w:val="single" w:sz="8" w:color="86B6A5"/>
            </w:tcBorders>
          </w:tcPr>
          <w:p>
            <w:pPr>
              <w:spacing w:after="0"/>
              <w:rPr>
                <w:sz w:val="16"/>
                <w:szCs w:val="16"/>
                <w:color w:val="auto"/>
              </w:rPr>
            </w:pPr>
          </w:p>
        </w:tc>
        <w:tc>
          <w:tcPr>
            <w:tcW w:w="20" w:type="dxa"/>
            <w:vAlign w:val="bottom"/>
          </w:tcPr>
          <w:p>
            <w:pPr>
              <w:spacing w:after="0"/>
              <w:rPr>
                <w:sz w:val="16"/>
                <w:szCs w:val="16"/>
                <w:color w:val="auto"/>
              </w:rPr>
            </w:pPr>
          </w:p>
        </w:tc>
      </w:tr>
      <w:tr>
        <w:trPr>
          <w:trHeight w:val="203"/>
        </w:trPr>
        <w:tc>
          <w:tcPr>
            <w:tcW w:w="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86B6A5"/>
              </w:rPr>
              <w:t>Prices</w:t>
            </w: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86B6A5"/>
              </w:rPr>
              <w:t>Prices</w:t>
            </w: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86B6A5"/>
              </w:rPr>
              <w:t>in Active</w:t>
            </w:r>
          </w:p>
        </w:tc>
        <w:tc>
          <w:tcPr>
            <w:tcW w:w="2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86B6A5"/>
              </w:rPr>
              <w:t>Significant</w:t>
            </w: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86B6A5"/>
              </w:rPr>
              <w:t>in Active</w:t>
            </w:r>
          </w:p>
        </w:tc>
        <w:tc>
          <w:tcPr>
            <w:tcW w:w="2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86B6A5"/>
              </w:rPr>
              <w:t>Significant</w:t>
            </w: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86B6A5"/>
                <w:w w:val="99"/>
              </w:rPr>
              <w:t>Markets for</w:t>
            </w:r>
          </w:p>
        </w:tc>
        <w:tc>
          <w:tcPr>
            <w:tcW w:w="2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86B6A5"/>
              </w:rPr>
              <w:t>Other</w:t>
            </w:r>
          </w:p>
        </w:tc>
        <w:tc>
          <w:tcPr>
            <w:tcW w:w="200" w:type="dxa"/>
            <w:vAlign w:val="bottom"/>
          </w:tcPr>
          <w:p>
            <w:pPr>
              <w:spacing w:after="0"/>
              <w:rPr>
                <w:sz w:val="17"/>
                <w:szCs w:val="17"/>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6"/>
                <w:szCs w:val="16"/>
                <w:b w:val="1"/>
                <w:bCs w:val="1"/>
                <w:color w:val="86B6A5"/>
              </w:rPr>
              <w:t>Significant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86B6A5"/>
                <w:w w:val="99"/>
              </w:rPr>
              <w:t>Markets for</w:t>
            </w:r>
          </w:p>
        </w:tc>
        <w:tc>
          <w:tcPr>
            <w:tcW w:w="2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86B6A5"/>
              </w:rPr>
              <w:t>Other</w:t>
            </w:r>
          </w:p>
        </w:tc>
        <w:tc>
          <w:tcPr>
            <w:tcW w:w="200" w:type="dxa"/>
            <w:vAlign w:val="bottom"/>
          </w:tcPr>
          <w:p>
            <w:pPr>
              <w:spacing w:after="0"/>
              <w:rPr>
                <w:sz w:val="17"/>
                <w:szCs w:val="17"/>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6"/>
                <w:szCs w:val="16"/>
                <w:b w:val="1"/>
                <w:bCs w:val="1"/>
                <w:color w:val="86B6A5"/>
              </w:rPr>
              <w:t>Significant</w:t>
            </w:r>
          </w:p>
        </w:tc>
      </w:tr>
      <w:tr>
        <w:trPr>
          <w:trHeight w:val="215"/>
        </w:trPr>
        <w:tc>
          <w:tcPr>
            <w:tcW w:w="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86B6A5"/>
              </w:rPr>
              <w:t>Identical</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86B6A5"/>
                <w:w w:val="98"/>
              </w:rPr>
              <w:t>Observable</w:t>
            </w:r>
          </w:p>
        </w:tc>
        <w:tc>
          <w:tcPr>
            <w:tcW w:w="20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6"/>
                <w:szCs w:val="16"/>
                <w:b w:val="1"/>
                <w:bCs w:val="1"/>
                <w:color w:val="86B6A5"/>
              </w:rPr>
              <w:t>Unobservable</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86B6A5"/>
              </w:rPr>
              <w:t>Identical</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86B6A5"/>
              </w:rPr>
              <w:t>Observable</w:t>
            </w:r>
          </w:p>
        </w:tc>
        <w:tc>
          <w:tcPr>
            <w:tcW w:w="20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6"/>
                <w:szCs w:val="16"/>
                <w:b w:val="1"/>
                <w:bCs w:val="1"/>
                <w:color w:val="86B6A5"/>
              </w:rPr>
              <w:t>Unobservable</w:t>
            </w:r>
          </w:p>
        </w:tc>
      </w:tr>
      <w:tr>
        <w:trPr>
          <w:trHeight w:val="209"/>
        </w:trPr>
        <w:tc>
          <w:tcPr>
            <w:tcW w:w="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shd w:val="clear" w:color="auto" w:fill="86B6A5"/>
          </w:tcPr>
          <w:p>
            <w:pPr>
              <w:spacing w:after="0"/>
              <w:rPr>
                <w:sz w:val="18"/>
                <w:szCs w:val="18"/>
                <w:color w:val="auto"/>
              </w:rPr>
            </w:pPr>
          </w:p>
        </w:tc>
        <w:tc>
          <w:tcPr>
            <w:tcW w:w="1240" w:type="dxa"/>
            <w:vAlign w:val="bottom"/>
            <w:shd w:val="clear" w:color="auto" w:fill="86B6A5"/>
          </w:tcPr>
          <w:p>
            <w:pPr>
              <w:jc w:val="right"/>
              <w:ind w:right="72"/>
              <w:spacing w:after="0"/>
              <w:rPr>
                <w:sz w:val="20"/>
                <w:szCs w:val="20"/>
                <w:color w:val="auto"/>
              </w:rPr>
            </w:pPr>
            <w:r>
              <w:rPr>
                <w:rFonts w:ascii="Arial" w:cs="Arial" w:eastAsia="Arial" w:hAnsi="Arial"/>
                <w:sz w:val="16"/>
                <w:szCs w:val="16"/>
                <w:b w:val="1"/>
                <w:bCs w:val="1"/>
                <w:color w:val="FFFFFF"/>
              </w:rPr>
              <w:t>December 31,</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86B6A5"/>
              </w:rPr>
              <w:t>Assets</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86B6A5"/>
              </w:rPr>
              <w:t>Inputs</w:t>
            </w:r>
          </w:p>
        </w:tc>
        <w:tc>
          <w:tcPr>
            <w:tcW w:w="20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6"/>
                <w:szCs w:val="16"/>
                <w:b w:val="1"/>
                <w:bCs w:val="1"/>
                <w:color w:val="86B6A5"/>
              </w:rPr>
              <w:t>Inputs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b w:val="1"/>
                <w:bCs w:val="1"/>
                <w:color w:val="86B6A5"/>
              </w:rPr>
              <w:t>December 31,</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86B6A5"/>
              </w:rPr>
              <w:t>Assets</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86B6A5"/>
              </w:rPr>
              <w:t>Inputs</w:t>
            </w:r>
          </w:p>
        </w:tc>
        <w:tc>
          <w:tcPr>
            <w:tcW w:w="20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6"/>
                <w:szCs w:val="16"/>
                <w:b w:val="1"/>
                <w:bCs w:val="1"/>
                <w:color w:val="86B6A5"/>
              </w:rPr>
              <w:t>Inputs</w:t>
            </w:r>
          </w:p>
        </w:tc>
      </w:tr>
      <w:tr>
        <w:trPr>
          <w:trHeight w:val="210"/>
        </w:trPr>
        <w:tc>
          <w:tcPr>
            <w:tcW w:w="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shd w:val="clear" w:color="auto" w:fill="86B6A5"/>
          </w:tcPr>
          <w:p>
            <w:pPr>
              <w:spacing w:after="0"/>
              <w:rPr>
                <w:sz w:val="18"/>
                <w:szCs w:val="18"/>
                <w:color w:val="auto"/>
              </w:rPr>
            </w:pPr>
          </w:p>
        </w:tc>
        <w:tc>
          <w:tcPr>
            <w:tcW w:w="1240" w:type="dxa"/>
            <w:vAlign w:val="bottom"/>
            <w:shd w:val="clear" w:color="auto" w:fill="86B6A5"/>
          </w:tcPr>
          <w:p>
            <w:pPr>
              <w:jc w:val="right"/>
              <w:ind w:right="72"/>
              <w:spacing w:after="0"/>
              <w:rPr>
                <w:sz w:val="20"/>
                <w:szCs w:val="20"/>
                <w:color w:val="auto"/>
              </w:rPr>
            </w:pPr>
            <w:r>
              <w:rPr>
                <w:rFonts w:ascii="Arial" w:cs="Arial" w:eastAsia="Arial" w:hAnsi="Arial"/>
                <w:sz w:val="16"/>
                <w:szCs w:val="16"/>
                <w:b w:val="1"/>
                <w:bCs w:val="1"/>
                <w:color w:val="FFFFFF"/>
              </w:rPr>
              <w:t>2010</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86B6A5"/>
              </w:rPr>
              <w:t>(Level 1)</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86B6A5"/>
              </w:rPr>
              <w:t>(Level 2)</w:t>
            </w:r>
          </w:p>
        </w:tc>
        <w:tc>
          <w:tcPr>
            <w:tcW w:w="20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6"/>
                <w:szCs w:val="16"/>
                <w:b w:val="1"/>
                <w:bCs w:val="1"/>
                <w:color w:val="86B6A5"/>
              </w:rPr>
              <w:t>(Level 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b w:val="1"/>
                <w:bCs w:val="1"/>
                <w:color w:val="86B6A5"/>
              </w:rPr>
              <w:t>2009</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86B6A5"/>
              </w:rPr>
              <w:t>(Level 1)</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86B6A5"/>
              </w:rPr>
              <w:t>(Level 2)</w:t>
            </w:r>
          </w:p>
        </w:tc>
        <w:tc>
          <w:tcPr>
            <w:tcW w:w="20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6"/>
                <w:szCs w:val="16"/>
                <w:b w:val="1"/>
                <w:bCs w:val="1"/>
                <w:color w:val="86B6A5"/>
              </w:rPr>
              <w:t>(Level 3)</w:t>
            </w:r>
          </w:p>
        </w:tc>
      </w:tr>
      <w:tr>
        <w:trPr>
          <w:trHeight w:val="202"/>
        </w:trPr>
        <w:tc>
          <w:tcPr>
            <w:tcW w:w="20" w:type="dxa"/>
            <w:vAlign w:val="bottom"/>
          </w:tcPr>
          <w:p>
            <w:pPr>
              <w:spacing w:after="0"/>
              <w:rPr>
                <w:sz w:val="17"/>
                <w:szCs w:val="17"/>
                <w:color w:val="auto"/>
              </w:rPr>
            </w:pPr>
          </w:p>
        </w:tc>
        <w:tc>
          <w:tcPr>
            <w:tcW w:w="1380" w:type="dxa"/>
            <w:vAlign w:val="bottom"/>
            <w:tcBorders>
              <w:top w:val="single" w:sz="8" w:color="86B6A5"/>
            </w:tcBorders>
          </w:tcPr>
          <w:p>
            <w:pPr>
              <w:spacing w:after="0" w:line="201" w:lineRule="exact"/>
              <w:rPr>
                <w:sz w:val="20"/>
                <w:szCs w:val="20"/>
                <w:color w:val="auto"/>
              </w:rPr>
            </w:pPr>
            <w:r>
              <w:rPr>
                <w:rFonts w:ascii="Arial" w:cs="Arial" w:eastAsia="Arial" w:hAnsi="Arial"/>
                <w:sz w:val="18"/>
                <w:szCs w:val="18"/>
                <w:b w:val="1"/>
                <w:bCs w:val="1"/>
                <w:color w:val="939598"/>
              </w:rPr>
              <w:t>Assets</w:t>
            </w:r>
          </w:p>
        </w:tc>
        <w:tc>
          <w:tcPr>
            <w:tcW w:w="100" w:type="dxa"/>
            <w:vAlign w:val="bottom"/>
            <w:tcBorders>
              <w:top w:val="single" w:sz="8" w:color="86B6A5"/>
            </w:tcBorders>
            <w:shd w:val="clear" w:color="auto" w:fill="E3F1DA"/>
          </w:tcPr>
          <w:p>
            <w:pPr>
              <w:spacing w:after="0"/>
              <w:rPr>
                <w:sz w:val="17"/>
                <w:szCs w:val="17"/>
                <w:color w:val="auto"/>
              </w:rPr>
            </w:pPr>
          </w:p>
        </w:tc>
        <w:tc>
          <w:tcPr>
            <w:tcW w:w="1240" w:type="dxa"/>
            <w:vAlign w:val="bottom"/>
            <w:tcBorders>
              <w:top w:val="single" w:sz="8" w:color="86B6A5"/>
            </w:tcBorders>
            <w:shd w:val="clear" w:color="auto" w:fill="E3F1DA"/>
          </w:tcPr>
          <w:p>
            <w:pPr>
              <w:spacing w:after="0"/>
              <w:rPr>
                <w:sz w:val="17"/>
                <w:szCs w:val="17"/>
                <w:color w:val="auto"/>
              </w:rPr>
            </w:pPr>
          </w:p>
        </w:tc>
        <w:tc>
          <w:tcPr>
            <w:tcW w:w="100" w:type="dxa"/>
            <w:vAlign w:val="bottom"/>
            <w:tcBorders>
              <w:top w:val="single" w:sz="8" w:color="86B6A5"/>
            </w:tcBorders>
          </w:tcPr>
          <w:p>
            <w:pPr>
              <w:spacing w:after="0"/>
              <w:rPr>
                <w:sz w:val="17"/>
                <w:szCs w:val="17"/>
                <w:color w:val="auto"/>
              </w:rPr>
            </w:pPr>
          </w:p>
        </w:tc>
        <w:tc>
          <w:tcPr>
            <w:tcW w:w="920" w:type="dxa"/>
            <w:vAlign w:val="bottom"/>
            <w:tcBorders>
              <w:top w:val="single" w:sz="8" w:color="86B6A5"/>
            </w:tcBorders>
          </w:tcPr>
          <w:p>
            <w:pPr>
              <w:spacing w:after="0"/>
              <w:rPr>
                <w:sz w:val="17"/>
                <w:szCs w:val="17"/>
                <w:color w:val="auto"/>
              </w:rPr>
            </w:pPr>
          </w:p>
        </w:tc>
        <w:tc>
          <w:tcPr>
            <w:tcW w:w="240" w:type="dxa"/>
            <w:vAlign w:val="bottom"/>
            <w:tcBorders>
              <w:top w:val="single" w:sz="8" w:color="86B6A5"/>
            </w:tcBorders>
          </w:tcPr>
          <w:p>
            <w:pPr>
              <w:spacing w:after="0"/>
              <w:rPr>
                <w:sz w:val="17"/>
                <w:szCs w:val="17"/>
                <w:color w:val="auto"/>
              </w:rPr>
            </w:pPr>
          </w:p>
        </w:tc>
        <w:tc>
          <w:tcPr>
            <w:tcW w:w="960" w:type="dxa"/>
            <w:vAlign w:val="bottom"/>
            <w:tcBorders>
              <w:top w:val="single" w:sz="8" w:color="86B6A5"/>
            </w:tcBorders>
          </w:tcPr>
          <w:p>
            <w:pPr>
              <w:spacing w:after="0"/>
              <w:rPr>
                <w:sz w:val="17"/>
                <w:szCs w:val="17"/>
                <w:color w:val="auto"/>
              </w:rPr>
            </w:pPr>
          </w:p>
        </w:tc>
        <w:tc>
          <w:tcPr>
            <w:tcW w:w="200" w:type="dxa"/>
            <w:vAlign w:val="bottom"/>
            <w:tcBorders>
              <w:top w:val="single" w:sz="8" w:color="86B6A5"/>
            </w:tcBorders>
          </w:tcPr>
          <w:p>
            <w:pPr>
              <w:spacing w:after="0"/>
              <w:rPr>
                <w:sz w:val="17"/>
                <w:szCs w:val="17"/>
                <w:color w:val="auto"/>
              </w:rPr>
            </w:pPr>
          </w:p>
        </w:tc>
        <w:tc>
          <w:tcPr>
            <w:tcW w:w="1080" w:type="dxa"/>
            <w:vAlign w:val="bottom"/>
            <w:tcBorders>
              <w:top w:val="single" w:sz="8" w:color="86B6A5"/>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86B6A5"/>
            </w:tcBorders>
          </w:tcPr>
          <w:p>
            <w:pPr>
              <w:spacing w:after="0"/>
              <w:rPr>
                <w:sz w:val="17"/>
                <w:szCs w:val="17"/>
                <w:color w:val="auto"/>
              </w:rPr>
            </w:pPr>
          </w:p>
        </w:tc>
        <w:tc>
          <w:tcPr>
            <w:tcW w:w="1160" w:type="dxa"/>
            <w:vAlign w:val="bottom"/>
            <w:tcBorders>
              <w:top w:val="single" w:sz="8" w:color="86B6A5"/>
            </w:tcBorders>
          </w:tcPr>
          <w:p>
            <w:pPr>
              <w:spacing w:after="0"/>
              <w:rPr>
                <w:sz w:val="17"/>
                <w:szCs w:val="17"/>
                <w:color w:val="auto"/>
              </w:rPr>
            </w:pPr>
          </w:p>
        </w:tc>
        <w:tc>
          <w:tcPr>
            <w:tcW w:w="180" w:type="dxa"/>
            <w:vAlign w:val="bottom"/>
            <w:tcBorders>
              <w:top w:val="single" w:sz="8" w:color="86B6A5"/>
            </w:tcBorders>
          </w:tcPr>
          <w:p>
            <w:pPr>
              <w:spacing w:after="0"/>
              <w:rPr>
                <w:sz w:val="17"/>
                <w:szCs w:val="17"/>
                <w:color w:val="auto"/>
              </w:rPr>
            </w:pPr>
          </w:p>
        </w:tc>
        <w:tc>
          <w:tcPr>
            <w:tcW w:w="920" w:type="dxa"/>
            <w:vAlign w:val="bottom"/>
            <w:tcBorders>
              <w:top w:val="single" w:sz="8" w:color="86B6A5"/>
            </w:tcBorders>
          </w:tcPr>
          <w:p>
            <w:pPr>
              <w:spacing w:after="0"/>
              <w:rPr>
                <w:sz w:val="17"/>
                <w:szCs w:val="17"/>
                <w:color w:val="auto"/>
              </w:rPr>
            </w:pPr>
          </w:p>
        </w:tc>
        <w:tc>
          <w:tcPr>
            <w:tcW w:w="220" w:type="dxa"/>
            <w:vAlign w:val="bottom"/>
            <w:tcBorders>
              <w:top w:val="single" w:sz="8" w:color="86B6A5"/>
            </w:tcBorders>
          </w:tcPr>
          <w:p>
            <w:pPr>
              <w:spacing w:after="0"/>
              <w:rPr>
                <w:sz w:val="17"/>
                <w:szCs w:val="17"/>
                <w:color w:val="auto"/>
              </w:rPr>
            </w:pPr>
          </w:p>
        </w:tc>
        <w:tc>
          <w:tcPr>
            <w:tcW w:w="980" w:type="dxa"/>
            <w:vAlign w:val="bottom"/>
            <w:tcBorders>
              <w:top w:val="single" w:sz="8" w:color="86B6A5"/>
            </w:tcBorders>
          </w:tcPr>
          <w:p>
            <w:pPr>
              <w:spacing w:after="0"/>
              <w:rPr>
                <w:sz w:val="17"/>
                <w:szCs w:val="17"/>
                <w:color w:val="auto"/>
              </w:rPr>
            </w:pPr>
          </w:p>
        </w:tc>
        <w:tc>
          <w:tcPr>
            <w:tcW w:w="200" w:type="dxa"/>
            <w:vAlign w:val="bottom"/>
            <w:tcBorders>
              <w:top w:val="single" w:sz="8" w:color="86B6A5"/>
            </w:tcBorders>
          </w:tcPr>
          <w:p>
            <w:pPr>
              <w:spacing w:after="0"/>
              <w:rPr>
                <w:sz w:val="17"/>
                <w:szCs w:val="17"/>
                <w:color w:val="auto"/>
              </w:rPr>
            </w:pPr>
          </w:p>
        </w:tc>
        <w:tc>
          <w:tcPr>
            <w:tcW w:w="1080" w:type="dxa"/>
            <w:vAlign w:val="bottom"/>
            <w:tcBorders>
              <w:top w:val="single" w:sz="8" w:color="86B6A5"/>
            </w:tcBorders>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1400" w:type="dxa"/>
            <w:vAlign w:val="bottom"/>
            <w:gridSpan w:val="2"/>
          </w:tcPr>
          <w:p>
            <w:pPr>
              <w:spacing w:after="0" w:line="202" w:lineRule="exact"/>
              <w:rPr>
                <w:sz w:val="20"/>
                <w:szCs w:val="20"/>
                <w:color w:val="auto"/>
              </w:rPr>
            </w:pPr>
            <w:r>
              <w:rPr>
                <w:rFonts w:ascii="Arial" w:cs="Arial" w:eastAsia="Arial" w:hAnsi="Arial"/>
                <w:sz w:val="18"/>
                <w:szCs w:val="18"/>
                <w:color w:val="auto"/>
                <w:w w:val="99"/>
              </w:rPr>
              <w:t>Available-for-sale</w:t>
            </w:r>
          </w:p>
        </w:tc>
        <w:tc>
          <w:tcPr>
            <w:tcW w:w="100" w:type="dxa"/>
            <w:vAlign w:val="bottom"/>
            <w:shd w:val="clear" w:color="auto" w:fill="E3F1DA"/>
          </w:tcPr>
          <w:p>
            <w:pPr>
              <w:spacing w:after="0"/>
              <w:rPr>
                <w:sz w:val="17"/>
                <w:szCs w:val="17"/>
                <w:color w:val="auto"/>
              </w:rPr>
            </w:pPr>
          </w:p>
        </w:tc>
        <w:tc>
          <w:tcPr>
            <w:tcW w:w="1240" w:type="dxa"/>
            <w:vAlign w:val="bottom"/>
            <w:shd w:val="clear" w:color="auto" w:fill="E3F1DA"/>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1380" w:type="dxa"/>
            <w:vAlign w:val="bottom"/>
          </w:tcPr>
          <w:p>
            <w:pPr>
              <w:ind w:left="260"/>
              <w:spacing w:after="0" w:line="202" w:lineRule="exact"/>
              <w:rPr>
                <w:sz w:val="20"/>
                <w:szCs w:val="20"/>
                <w:color w:val="auto"/>
              </w:rPr>
            </w:pPr>
            <w:r>
              <w:rPr>
                <w:rFonts w:ascii="Arial" w:cs="Arial" w:eastAsia="Arial" w:hAnsi="Arial"/>
                <w:sz w:val="18"/>
                <w:szCs w:val="18"/>
                <w:color w:val="auto"/>
              </w:rPr>
              <w:t>securities</w:t>
            </w:r>
          </w:p>
        </w:tc>
        <w:tc>
          <w:tcPr>
            <w:tcW w:w="100" w:type="dxa"/>
            <w:vAlign w:val="bottom"/>
            <w:shd w:val="clear" w:color="auto" w:fill="E3F1DA"/>
          </w:tcPr>
          <w:p>
            <w:pPr>
              <w:jc w:val="right"/>
              <w:spacing w:after="0" w:line="202" w:lineRule="exact"/>
              <w:rPr>
                <w:sz w:val="20"/>
                <w:szCs w:val="20"/>
                <w:color w:val="auto"/>
              </w:rPr>
            </w:pPr>
            <w:r>
              <w:rPr>
                <w:rFonts w:ascii="Arial" w:cs="Arial" w:eastAsia="Arial" w:hAnsi="Arial"/>
                <w:sz w:val="18"/>
                <w:szCs w:val="18"/>
                <w:color w:val="86B6A5"/>
                <w:w w:val="79"/>
              </w:rPr>
              <w:t>$</w:t>
            </w:r>
          </w:p>
        </w:tc>
        <w:tc>
          <w:tcPr>
            <w:tcW w:w="1240" w:type="dxa"/>
            <w:vAlign w:val="bottom"/>
            <w:shd w:val="clear" w:color="auto" w:fill="E3F1DA"/>
          </w:tcPr>
          <w:p>
            <w:pPr>
              <w:jc w:val="right"/>
              <w:ind w:right="72"/>
              <w:spacing w:after="0" w:line="202" w:lineRule="exact"/>
              <w:rPr>
                <w:sz w:val="20"/>
                <w:szCs w:val="20"/>
                <w:color w:val="auto"/>
              </w:rPr>
            </w:pPr>
            <w:r>
              <w:rPr>
                <w:rFonts w:ascii="Arial" w:cs="Arial" w:eastAsia="Arial" w:hAnsi="Arial"/>
                <w:sz w:val="18"/>
                <w:szCs w:val="18"/>
                <w:color w:val="86B6A5"/>
              </w:rPr>
              <w:t>0.4</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0.4</w:t>
            </w:r>
          </w:p>
        </w:tc>
        <w:tc>
          <w:tcPr>
            <w:tcW w:w="2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2"/>
          </w:tcPr>
          <w:p>
            <w:pPr>
              <w:ind w:left="980"/>
              <w:spacing w:after="0" w:line="202" w:lineRule="exact"/>
              <w:rPr>
                <w:sz w:val="20"/>
                <w:szCs w:val="20"/>
                <w:color w:val="auto"/>
              </w:rPr>
            </w:pPr>
            <w:r>
              <w:rPr>
                <w:rFonts w:ascii="Arial" w:cs="Arial" w:eastAsia="Arial" w:hAnsi="Arial"/>
                <w:sz w:val="18"/>
                <w:szCs w:val="18"/>
                <w:color w:val="auto"/>
              </w:rPr>
              <w:t>–</w:t>
            </w:r>
          </w:p>
        </w:tc>
        <w:tc>
          <w:tcPr>
            <w:tcW w:w="1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0.3</w:t>
            </w: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0.3</w:t>
            </w:r>
          </w:p>
        </w:tc>
        <w:tc>
          <w:tcPr>
            <w:tcW w:w="2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r>
      <w:tr>
        <w:trPr>
          <w:trHeight w:val="203"/>
        </w:trPr>
        <w:tc>
          <w:tcPr>
            <w:tcW w:w="1400" w:type="dxa"/>
            <w:vAlign w:val="bottom"/>
            <w:gridSpan w:val="2"/>
          </w:tcPr>
          <w:p>
            <w:pPr>
              <w:spacing w:after="0" w:line="202" w:lineRule="exact"/>
              <w:rPr>
                <w:sz w:val="20"/>
                <w:szCs w:val="20"/>
                <w:color w:val="auto"/>
              </w:rPr>
            </w:pPr>
            <w:r>
              <w:rPr>
                <w:rFonts w:ascii="Arial" w:cs="Arial" w:eastAsia="Arial" w:hAnsi="Arial"/>
                <w:sz w:val="18"/>
                <w:szCs w:val="18"/>
                <w:color w:val="auto"/>
              </w:rPr>
              <w:t>Foreign currency</w:t>
            </w:r>
          </w:p>
        </w:tc>
        <w:tc>
          <w:tcPr>
            <w:tcW w:w="100" w:type="dxa"/>
            <w:vAlign w:val="bottom"/>
            <w:shd w:val="clear" w:color="auto" w:fill="E3F1DA"/>
          </w:tcPr>
          <w:p>
            <w:pPr>
              <w:spacing w:after="0"/>
              <w:rPr>
                <w:sz w:val="17"/>
                <w:szCs w:val="17"/>
                <w:color w:val="auto"/>
              </w:rPr>
            </w:pPr>
          </w:p>
        </w:tc>
        <w:tc>
          <w:tcPr>
            <w:tcW w:w="1240" w:type="dxa"/>
            <w:vAlign w:val="bottom"/>
            <w:shd w:val="clear" w:color="auto" w:fill="E3F1DA"/>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1380" w:type="dxa"/>
            <w:vAlign w:val="bottom"/>
          </w:tcPr>
          <w:p>
            <w:pPr>
              <w:ind w:left="260"/>
              <w:spacing w:after="0" w:line="202" w:lineRule="exact"/>
              <w:rPr>
                <w:sz w:val="20"/>
                <w:szCs w:val="20"/>
                <w:color w:val="auto"/>
              </w:rPr>
            </w:pPr>
            <w:r>
              <w:rPr>
                <w:rFonts w:ascii="Arial" w:cs="Arial" w:eastAsia="Arial" w:hAnsi="Arial"/>
                <w:sz w:val="18"/>
                <w:szCs w:val="18"/>
                <w:color w:val="auto"/>
              </w:rPr>
              <w:t>forward</w:t>
            </w:r>
          </w:p>
        </w:tc>
        <w:tc>
          <w:tcPr>
            <w:tcW w:w="100" w:type="dxa"/>
            <w:vAlign w:val="bottom"/>
            <w:shd w:val="clear" w:color="auto" w:fill="E3F1DA"/>
          </w:tcPr>
          <w:p>
            <w:pPr>
              <w:spacing w:after="0"/>
              <w:rPr>
                <w:sz w:val="17"/>
                <w:szCs w:val="17"/>
                <w:color w:val="auto"/>
              </w:rPr>
            </w:pPr>
          </w:p>
        </w:tc>
        <w:tc>
          <w:tcPr>
            <w:tcW w:w="1240" w:type="dxa"/>
            <w:vAlign w:val="bottom"/>
            <w:shd w:val="clear" w:color="auto" w:fill="E3F1DA"/>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1380" w:type="dxa"/>
            <w:vAlign w:val="bottom"/>
          </w:tcPr>
          <w:p>
            <w:pPr>
              <w:ind w:left="260"/>
              <w:spacing w:after="0" w:line="202" w:lineRule="exact"/>
              <w:rPr>
                <w:sz w:val="20"/>
                <w:szCs w:val="20"/>
                <w:color w:val="auto"/>
              </w:rPr>
            </w:pPr>
            <w:r>
              <w:rPr>
                <w:rFonts w:ascii="Arial" w:cs="Arial" w:eastAsia="Arial" w:hAnsi="Arial"/>
                <w:sz w:val="18"/>
                <w:szCs w:val="18"/>
                <w:color w:val="auto"/>
              </w:rPr>
              <w:t>contracts</w:t>
            </w:r>
          </w:p>
        </w:tc>
        <w:tc>
          <w:tcPr>
            <w:tcW w:w="100" w:type="dxa"/>
            <w:vAlign w:val="bottom"/>
            <w:shd w:val="clear" w:color="auto" w:fill="E3F1DA"/>
          </w:tcPr>
          <w:p>
            <w:pPr>
              <w:spacing w:after="0"/>
              <w:rPr>
                <w:sz w:val="17"/>
                <w:szCs w:val="17"/>
                <w:color w:val="auto"/>
              </w:rPr>
            </w:pPr>
          </w:p>
        </w:tc>
        <w:tc>
          <w:tcPr>
            <w:tcW w:w="1240" w:type="dxa"/>
            <w:vAlign w:val="bottom"/>
            <w:shd w:val="clear" w:color="auto" w:fill="E3F1DA"/>
          </w:tcPr>
          <w:p>
            <w:pPr>
              <w:jc w:val="right"/>
              <w:ind w:right="72"/>
              <w:spacing w:after="0" w:line="202" w:lineRule="exact"/>
              <w:rPr>
                <w:sz w:val="20"/>
                <w:szCs w:val="20"/>
                <w:color w:val="auto"/>
              </w:rPr>
            </w:pPr>
            <w:r>
              <w:rPr>
                <w:rFonts w:ascii="Arial" w:cs="Arial" w:eastAsia="Arial" w:hAnsi="Arial"/>
                <w:sz w:val="18"/>
                <w:szCs w:val="18"/>
                <w:color w:val="86B6A5"/>
              </w:rPr>
              <w:t>0.1</w:t>
            </w:r>
          </w:p>
        </w:tc>
        <w:tc>
          <w:tcPr>
            <w:tcW w:w="10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0.1</w:t>
            </w:r>
          </w:p>
        </w:tc>
        <w:tc>
          <w:tcPr>
            <w:tcW w:w="200" w:type="dxa"/>
            <w:vAlign w:val="bottom"/>
          </w:tcPr>
          <w:p>
            <w:pPr>
              <w:spacing w:after="0"/>
              <w:rPr>
                <w:sz w:val="17"/>
                <w:szCs w:val="17"/>
                <w:color w:val="auto"/>
              </w:rPr>
            </w:pPr>
          </w:p>
        </w:tc>
        <w:tc>
          <w:tcPr>
            <w:tcW w:w="1160" w:type="dxa"/>
            <w:vAlign w:val="bottom"/>
            <w:gridSpan w:val="2"/>
          </w:tcPr>
          <w:p>
            <w:pPr>
              <w:ind w:left="980"/>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1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r>
      <w:tr>
        <w:trPr>
          <w:trHeight w:val="203"/>
        </w:trPr>
        <w:tc>
          <w:tcPr>
            <w:tcW w:w="1400" w:type="dxa"/>
            <w:vAlign w:val="bottom"/>
            <w:gridSpan w:val="2"/>
          </w:tcPr>
          <w:p>
            <w:pPr>
              <w:spacing w:after="0" w:line="202" w:lineRule="exact"/>
              <w:rPr>
                <w:sz w:val="20"/>
                <w:szCs w:val="20"/>
                <w:color w:val="auto"/>
              </w:rPr>
            </w:pPr>
            <w:r>
              <w:rPr>
                <w:rFonts w:ascii="Arial" w:cs="Arial" w:eastAsia="Arial" w:hAnsi="Arial"/>
                <w:sz w:val="18"/>
                <w:szCs w:val="18"/>
                <w:color w:val="auto"/>
              </w:rPr>
              <w:t>Deferred</w:t>
            </w:r>
          </w:p>
        </w:tc>
        <w:tc>
          <w:tcPr>
            <w:tcW w:w="100" w:type="dxa"/>
            <w:vAlign w:val="bottom"/>
            <w:shd w:val="clear" w:color="auto" w:fill="E3F1DA"/>
          </w:tcPr>
          <w:p>
            <w:pPr>
              <w:spacing w:after="0"/>
              <w:rPr>
                <w:sz w:val="17"/>
                <w:szCs w:val="17"/>
                <w:color w:val="auto"/>
              </w:rPr>
            </w:pPr>
          </w:p>
        </w:tc>
        <w:tc>
          <w:tcPr>
            <w:tcW w:w="1240" w:type="dxa"/>
            <w:vAlign w:val="bottom"/>
            <w:shd w:val="clear" w:color="auto" w:fill="E3F1DA"/>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1380" w:type="dxa"/>
            <w:vAlign w:val="bottom"/>
          </w:tcPr>
          <w:p>
            <w:pPr>
              <w:ind w:left="260"/>
              <w:spacing w:after="0" w:line="202" w:lineRule="exact"/>
              <w:rPr>
                <w:sz w:val="20"/>
                <w:szCs w:val="20"/>
                <w:color w:val="auto"/>
              </w:rPr>
            </w:pPr>
            <w:r>
              <w:rPr>
                <w:rFonts w:ascii="Arial" w:cs="Arial" w:eastAsia="Arial" w:hAnsi="Arial"/>
                <w:sz w:val="18"/>
                <w:szCs w:val="18"/>
                <w:color w:val="auto"/>
                <w:w w:val="98"/>
              </w:rPr>
              <w:t>compensation</w:t>
            </w:r>
          </w:p>
        </w:tc>
        <w:tc>
          <w:tcPr>
            <w:tcW w:w="100" w:type="dxa"/>
            <w:vAlign w:val="bottom"/>
            <w:shd w:val="clear" w:color="auto" w:fill="E3F1DA"/>
          </w:tcPr>
          <w:p>
            <w:pPr>
              <w:spacing w:after="0"/>
              <w:rPr>
                <w:sz w:val="17"/>
                <w:szCs w:val="17"/>
                <w:color w:val="auto"/>
              </w:rPr>
            </w:pPr>
          </w:p>
        </w:tc>
        <w:tc>
          <w:tcPr>
            <w:tcW w:w="1240" w:type="dxa"/>
            <w:vAlign w:val="bottom"/>
            <w:shd w:val="clear" w:color="auto" w:fill="E3F1DA"/>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1380" w:type="dxa"/>
            <w:vAlign w:val="bottom"/>
          </w:tcPr>
          <w:p>
            <w:pPr>
              <w:ind w:left="260"/>
              <w:spacing w:after="0" w:line="203" w:lineRule="exact"/>
              <w:rPr>
                <w:sz w:val="20"/>
                <w:szCs w:val="20"/>
                <w:color w:val="auto"/>
              </w:rPr>
            </w:pPr>
            <w:r>
              <w:rPr>
                <w:rFonts w:ascii="Arial" w:cs="Arial" w:eastAsia="Arial" w:hAnsi="Arial"/>
                <w:sz w:val="18"/>
                <w:szCs w:val="18"/>
                <w:color w:val="auto"/>
              </w:rPr>
              <w:t>plan assets</w:t>
            </w:r>
          </w:p>
        </w:tc>
        <w:tc>
          <w:tcPr>
            <w:tcW w:w="100" w:type="dxa"/>
            <w:vAlign w:val="bottom"/>
            <w:shd w:val="clear" w:color="auto" w:fill="E3F1DA"/>
          </w:tcPr>
          <w:p>
            <w:pPr>
              <w:spacing w:after="0"/>
              <w:rPr>
                <w:sz w:val="17"/>
                <w:szCs w:val="17"/>
                <w:color w:val="auto"/>
              </w:rPr>
            </w:pPr>
          </w:p>
        </w:tc>
        <w:tc>
          <w:tcPr>
            <w:tcW w:w="1240" w:type="dxa"/>
            <w:vAlign w:val="bottom"/>
            <w:shd w:val="clear" w:color="auto" w:fill="E3F1DA"/>
          </w:tcPr>
          <w:p>
            <w:pPr>
              <w:jc w:val="right"/>
              <w:ind w:right="72"/>
              <w:spacing w:after="0" w:line="203" w:lineRule="exact"/>
              <w:rPr>
                <w:sz w:val="20"/>
                <w:szCs w:val="20"/>
                <w:color w:val="auto"/>
              </w:rPr>
            </w:pPr>
            <w:r>
              <w:rPr>
                <w:rFonts w:ascii="Arial" w:cs="Arial" w:eastAsia="Arial" w:hAnsi="Arial"/>
                <w:sz w:val="18"/>
                <w:szCs w:val="18"/>
                <w:color w:val="86B6A5"/>
              </w:rPr>
              <w:t>40.3</w:t>
            </w:r>
          </w:p>
        </w:tc>
        <w:tc>
          <w:tcPr>
            <w:tcW w:w="100" w:type="dxa"/>
            <w:vAlign w:val="bottom"/>
          </w:tcPr>
          <w:p>
            <w:pPr>
              <w:spacing w:after="0"/>
              <w:rPr>
                <w:sz w:val="17"/>
                <w:szCs w:val="17"/>
                <w:color w:val="auto"/>
              </w:rPr>
            </w:pPr>
          </w:p>
        </w:tc>
        <w:tc>
          <w:tcPr>
            <w:tcW w:w="920" w:type="dxa"/>
            <w:vAlign w:val="bottom"/>
          </w:tcPr>
          <w:p>
            <w:pPr>
              <w:jc w:val="right"/>
              <w:spacing w:after="0" w:line="203" w:lineRule="exact"/>
              <w:rPr>
                <w:sz w:val="20"/>
                <w:szCs w:val="20"/>
                <w:color w:val="auto"/>
              </w:rPr>
            </w:pPr>
            <w:r>
              <w:rPr>
                <w:rFonts w:ascii="Arial" w:cs="Arial" w:eastAsia="Arial" w:hAnsi="Arial"/>
                <w:sz w:val="18"/>
                <w:szCs w:val="18"/>
                <w:color w:val="auto"/>
              </w:rPr>
              <w:t>40.3</w:t>
            </w:r>
          </w:p>
        </w:tc>
        <w:tc>
          <w:tcPr>
            <w:tcW w:w="24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160" w:type="dxa"/>
            <w:vAlign w:val="bottom"/>
            <w:gridSpan w:val="2"/>
          </w:tcPr>
          <w:p>
            <w:pPr>
              <w:ind w:left="980"/>
              <w:spacing w:after="0" w:line="203"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Arial" w:cs="Arial" w:eastAsia="Arial" w:hAnsi="Arial"/>
                <w:sz w:val="18"/>
                <w:szCs w:val="18"/>
                <w:color w:val="auto"/>
              </w:rPr>
              <w:t>34.0</w:t>
            </w:r>
          </w:p>
        </w:tc>
        <w:tc>
          <w:tcPr>
            <w:tcW w:w="180" w:type="dxa"/>
            <w:vAlign w:val="bottom"/>
          </w:tcPr>
          <w:p>
            <w:pPr>
              <w:spacing w:after="0"/>
              <w:rPr>
                <w:sz w:val="17"/>
                <w:szCs w:val="17"/>
                <w:color w:val="auto"/>
              </w:rPr>
            </w:pPr>
          </w:p>
        </w:tc>
        <w:tc>
          <w:tcPr>
            <w:tcW w:w="920" w:type="dxa"/>
            <w:vAlign w:val="bottom"/>
          </w:tcPr>
          <w:p>
            <w:pPr>
              <w:jc w:val="right"/>
              <w:spacing w:after="0" w:line="203" w:lineRule="exact"/>
              <w:rPr>
                <w:sz w:val="20"/>
                <w:szCs w:val="20"/>
                <w:color w:val="auto"/>
              </w:rPr>
            </w:pPr>
            <w:r>
              <w:rPr>
                <w:rFonts w:ascii="Arial" w:cs="Arial" w:eastAsia="Arial" w:hAnsi="Arial"/>
                <w:sz w:val="18"/>
                <w:szCs w:val="18"/>
                <w:color w:val="auto"/>
              </w:rPr>
              <w:t>34.0</w:t>
            </w:r>
          </w:p>
        </w:tc>
        <w:tc>
          <w:tcPr>
            <w:tcW w:w="220" w:type="dxa"/>
            <w:vAlign w:val="bottom"/>
          </w:tcPr>
          <w:p>
            <w:pPr>
              <w:spacing w:after="0"/>
              <w:rPr>
                <w:sz w:val="17"/>
                <w:szCs w:val="17"/>
                <w:color w:val="auto"/>
              </w:rPr>
            </w:pPr>
          </w:p>
        </w:tc>
        <w:tc>
          <w:tcPr>
            <w:tcW w:w="98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100" w:type="dxa"/>
            <w:vAlign w:val="bottom"/>
            <w:gridSpan w:val="2"/>
          </w:tcPr>
          <w:p>
            <w:pPr>
              <w:jc w:val="right"/>
              <w:ind w:right="20"/>
              <w:spacing w:after="0" w:line="203" w:lineRule="exact"/>
              <w:rPr>
                <w:sz w:val="20"/>
                <w:szCs w:val="20"/>
                <w:color w:val="auto"/>
              </w:rPr>
            </w:pPr>
            <w:r>
              <w:rPr>
                <w:rFonts w:ascii="Arial" w:cs="Arial" w:eastAsia="Arial" w:hAnsi="Arial"/>
                <w:sz w:val="18"/>
                <w:szCs w:val="18"/>
                <w:color w:val="auto"/>
              </w:rPr>
              <w:t>–</w:t>
            </w:r>
          </w:p>
        </w:tc>
      </w:tr>
      <w:tr>
        <w:trPr>
          <w:trHeight w:val="196"/>
        </w:trPr>
        <w:tc>
          <w:tcPr>
            <w:tcW w:w="20" w:type="dxa"/>
            <w:vAlign w:val="bottom"/>
          </w:tcPr>
          <w:p>
            <w:pPr>
              <w:spacing w:after="0"/>
              <w:rPr>
                <w:sz w:val="17"/>
                <w:szCs w:val="17"/>
                <w:color w:val="auto"/>
              </w:rPr>
            </w:pPr>
          </w:p>
        </w:tc>
        <w:tc>
          <w:tcPr>
            <w:tcW w:w="1380" w:type="dxa"/>
            <w:vAlign w:val="bottom"/>
            <w:tcBorders>
              <w:top w:val="single" w:sz="8" w:color="939598"/>
              <w:bottom w:val="single" w:sz="8" w:color="939598"/>
            </w:tcBorders>
          </w:tcPr>
          <w:p>
            <w:pPr>
              <w:spacing w:after="0"/>
              <w:rPr>
                <w:sz w:val="17"/>
                <w:szCs w:val="17"/>
                <w:color w:val="auto"/>
              </w:rPr>
            </w:pPr>
          </w:p>
        </w:tc>
        <w:tc>
          <w:tcPr>
            <w:tcW w:w="100" w:type="dxa"/>
            <w:vAlign w:val="bottom"/>
            <w:tcBorders>
              <w:top w:val="single" w:sz="8" w:color="939598"/>
              <w:bottom w:val="single" w:sz="8" w:color="939598"/>
            </w:tcBorders>
            <w:shd w:val="clear" w:color="auto" w:fill="E3F1DA"/>
          </w:tcPr>
          <w:p>
            <w:pPr>
              <w:jc w:val="right"/>
              <w:spacing w:after="0" w:line="196" w:lineRule="exact"/>
              <w:rPr>
                <w:sz w:val="20"/>
                <w:szCs w:val="20"/>
                <w:color w:val="auto"/>
              </w:rPr>
            </w:pPr>
            <w:r>
              <w:rPr>
                <w:rFonts w:ascii="Arial" w:cs="Arial" w:eastAsia="Arial" w:hAnsi="Arial"/>
                <w:sz w:val="18"/>
                <w:szCs w:val="18"/>
                <w:color w:val="86B6A5"/>
                <w:w w:val="79"/>
              </w:rPr>
              <w:t>$</w:t>
            </w:r>
          </w:p>
        </w:tc>
        <w:tc>
          <w:tcPr>
            <w:tcW w:w="1240" w:type="dxa"/>
            <w:vAlign w:val="bottom"/>
            <w:tcBorders>
              <w:top w:val="single" w:sz="8" w:color="939598"/>
              <w:bottom w:val="single" w:sz="8" w:color="939598"/>
            </w:tcBorders>
            <w:shd w:val="clear" w:color="auto" w:fill="E3F1DA"/>
          </w:tcPr>
          <w:p>
            <w:pPr>
              <w:jc w:val="right"/>
              <w:ind w:right="72"/>
              <w:spacing w:after="0" w:line="196" w:lineRule="exact"/>
              <w:rPr>
                <w:sz w:val="20"/>
                <w:szCs w:val="20"/>
                <w:color w:val="auto"/>
              </w:rPr>
            </w:pPr>
            <w:r>
              <w:rPr>
                <w:rFonts w:ascii="Arial" w:cs="Arial" w:eastAsia="Arial" w:hAnsi="Arial"/>
                <w:sz w:val="18"/>
                <w:szCs w:val="18"/>
                <w:color w:val="86B6A5"/>
              </w:rPr>
              <w:t>40.8</w:t>
            </w:r>
          </w:p>
        </w:tc>
        <w:tc>
          <w:tcPr>
            <w:tcW w:w="100" w:type="dxa"/>
            <w:vAlign w:val="bottom"/>
            <w:tcBorders>
              <w:top w:val="single" w:sz="8" w:color="939598"/>
              <w:bottom w:val="single" w:sz="8" w:color="939598"/>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939598"/>
              <w:bottom w:val="single" w:sz="8" w:color="939598"/>
            </w:tcBorders>
          </w:tcPr>
          <w:p>
            <w:pPr>
              <w:jc w:val="right"/>
              <w:spacing w:after="0" w:line="196" w:lineRule="exact"/>
              <w:rPr>
                <w:sz w:val="20"/>
                <w:szCs w:val="20"/>
                <w:color w:val="auto"/>
              </w:rPr>
            </w:pPr>
            <w:r>
              <w:rPr>
                <w:rFonts w:ascii="Arial" w:cs="Arial" w:eastAsia="Arial" w:hAnsi="Arial"/>
                <w:sz w:val="18"/>
                <w:szCs w:val="18"/>
                <w:color w:val="auto"/>
              </w:rPr>
              <w:t>40.7</w:t>
            </w:r>
          </w:p>
        </w:tc>
        <w:tc>
          <w:tcPr>
            <w:tcW w:w="240" w:type="dxa"/>
            <w:vAlign w:val="bottom"/>
            <w:tcBorders>
              <w:top w:val="single" w:sz="8" w:color="939598"/>
              <w:bottom w:val="single" w:sz="8" w:color="939598"/>
            </w:tcBorders>
          </w:tcPr>
          <w:p>
            <w:pPr>
              <w:jc w:val="right"/>
              <w:spacing w:after="0" w:line="196" w:lineRule="exact"/>
              <w:rPr>
                <w:sz w:val="20"/>
                <w:szCs w:val="20"/>
                <w:color w:val="auto"/>
              </w:rPr>
            </w:pPr>
            <w:r>
              <w:rPr>
                <w:rFonts w:ascii="Arial" w:cs="Arial" w:eastAsia="Arial" w:hAnsi="Arial"/>
                <w:sz w:val="18"/>
                <w:szCs w:val="18"/>
                <w:color w:val="auto"/>
              </w:rPr>
              <w:t>$</w:t>
            </w:r>
          </w:p>
        </w:tc>
        <w:tc>
          <w:tcPr>
            <w:tcW w:w="960" w:type="dxa"/>
            <w:vAlign w:val="bottom"/>
            <w:tcBorders>
              <w:top w:val="single" w:sz="8" w:color="939598"/>
              <w:bottom w:val="single" w:sz="8" w:color="939598"/>
            </w:tcBorders>
          </w:tcPr>
          <w:p>
            <w:pPr>
              <w:jc w:val="right"/>
              <w:spacing w:after="0" w:line="196" w:lineRule="exact"/>
              <w:rPr>
                <w:sz w:val="20"/>
                <w:szCs w:val="20"/>
                <w:color w:val="auto"/>
              </w:rPr>
            </w:pPr>
            <w:r>
              <w:rPr>
                <w:rFonts w:ascii="Arial" w:cs="Arial" w:eastAsia="Arial" w:hAnsi="Arial"/>
                <w:sz w:val="18"/>
                <w:szCs w:val="18"/>
                <w:color w:val="auto"/>
              </w:rPr>
              <w:t>0.1</w:t>
            </w:r>
          </w:p>
        </w:tc>
        <w:tc>
          <w:tcPr>
            <w:tcW w:w="200" w:type="dxa"/>
            <w:vAlign w:val="bottom"/>
            <w:tcBorders>
              <w:top w:val="single" w:sz="8" w:color="939598"/>
              <w:bottom w:val="single" w:sz="8" w:color="939598"/>
            </w:tcBorders>
          </w:tcPr>
          <w:p>
            <w:pPr>
              <w:jc w:val="right"/>
              <w:spacing w:after="0" w:line="196" w:lineRule="exact"/>
              <w:rPr>
                <w:sz w:val="20"/>
                <w:szCs w:val="20"/>
                <w:color w:val="auto"/>
              </w:rPr>
            </w:pPr>
            <w:r>
              <w:rPr>
                <w:rFonts w:ascii="Arial" w:cs="Arial" w:eastAsia="Arial" w:hAnsi="Arial"/>
                <w:sz w:val="18"/>
                <w:szCs w:val="18"/>
                <w:color w:val="auto"/>
              </w:rPr>
              <w:t>$</w:t>
            </w:r>
          </w:p>
        </w:tc>
        <w:tc>
          <w:tcPr>
            <w:tcW w:w="1160" w:type="dxa"/>
            <w:vAlign w:val="bottom"/>
            <w:tcBorders>
              <w:top w:val="single" w:sz="8" w:color="939598"/>
              <w:bottom w:val="single" w:sz="8" w:color="939598"/>
            </w:tcBorders>
            <w:gridSpan w:val="2"/>
          </w:tcPr>
          <w:p>
            <w:pPr>
              <w:ind w:left="980"/>
              <w:spacing w:after="0" w:line="196" w:lineRule="exact"/>
              <w:rPr>
                <w:sz w:val="20"/>
                <w:szCs w:val="20"/>
                <w:color w:val="auto"/>
              </w:rPr>
            </w:pPr>
            <w:r>
              <w:rPr>
                <w:rFonts w:ascii="Arial" w:cs="Arial" w:eastAsia="Arial" w:hAnsi="Arial"/>
                <w:sz w:val="18"/>
                <w:szCs w:val="18"/>
                <w:color w:val="auto"/>
              </w:rPr>
              <w:t>–</w:t>
            </w:r>
          </w:p>
        </w:tc>
        <w:tc>
          <w:tcPr>
            <w:tcW w:w="180" w:type="dxa"/>
            <w:vAlign w:val="bottom"/>
            <w:tcBorders>
              <w:top w:val="single" w:sz="8" w:color="939598"/>
              <w:bottom w:val="single" w:sz="8" w:color="939598"/>
            </w:tcBorders>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1160" w:type="dxa"/>
            <w:vAlign w:val="bottom"/>
            <w:tcBorders>
              <w:top w:val="single" w:sz="8" w:color="939598"/>
              <w:bottom w:val="single" w:sz="8" w:color="939598"/>
            </w:tcBorders>
          </w:tcPr>
          <w:p>
            <w:pPr>
              <w:jc w:val="right"/>
              <w:spacing w:after="0" w:line="196" w:lineRule="exact"/>
              <w:rPr>
                <w:sz w:val="20"/>
                <w:szCs w:val="20"/>
                <w:color w:val="auto"/>
              </w:rPr>
            </w:pPr>
            <w:r>
              <w:rPr>
                <w:rFonts w:ascii="Arial" w:cs="Arial" w:eastAsia="Arial" w:hAnsi="Arial"/>
                <w:sz w:val="18"/>
                <w:szCs w:val="18"/>
                <w:color w:val="auto"/>
              </w:rPr>
              <w:t>34.3</w:t>
            </w:r>
          </w:p>
        </w:tc>
        <w:tc>
          <w:tcPr>
            <w:tcW w:w="180" w:type="dxa"/>
            <w:vAlign w:val="bottom"/>
            <w:tcBorders>
              <w:top w:val="single" w:sz="8" w:color="939598"/>
              <w:bottom w:val="single" w:sz="8" w:color="939598"/>
            </w:tcBorders>
          </w:tcPr>
          <w:p>
            <w:pPr>
              <w:jc w:val="right"/>
              <w:spacing w:after="0" w:line="196" w:lineRule="exact"/>
              <w:rPr>
                <w:sz w:val="20"/>
                <w:szCs w:val="20"/>
                <w:color w:val="auto"/>
              </w:rPr>
            </w:pPr>
            <w:r>
              <w:rPr>
                <w:rFonts w:ascii="Arial" w:cs="Arial" w:eastAsia="Arial" w:hAnsi="Arial"/>
                <w:sz w:val="18"/>
                <w:szCs w:val="18"/>
                <w:color w:val="auto"/>
              </w:rPr>
              <w:t>$</w:t>
            </w:r>
          </w:p>
        </w:tc>
        <w:tc>
          <w:tcPr>
            <w:tcW w:w="920" w:type="dxa"/>
            <w:vAlign w:val="bottom"/>
            <w:tcBorders>
              <w:top w:val="single" w:sz="8" w:color="939598"/>
              <w:bottom w:val="single" w:sz="8" w:color="939598"/>
            </w:tcBorders>
          </w:tcPr>
          <w:p>
            <w:pPr>
              <w:jc w:val="right"/>
              <w:spacing w:after="0" w:line="196" w:lineRule="exact"/>
              <w:rPr>
                <w:sz w:val="20"/>
                <w:szCs w:val="20"/>
                <w:color w:val="auto"/>
              </w:rPr>
            </w:pPr>
            <w:r>
              <w:rPr>
                <w:rFonts w:ascii="Arial" w:cs="Arial" w:eastAsia="Arial" w:hAnsi="Arial"/>
                <w:sz w:val="18"/>
                <w:szCs w:val="18"/>
                <w:color w:val="auto"/>
              </w:rPr>
              <w:t>34.3</w:t>
            </w:r>
          </w:p>
        </w:tc>
        <w:tc>
          <w:tcPr>
            <w:tcW w:w="220" w:type="dxa"/>
            <w:vAlign w:val="bottom"/>
            <w:tcBorders>
              <w:top w:val="single" w:sz="8" w:color="939598"/>
              <w:bottom w:val="single" w:sz="8" w:color="939598"/>
            </w:tcBorders>
          </w:tcPr>
          <w:p>
            <w:pPr>
              <w:jc w:val="right"/>
              <w:spacing w:after="0" w:line="196" w:lineRule="exact"/>
              <w:rPr>
                <w:sz w:val="20"/>
                <w:szCs w:val="20"/>
                <w:color w:val="auto"/>
              </w:rPr>
            </w:pPr>
            <w:r>
              <w:rPr>
                <w:rFonts w:ascii="Arial" w:cs="Arial" w:eastAsia="Arial" w:hAnsi="Arial"/>
                <w:sz w:val="18"/>
                <w:szCs w:val="18"/>
                <w:color w:val="auto"/>
              </w:rPr>
              <w:t>$</w:t>
            </w:r>
          </w:p>
        </w:tc>
        <w:tc>
          <w:tcPr>
            <w:tcW w:w="980" w:type="dxa"/>
            <w:vAlign w:val="bottom"/>
            <w:tcBorders>
              <w:top w:val="single" w:sz="8" w:color="939598"/>
              <w:bottom w:val="single" w:sz="8" w:color="939598"/>
            </w:tcBorders>
          </w:tcPr>
          <w:p>
            <w:pPr>
              <w:jc w:val="right"/>
              <w:spacing w:after="0" w:line="196" w:lineRule="exact"/>
              <w:rPr>
                <w:sz w:val="20"/>
                <w:szCs w:val="20"/>
                <w:color w:val="auto"/>
              </w:rPr>
            </w:pPr>
            <w:r>
              <w:rPr>
                <w:rFonts w:ascii="Arial" w:cs="Arial" w:eastAsia="Arial" w:hAnsi="Arial"/>
                <w:sz w:val="18"/>
                <w:szCs w:val="18"/>
                <w:color w:val="auto"/>
              </w:rPr>
              <w:t>–</w:t>
            </w:r>
          </w:p>
        </w:tc>
        <w:tc>
          <w:tcPr>
            <w:tcW w:w="200" w:type="dxa"/>
            <w:vAlign w:val="bottom"/>
            <w:tcBorders>
              <w:top w:val="single" w:sz="8" w:color="939598"/>
              <w:bottom w:val="single" w:sz="8" w:color="939598"/>
            </w:tcBorders>
          </w:tcPr>
          <w:p>
            <w:pPr>
              <w:jc w:val="right"/>
              <w:spacing w:after="0" w:line="196" w:lineRule="exact"/>
              <w:rPr>
                <w:sz w:val="20"/>
                <w:szCs w:val="20"/>
                <w:color w:val="auto"/>
              </w:rPr>
            </w:pPr>
            <w:r>
              <w:rPr>
                <w:rFonts w:ascii="Arial" w:cs="Arial" w:eastAsia="Arial" w:hAnsi="Arial"/>
                <w:sz w:val="18"/>
                <w:szCs w:val="18"/>
                <w:color w:val="auto"/>
              </w:rPr>
              <w:t>$</w:t>
            </w:r>
          </w:p>
        </w:tc>
        <w:tc>
          <w:tcPr>
            <w:tcW w:w="1080" w:type="dxa"/>
            <w:vAlign w:val="bottom"/>
            <w:tcBorders>
              <w:top w:val="single" w:sz="8" w:color="939598"/>
              <w:bottom w:val="single" w:sz="8" w:color="939598"/>
            </w:tcBorders>
          </w:tcPr>
          <w:p>
            <w:pPr>
              <w:jc w:val="right"/>
              <w:spacing w:after="0" w:line="196"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r>
      <w:tr>
        <w:trPr>
          <w:trHeight w:val="195"/>
        </w:trPr>
        <w:tc>
          <w:tcPr>
            <w:tcW w:w="20" w:type="dxa"/>
            <w:vAlign w:val="bottom"/>
          </w:tcPr>
          <w:p>
            <w:pPr>
              <w:spacing w:after="0"/>
              <w:rPr>
                <w:sz w:val="16"/>
                <w:szCs w:val="16"/>
                <w:color w:val="auto"/>
              </w:rPr>
            </w:pPr>
          </w:p>
        </w:tc>
        <w:tc>
          <w:tcPr>
            <w:tcW w:w="1380" w:type="dxa"/>
            <w:vAlign w:val="bottom"/>
          </w:tcPr>
          <w:p>
            <w:pPr>
              <w:spacing w:after="0" w:line="195" w:lineRule="exact"/>
              <w:rPr>
                <w:sz w:val="20"/>
                <w:szCs w:val="20"/>
                <w:color w:val="auto"/>
              </w:rPr>
            </w:pPr>
            <w:r>
              <w:rPr>
                <w:rFonts w:ascii="Arial" w:cs="Arial" w:eastAsia="Arial" w:hAnsi="Arial"/>
                <w:sz w:val="18"/>
                <w:szCs w:val="18"/>
                <w:b w:val="1"/>
                <w:bCs w:val="1"/>
                <w:color w:val="939598"/>
              </w:rPr>
              <w:t>Liabilities</w:t>
            </w:r>
          </w:p>
        </w:tc>
        <w:tc>
          <w:tcPr>
            <w:tcW w:w="100" w:type="dxa"/>
            <w:vAlign w:val="bottom"/>
            <w:shd w:val="clear" w:color="auto" w:fill="E3F1DA"/>
          </w:tcPr>
          <w:p>
            <w:pPr>
              <w:spacing w:after="0"/>
              <w:rPr>
                <w:sz w:val="16"/>
                <w:szCs w:val="16"/>
                <w:color w:val="auto"/>
              </w:rPr>
            </w:pPr>
          </w:p>
        </w:tc>
        <w:tc>
          <w:tcPr>
            <w:tcW w:w="1240" w:type="dxa"/>
            <w:vAlign w:val="bottom"/>
            <w:shd w:val="clear" w:color="auto" w:fill="E3F1DA"/>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3"/>
        </w:trPr>
        <w:tc>
          <w:tcPr>
            <w:tcW w:w="1400" w:type="dxa"/>
            <w:vAlign w:val="bottom"/>
            <w:gridSpan w:val="2"/>
          </w:tcPr>
          <w:p>
            <w:pPr>
              <w:spacing w:after="0" w:line="202" w:lineRule="exact"/>
              <w:rPr>
                <w:sz w:val="20"/>
                <w:szCs w:val="20"/>
                <w:color w:val="auto"/>
              </w:rPr>
            </w:pPr>
            <w:r>
              <w:rPr>
                <w:rFonts w:ascii="Arial" w:cs="Arial" w:eastAsia="Arial" w:hAnsi="Arial"/>
                <w:sz w:val="18"/>
                <w:szCs w:val="18"/>
                <w:color w:val="auto"/>
              </w:rPr>
              <w:t>Foreign currency</w:t>
            </w:r>
          </w:p>
        </w:tc>
        <w:tc>
          <w:tcPr>
            <w:tcW w:w="100" w:type="dxa"/>
            <w:vAlign w:val="bottom"/>
            <w:shd w:val="clear" w:color="auto" w:fill="E3F1DA"/>
          </w:tcPr>
          <w:p>
            <w:pPr>
              <w:spacing w:after="0"/>
              <w:rPr>
                <w:sz w:val="17"/>
                <w:szCs w:val="17"/>
                <w:color w:val="auto"/>
              </w:rPr>
            </w:pPr>
          </w:p>
        </w:tc>
        <w:tc>
          <w:tcPr>
            <w:tcW w:w="1240" w:type="dxa"/>
            <w:vAlign w:val="bottom"/>
            <w:shd w:val="clear" w:color="auto" w:fill="E3F1DA"/>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1380" w:type="dxa"/>
            <w:vAlign w:val="bottom"/>
          </w:tcPr>
          <w:p>
            <w:pPr>
              <w:ind w:left="260"/>
              <w:spacing w:after="0" w:line="202" w:lineRule="exact"/>
              <w:rPr>
                <w:sz w:val="20"/>
                <w:szCs w:val="20"/>
                <w:color w:val="auto"/>
              </w:rPr>
            </w:pPr>
            <w:r>
              <w:rPr>
                <w:rFonts w:ascii="Arial" w:cs="Arial" w:eastAsia="Arial" w:hAnsi="Arial"/>
                <w:sz w:val="18"/>
                <w:szCs w:val="18"/>
                <w:color w:val="auto"/>
              </w:rPr>
              <w:t>forward</w:t>
            </w:r>
          </w:p>
        </w:tc>
        <w:tc>
          <w:tcPr>
            <w:tcW w:w="100" w:type="dxa"/>
            <w:vAlign w:val="bottom"/>
            <w:shd w:val="clear" w:color="auto" w:fill="E3F1DA"/>
          </w:tcPr>
          <w:p>
            <w:pPr>
              <w:spacing w:after="0"/>
              <w:rPr>
                <w:sz w:val="17"/>
                <w:szCs w:val="17"/>
                <w:color w:val="auto"/>
              </w:rPr>
            </w:pPr>
          </w:p>
        </w:tc>
        <w:tc>
          <w:tcPr>
            <w:tcW w:w="1240" w:type="dxa"/>
            <w:vAlign w:val="bottom"/>
            <w:shd w:val="clear" w:color="auto" w:fill="E3F1DA"/>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1380" w:type="dxa"/>
            <w:vAlign w:val="bottom"/>
          </w:tcPr>
          <w:p>
            <w:pPr>
              <w:ind w:left="260"/>
              <w:spacing w:after="0" w:line="203" w:lineRule="exact"/>
              <w:rPr>
                <w:sz w:val="20"/>
                <w:szCs w:val="20"/>
                <w:color w:val="auto"/>
              </w:rPr>
            </w:pPr>
            <w:r>
              <w:rPr>
                <w:rFonts w:ascii="Arial" w:cs="Arial" w:eastAsia="Arial" w:hAnsi="Arial"/>
                <w:sz w:val="18"/>
                <w:szCs w:val="18"/>
                <w:color w:val="auto"/>
              </w:rPr>
              <w:t>contracts</w:t>
            </w:r>
          </w:p>
        </w:tc>
        <w:tc>
          <w:tcPr>
            <w:tcW w:w="100" w:type="dxa"/>
            <w:vAlign w:val="bottom"/>
            <w:shd w:val="clear" w:color="auto" w:fill="E3F1DA"/>
          </w:tcPr>
          <w:p>
            <w:pPr>
              <w:jc w:val="right"/>
              <w:spacing w:after="0" w:line="203" w:lineRule="exact"/>
              <w:rPr>
                <w:sz w:val="20"/>
                <w:szCs w:val="20"/>
                <w:color w:val="auto"/>
              </w:rPr>
            </w:pPr>
            <w:r>
              <w:rPr>
                <w:rFonts w:ascii="Arial" w:cs="Arial" w:eastAsia="Arial" w:hAnsi="Arial"/>
                <w:sz w:val="18"/>
                <w:szCs w:val="18"/>
                <w:color w:val="86B6A5"/>
                <w:w w:val="79"/>
              </w:rPr>
              <w:t>$</w:t>
            </w:r>
          </w:p>
        </w:tc>
        <w:tc>
          <w:tcPr>
            <w:tcW w:w="1240" w:type="dxa"/>
            <w:vAlign w:val="bottom"/>
            <w:shd w:val="clear" w:color="auto" w:fill="E3F1DA"/>
          </w:tcPr>
          <w:p>
            <w:pPr>
              <w:jc w:val="right"/>
              <w:ind w:right="72"/>
              <w:spacing w:after="0" w:line="203" w:lineRule="exact"/>
              <w:rPr>
                <w:sz w:val="20"/>
                <w:szCs w:val="20"/>
                <w:color w:val="auto"/>
              </w:rPr>
            </w:pPr>
            <w:r>
              <w:rPr>
                <w:rFonts w:ascii="Arial" w:cs="Arial" w:eastAsia="Arial" w:hAnsi="Arial"/>
                <w:sz w:val="18"/>
                <w:szCs w:val="18"/>
                <w:color w:val="86B6A5"/>
              </w:rPr>
              <w:t>–</w:t>
            </w:r>
          </w:p>
        </w:tc>
        <w:tc>
          <w:tcPr>
            <w:tcW w:w="100" w:type="dxa"/>
            <w:vAlign w:val="bottom"/>
          </w:tcPr>
          <w:p>
            <w:pPr>
              <w:jc w:val="right"/>
              <w:spacing w:after="0" w:line="203" w:lineRule="exact"/>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24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96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20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1160" w:type="dxa"/>
            <w:vAlign w:val="bottom"/>
            <w:gridSpan w:val="2"/>
          </w:tcPr>
          <w:p>
            <w:pPr>
              <w:ind w:left="980"/>
              <w:spacing w:after="0" w:line="203" w:lineRule="exact"/>
              <w:rPr>
                <w:sz w:val="20"/>
                <w:szCs w:val="20"/>
                <w:color w:val="auto"/>
              </w:rPr>
            </w:pPr>
            <w:r>
              <w:rPr>
                <w:rFonts w:ascii="Arial" w:cs="Arial" w:eastAsia="Arial" w:hAnsi="Arial"/>
                <w:sz w:val="18"/>
                <w:szCs w:val="18"/>
                <w:color w:val="auto"/>
              </w:rPr>
              <w:t>–</w:t>
            </w:r>
          </w:p>
        </w:tc>
        <w:tc>
          <w:tcPr>
            <w:tcW w:w="18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w:t>
            </w:r>
          </w:p>
        </w:tc>
        <w:tc>
          <w:tcPr>
            <w:tcW w:w="1160" w:type="dxa"/>
            <w:vAlign w:val="bottom"/>
          </w:tcPr>
          <w:p>
            <w:pPr>
              <w:jc w:val="right"/>
              <w:spacing w:after="0" w:line="203" w:lineRule="exact"/>
              <w:rPr>
                <w:sz w:val="20"/>
                <w:szCs w:val="20"/>
                <w:color w:val="auto"/>
              </w:rPr>
            </w:pPr>
            <w:r>
              <w:rPr>
                <w:rFonts w:ascii="Arial" w:cs="Arial" w:eastAsia="Arial" w:hAnsi="Arial"/>
                <w:sz w:val="18"/>
                <w:szCs w:val="18"/>
                <w:color w:val="auto"/>
              </w:rPr>
              <w:t>0.5</w:t>
            </w:r>
          </w:p>
        </w:tc>
        <w:tc>
          <w:tcPr>
            <w:tcW w:w="18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92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22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980" w:type="dxa"/>
            <w:vAlign w:val="bottom"/>
          </w:tcPr>
          <w:p>
            <w:pPr>
              <w:jc w:val="right"/>
              <w:spacing w:after="0" w:line="203" w:lineRule="exact"/>
              <w:rPr>
                <w:sz w:val="20"/>
                <w:szCs w:val="20"/>
                <w:color w:val="auto"/>
              </w:rPr>
            </w:pPr>
            <w:r>
              <w:rPr>
                <w:rFonts w:ascii="Arial" w:cs="Arial" w:eastAsia="Arial" w:hAnsi="Arial"/>
                <w:sz w:val="18"/>
                <w:szCs w:val="18"/>
                <w:color w:val="auto"/>
              </w:rPr>
              <w:t>0.5</w:t>
            </w:r>
          </w:p>
        </w:tc>
        <w:tc>
          <w:tcPr>
            <w:tcW w:w="20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
              <w:spacing w:after="0" w:line="203"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1380" w:type="dxa"/>
            <w:vAlign w:val="bottom"/>
            <w:tcBorders>
              <w:top w:val="single" w:sz="8" w:color="939598"/>
              <w:bottom w:val="single" w:sz="8" w:color="939598"/>
            </w:tcBorders>
          </w:tcPr>
          <w:p>
            <w:pPr>
              <w:spacing w:after="0"/>
              <w:rPr>
                <w:sz w:val="17"/>
                <w:szCs w:val="17"/>
                <w:color w:val="auto"/>
              </w:rPr>
            </w:pPr>
          </w:p>
        </w:tc>
        <w:tc>
          <w:tcPr>
            <w:tcW w:w="100" w:type="dxa"/>
            <w:vAlign w:val="bottom"/>
            <w:tcBorders>
              <w:top w:val="single" w:sz="8" w:color="939598"/>
              <w:bottom w:val="single" w:sz="8" w:color="939598"/>
            </w:tcBorders>
            <w:shd w:val="clear" w:color="auto" w:fill="E3F1DA"/>
          </w:tcPr>
          <w:p>
            <w:pPr>
              <w:jc w:val="right"/>
              <w:spacing w:after="0" w:line="196" w:lineRule="exact"/>
              <w:rPr>
                <w:sz w:val="20"/>
                <w:szCs w:val="20"/>
                <w:color w:val="auto"/>
              </w:rPr>
            </w:pPr>
            <w:r>
              <w:rPr>
                <w:rFonts w:ascii="Arial" w:cs="Arial" w:eastAsia="Arial" w:hAnsi="Arial"/>
                <w:sz w:val="18"/>
                <w:szCs w:val="18"/>
                <w:color w:val="86B6A5"/>
                <w:w w:val="79"/>
              </w:rPr>
              <w:t>$</w:t>
            </w:r>
          </w:p>
        </w:tc>
        <w:tc>
          <w:tcPr>
            <w:tcW w:w="1240" w:type="dxa"/>
            <w:vAlign w:val="bottom"/>
            <w:tcBorders>
              <w:top w:val="single" w:sz="8" w:color="939598"/>
              <w:bottom w:val="single" w:sz="8" w:color="939598"/>
            </w:tcBorders>
            <w:shd w:val="clear" w:color="auto" w:fill="E3F1DA"/>
          </w:tcPr>
          <w:p>
            <w:pPr>
              <w:jc w:val="right"/>
              <w:ind w:right="72"/>
              <w:spacing w:after="0" w:line="196" w:lineRule="exact"/>
              <w:rPr>
                <w:sz w:val="20"/>
                <w:szCs w:val="20"/>
                <w:color w:val="auto"/>
              </w:rPr>
            </w:pPr>
            <w:r>
              <w:rPr>
                <w:rFonts w:ascii="Arial" w:cs="Arial" w:eastAsia="Arial" w:hAnsi="Arial"/>
                <w:sz w:val="18"/>
                <w:szCs w:val="18"/>
                <w:color w:val="86B6A5"/>
              </w:rPr>
              <w:t>–</w:t>
            </w:r>
          </w:p>
        </w:tc>
        <w:tc>
          <w:tcPr>
            <w:tcW w:w="100" w:type="dxa"/>
            <w:vAlign w:val="bottom"/>
            <w:tcBorders>
              <w:top w:val="single" w:sz="8" w:color="939598"/>
              <w:bottom w:val="single" w:sz="8" w:color="939598"/>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tcBorders>
              <w:top w:val="single" w:sz="8" w:color="939598"/>
              <w:bottom w:val="single" w:sz="8" w:color="939598"/>
            </w:tcBorders>
            <w:gridSpan w:val="2"/>
          </w:tcPr>
          <w:p>
            <w:pPr>
              <w:jc w:val="right"/>
              <w:spacing w:after="0" w:line="196" w:lineRule="exact"/>
              <w:rPr>
                <w:sz w:val="20"/>
                <w:szCs w:val="20"/>
                <w:color w:val="auto"/>
              </w:rPr>
            </w:pPr>
            <w:r>
              <w:rPr>
                <w:rFonts w:ascii="Arial" w:cs="Arial" w:eastAsia="Arial" w:hAnsi="Arial"/>
                <w:sz w:val="18"/>
                <w:szCs w:val="18"/>
                <w:color w:val="auto"/>
              </w:rPr>
              <w:t>–  $</w:t>
            </w:r>
          </w:p>
        </w:tc>
        <w:tc>
          <w:tcPr>
            <w:tcW w:w="1160" w:type="dxa"/>
            <w:vAlign w:val="bottom"/>
            <w:tcBorders>
              <w:top w:val="single" w:sz="8" w:color="939598"/>
              <w:bottom w:val="single" w:sz="8" w:color="939598"/>
            </w:tcBorders>
            <w:gridSpan w:val="2"/>
          </w:tcPr>
          <w:p>
            <w:pPr>
              <w:jc w:val="right"/>
              <w:spacing w:after="0" w:line="196" w:lineRule="exact"/>
              <w:rPr>
                <w:sz w:val="20"/>
                <w:szCs w:val="20"/>
                <w:color w:val="auto"/>
              </w:rPr>
            </w:pPr>
            <w:r>
              <w:rPr>
                <w:rFonts w:ascii="Arial" w:cs="Arial" w:eastAsia="Arial" w:hAnsi="Arial"/>
                <w:sz w:val="18"/>
                <w:szCs w:val="18"/>
                <w:color w:val="auto"/>
              </w:rPr>
              <w:t>–  $</w:t>
            </w:r>
          </w:p>
        </w:tc>
        <w:tc>
          <w:tcPr>
            <w:tcW w:w="1340" w:type="dxa"/>
            <w:vAlign w:val="bottom"/>
            <w:tcBorders>
              <w:top w:val="single" w:sz="8" w:color="939598"/>
              <w:bottom w:val="single" w:sz="8" w:color="939598"/>
            </w:tcBorders>
            <w:gridSpan w:val="4"/>
          </w:tcPr>
          <w:p>
            <w:pPr>
              <w:ind w:left="980"/>
              <w:spacing w:after="0" w:line="196" w:lineRule="exact"/>
              <w:rPr>
                <w:sz w:val="20"/>
                <w:szCs w:val="20"/>
                <w:color w:val="auto"/>
              </w:rPr>
            </w:pPr>
            <w:r>
              <w:rPr>
                <w:rFonts w:ascii="Arial" w:cs="Arial" w:eastAsia="Arial" w:hAnsi="Arial"/>
                <w:sz w:val="18"/>
                <w:szCs w:val="18"/>
                <w:color w:val="auto"/>
              </w:rPr>
              <w:t>–  $</w:t>
            </w:r>
          </w:p>
        </w:tc>
        <w:tc>
          <w:tcPr>
            <w:tcW w:w="1160" w:type="dxa"/>
            <w:vAlign w:val="bottom"/>
            <w:tcBorders>
              <w:top w:val="single" w:sz="8" w:color="939598"/>
              <w:bottom w:val="single" w:sz="8" w:color="939598"/>
            </w:tcBorders>
          </w:tcPr>
          <w:p>
            <w:pPr>
              <w:jc w:val="right"/>
              <w:spacing w:after="0" w:line="196" w:lineRule="exact"/>
              <w:rPr>
                <w:sz w:val="20"/>
                <w:szCs w:val="20"/>
                <w:color w:val="auto"/>
              </w:rPr>
            </w:pPr>
            <w:r>
              <w:rPr>
                <w:rFonts w:ascii="Arial" w:cs="Arial" w:eastAsia="Arial" w:hAnsi="Arial"/>
                <w:sz w:val="18"/>
                <w:szCs w:val="18"/>
                <w:color w:val="auto"/>
              </w:rPr>
              <w:t>0.5</w:t>
            </w:r>
          </w:p>
        </w:tc>
        <w:tc>
          <w:tcPr>
            <w:tcW w:w="180" w:type="dxa"/>
            <w:vAlign w:val="bottom"/>
            <w:tcBorders>
              <w:top w:val="single" w:sz="8" w:color="939598"/>
              <w:bottom w:val="single" w:sz="8" w:color="939598"/>
            </w:tcBorders>
          </w:tcPr>
          <w:p>
            <w:pPr>
              <w:jc w:val="right"/>
              <w:spacing w:after="0" w:line="196" w:lineRule="exact"/>
              <w:rPr>
                <w:sz w:val="20"/>
                <w:szCs w:val="20"/>
                <w:color w:val="auto"/>
              </w:rPr>
            </w:pPr>
            <w:r>
              <w:rPr>
                <w:rFonts w:ascii="Arial" w:cs="Arial" w:eastAsia="Arial" w:hAnsi="Arial"/>
                <w:sz w:val="18"/>
                <w:szCs w:val="18"/>
                <w:color w:val="auto"/>
              </w:rPr>
              <w:t>$</w:t>
            </w:r>
          </w:p>
        </w:tc>
        <w:tc>
          <w:tcPr>
            <w:tcW w:w="1140" w:type="dxa"/>
            <w:vAlign w:val="bottom"/>
            <w:tcBorders>
              <w:top w:val="single" w:sz="8" w:color="939598"/>
              <w:bottom w:val="single" w:sz="8" w:color="939598"/>
            </w:tcBorders>
            <w:gridSpan w:val="2"/>
          </w:tcPr>
          <w:p>
            <w:pPr>
              <w:jc w:val="right"/>
              <w:spacing w:after="0" w:line="196" w:lineRule="exact"/>
              <w:rPr>
                <w:sz w:val="20"/>
                <w:szCs w:val="20"/>
                <w:color w:val="auto"/>
              </w:rPr>
            </w:pPr>
            <w:r>
              <w:rPr>
                <w:rFonts w:ascii="Arial" w:cs="Arial" w:eastAsia="Arial" w:hAnsi="Arial"/>
                <w:sz w:val="18"/>
                <w:szCs w:val="18"/>
                <w:color w:val="auto"/>
              </w:rPr>
              <w:t>–  $</w:t>
            </w:r>
          </w:p>
        </w:tc>
        <w:tc>
          <w:tcPr>
            <w:tcW w:w="980" w:type="dxa"/>
            <w:vAlign w:val="bottom"/>
            <w:tcBorders>
              <w:top w:val="single" w:sz="8" w:color="939598"/>
              <w:bottom w:val="single" w:sz="8" w:color="939598"/>
            </w:tcBorders>
          </w:tcPr>
          <w:p>
            <w:pPr>
              <w:jc w:val="right"/>
              <w:spacing w:after="0" w:line="196" w:lineRule="exact"/>
              <w:rPr>
                <w:sz w:val="20"/>
                <w:szCs w:val="20"/>
                <w:color w:val="auto"/>
              </w:rPr>
            </w:pPr>
            <w:r>
              <w:rPr>
                <w:rFonts w:ascii="Arial" w:cs="Arial" w:eastAsia="Arial" w:hAnsi="Arial"/>
                <w:sz w:val="18"/>
                <w:szCs w:val="18"/>
                <w:color w:val="auto"/>
              </w:rPr>
              <w:t>0.5</w:t>
            </w:r>
          </w:p>
        </w:tc>
        <w:tc>
          <w:tcPr>
            <w:tcW w:w="200" w:type="dxa"/>
            <w:vAlign w:val="bottom"/>
            <w:tcBorders>
              <w:top w:val="single" w:sz="8" w:color="939598"/>
              <w:bottom w:val="single" w:sz="8" w:color="939598"/>
            </w:tcBorders>
          </w:tcPr>
          <w:p>
            <w:pPr>
              <w:jc w:val="right"/>
              <w:spacing w:after="0" w:line="196" w:lineRule="exact"/>
              <w:rPr>
                <w:sz w:val="20"/>
                <w:szCs w:val="20"/>
                <w:color w:val="auto"/>
              </w:rPr>
            </w:pPr>
            <w:r>
              <w:rPr>
                <w:rFonts w:ascii="Arial" w:cs="Arial" w:eastAsia="Arial" w:hAnsi="Arial"/>
                <w:sz w:val="18"/>
                <w:szCs w:val="18"/>
                <w:color w:val="auto"/>
              </w:rPr>
              <w:t>$</w:t>
            </w:r>
          </w:p>
        </w:tc>
        <w:tc>
          <w:tcPr>
            <w:tcW w:w="1080" w:type="dxa"/>
            <w:vAlign w:val="bottom"/>
            <w:tcBorders>
              <w:top w:val="single" w:sz="8" w:color="939598"/>
              <w:bottom w:val="single" w:sz="8" w:color="939598"/>
            </w:tcBorders>
          </w:tcPr>
          <w:p>
            <w:pPr>
              <w:jc w:val="right"/>
              <w:spacing w:after="0" w:line="196"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r>
    </w:tbl>
    <w:p>
      <w:pPr>
        <w:spacing w:after="0" w:line="215" w:lineRule="exact"/>
        <w:rPr>
          <w:sz w:val="20"/>
          <w:szCs w:val="20"/>
          <w:color w:val="auto"/>
        </w:rPr>
      </w:pPr>
    </w:p>
    <w:p>
      <w:pPr>
        <w:jc w:val="both"/>
        <w:ind w:right="80"/>
        <w:spacing w:after="0"/>
        <w:rPr>
          <w:sz w:val="20"/>
          <w:szCs w:val="20"/>
          <w:color w:val="auto"/>
        </w:rPr>
      </w:pPr>
      <w:r>
        <w:rPr>
          <w:rFonts w:ascii="Arial" w:cs="Arial" w:eastAsia="Arial" w:hAnsi="Arial"/>
          <w:sz w:val="18"/>
          <w:szCs w:val="18"/>
          <w:color w:val="auto"/>
        </w:rPr>
        <w:t>We determine the fair value of our available-for-sale securities and deferred compensation plan assets, comprised of publicly traded securities, by using market quotes as of the last day of the period. The fair value of the interest rate swaps and foreign currency forward contracts are measured at the value from either directly or indirectly observable third parties.</w:t>
      </w:r>
    </w:p>
    <w:p>
      <w:pPr>
        <w:spacing w:after="0" w:line="203" w:lineRule="exact"/>
        <w:rPr>
          <w:sz w:val="20"/>
          <w:szCs w:val="20"/>
          <w:color w:val="auto"/>
        </w:rPr>
      </w:pPr>
    </w:p>
    <w:p>
      <w:pPr>
        <w:jc w:val="both"/>
        <w:ind w:right="80"/>
        <w:spacing w:after="0" w:line="239" w:lineRule="auto"/>
        <w:rPr>
          <w:sz w:val="20"/>
          <w:szCs w:val="20"/>
          <w:color w:val="auto"/>
        </w:rPr>
      </w:pPr>
      <w:r>
        <w:rPr>
          <w:rFonts w:ascii="Arial" w:cs="Arial" w:eastAsia="Arial" w:hAnsi="Arial"/>
          <w:sz w:val="18"/>
          <w:szCs w:val="18"/>
          <w:color w:val="auto"/>
        </w:rPr>
        <w:t>The carrying values of Cash and Cash Equivalents, Accounts Receivable, Accounts Payable, and other current assets and liabilities approximate their fair values because of the short-term nature of these instruments. The carrying value of Long-Term Debt approximates fair value, except for the Euro-denominated notes. The fair value of the Euro-denominated notes, as determined by the quoted market prices, was $686.3 and $717.7 as of December 31, 2010 and 2009, respectively, compared to a carrying value of $668.3 and $714.6, respectively.</w:t>
      </w:r>
    </w:p>
    <w:p>
      <w:pPr>
        <w:spacing w:after="0" w:line="202" w:lineRule="exact"/>
        <w:rPr>
          <w:sz w:val="20"/>
          <w:szCs w:val="20"/>
          <w:color w:val="auto"/>
        </w:rPr>
      </w:pPr>
    </w:p>
    <w:p>
      <w:pPr>
        <w:jc w:val="both"/>
        <w:ind w:right="80"/>
        <w:spacing w:after="0" w:line="246" w:lineRule="auto"/>
        <w:rPr>
          <w:sz w:val="20"/>
          <w:szCs w:val="20"/>
          <w:color w:val="auto"/>
        </w:rPr>
      </w:pPr>
      <w:r>
        <w:rPr>
          <w:rFonts w:ascii="Arial" w:cs="Arial" w:eastAsia="Arial" w:hAnsi="Arial"/>
          <w:sz w:val="18"/>
          <w:szCs w:val="18"/>
          <w:color w:val="auto"/>
        </w:rPr>
        <w:t>We also measure certain non-financial assets on a non-recurring basis, including Goodwill and tradenames, for which we recognized impairment charges in 2010 and 2009 that are summarized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80" w:type="dxa"/>
            <w:vAlign w:val="bottom"/>
            <w:gridSpan w:val="6"/>
          </w:tcPr>
          <w:p>
            <w:pPr>
              <w:jc w:val="right"/>
              <w:ind w:right="70"/>
              <w:spacing w:after="0"/>
              <w:rPr>
                <w:sz w:val="20"/>
                <w:szCs w:val="20"/>
                <w:color w:val="auto"/>
              </w:rPr>
            </w:pPr>
            <w:r>
              <w:rPr>
                <w:rFonts w:ascii="Arial" w:cs="Arial" w:eastAsia="Arial" w:hAnsi="Arial"/>
                <w:sz w:val="16"/>
                <w:szCs w:val="16"/>
                <w:b w:val="1"/>
                <w:bCs w:val="1"/>
                <w:color w:val="86B6A5"/>
              </w:rPr>
              <w:t>Fair Value Measurements Using</w:t>
            </w: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60" w:type="dxa"/>
            <w:vAlign w:val="bottom"/>
            <w:gridSpan w:val="8"/>
          </w:tcPr>
          <w:p>
            <w:pPr>
              <w:jc w:val="right"/>
              <w:spacing w:after="0"/>
              <w:rPr>
                <w:sz w:val="20"/>
                <w:szCs w:val="20"/>
                <w:color w:val="auto"/>
              </w:rPr>
            </w:pPr>
            <w:r>
              <w:rPr>
                <w:rFonts w:ascii="Arial" w:cs="Arial" w:eastAsia="Arial" w:hAnsi="Arial"/>
                <w:sz w:val="16"/>
                <w:szCs w:val="16"/>
                <w:b w:val="1"/>
                <w:bCs w:val="1"/>
                <w:color w:val="86B6A5"/>
              </w:rPr>
              <w:t>Fair Value Measurements Using</w:t>
            </w:r>
          </w:p>
        </w:tc>
        <w:tc>
          <w:tcPr>
            <w:tcW w:w="0" w:type="dxa"/>
            <w:vAlign w:val="bottom"/>
          </w:tcPr>
          <w:p>
            <w:pPr>
              <w:spacing w:after="0"/>
              <w:rPr>
                <w:sz w:val="1"/>
                <w:szCs w:val="1"/>
                <w:color w:val="auto"/>
              </w:rPr>
            </w:pPr>
          </w:p>
        </w:tc>
      </w:tr>
      <w:tr>
        <w:trPr>
          <w:trHeight w:val="184"/>
        </w:trPr>
        <w:tc>
          <w:tcPr>
            <w:tcW w:w="1000" w:type="dxa"/>
            <w:vAlign w:val="bottom"/>
            <w:tcBorders>
              <w:top w:val="single" w:sz="8" w:color="86B6A5"/>
            </w:tcBorders>
          </w:tcPr>
          <w:p>
            <w:pPr>
              <w:spacing w:after="0"/>
              <w:rPr>
                <w:sz w:val="16"/>
                <w:szCs w:val="16"/>
                <w:color w:val="auto"/>
              </w:rPr>
            </w:pPr>
          </w:p>
        </w:tc>
        <w:tc>
          <w:tcPr>
            <w:tcW w:w="140" w:type="dxa"/>
            <w:vAlign w:val="bottom"/>
            <w:tcBorders>
              <w:top w:val="single" w:sz="8" w:color="86B6A5"/>
            </w:tcBorders>
          </w:tcPr>
          <w:p>
            <w:pPr>
              <w:spacing w:after="0"/>
              <w:rPr>
                <w:sz w:val="16"/>
                <w:szCs w:val="16"/>
                <w:color w:val="auto"/>
              </w:rPr>
            </w:pPr>
          </w:p>
        </w:tc>
        <w:tc>
          <w:tcPr>
            <w:tcW w:w="960" w:type="dxa"/>
            <w:vAlign w:val="bottom"/>
            <w:tcBorders>
              <w:top w:val="single" w:sz="8" w:color="86B6A5"/>
            </w:tcBorders>
          </w:tcPr>
          <w:p>
            <w:pPr>
              <w:spacing w:after="0"/>
              <w:rPr>
                <w:sz w:val="16"/>
                <w:szCs w:val="16"/>
                <w:color w:val="auto"/>
              </w:rPr>
            </w:pPr>
          </w:p>
        </w:tc>
        <w:tc>
          <w:tcPr>
            <w:tcW w:w="100" w:type="dxa"/>
            <w:vAlign w:val="bottom"/>
            <w:tcBorders>
              <w:top w:val="single" w:sz="8" w:color="86B6A5"/>
            </w:tcBorders>
          </w:tcPr>
          <w:p>
            <w:pPr>
              <w:spacing w:after="0"/>
              <w:rPr>
                <w:sz w:val="16"/>
                <w:szCs w:val="16"/>
                <w:color w:val="auto"/>
              </w:rPr>
            </w:pPr>
          </w:p>
        </w:tc>
        <w:tc>
          <w:tcPr>
            <w:tcW w:w="1040" w:type="dxa"/>
            <w:vAlign w:val="bottom"/>
            <w:tcBorders>
              <w:top w:val="single" w:sz="8" w:color="86B6A5"/>
            </w:tcBorders>
          </w:tcPr>
          <w:p>
            <w:pPr>
              <w:jc w:val="right"/>
              <w:ind w:right="77"/>
              <w:spacing w:after="0"/>
              <w:rPr>
                <w:sz w:val="20"/>
                <w:szCs w:val="20"/>
                <w:color w:val="auto"/>
              </w:rPr>
            </w:pPr>
            <w:r>
              <w:rPr>
                <w:rFonts w:ascii="Arial" w:cs="Arial" w:eastAsia="Arial" w:hAnsi="Arial"/>
                <w:sz w:val="16"/>
                <w:szCs w:val="16"/>
                <w:b w:val="1"/>
                <w:bCs w:val="1"/>
                <w:color w:val="86B6A5"/>
              </w:rPr>
              <w:t>Quoted</w:t>
            </w:r>
          </w:p>
        </w:tc>
        <w:tc>
          <w:tcPr>
            <w:tcW w:w="1100" w:type="dxa"/>
            <w:vAlign w:val="bottom"/>
            <w:tcBorders>
              <w:top w:val="single" w:sz="8" w:color="86B6A5"/>
            </w:tcBorders>
          </w:tcPr>
          <w:p>
            <w:pPr>
              <w:spacing w:after="0"/>
              <w:rPr>
                <w:sz w:val="16"/>
                <w:szCs w:val="16"/>
                <w:color w:val="auto"/>
              </w:rPr>
            </w:pPr>
          </w:p>
        </w:tc>
        <w:tc>
          <w:tcPr>
            <w:tcW w:w="1120" w:type="dxa"/>
            <w:vAlign w:val="bottom"/>
            <w:tcBorders>
              <w:top w:val="single" w:sz="8" w:color="86B6A5"/>
            </w:tcBorders>
          </w:tcPr>
          <w:p>
            <w:pPr>
              <w:spacing w:after="0"/>
              <w:rPr>
                <w:sz w:val="16"/>
                <w:szCs w:val="16"/>
                <w:color w:val="auto"/>
              </w:rPr>
            </w:pPr>
          </w:p>
        </w:tc>
        <w:tc>
          <w:tcPr>
            <w:tcW w:w="20" w:type="dxa"/>
            <w:vAlign w:val="bottom"/>
            <w:tcBorders>
              <w:top w:val="single" w:sz="8" w:color="86B6A5"/>
            </w:tcBorders>
          </w:tcPr>
          <w:p>
            <w:pPr>
              <w:spacing w:after="0"/>
              <w:rPr>
                <w:sz w:val="16"/>
                <w:szCs w:val="16"/>
                <w:color w:val="auto"/>
              </w:rPr>
            </w:pPr>
          </w:p>
        </w:tc>
        <w:tc>
          <w:tcPr>
            <w:tcW w:w="680" w:type="dxa"/>
            <w:vAlign w:val="bottom"/>
            <w:tcBorders>
              <w:top w:val="single" w:sz="8" w:color="86B6A5"/>
            </w:tcBorders>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Borders>
              <w:top w:val="single" w:sz="8" w:color="86B6A5"/>
            </w:tcBorders>
          </w:tcPr>
          <w:p>
            <w:pPr>
              <w:spacing w:after="0"/>
              <w:rPr>
                <w:sz w:val="16"/>
                <w:szCs w:val="16"/>
                <w:color w:val="auto"/>
              </w:rPr>
            </w:pPr>
          </w:p>
        </w:tc>
        <w:tc>
          <w:tcPr>
            <w:tcW w:w="1020" w:type="dxa"/>
            <w:vAlign w:val="bottom"/>
            <w:tcBorders>
              <w:top w:val="single" w:sz="8" w:color="86B6A5"/>
            </w:tcBorders>
          </w:tcPr>
          <w:p>
            <w:pPr>
              <w:spacing w:after="0"/>
              <w:rPr>
                <w:sz w:val="16"/>
                <w:szCs w:val="16"/>
                <w:color w:val="auto"/>
              </w:rPr>
            </w:pPr>
          </w:p>
        </w:tc>
        <w:tc>
          <w:tcPr>
            <w:tcW w:w="60" w:type="dxa"/>
            <w:vAlign w:val="bottom"/>
            <w:tcBorders>
              <w:top w:val="single" w:sz="8" w:color="86B6A5"/>
            </w:tcBorders>
          </w:tcPr>
          <w:p>
            <w:pPr>
              <w:spacing w:after="0"/>
              <w:rPr>
                <w:sz w:val="16"/>
                <w:szCs w:val="16"/>
                <w:color w:val="auto"/>
              </w:rPr>
            </w:pPr>
          </w:p>
        </w:tc>
        <w:tc>
          <w:tcPr>
            <w:tcW w:w="100" w:type="dxa"/>
            <w:vAlign w:val="bottom"/>
            <w:tcBorders>
              <w:top w:val="single" w:sz="8" w:color="86B6A5"/>
            </w:tcBorders>
          </w:tcPr>
          <w:p>
            <w:pPr>
              <w:spacing w:after="0"/>
              <w:rPr>
                <w:sz w:val="16"/>
                <w:szCs w:val="16"/>
                <w:color w:val="auto"/>
              </w:rPr>
            </w:pPr>
          </w:p>
        </w:tc>
        <w:tc>
          <w:tcPr>
            <w:tcW w:w="1040" w:type="dxa"/>
            <w:vAlign w:val="bottom"/>
            <w:tcBorders>
              <w:top w:val="single" w:sz="8" w:color="86B6A5"/>
            </w:tcBorders>
            <w:gridSpan w:val="3"/>
          </w:tcPr>
          <w:p>
            <w:pPr>
              <w:jc w:val="right"/>
              <w:ind w:right="160"/>
              <w:spacing w:after="0"/>
              <w:rPr>
                <w:sz w:val="20"/>
                <w:szCs w:val="20"/>
                <w:color w:val="auto"/>
              </w:rPr>
            </w:pPr>
            <w:r>
              <w:rPr>
                <w:rFonts w:ascii="Arial" w:cs="Arial" w:eastAsia="Arial" w:hAnsi="Arial"/>
                <w:sz w:val="16"/>
                <w:szCs w:val="16"/>
                <w:b w:val="1"/>
                <w:bCs w:val="1"/>
                <w:color w:val="86B6A5"/>
              </w:rPr>
              <w:t>Quoted</w:t>
            </w:r>
          </w:p>
        </w:tc>
        <w:tc>
          <w:tcPr>
            <w:tcW w:w="940" w:type="dxa"/>
            <w:vAlign w:val="bottom"/>
            <w:tcBorders>
              <w:top w:val="single" w:sz="8" w:color="86B6A5"/>
            </w:tcBorders>
          </w:tcPr>
          <w:p>
            <w:pPr>
              <w:spacing w:after="0"/>
              <w:rPr>
                <w:sz w:val="16"/>
                <w:szCs w:val="16"/>
                <w:color w:val="auto"/>
              </w:rPr>
            </w:pPr>
          </w:p>
        </w:tc>
        <w:tc>
          <w:tcPr>
            <w:tcW w:w="40" w:type="dxa"/>
            <w:vAlign w:val="bottom"/>
            <w:tcBorders>
              <w:top w:val="single" w:sz="8" w:color="86B6A5"/>
            </w:tcBorders>
          </w:tcPr>
          <w:p>
            <w:pPr>
              <w:spacing w:after="0"/>
              <w:rPr>
                <w:sz w:val="16"/>
                <w:szCs w:val="16"/>
                <w:color w:val="auto"/>
              </w:rPr>
            </w:pPr>
          </w:p>
        </w:tc>
        <w:tc>
          <w:tcPr>
            <w:tcW w:w="120" w:type="dxa"/>
            <w:vAlign w:val="bottom"/>
            <w:tcBorders>
              <w:top w:val="single" w:sz="8" w:color="86B6A5"/>
            </w:tcBorders>
          </w:tcPr>
          <w:p>
            <w:pPr>
              <w:spacing w:after="0"/>
              <w:rPr>
                <w:sz w:val="16"/>
                <w:szCs w:val="16"/>
                <w:color w:val="auto"/>
              </w:rPr>
            </w:pPr>
          </w:p>
        </w:tc>
        <w:tc>
          <w:tcPr>
            <w:tcW w:w="1080" w:type="dxa"/>
            <w:vAlign w:val="bottom"/>
            <w:tcBorders>
              <w:top w:val="single" w:sz="8" w:color="86B6A5"/>
            </w:tcBorders>
          </w:tcPr>
          <w:p>
            <w:pPr>
              <w:spacing w:after="0"/>
              <w:rPr>
                <w:sz w:val="16"/>
                <w:szCs w:val="16"/>
                <w:color w:val="auto"/>
              </w:rPr>
            </w:pPr>
          </w:p>
        </w:tc>
        <w:tc>
          <w:tcPr>
            <w:tcW w:w="60" w:type="dxa"/>
            <w:vAlign w:val="bottom"/>
            <w:tcBorders>
              <w:top w:val="single" w:sz="8" w:color="86B6A5"/>
            </w:tcBorders>
          </w:tcPr>
          <w:p>
            <w:pPr>
              <w:spacing w:after="0"/>
              <w:rPr>
                <w:sz w:val="16"/>
                <w:szCs w:val="16"/>
                <w:color w:val="auto"/>
              </w:rPr>
            </w:pPr>
          </w:p>
        </w:tc>
        <w:tc>
          <w:tcPr>
            <w:tcW w:w="100" w:type="dxa"/>
            <w:vAlign w:val="bottom"/>
            <w:tcBorders>
              <w:top w:val="single" w:sz="8" w:color="86B6A5"/>
            </w:tcBorders>
          </w:tcPr>
          <w:p>
            <w:pPr>
              <w:spacing w:after="0"/>
              <w:rPr>
                <w:sz w:val="16"/>
                <w:szCs w:val="16"/>
                <w:color w:val="auto"/>
              </w:rPr>
            </w:pPr>
          </w:p>
        </w:tc>
        <w:tc>
          <w:tcPr>
            <w:tcW w:w="560" w:type="dxa"/>
            <w:vAlign w:val="bottom"/>
            <w:tcBorders>
              <w:top w:val="single" w:sz="8" w:color="86B6A5"/>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ind w:right="77"/>
              <w:spacing w:after="0"/>
              <w:rPr>
                <w:sz w:val="20"/>
                <w:szCs w:val="20"/>
                <w:color w:val="auto"/>
              </w:rPr>
            </w:pPr>
            <w:r>
              <w:rPr>
                <w:rFonts w:ascii="Arial" w:cs="Arial" w:eastAsia="Arial" w:hAnsi="Arial"/>
                <w:sz w:val="16"/>
                <w:szCs w:val="16"/>
                <w:b w:val="1"/>
                <w:bCs w:val="1"/>
                <w:color w:val="86B6A5"/>
              </w:rPr>
              <w:t>Prices</w:t>
            </w:r>
          </w:p>
        </w:tc>
        <w:tc>
          <w:tcPr>
            <w:tcW w:w="1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3"/>
          </w:tcPr>
          <w:p>
            <w:pPr>
              <w:jc w:val="right"/>
              <w:ind w:right="160"/>
              <w:spacing w:after="0"/>
              <w:rPr>
                <w:sz w:val="20"/>
                <w:szCs w:val="20"/>
                <w:color w:val="auto"/>
              </w:rPr>
            </w:pPr>
            <w:r>
              <w:rPr>
                <w:rFonts w:ascii="Arial" w:cs="Arial" w:eastAsia="Arial" w:hAnsi="Arial"/>
                <w:sz w:val="16"/>
                <w:szCs w:val="16"/>
                <w:b w:val="1"/>
                <w:bCs w:val="1"/>
                <w:color w:val="86B6A5"/>
              </w:rPr>
              <w:t>Prices</w:t>
            </w:r>
          </w:p>
        </w:tc>
        <w:tc>
          <w:tcPr>
            <w:tcW w:w="9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ind w:right="77"/>
              <w:spacing w:after="0"/>
              <w:rPr>
                <w:sz w:val="20"/>
                <w:szCs w:val="20"/>
                <w:color w:val="auto"/>
              </w:rPr>
            </w:pPr>
            <w:r>
              <w:rPr>
                <w:rFonts w:ascii="Arial" w:cs="Arial" w:eastAsia="Arial" w:hAnsi="Arial"/>
                <w:sz w:val="16"/>
                <w:szCs w:val="16"/>
                <w:b w:val="1"/>
                <w:bCs w:val="1"/>
                <w:color w:val="86B6A5"/>
              </w:rPr>
              <w:t>in Active</w:t>
            </w:r>
          </w:p>
        </w:tc>
        <w:tc>
          <w:tcPr>
            <w:tcW w:w="1100" w:type="dxa"/>
            <w:vAlign w:val="bottom"/>
          </w:tcPr>
          <w:p>
            <w:pPr>
              <w:jc w:val="right"/>
              <w:ind w:right="77"/>
              <w:spacing w:after="0"/>
              <w:rPr>
                <w:sz w:val="20"/>
                <w:szCs w:val="20"/>
                <w:color w:val="auto"/>
              </w:rPr>
            </w:pPr>
            <w:r>
              <w:rPr>
                <w:rFonts w:ascii="Arial" w:cs="Arial" w:eastAsia="Arial" w:hAnsi="Arial"/>
                <w:sz w:val="16"/>
                <w:szCs w:val="16"/>
                <w:b w:val="1"/>
                <w:bCs w:val="1"/>
                <w:color w:val="86B6A5"/>
              </w:rPr>
              <w:t>Significant</w:t>
            </w: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3"/>
          </w:tcPr>
          <w:p>
            <w:pPr>
              <w:jc w:val="right"/>
              <w:ind w:right="160"/>
              <w:spacing w:after="0"/>
              <w:rPr>
                <w:sz w:val="20"/>
                <w:szCs w:val="20"/>
                <w:color w:val="auto"/>
              </w:rPr>
            </w:pPr>
            <w:r>
              <w:rPr>
                <w:rFonts w:ascii="Arial" w:cs="Arial" w:eastAsia="Arial" w:hAnsi="Arial"/>
                <w:sz w:val="16"/>
                <w:szCs w:val="16"/>
                <w:b w:val="1"/>
                <w:bCs w:val="1"/>
                <w:color w:val="86B6A5"/>
              </w:rPr>
              <w:t>in Active</w:t>
            </w:r>
          </w:p>
        </w:tc>
        <w:tc>
          <w:tcPr>
            <w:tcW w:w="1100" w:type="dxa"/>
            <w:vAlign w:val="bottom"/>
            <w:gridSpan w:val="3"/>
          </w:tcPr>
          <w:p>
            <w:pPr>
              <w:jc w:val="right"/>
              <w:ind w:right="160"/>
              <w:spacing w:after="0"/>
              <w:rPr>
                <w:sz w:val="20"/>
                <w:szCs w:val="20"/>
                <w:color w:val="auto"/>
              </w:rPr>
            </w:pPr>
            <w:r>
              <w:rPr>
                <w:rFonts w:ascii="Arial" w:cs="Arial" w:eastAsia="Arial" w:hAnsi="Arial"/>
                <w:sz w:val="16"/>
                <w:szCs w:val="16"/>
                <w:b w:val="1"/>
                <w:bCs w:val="1"/>
                <w:color w:val="86B6A5"/>
              </w:rPr>
              <w:t>Significant</w:t>
            </w:r>
          </w:p>
        </w:tc>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ind w:right="77"/>
              <w:spacing w:after="0"/>
              <w:rPr>
                <w:sz w:val="20"/>
                <w:szCs w:val="20"/>
                <w:color w:val="auto"/>
              </w:rPr>
            </w:pPr>
            <w:r>
              <w:rPr>
                <w:rFonts w:ascii="Arial" w:cs="Arial" w:eastAsia="Arial" w:hAnsi="Arial"/>
                <w:sz w:val="16"/>
                <w:szCs w:val="16"/>
                <w:b w:val="1"/>
                <w:bCs w:val="1"/>
                <w:color w:val="86B6A5"/>
                <w:w w:val="99"/>
              </w:rPr>
              <w:t>Markets for</w:t>
            </w:r>
          </w:p>
        </w:tc>
        <w:tc>
          <w:tcPr>
            <w:tcW w:w="1100" w:type="dxa"/>
            <w:vAlign w:val="bottom"/>
          </w:tcPr>
          <w:p>
            <w:pPr>
              <w:jc w:val="right"/>
              <w:ind w:right="77"/>
              <w:spacing w:after="0"/>
              <w:rPr>
                <w:sz w:val="20"/>
                <w:szCs w:val="20"/>
                <w:color w:val="auto"/>
              </w:rPr>
            </w:pPr>
            <w:r>
              <w:rPr>
                <w:rFonts w:ascii="Arial" w:cs="Arial" w:eastAsia="Arial" w:hAnsi="Arial"/>
                <w:sz w:val="16"/>
                <w:szCs w:val="16"/>
                <w:b w:val="1"/>
                <w:bCs w:val="1"/>
                <w:color w:val="86B6A5"/>
              </w:rPr>
              <w:t>Other</w:t>
            </w:r>
          </w:p>
        </w:tc>
        <w:tc>
          <w:tcPr>
            <w:tcW w:w="1120" w:type="dxa"/>
            <w:vAlign w:val="bottom"/>
          </w:tcPr>
          <w:p>
            <w:pPr>
              <w:jc w:val="right"/>
              <w:spacing w:after="0"/>
              <w:rPr>
                <w:sz w:val="20"/>
                <w:szCs w:val="20"/>
                <w:color w:val="auto"/>
              </w:rPr>
            </w:pPr>
            <w:r>
              <w:rPr>
                <w:rFonts w:ascii="Arial" w:cs="Arial" w:eastAsia="Arial" w:hAnsi="Arial"/>
                <w:sz w:val="16"/>
                <w:szCs w:val="16"/>
                <w:b w:val="1"/>
                <w:bCs w:val="1"/>
                <w:color w:val="86B6A5"/>
              </w:rPr>
              <w:t>Significant</w:t>
            </w: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3"/>
          </w:tcPr>
          <w:p>
            <w:pPr>
              <w:jc w:val="right"/>
              <w:ind w:right="160"/>
              <w:spacing w:after="0"/>
              <w:rPr>
                <w:sz w:val="20"/>
                <w:szCs w:val="20"/>
                <w:color w:val="auto"/>
              </w:rPr>
            </w:pPr>
            <w:r>
              <w:rPr>
                <w:rFonts w:ascii="Arial" w:cs="Arial" w:eastAsia="Arial" w:hAnsi="Arial"/>
                <w:sz w:val="16"/>
                <w:szCs w:val="16"/>
                <w:b w:val="1"/>
                <w:bCs w:val="1"/>
                <w:color w:val="86B6A5"/>
                <w:w w:val="99"/>
              </w:rPr>
              <w:t>Markets for</w:t>
            </w:r>
          </w:p>
        </w:tc>
        <w:tc>
          <w:tcPr>
            <w:tcW w:w="1100" w:type="dxa"/>
            <w:vAlign w:val="bottom"/>
            <w:gridSpan w:val="3"/>
          </w:tcPr>
          <w:p>
            <w:pPr>
              <w:jc w:val="right"/>
              <w:ind w:right="160"/>
              <w:spacing w:after="0"/>
              <w:rPr>
                <w:sz w:val="20"/>
                <w:szCs w:val="20"/>
                <w:color w:val="auto"/>
              </w:rPr>
            </w:pPr>
            <w:r>
              <w:rPr>
                <w:rFonts w:ascii="Arial" w:cs="Arial" w:eastAsia="Arial" w:hAnsi="Arial"/>
                <w:sz w:val="16"/>
                <w:szCs w:val="16"/>
                <w:b w:val="1"/>
                <w:bCs w:val="1"/>
                <w:color w:val="86B6A5"/>
              </w:rPr>
              <w:t>Other</w:t>
            </w:r>
          </w:p>
        </w:tc>
        <w:tc>
          <w:tcPr>
            <w:tcW w:w="1140" w:type="dxa"/>
            <w:vAlign w:val="bottom"/>
            <w:gridSpan w:val="2"/>
          </w:tcPr>
          <w:p>
            <w:pPr>
              <w:jc w:val="right"/>
              <w:ind w:right="60"/>
              <w:spacing w:after="0"/>
              <w:rPr>
                <w:sz w:val="20"/>
                <w:szCs w:val="20"/>
                <w:color w:val="auto"/>
              </w:rPr>
            </w:pPr>
            <w:r>
              <w:rPr>
                <w:rFonts w:ascii="Arial" w:cs="Arial" w:eastAsia="Arial" w:hAnsi="Arial"/>
                <w:sz w:val="16"/>
                <w:szCs w:val="16"/>
                <w:b w:val="1"/>
                <w:bCs w:val="1"/>
                <w:color w:val="86B6A5"/>
              </w:rPr>
              <w:t>Significant</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ind w:right="77"/>
              <w:spacing w:after="0"/>
              <w:rPr>
                <w:sz w:val="20"/>
                <w:szCs w:val="20"/>
                <w:color w:val="auto"/>
              </w:rPr>
            </w:pPr>
            <w:r>
              <w:rPr>
                <w:rFonts w:ascii="Arial" w:cs="Arial" w:eastAsia="Arial" w:hAnsi="Arial"/>
                <w:sz w:val="16"/>
                <w:szCs w:val="16"/>
                <w:b w:val="1"/>
                <w:bCs w:val="1"/>
                <w:color w:val="86B6A5"/>
              </w:rPr>
              <w:t>Identical</w:t>
            </w:r>
          </w:p>
        </w:tc>
        <w:tc>
          <w:tcPr>
            <w:tcW w:w="1100" w:type="dxa"/>
            <w:vAlign w:val="bottom"/>
          </w:tcPr>
          <w:p>
            <w:pPr>
              <w:jc w:val="right"/>
              <w:ind w:right="117"/>
              <w:spacing w:after="0"/>
              <w:rPr>
                <w:sz w:val="20"/>
                <w:szCs w:val="20"/>
                <w:color w:val="auto"/>
              </w:rPr>
            </w:pPr>
            <w:r>
              <w:rPr>
                <w:rFonts w:ascii="Arial" w:cs="Arial" w:eastAsia="Arial" w:hAnsi="Arial"/>
                <w:sz w:val="16"/>
                <w:szCs w:val="16"/>
                <w:b w:val="1"/>
                <w:bCs w:val="1"/>
                <w:color w:val="86B6A5"/>
              </w:rPr>
              <w:t>Observable</w:t>
            </w:r>
          </w:p>
        </w:tc>
        <w:tc>
          <w:tcPr>
            <w:tcW w:w="1120" w:type="dxa"/>
            <w:vAlign w:val="bottom"/>
          </w:tcPr>
          <w:p>
            <w:pPr>
              <w:jc w:val="right"/>
              <w:spacing w:after="0"/>
              <w:rPr>
                <w:sz w:val="20"/>
                <w:szCs w:val="20"/>
                <w:color w:val="auto"/>
              </w:rPr>
            </w:pPr>
            <w:r>
              <w:rPr>
                <w:rFonts w:ascii="Arial" w:cs="Arial" w:eastAsia="Arial" w:hAnsi="Arial"/>
                <w:sz w:val="16"/>
                <w:szCs w:val="16"/>
                <w:b w:val="1"/>
                <w:bCs w:val="1"/>
                <w:color w:val="86B6A5"/>
              </w:rPr>
              <w:t>Unobservable</w:t>
            </w: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3"/>
          </w:tcPr>
          <w:p>
            <w:pPr>
              <w:jc w:val="right"/>
              <w:ind w:right="160"/>
              <w:spacing w:after="0"/>
              <w:rPr>
                <w:sz w:val="20"/>
                <w:szCs w:val="20"/>
                <w:color w:val="auto"/>
              </w:rPr>
            </w:pPr>
            <w:r>
              <w:rPr>
                <w:rFonts w:ascii="Arial" w:cs="Arial" w:eastAsia="Arial" w:hAnsi="Arial"/>
                <w:sz w:val="16"/>
                <w:szCs w:val="16"/>
                <w:b w:val="1"/>
                <w:bCs w:val="1"/>
                <w:color w:val="86B6A5"/>
              </w:rPr>
              <w:t>Identical</w:t>
            </w:r>
          </w:p>
        </w:tc>
        <w:tc>
          <w:tcPr>
            <w:tcW w:w="1100" w:type="dxa"/>
            <w:vAlign w:val="bottom"/>
            <w:gridSpan w:val="3"/>
          </w:tcPr>
          <w:p>
            <w:pPr>
              <w:spacing w:after="0"/>
              <w:rPr>
                <w:sz w:val="20"/>
                <w:szCs w:val="20"/>
                <w:color w:val="auto"/>
              </w:rPr>
            </w:pPr>
            <w:r>
              <w:rPr>
                <w:rFonts w:ascii="Arial" w:cs="Arial" w:eastAsia="Arial" w:hAnsi="Arial"/>
                <w:sz w:val="16"/>
                <w:szCs w:val="16"/>
                <w:b w:val="1"/>
                <w:bCs w:val="1"/>
                <w:color w:val="86B6A5"/>
              </w:rPr>
              <w:t>Observable</w:t>
            </w:r>
          </w:p>
        </w:tc>
        <w:tc>
          <w:tcPr>
            <w:tcW w:w="1140" w:type="dxa"/>
            <w:vAlign w:val="bottom"/>
            <w:gridSpan w:val="2"/>
          </w:tcPr>
          <w:p>
            <w:pPr>
              <w:jc w:val="right"/>
              <w:ind w:right="60"/>
              <w:spacing w:after="0"/>
              <w:rPr>
                <w:sz w:val="20"/>
                <w:szCs w:val="20"/>
                <w:color w:val="auto"/>
              </w:rPr>
            </w:pPr>
            <w:r>
              <w:rPr>
                <w:rFonts w:ascii="Arial" w:cs="Arial" w:eastAsia="Arial" w:hAnsi="Arial"/>
                <w:sz w:val="16"/>
                <w:szCs w:val="16"/>
                <w:b w:val="1"/>
                <w:bCs w:val="1"/>
                <w:color w:val="86B6A5"/>
              </w:rPr>
              <w:t>Unobservable</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000" w:type="dxa"/>
            <w:vAlign w:val="bottom"/>
          </w:tcPr>
          <w:p>
            <w:pPr>
              <w:spacing w:after="0"/>
              <w:rPr>
                <w:sz w:val="18"/>
                <w:szCs w:val="18"/>
                <w:color w:val="auto"/>
              </w:rPr>
            </w:pPr>
          </w:p>
        </w:tc>
        <w:tc>
          <w:tcPr>
            <w:tcW w:w="1100" w:type="dxa"/>
            <w:vAlign w:val="bottom"/>
            <w:gridSpan w:val="2"/>
            <w:shd w:val="clear" w:color="auto" w:fill="86B6A5"/>
          </w:tcPr>
          <w:p>
            <w:pPr>
              <w:spacing w:after="0"/>
              <w:rPr>
                <w:sz w:val="20"/>
                <w:szCs w:val="20"/>
                <w:color w:val="auto"/>
              </w:rPr>
            </w:pPr>
            <w:r>
              <w:rPr>
                <w:rFonts w:ascii="Arial" w:cs="Arial" w:eastAsia="Arial" w:hAnsi="Arial"/>
                <w:sz w:val="16"/>
                <w:szCs w:val="16"/>
                <w:b w:val="1"/>
                <w:bCs w:val="1"/>
                <w:color w:val="FFFFFF"/>
              </w:rPr>
              <w:t>December 31,</w:t>
            </w:r>
          </w:p>
        </w:tc>
        <w:tc>
          <w:tcPr>
            <w:tcW w:w="100" w:type="dxa"/>
            <w:vAlign w:val="bottom"/>
          </w:tcPr>
          <w:p>
            <w:pPr>
              <w:spacing w:after="0"/>
              <w:rPr>
                <w:sz w:val="18"/>
                <w:szCs w:val="18"/>
                <w:color w:val="auto"/>
              </w:rPr>
            </w:pPr>
          </w:p>
        </w:tc>
        <w:tc>
          <w:tcPr>
            <w:tcW w:w="1040" w:type="dxa"/>
            <w:vAlign w:val="bottom"/>
          </w:tcPr>
          <w:p>
            <w:pPr>
              <w:jc w:val="right"/>
              <w:ind w:right="77"/>
              <w:spacing w:after="0"/>
              <w:rPr>
                <w:sz w:val="20"/>
                <w:szCs w:val="20"/>
                <w:color w:val="auto"/>
              </w:rPr>
            </w:pPr>
            <w:r>
              <w:rPr>
                <w:rFonts w:ascii="Arial" w:cs="Arial" w:eastAsia="Arial" w:hAnsi="Arial"/>
                <w:sz w:val="16"/>
                <w:szCs w:val="16"/>
                <w:b w:val="1"/>
                <w:bCs w:val="1"/>
                <w:color w:val="86B6A5"/>
              </w:rPr>
              <w:t>Assets</w:t>
            </w:r>
          </w:p>
        </w:tc>
        <w:tc>
          <w:tcPr>
            <w:tcW w:w="1100" w:type="dxa"/>
            <w:vAlign w:val="bottom"/>
          </w:tcPr>
          <w:p>
            <w:pPr>
              <w:jc w:val="right"/>
              <w:ind w:right="77"/>
              <w:spacing w:after="0"/>
              <w:rPr>
                <w:sz w:val="20"/>
                <w:szCs w:val="20"/>
                <w:color w:val="auto"/>
              </w:rPr>
            </w:pPr>
            <w:r>
              <w:rPr>
                <w:rFonts w:ascii="Arial" w:cs="Arial" w:eastAsia="Arial" w:hAnsi="Arial"/>
                <w:sz w:val="16"/>
                <w:szCs w:val="16"/>
                <w:b w:val="1"/>
                <w:bCs w:val="1"/>
                <w:color w:val="86B6A5"/>
              </w:rPr>
              <w:t>Inputs</w:t>
            </w:r>
          </w:p>
        </w:tc>
        <w:tc>
          <w:tcPr>
            <w:tcW w:w="1120" w:type="dxa"/>
            <w:vAlign w:val="bottom"/>
          </w:tcPr>
          <w:p>
            <w:pPr>
              <w:jc w:val="right"/>
              <w:spacing w:after="0"/>
              <w:rPr>
                <w:sz w:val="20"/>
                <w:szCs w:val="20"/>
                <w:color w:val="auto"/>
              </w:rPr>
            </w:pPr>
            <w:r>
              <w:rPr>
                <w:rFonts w:ascii="Arial" w:cs="Arial" w:eastAsia="Arial" w:hAnsi="Arial"/>
                <w:sz w:val="16"/>
                <w:szCs w:val="16"/>
                <w:b w:val="1"/>
                <w:bCs w:val="1"/>
                <w:color w:val="86B6A5"/>
              </w:rPr>
              <w:t>Inputs</w:t>
            </w:r>
          </w:p>
        </w:tc>
        <w:tc>
          <w:tcPr>
            <w:tcW w:w="20" w:type="dxa"/>
            <w:vAlign w:val="bottom"/>
          </w:tcPr>
          <w:p>
            <w:pPr>
              <w:spacing w:after="0"/>
              <w:rPr>
                <w:sz w:val="18"/>
                <w:szCs w:val="18"/>
                <w:color w:val="auto"/>
              </w:rPr>
            </w:pPr>
          </w:p>
        </w:tc>
        <w:tc>
          <w:tcPr>
            <w:tcW w:w="840" w:type="dxa"/>
            <w:vAlign w:val="bottom"/>
            <w:gridSpan w:val="3"/>
          </w:tcPr>
          <w:p>
            <w:pPr>
              <w:jc w:val="right"/>
              <w:ind w:right="70"/>
              <w:spacing w:after="0"/>
              <w:rPr>
                <w:sz w:val="20"/>
                <w:szCs w:val="20"/>
                <w:color w:val="auto"/>
              </w:rPr>
            </w:pPr>
            <w:r>
              <w:rPr>
                <w:rFonts w:ascii="Arial" w:cs="Arial" w:eastAsia="Arial" w:hAnsi="Arial"/>
                <w:sz w:val="16"/>
                <w:szCs w:val="16"/>
                <w:b w:val="1"/>
                <w:bCs w:val="1"/>
                <w:color w:val="86B6A5"/>
              </w:rPr>
              <w:t>Total</w:t>
            </w:r>
          </w:p>
        </w:tc>
        <w:tc>
          <w:tcPr>
            <w:tcW w:w="1080" w:type="dxa"/>
            <w:vAlign w:val="bottom"/>
            <w:gridSpan w:val="2"/>
          </w:tcPr>
          <w:p>
            <w:pPr>
              <w:jc w:val="right"/>
              <w:ind w:right="60"/>
              <w:spacing w:after="0"/>
              <w:rPr>
                <w:sz w:val="20"/>
                <w:szCs w:val="20"/>
                <w:color w:val="auto"/>
              </w:rPr>
            </w:pPr>
            <w:r>
              <w:rPr>
                <w:rFonts w:ascii="Arial" w:cs="Arial" w:eastAsia="Arial" w:hAnsi="Arial"/>
                <w:sz w:val="16"/>
                <w:szCs w:val="16"/>
                <w:b w:val="1"/>
                <w:bCs w:val="1"/>
                <w:color w:val="86B6A5"/>
              </w:rPr>
              <w:t>December31,</w:t>
            </w:r>
          </w:p>
        </w:tc>
        <w:tc>
          <w:tcPr>
            <w:tcW w:w="100" w:type="dxa"/>
            <w:vAlign w:val="bottom"/>
          </w:tcPr>
          <w:p>
            <w:pPr>
              <w:spacing w:after="0"/>
              <w:rPr>
                <w:sz w:val="18"/>
                <w:szCs w:val="18"/>
                <w:color w:val="auto"/>
              </w:rPr>
            </w:pPr>
          </w:p>
        </w:tc>
        <w:tc>
          <w:tcPr>
            <w:tcW w:w="1040" w:type="dxa"/>
            <w:vAlign w:val="bottom"/>
            <w:gridSpan w:val="3"/>
          </w:tcPr>
          <w:p>
            <w:pPr>
              <w:jc w:val="right"/>
              <w:ind w:right="160"/>
              <w:spacing w:after="0"/>
              <w:rPr>
                <w:sz w:val="20"/>
                <w:szCs w:val="20"/>
                <w:color w:val="auto"/>
              </w:rPr>
            </w:pPr>
            <w:r>
              <w:rPr>
                <w:rFonts w:ascii="Arial" w:cs="Arial" w:eastAsia="Arial" w:hAnsi="Arial"/>
                <w:sz w:val="16"/>
                <w:szCs w:val="16"/>
                <w:b w:val="1"/>
                <w:bCs w:val="1"/>
                <w:color w:val="86B6A5"/>
              </w:rPr>
              <w:t>Assets</w:t>
            </w:r>
          </w:p>
        </w:tc>
        <w:tc>
          <w:tcPr>
            <w:tcW w:w="1100" w:type="dxa"/>
            <w:vAlign w:val="bottom"/>
            <w:gridSpan w:val="3"/>
          </w:tcPr>
          <w:p>
            <w:pPr>
              <w:jc w:val="right"/>
              <w:ind w:right="160"/>
              <w:spacing w:after="0"/>
              <w:rPr>
                <w:sz w:val="20"/>
                <w:szCs w:val="20"/>
                <w:color w:val="auto"/>
              </w:rPr>
            </w:pPr>
            <w:r>
              <w:rPr>
                <w:rFonts w:ascii="Arial" w:cs="Arial" w:eastAsia="Arial" w:hAnsi="Arial"/>
                <w:sz w:val="16"/>
                <w:szCs w:val="16"/>
                <w:b w:val="1"/>
                <w:bCs w:val="1"/>
                <w:color w:val="86B6A5"/>
              </w:rPr>
              <w:t>Inputs</w:t>
            </w:r>
          </w:p>
        </w:tc>
        <w:tc>
          <w:tcPr>
            <w:tcW w:w="1140" w:type="dxa"/>
            <w:vAlign w:val="bottom"/>
            <w:gridSpan w:val="2"/>
          </w:tcPr>
          <w:p>
            <w:pPr>
              <w:jc w:val="right"/>
              <w:ind w:right="60"/>
              <w:spacing w:after="0"/>
              <w:rPr>
                <w:sz w:val="20"/>
                <w:szCs w:val="20"/>
                <w:color w:val="auto"/>
              </w:rPr>
            </w:pPr>
            <w:r>
              <w:rPr>
                <w:rFonts w:ascii="Arial" w:cs="Arial" w:eastAsia="Arial" w:hAnsi="Arial"/>
                <w:sz w:val="16"/>
                <w:szCs w:val="16"/>
                <w:b w:val="1"/>
                <w:bCs w:val="1"/>
                <w:color w:val="86B6A5"/>
              </w:rPr>
              <w:t>Inputs</w:t>
            </w: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6"/>
                <w:szCs w:val="16"/>
                <w:b w:val="1"/>
                <w:bCs w:val="1"/>
                <w:color w:val="86B6A5"/>
              </w:rPr>
              <w:t>Total</w:t>
            </w:r>
          </w:p>
        </w:tc>
        <w:tc>
          <w:tcPr>
            <w:tcW w:w="0" w:type="dxa"/>
            <w:vAlign w:val="bottom"/>
          </w:tcPr>
          <w:p>
            <w:pPr>
              <w:spacing w:after="0"/>
              <w:rPr>
                <w:sz w:val="1"/>
                <w:szCs w:val="1"/>
                <w:color w:val="auto"/>
              </w:rPr>
            </w:pPr>
          </w:p>
        </w:tc>
      </w:tr>
      <w:tr>
        <w:trPr>
          <w:trHeight w:val="203"/>
        </w:trPr>
        <w:tc>
          <w:tcPr>
            <w:tcW w:w="1000" w:type="dxa"/>
            <w:vAlign w:val="bottom"/>
          </w:tcPr>
          <w:p>
            <w:pPr>
              <w:spacing w:after="0"/>
              <w:rPr>
                <w:sz w:val="17"/>
                <w:szCs w:val="17"/>
                <w:color w:val="auto"/>
              </w:rPr>
            </w:pPr>
          </w:p>
        </w:tc>
        <w:tc>
          <w:tcPr>
            <w:tcW w:w="140" w:type="dxa"/>
            <w:vAlign w:val="bottom"/>
            <w:shd w:val="clear" w:color="auto" w:fill="86B6A5"/>
          </w:tcPr>
          <w:p>
            <w:pPr>
              <w:spacing w:after="0"/>
              <w:rPr>
                <w:sz w:val="17"/>
                <w:szCs w:val="17"/>
                <w:color w:val="auto"/>
              </w:rPr>
            </w:pPr>
          </w:p>
        </w:tc>
        <w:tc>
          <w:tcPr>
            <w:tcW w:w="960" w:type="dxa"/>
            <w:vAlign w:val="bottom"/>
            <w:shd w:val="clear" w:color="auto" w:fill="86B6A5"/>
          </w:tcPr>
          <w:p>
            <w:pPr>
              <w:jc w:val="right"/>
              <w:spacing w:after="0"/>
              <w:rPr>
                <w:sz w:val="20"/>
                <w:szCs w:val="20"/>
                <w:color w:val="auto"/>
              </w:rPr>
            </w:pPr>
            <w:r>
              <w:rPr>
                <w:rFonts w:ascii="Arial" w:cs="Arial" w:eastAsia="Arial" w:hAnsi="Arial"/>
                <w:sz w:val="16"/>
                <w:szCs w:val="16"/>
                <w:b w:val="1"/>
                <w:bCs w:val="1"/>
                <w:color w:val="FFFFFF"/>
              </w:rPr>
              <w:t>2010</w:t>
            </w:r>
          </w:p>
        </w:tc>
        <w:tc>
          <w:tcPr>
            <w:tcW w:w="100" w:type="dxa"/>
            <w:vAlign w:val="bottom"/>
          </w:tcPr>
          <w:p>
            <w:pPr>
              <w:spacing w:after="0"/>
              <w:rPr>
                <w:sz w:val="17"/>
                <w:szCs w:val="17"/>
                <w:color w:val="auto"/>
              </w:rPr>
            </w:pPr>
          </w:p>
        </w:tc>
        <w:tc>
          <w:tcPr>
            <w:tcW w:w="1040" w:type="dxa"/>
            <w:vAlign w:val="bottom"/>
          </w:tcPr>
          <w:p>
            <w:pPr>
              <w:jc w:val="right"/>
              <w:ind w:right="77"/>
              <w:spacing w:after="0"/>
              <w:rPr>
                <w:sz w:val="20"/>
                <w:szCs w:val="20"/>
                <w:color w:val="auto"/>
              </w:rPr>
            </w:pPr>
            <w:r>
              <w:rPr>
                <w:rFonts w:ascii="Arial" w:cs="Arial" w:eastAsia="Arial" w:hAnsi="Arial"/>
                <w:sz w:val="16"/>
                <w:szCs w:val="16"/>
                <w:b w:val="1"/>
                <w:bCs w:val="1"/>
                <w:color w:val="86B6A5"/>
              </w:rPr>
              <w:t>(Level 1)</w:t>
            </w:r>
          </w:p>
        </w:tc>
        <w:tc>
          <w:tcPr>
            <w:tcW w:w="1100" w:type="dxa"/>
            <w:vAlign w:val="bottom"/>
          </w:tcPr>
          <w:p>
            <w:pPr>
              <w:jc w:val="right"/>
              <w:ind w:right="77"/>
              <w:spacing w:after="0"/>
              <w:rPr>
                <w:sz w:val="20"/>
                <w:szCs w:val="20"/>
                <w:color w:val="auto"/>
              </w:rPr>
            </w:pPr>
            <w:r>
              <w:rPr>
                <w:rFonts w:ascii="Arial" w:cs="Arial" w:eastAsia="Arial" w:hAnsi="Arial"/>
                <w:sz w:val="16"/>
                <w:szCs w:val="16"/>
                <w:b w:val="1"/>
                <w:bCs w:val="1"/>
                <w:color w:val="86B6A5"/>
              </w:rPr>
              <w:t>(Level 2)</w:t>
            </w:r>
          </w:p>
        </w:tc>
        <w:tc>
          <w:tcPr>
            <w:tcW w:w="1120" w:type="dxa"/>
            <w:vAlign w:val="bottom"/>
          </w:tcPr>
          <w:p>
            <w:pPr>
              <w:jc w:val="right"/>
              <w:spacing w:after="0"/>
              <w:rPr>
                <w:sz w:val="20"/>
                <w:szCs w:val="20"/>
                <w:color w:val="auto"/>
              </w:rPr>
            </w:pPr>
            <w:r>
              <w:rPr>
                <w:rFonts w:ascii="Arial" w:cs="Arial" w:eastAsia="Arial" w:hAnsi="Arial"/>
                <w:sz w:val="16"/>
                <w:szCs w:val="16"/>
                <w:b w:val="1"/>
                <w:bCs w:val="1"/>
                <w:color w:val="86B6A5"/>
              </w:rPr>
              <w:t>(Level 3)</w:t>
            </w:r>
          </w:p>
        </w:tc>
        <w:tc>
          <w:tcPr>
            <w:tcW w:w="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b w:val="1"/>
                <w:bCs w:val="1"/>
                <w:color w:val="86B6A5"/>
              </w:rPr>
              <w:t>Losses</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6"/>
                <w:szCs w:val="16"/>
                <w:b w:val="1"/>
                <w:bCs w:val="1"/>
                <w:color w:val="86B6A5"/>
              </w:rPr>
              <w:t>2009</w:t>
            </w:r>
          </w:p>
        </w:tc>
        <w:tc>
          <w:tcPr>
            <w:tcW w:w="100" w:type="dxa"/>
            <w:vAlign w:val="bottom"/>
          </w:tcPr>
          <w:p>
            <w:pPr>
              <w:spacing w:after="0"/>
              <w:rPr>
                <w:sz w:val="17"/>
                <w:szCs w:val="17"/>
                <w:color w:val="auto"/>
              </w:rPr>
            </w:pPr>
          </w:p>
        </w:tc>
        <w:tc>
          <w:tcPr>
            <w:tcW w:w="1040" w:type="dxa"/>
            <w:vAlign w:val="bottom"/>
            <w:gridSpan w:val="3"/>
          </w:tcPr>
          <w:p>
            <w:pPr>
              <w:jc w:val="right"/>
              <w:ind w:right="160"/>
              <w:spacing w:after="0"/>
              <w:rPr>
                <w:sz w:val="20"/>
                <w:szCs w:val="20"/>
                <w:color w:val="auto"/>
              </w:rPr>
            </w:pPr>
            <w:r>
              <w:rPr>
                <w:rFonts w:ascii="Arial" w:cs="Arial" w:eastAsia="Arial" w:hAnsi="Arial"/>
                <w:sz w:val="16"/>
                <w:szCs w:val="16"/>
                <w:b w:val="1"/>
                <w:bCs w:val="1"/>
                <w:color w:val="86B6A5"/>
              </w:rPr>
              <w:t>(Level 1)</w:t>
            </w:r>
          </w:p>
        </w:tc>
        <w:tc>
          <w:tcPr>
            <w:tcW w:w="1100" w:type="dxa"/>
            <w:vAlign w:val="bottom"/>
            <w:gridSpan w:val="3"/>
          </w:tcPr>
          <w:p>
            <w:pPr>
              <w:jc w:val="right"/>
              <w:ind w:right="160"/>
              <w:spacing w:after="0"/>
              <w:rPr>
                <w:sz w:val="20"/>
                <w:szCs w:val="20"/>
                <w:color w:val="auto"/>
              </w:rPr>
            </w:pPr>
            <w:r>
              <w:rPr>
                <w:rFonts w:ascii="Arial" w:cs="Arial" w:eastAsia="Arial" w:hAnsi="Arial"/>
                <w:sz w:val="16"/>
                <w:szCs w:val="16"/>
                <w:b w:val="1"/>
                <w:bCs w:val="1"/>
                <w:color w:val="86B6A5"/>
              </w:rPr>
              <w:t>(Level 2)</w:t>
            </w:r>
          </w:p>
        </w:tc>
        <w:tc>
          <w:tcPr>
            <w:tcW w:w="1140" w:type="dxa"/>
            <w:vAlign w:val="bottom"/>
            <w:gridSpan w:val="2"/>
          </w:tcPr>
          <w:p>
            <w:pPr>
              <w:jc w:val="right"/>
              <w:ind w:right="60"/>
              <w:spacing w:after="0"/>
              <w:rPr>
                <w:sz w:val="20"/>
                <w:szCs w:val="20"/>
                <w:color w:val="auto"/>
              </w:rPr>
            </w:pPr>
            <w:r>
              <w:rPr>
                <w:rFonts w:ascii="Arial" w:cs="Arial" w:eastAsia="Arial" w:hAnsi="Arial"/>
                <w:sz w:val="16"/>
                <w:szCs w:val="16"/>
                <w:b w:val="1"/>
                <w:bCs w:val="1"/>
                <w:color w:val="86B6A5"/>
              </w:rPr>
              <w:t>(Level 3)</w:t>
            </w:r>
          </w:p>
        </w:tc>
        <w:tc>
          <w:tcPr>
            <w:tcW w:w="100" w:type="dxa"/>
            <w:vAlign w:val="bottom"/>
          </w:tcPr>
          <w:p>
            <w:pPr>
              <w:spacing w:after="0"/>
              <w:rPr>
                <w:sz w:val="17"/>
                <w:szCs w:val="17"/>
                <w:color w:val="auto"/>
              </w:rPr>
            </w:pPr>
          </w:p>
        </w:tc>
        <w:tc>
          <w:tcPr>
            <w:tcW w:w="620" w:type="dxa"/>
            <w:vAlign w:val="bottom"/>
            <w:gridSpan w:val="2"/>
          </w:tcPr>
          <w:p>
            <w:pPr>
              <w:jc w:val="right"/>
              <w:spacing w:after="0"/>
              <w:rPr>
                <w:sz w:val="20"/>
                <w:szCs w:val="20"/>
                <w:color w:val="auto"/>
              </w:rPr>
            </w:pPr>
            <w:r>
              <w:rPr>
                <w:rFonts w:ascii="Arial" w:cs="Arial" w:eastAsia="Arial" w:hAnsi="Arial"/>
                <w:sz w:val="16"/>
                <w:szCs w:val="16"/>
                <w:b w:val="1"/>
                <w:bCs w:val="1"/>
                <w:color w:val="86B6A5"/>
                <w:w w:val="97"/>
              </w:rPr>
              <w:t>Losses</w:t>
            </w:r>
          </w:p>
        </w:tc>
        <w:tc>
          <w:tcPr>
            <w:tcW w:w="0" w:type="dxa"/>
            <w:vAlign w:val="bottom"/>
          </w:tcPr>
          <w:p>
            <w:pPr>
              <w:spacing w:after="0"/>
              <w:rPr>
                <w:sz w:val="1"/>
                <w:szCs w:val="1"/>
                <w:color w:val="auto"/>
              </w:rPr>
            </w:pPr>
          </w:p>
        </w:tc>
      </w:tr>
      <w:tr>
        <w:trPr>
          <w:trHeight w:val="27"/>
        </w:trPr>
        <w:tc>
          <w:tcPr>
            <w:tcW w:w="1000" w:type="dxa"/>
            <w:vAlign w:val="bottom"/>
            <w:shd w:val="clear" w:color="auto" w:fill="86B6A5"/>
          </w:tcPr>
          <w:p>
            <w:pPr>
              <w:spacing w:after="0"/>
              <w:rPr>
                <w:sz w:val="2"/>
                <w:szCs w:val="2"/>
                <w:color w:val="auto"/>
              </w:rPr>
            </w:pPr>
          </w:p>
        </w:tc>
        <w:tc>
          <w:tcPr>
            <w:tcW w:w="140" w:type="dxa"/>
            <w:vAlign w:val="bottom"/>
            <w:shd w:val="clear" w:color="auto" w:fill="86B6A5"/>
          </w:tcPr>
          <w:p>
            <w:pPr>
              <w:spacing w:after="0"/>
              <w:rPr>
                <w:sz w:val="2"/>
                <w:szCs w:val="2"/>
                <w:color w:val="auto"/>
              </w:rPr>
            </w:pPr>
          </w:p>
        </w:tc>
        <w:tc>
          <w:tcPr>
            <w:tcW w:w="960" w:type="dxa"/>
            <w:vAlign w:val="bottom"/>
            <w:shd w:val="clear" w:color="auto" w:fill="86B6A5"/>
          </w:tcPr>
          <w:p>
            <w:pPr>
              <w:spacing w:after="0"/>
              <w:rPr>
                <w:sz w:val="2"/>
                <w:szCs w:val="2"/>
                <w:color w:val="auto"/>
              </w:rPr>
            </w:pPr>
          </w:p>
        </w:tc>
        <w:tc>
          <w:tcPr>
            <w:tcW w:w="100" w:type="dxa"/>
            <w:vAlign w:val="bottom"/>
            <w:shd w:val="clear" w:color="auto" w:fill="86B6A5"/>
          </w:tcPr>
          <w:p>
            <w:pPr>
              <w:spacing w:after="0"/>
              <w:rPr>
                <w:sz w:val="2"/>
                <w:szCs w:val="2"/>
                <w:color w:val="auto"/>
              </w:rPr>
            </w:pPr>
          </w:p>
        </w:tc>
        <w:tc>
          <w:tcPr>
            <w:tcW w:w="1040" w:type="dxa"/>
            <w:vAlign w:val="bottom"/>
            <w:shd w:val="clear" w:color="auto" w:fill="86B6A5"/>
          </w:tcPr>
          <w:p>
            <w:pPr>
              <w:spacing w:after="0"/>
              <w:rPr>
                <w:sz w:val="2"/>
                <w:szCs w:val="2"/>
                <w:color w:val="auto"/>
              </w:rPr>
            </w:pPr>
          </w:p>
        </w:tc>
        <w:tc>
          <w:tcPr>
            <w:tcW w:w="1100" w:type="dxa"/>
            <w:vAlign w:val="bottom"/>
            <w:shd w:val="clear" w:color="auto" w:fill="86B6A5"/>
          </w:tcPr>
          <w:p>
            <w:pPr>
              <w:spacing w:after="0"/>
              <w:rPr>
                <w:sz w:val="2"/>
                <w:szCs w:val="2"/>
                <w:color w:val="auto"/>
              </w:rPr>
            </w:pPr>
          </w:p>
        </w:tc>
        <w:tc>
          <w:tcPr>
            <w:tcW w:w="1120" w:type="dxa"/>
            <w:vAlign w:val="bottom"/>
            <w:shd w:val="clear" w:color="auto" w:fill="86B6A5"/>
          </w:tcPr>
          <w:p>
            <w:pPr>
              <w:spacing w:after="0"/>
              <w:rPr>
                <w:sz w:val="2"/>
                <w:szCs w:val="2"/>
                <w:color w:val="auto"/>
              </w:rPr>
            </w:pPr>
          </w:p>
        </w:tc>
        <w:tc>
          <w:tcPr>
            <w:tcW w:w="700" w:type="dxa"/>
            <w:vAlign w:val="bottom"/>
            <w:gridSpan w:val="2"/>
            <w:shd w:val="clear" w:color="auto" w:fill="86B6A5"/>
          </w:tcPr>
          <w:p>
            <w:pPr>
              <w:spacing w:after="0"/>
              <w:rPr>
                <w:sz w:val="2"/>
                <w:szCs w:val="2"/>
                <w:color w:val="auto"/>
              </w:rPr>
            </w:pPr>
          </w:p>
        </w:tc>
        <w:tc>
          <w:tcPr>
            <w:tcW w:w="60" w:type="dxa"/>
            <w:vAlign w:val="bottom"/>
            <w:vMerge w:val="restart"/>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shd w:val="clear" w:color="auto" w:fill="86B6A5"/>
          </w:tcPr>
          <w:p>
            <w:pPr>
              <w:spacing w:after="0"/>
              <w:rPr>
                <w:sz w:val="2"/>
                <w:szCs w:val="2"/>
                <w:color w:val="auto"/>
              </w:rPr>
            </w:pPr>
          </w:p>
        </w:tc>
        <w:tc>
          <w:tcPr>
            <w:tcW w:w="1020" w:type="dxa"/>
            <w:vAlign w:val="bottom"/>
            <w:shd w:val="clear" w:color="auto" w:fill="86B6A5"/>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86B6A5"/>
          </w:tcPr>
          <w:p>
            <w:pPr>
              <w:spacing w:after="0"/>
              <w:rPr>
                <w:sz w:val="2"/>
                <w:szCs w:val="2"/>
                <w:color w:val="auto"/>
              </w:rPr>
            </w:pPr>
          </w:p>
        </w:tc>
        <w:tc>
          <w:tcPr>
            <w:tcW w:w="880" w:type="dxa"/>
            <w:vAlign w:val="bottom"/>
            <w:shd w:val="clear" w:color="auto" w:fill="86B6A5"/>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86B6A5"/>
          </w:tcPr>
          <w:p>
            <w:pPr>
              <w:spacing w:after="0"/>
              <w:rPr>
                <w:sz w:val="2"/>
                <w:szCs w:val="2"/>
                <w:color w:val="auto"/>
              </w:rPr>
            </w:pPr>
          </w:p>
        </w:tc>
        <w:tc>
          <w:tcPr>
            <w:tcW w:w="940" w:type="dxa"/>
            <w:vAlign w:val="bottom"/>
            <w:shd w:val="clear" w:color="auto" w:fill="86B6A5"/>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shd w:val="clear" w:color="auto" w:fill="86B6A5"/>
          </w:tcPr>
          <w:p>
            <w:pPr>
              <w:spacing w:after="0"/>
              <w:rPr>
                <w:sz w:val="2"/>
                <w:szCs w:val="2"/>
                <w:color w:val="auto"/>
              </w:rPr>
            </w:pPr>
          </w:p>
        </w:tc>
        <w:tc>
          <w:tcPr>
            <w:tcW w:w="1080" w:type="dxa"/>
            <w:vAlign w:val="bottom"/>
            <w:shd w:val="clear" w:color="auto" w:fill="86B6A5"/>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86B6A5"/>
          </w:tcPr>
          <w:p>
            <w:pPr>
              <w:spacing w:after="0"/>
              <w:rPr>
                <w:sz w:val="2"/>
                <w:szCs w:val="2"/>
                <w:color w:val="auto"/>
              </w:rPr>
            </w:pPr>
          </w:p>
        </w:tc>
        <w:tc>
          <w:tcPr>
            <w:tcW w:w="560" w:type="dxa"/>
            <w:vAlign w:val="bottom"/>
            <w:shd w:val="clear" w:color="auto" w:fill="86B6A5"/>
          </w:tcPr>
          <w:p>
            <w:pPr>
              <w:spacing w:after="0"/>
              <w:rPr>
                <w:sz w:val="2"/>
                <w:szCs w:val="2"/>
                <w:color w:val="auto"/>
              </w:rPr>
            </w:pPr>
          </w:p>
        </w:tc>
        <w:tc>
          <w:tcPr>
            <w:tcW w:w="60" w:type="dxa"/>
            <w:vAlign w:val="bottom"/>
            <w:vMerge w:val="restart"/>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203"/>
        </w:trPr>
        <w:tc>
          <w:tcPr>
            <w:tcW w:w="1000" w:type="dxa"/>
            <w:vAlign w:val="bottom"/>
          </w:tcPr>
          <w:p>
            <w:pPr>
              <w:spacing w:after="0" w:line="202" w:lineRule="exact"/>
              <w:rPr>
                <w:sz w:val="20"/>
                <w:szCs w:val="20"/>
                <w:color w:val="auto"/>
              </w:rPr>
            </w:pPr>
            <w:r>
              <w:rPr>
                <w:rFonts w:ascii="Arial" w:cs="Arial" w:eastAsia="Arial" w:hAnsi="Arial"/>
                <w:sz w:val="18"/>
                <w:szCs w:val="18"/>
                <w:color w:val="auto"/>
              </w:rPr>
              <w:t>Goodwill</w:t>
            </w:r>
          </w:p>
        </w:tc>
        <w:tc>
          <w:tcPr>
            <w:tcW w:w="140" w:type="dxa"/>
            <w:vAlign w:val="bottom"/>
            <w:shd w:val="clear" w:color="auto" w:fill="E3F1DA"/>
          </w:tcPr>
          <w:p>
            <w:pPr>
              <w:spacing w:after="0" w:line="202" w:lineRule="exact"/>
              <w:rPr>
                <w:sz w:val="20"/>
                <w:szCs w:val="20"/>
                <w:color w:val="auto"/>
              </w:rPr>
            </w:pPr>
            <w:r>
              <w:rPr>
                <w:rFonts w:ascii="Arial" w:cs="Arial" w:eastAsia="Arial" w:hAnsi="Arial"/>
                <w:sz w:val="18"/>
                <w:szCs w:val="18"/>
                <w:color w:val="86B6A5"/>
              </w:rPr>
              <w:t>$</w:t>
            </w:r>
          </w:p>
        </w:tc>
        <w:tc>
          <w:tcPr>
            <w:tcW w:w="960" w:type="dxa"/>
            <w:vAlign w:val="bottom"/>
            <w:shd w:val="clear" w:color="auto" w:fill="E3F1DA"/>
          </w:tcPr>
          <w:p>
            <w:pPr>
              <w:jc w:val="right"/>
              <w:spacing w:after="0" w:line="202" w:lineRule="exact"/>
              <w:rPr>
                <w:sz w:val="20"/>
                <w:szCs w:val="20"/>
                <w:color w:val="auto"/>
              </w:rPr>
            </w:pPr>
            <w:r>
              <w:rPr>
                <w:rFonts w:ascii="Arial" w:cs="Arial" w:eastAsia="Arial" w:hAnsi="Arial"/>
                <w:sz w:val="18"/>
                <w:szCs w:val="18"/>
                <w:color w:val="86B6A5"/>
              </w:rPr>
              <w:t>954.1</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tcPr>
          <w:p>
            <w:pPr>
              <w:ind w:left="780"/>
              <w:spacing w:after="0" w:line="202" w:lineRule="exact"/>
              <w:rPr>
                <w:sz w:val="20"/>
                <w:szCs w:val="20"/>
                <w:color w:val="auto"/>
              </w:rPr>
            </w:pPr>
            <w:r>
              <w:rPr>
                <w:rFonts w:ascii="Arial" w:cs="Arial" w:eastAsia="Arial" w:hAnsi="Arial"/>
                <w:sz w:val="18"/>
                <w:szCs w:val="18"/>
                <w:color w:val="auto"/>
                <w:w w:val="95"/>
              </w:rPr>
              <w:t>– $</w:t>
            </w:r>
          </w:p>
        </w:tc>
        <w:tc>
          <w:tcPr>
            <w:tcW w:w="1100" w:type="dxa"/>
            <w:vAlign w:val="bottom"/>
          </w:tcPr>
          <w:p>
            <w:pPr>
              <w:ind w:left="840"/>
              <w:spacing w:after="0" w:line="202" w:lineRule="exact"/>
              <w:rPr>
                <w:sz w:val="20"/>
                <w:szCs w:val="20"/>
                <w:color w:val="auto"/>
              </w:rPr>
            </w:pPr>
            <w:r>
              <w:rPr>
                <w:rFonts w:ascii="Arial" w:cs="Arial" w:eastAsia="Arial" w:hAnsi="Arial"/>
                <w:sz w:val="18"/>
                <w:szCs w:val="18"/>
                <w:color w:val="auto"/>
                <w:w w:val="95"/>
              </w:rPr>
              <w:t>– $</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954.1</w:t>
            </w:r>
          </w:p>
        </w:tc>
        <w:tc>
          <w:tcPr>
            <w:tcW w:w="7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 (311.6</w:t>
            </w:r>
          </w:p>
        </w:tc>
        <w:tc>
          <w:tcPr>
            <w:tcW w:w="60" w:type="dxa"/>
            <w:vAlign w:val="bottom"/>
            <w:vMerge w:val="continue"/>
          </w:tcPr>
          <w:p>
            <w:pPr>
              <w:spacing w:after="0"/>
              <w:rPr>
                <w:sz w:val="17"/>
                <w:szCs w:val="17"/>
                <w:color w:val="auto"/>
              </w:rPr>
            </w:pP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959.1</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gridSpan w:val="3"/>
          </w:tcPr>
          <w:p>
            <w:pPr>
              <w:ind w:left="780"/>
              <w:spacing w:after="0" w:line="202" w:lineRule="exact"/>
              <w:rPr>
                <w:sz w:val="20"/>
                <w:szCs w:val="20"/>
                <w:color w:val="auto"/>
              </w:rPr>
            </w:pPr>
            <w:r>
              <w:rPr>
                <w:rFonts w:ascii="Arial" w:cs="Arial" w:eastAsia="Arial" w:hAnsi="Arial"/>
                <w:sz w:val="18"/>
                <w:szCs w:val="18"/>
                <w:color w:val="auto"/>
                <w:w w:val="95"/>
              </w:rPr>
              <w:t>– $</w:t>
            </w:r>
          </w:p>
        </w:tc>
        <w:tc>
          <w:tcPr>
            <w:tcW w:w="1100" w:type="dxa"/>
            <w:vAlign w:val="bottom"/>
            <w:gridSpan w:val="3"/>
          </w:tcPr>
          <w:p>
            <w:pPr>
              <w:ind w:left="840"/>
              <w:spacing w:after="0" w:line="202" w:lineRule="exact"/>
              <w:rPr>
                <w:sz w:val="20"/>
                <w:szCs w:val="20"/>
                <w:color w:val="auto"/>
              </w:rPr>
            </w:pPr>
            <w:r>
              <w:rPr>
                <w:rFonts w:ascii="Arial" w:cs="Arial" w:eastAsia="Arial" w:hAnsi="Arial"/>
                <w:sz w:val="18"/>
                <w:szCs w:val="18"/>
                <w:color w:val="auto"/>
                <w:w w:val="95"/>
              </w:rPr>
              <w:t>– $</w:t>
            </w: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959.1</w:t>
            </w:r>
          </w:p>
        </w:tc>
        <w:tc>
          <w:tcPr>
            <w:tcW w:w="6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(61.0</w:t>
            </w:r>
          </w:p>
        </w:tc>
        <w:tc>
          <w:tcPr>
            <w:tcW w:w="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00" w:type="dxa"/>
            <w:vAlign w:val="bottom"/>
          </w:tcPr>
          <w:p>
            <w:pPr>
              <w:spacing w:after="0" w:line="202" w:lineRule="exact"/>
              <w:rPr>
                <w:sz w:val="20"/>
                <w:szCs w:val="20"/>
                <w:color w:val="auto"/>
              </w:rPr>
            </w:pPr>
            <w:r>
              <w:rPr>
                <w:rFonts w:ascii="Arial" w:cs="Arial" w:eastAsia="Arial" w:hAnsi="Arial"/>
                <w:sz w:val="18"/>
                <w:szCs w:val="18"/>
                <w:color w:val="auto"/>
                <w:w w:val="96"/>
              </w:rPr>
              <w:t>Tradenames</w:t>
            </w:r>
          </w:p>
        </w:tc>
        <w:tc>
          <w:tcPr>
            <w:tcW w:w="140" w:type="dxa"/>
            <w:vAlign w:val="bottom"/>
            <w:shd w:val="clear" w:color="auto" w:fill="E3F1DA"/>
          </w:tcPr>
          <w:p>
            <w:pPr>
              <w:spacing w:after="0"/>
              <w:rPr>
                <w:sz w:val="17"/>
                <w:szCs w:val="17"/>
                <w:color w:val="auto"/>
              </w:rPr>
            </w:pPr>
          </w:p>
        </w:tc>
        <w:tc>
          <w:tcPr>
            <w:tcW w:w="960" w:type="dxa"/>
            <w:vAlign w:val="bottom"/>
            <w:shd w:val="clear" w:color="auto" w:fill="E3F1DA"/>
          </w:tcPr>
          <w:p>
            <w:pPr>
              <w:jc w:val="right"/>
              <w:spacing w:after="0" w:line="202" w:lineRule="exact"/>
              <w:rPr>
                <w:sz w:val="20"/>
                <w:szCs w:val="20"/>
                <w:color w:val="auto"/>
              </w:rPr>
            </w:pPr>
            <w:r>
              <w:rPr>
                <w:rFonts w:ascii="Arial" w:cs="Arial" w:eastAsia="Arial" w:hAnsi="Arial"/>
                <w:sz w:val="18"/>
                <w:szCs w:val="18"/>
                <w:color w:val="86B6A5"/>
              </w:rPr>
              <w:t>55.3</w:t>
            </w:r>
          </w:p>
        </w:tc>
        <w:tc>
          <w:tcPr>
            <w:tcW w:w="100" w:type="dxa"/>
            <w:vAlign w:val="bottom"/>
          </w:tcPr>
          <w:p>
            <w:pPr>
              <w:spacing w:after="0"/>
              <w:rPr>
                <w:sz w:val="17"/>
                <w:szCs w:val="17"/>
                <w:color w:val="auto"/>
              </w:rPr>
            </w:pPr>
          </w:p>
        </w:tc>
        <w:tc>
          <w:tcPr>
            <w:tcW w:w="1040" w:type="dxa"/>
            <w:vAlign w:val="bottom"/>
          </w:tcPr>
          <w:p>
            <w:pPr>
              <w:ind w:left="780"/>
              <w:spacing w:after="0" w:line="202" w:lineRule="exact"/>
              <w:rPr>
                <w:sz w:val="20"/>
                <w:szCs w:val="20"/>
                <w:color w:val="auto"/>
              </w:rPr>
            </w:pPr>
            <w:r>
              <w:rPr>
                <w:rFonts w:ascii="Arial" w:cs="Arial" w:eastAsia="Arial" w:hAnsi="Arial"/>
                <w:sz w:val="18"/>
                <w:szCs w:val="18"/>
                <w:color w:val="auto"/>
              </w:rPr>
              <w:t>–</w:t>
            </w:r>
          </w:p>
        </w:tc>
        <w:tc>
          <w:tcPr>
            <w:tcW w:w="1100" w:type="dxa"/>
            <w:vAlign w:val="bottom"/>
          </w:tcPr>
          <w:p>
            <w:pPr>
              <w:ind w:left="840"/>
              <w:spacing w:after="0" w:line="202" w:lineRule="exact"/>
              <w:rPr>
                <w:sz w:val="20"/>
                <w:szCs w:val="20"/>
                <w:color w:val="auto"/>
              </w:rPr>
            </w:pPr>
            <w:r>
              <w:rPr>
                <w:rFonts w:ascii="Arial" w:cs="Arial" w:eastAsia="Arial" w:hAnsi="Arial"/>
                <w:sz w:val="18"/>
                <w:szCs w:val="18"/>
                <w:color w:val="auto"/>
              </w:rPr>
              <w:t>–</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55.3</w:t>
            </w:r>
          </w:p>
        </w:tc>
        <w:tc>
          <w:tcPr>
            <w:tcW w:w="76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(117.2)</w:t>
            </w:r>
          </w:p>
        </w:tc>
        <w:tc>
          <w:tcPr>
            <w:tcW w:w="100" w:type="dxa"/>
            <w:vAlign w:val="bottom"/>
          </w:tcPr>
          <w:p>
            <w:pPr>
              <w:spacing w:after="0"/>
              <w:rPr>
                <w:sz w:val="17"/>
                <w:szCs w:val="17"/>
                <w:color w:val="auto"/>
              </w:rPr>
            </w:pPr>
          </w:p>
        </w:tc>
        <w:tc>
          <w:tcPr>
            <w:tcW w:w="10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171.2</w:t>
            </w:r>
          </w:p>
        </w:tc>
        <w:tc>
          <w:tcPr>
            <w:tcW w:w="100" w:type="dxa"/>
            <w:vAlign w:val="bottom"/>
          </w:tcPr>
          <w:p>
            <w:pPr>
              <w:spacing w:after="0"/>
              <w:rPr>
                <w:sz w:val="17"/>
                <w:szCs w:val="17"/>
                <w:color w:val="auto"/>
              </w:rPr>
            </w:pPr>
          </w:p>
        </w:tc>
        <w:tc>
          <w:tcPr>
            <w:tcW w:w="1040" w:type="dxa"/>
            <w:vAlign w:val="bottom"/>
            <w:gridSpan w:val="3"/>
          </w:tcPr>
          <w:p>
            <w:pPr>
              <w:ind w:left="780"/>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3"/>
          </w:tcPr>
          <w:p>
            <w:pPr>
              <w:ind w:left="840"/>
              <w:spacing w:after="0" w:line="202" w:lineRule="exact"/>
              <w:rPr>
                <w:sz w:val="20"/>
                <w:szCs w:val="20"/>
                <w:color w:val="auto"/>
              </w:rPr>
            </w:pPr>
            <w:r>
              <w:rPr>
                <w:rFonts w:ascii="Arial" w:cs="Arial" w:eastAsia="Arial" w:hAnsi="Arial"/>
                <w:sz w:val="18"/>
                <w:szCs w:val="18"/>
                <w:color w:val="auto"/>
              </w:rPr>
              <w:t>–</w:t>
            </w: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171.2</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1000" w:type="dxa"/>
            <w:vAlign w:val="bottom"/>
          </w:tcPr>
          <w:p>
            <w:pPr>
              <w:spacing w:after="0"/>
              <w:rPr>
                <w:sz w:val="17"/>
                <w:szCs w:val="17"/>
                <w:color w:val="auto"/>
              </w:rPr>
            </w:pPr>
          </w:p>
        </w:tc>
        <w:tc>
          <w:tcPr>
            <w:tcW w:w="140" w:type="dxa"/>
            <w:vAlign w:val="bottom"/>
            <w:tcBorders>
              <w:top w:val="single" w:sz="8" w:color="E3F1DA"/>
              <w:bottom w:val="single" w:sz="8" w:color="E3F1DA"/>
            </w:tcBorders>
            <w:shd w:val="clear" w:color="auto" w:fill="E3F1DA"/>
          </w:tcPr>
          <w:p>
            <w:pPr>
              <w:spacing w:after="0"/>
              <w:rPr>
                <w:sz w:val="17"/>
                <w:szCs w:val="17"/>
                <w:color w:val="auto"/>
              </w:rPr>
            </w:pPr>
          </w:p>
        </w:tc>
        <w:tc>
          <w:tcPr>
            <w:tcW w:w="960" w:type="dxa"/>
            <w:vAlign w:val="bottom"/>
            <w:tcBorders>
              <w:top w:val="single" w:sz="8" w:color="E3F1DA"/>
              <w:bottom w:val="single" w:sz="8" w:color="E3F1DA"/>
            </w:tcBorders>
            <w:shd w:val="clear" w:color="auto" w:fill="E3F1DA"/>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Borders>
              <w:top w:val="single" w:sz="8" w:color="939598"/>
              <w:bottom w:val="single" w:sz="8" w:color="939598"/>
            </w:tcBorders>
          </w:tcPr>
          <w:p>
            <w:pPr>
              <w:jc w:val="right"/>
              <w:spacing w:after="0" w:line="196" w:lineRule="exact"/>
              <w:rPr>
                <w:sz w:val="20"/>
                <w:szCs w:val="20"/>
                <w:color w:val="auto"/>
              </w:rPr>
            </w:pPr>
            <w:r>
              <w:rPr>
                <w:rFonts w:ascii="Arial" w:cs="Arial" w:eastAsia="Arial" w:hAnsi="Arial"/>
                <w:sz w:val="18"/>
                <w:szCs w:val="18"/>
                <w:color w:val="auto"/>
                <w:w w:val="99"/>
              </w:rPr>
              <w:t>$ (428.8</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Borders>
              <w:top w:val="single" w:sz="8" w:color="939598"/>
              <w:bottom w:val="single" w:sz="8" w:color="939598"/>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939598"/>
              <w:bottom w:val="single" w:sz="8" w:color="939598"/>
            </w:tcBorders>
          </w:tcPr>
          <w:p>
            <w:pPr>
              <w:jc w:val="right"/>
              <w:spacing w:after="0" w:line="196" w:lineRule="exact"/>
              <w:rPr>
                <w:sz w:val="20"/>
                <w:szCs w:val="20"/>
                <w:color w:val="auto"/>
              </w:rPr>
            </w:pPr>
            <w:r>
              <w:rPr>
                <w:rFonts w:ascii="Arial" w:cs="Arial" w:eastAsia="Arial" w:hAnsi="Arial"/>
                <w:sz w:val="18"/>
                <w:szCs w:val="18"/>
                <w:color w:val="auto"/>
              </w:rPr>
              <w:t>(61.0</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bl>
    <w:p>
      <w:pPr>
        <w:spacing w:after="0" w:line="215" w:lineRule="exact"/>
        <w:rPr>
          <w:sz w:val="20"/>
          <w:szCs w:val="20"/>
          <w:color w:val="auto"/>
        </w:rPr>
      </w:pPr>
    </w:p>
    <w:p>
      <w:pPr>
        <w:jc w:val="both"/>
        <w:ind w:right="80"/>
        <w:spacing w:after="0"/>
        <w:rPr>
          <w:sz w:val="20"/>
          <w:szCs w:val="20"/>
          <w:color w:val="auto"/>
        </w:rPr>
      </w:pPr>
      <w:r>
        <w:rPr>
          <w:rFonts w:ascii="Arial" w:cs="Arial" w:eastAsia="Arial" w:hAnsi="Arial"/>
          <w:sz w:val="18"/>
          <w:szCs w:val="18"/>
          <w:color w:val="auto"/>
        </w:rPr>
        <w:t>In 2010, Goodwill and tradename with a carrying amount of $1,438.2 were written down to their fair value of $1,009.4, resulting in an impairment charge of $428.8. In 2009, Goodwill with a carrying amount of $1,020.1 was written down to its fair value of $959.1, resulting in an impairment charge of $61.0. These charges were included in earnings for the respective years.</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b w:val="1"/>
          <w:bCs w:val="1"/>
          <w:color w:val="4D8ABE"/>
        </w:rPr>
        <w:t xml:space="preserve">50 </w:t>
      </w:r>
      <w:r>
        <w:rPr>
          <w:rFonts w:ascii="Arial" w:cs="Arial" w:eastAsia="Arial" w:hAnsi="Arial"/>
          <w:sz w:val="16"/>
          <w:szCs w:val="16"/>
          <w:color w:val="4D8ABE"/>
        </w:rPr>
        <w:t>Manpower 2010 Annual Report</w:t>
      </w:r>
      <w:r>
        <w:rPr>
          <w:rFonts w:ascii="Arial" w:cs="Arial" w:eastAsia="Arial" w:hAnsi="Arial"/>
          <w:sz w:val="16"/>
          <w:szCs w:val="16"/>
          <w:b w:val="1"/>
          <w:bCs w:val="1"/>
          <w:color w:val="4D8ABE"/>
        </w:rPr>
        <w:t xml:space="preserve"> </w:t>
      </w:r>
      <w:r>
        <w:rPr>
          <w:rFonts w:ascii="Arial" w:cs="Arial" w:eastAsia="Arial" w:hAnsi="Arial"/>
          <w:sz w:val="16"/>
          <w:szCs w:val="16"/>
          <w:b w:val="1"/>
          <w:bCs w:val="1"/>
          <w:color w:val="939598"/>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wp:posOffset>
            </wp:positionV>
            <wp:extent cx="7267575" cy="469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ectPr>
          <w:pgSz w:w="11900" w:h="16838" w:orient="portrait"/>
          <w:cols w:equalWidth="0" w:num="1">
            <w:col w:w="11500"/>
          </w:cols>
          <w:pgMar w:left="240" w:top="345" w:right="159" w:bottom="1440" w:gutter="0" w:footer="0" w:header="0"/>
        </w:sectPr>
      </w:pPr>
    </w:p>
    <w:bookmarkStart w:id="81" w:name="page82"/>
    <w:bookmarkEnd w:id="81"/>
    <w:p>
      <w:pPr>
        <w:spacing w:after="0"/>
        <w:rPr>
          <w:sz w:val="20"/>
          <w:szCs w:val="20"/>
          <w:color w:val="auto"/>
        </w:rPr>
      </w:pPr>
      <w:r>
        <w:rPr>
          <w:rFonts w:ascii="Arial" w:cs="Arial" w:eastAsia="Arial" w:hAnsi="Arial"/>
          <w:sz w:val="16"/>
          <w:szCs w:val="16"/>
          <w:b w:val="1"/>
          <w:bCs w:val="1"/>
          <w:color w:val="4D8ABE"/>
        </w:rPr>
        <w:t>GOODWILL AND OTHER INTANGIBLE ASSETS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We have goodwill, amortizable intangible assets and intangible assets that do not require amortization, as follows: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4220" w:type="dxa"/>
            <w:vAlign w:val="bottom"/>
            <w:tcBorders>
              <w:bottom w:val="single" w:sz="8" w:color="86B6A5"/>
            </w:tcBorders>
          </w:tcPr>
          <w:p>
            <w:pPr>
              <w:spacing w:after="0"/>
              <w:rPr>
                <w:sz w:val="18"/>
                <w:szCs w:val="18"/>
                <w:color w:val="auto"/>
              </w:rPr>
            </w:pPr>
          </w:p>
        </w:tc>
        <w:tc>
          <w:tcPr>
            <w:tcW w:w="100" w:type="dxa"/>
            <w:vAlign w:val="bottom"/>
            <w:tcBorders>
              <w:bottom w:val="single" w:sz="8" w:color="86B6A5"/>
            </w:tcBorders>
            <w:shd w:val="clear" w:color="auto" w:fill="86B6A5"/>
          </w:tcPr>
          <w:p>
            <w:pPr>
              <w:spacing w:after="0"/>
              <w:rPr>
                <w:sz w:val="18"/>
                <w:szCs w:val="18"/>
                <w:color w:val="auto"/>
              </w:rPr>
            </w:pPr>
          </w:p>
        </w:tc>
        <w:tc>
          <w:tcPr>
            <w:tcW w:w="910" w:type="dxa"/>
            <w:vAlign w:val="bottom"/>
            <w:tcBorders>
              <w:bottom w:val="single" w:sz="8" w:color="86B6A5"/>
            </w:tcBorders>
            <w:shd w:val="clear" w:color="auto" w:fill="86B6A5"/>
          </w:tcPr>
          <w:p>
            <w:pPr>
              <w:spacing w:after="0"/>
              <w:rPr>
                <w:sz w:val="18"/>
                <w:szCs w:val="18"/>
                <w:color w:val="auto"/>
              </w:rPr>
            </w:pPr>
          </w:p>
        </w:tc>
        <w:tc>
          <w:tcPr>
            <w:tcW w:w="210" w:type="dxa"/>
            <w:vAlign w:val="bottom"/>
            <w:tcBorders>
              <w:bottom w:val="single" w:sz="8" w:color="86B6A5"/>
            </w:tcBorders>
            <w:shd w:val="clear" w:color="auto" w:fill="86B6A5"/>
          </w:tcPr>
          <w:p>
            <w:pPr>
              <w:spacing w:after="0"/>
              <w:rPr>
                <w:sz w:val="18"/>
                <w:szCs w:val="18"/>
                <w:color w:val="auto"/>
              </w:rPr>
            </w:pPr>
          </w:p>
        </w:tc>
        <w:tc>
          <w:tcPr>
            <w:tcW w:w="1140" w:type="dxa"/>
            <w:vAlign w:val="bottom"/>
            <w:tcBorders>
              <w:bottom w:val="single" w:sz="8" w:color="86B6A5"/>
            </w:tcBorders>
            <w:shd w:val="clear" w:color="auto" w:fill="86B6A5"/>
          </w:tcPr>
          <w:p>
            <w:pPr>
              <w:spacing w:after="0"/>
              <w:rPr>
                <w:sz w:val="18"/>
                <w:szCs w:val="18"/>
                <w:color w:val="auto"/>
              </w:rPr>
            </w:pPr>
          </w:p>
        </w:tc>
        <w:tc>
          <w:tcPr>
            <w:tcW w:w="220" w:type="dxa"/>
            <w:vAlign w:val="bottom"/>
            <w:tcBorders>
              <w:bottom w:val="single" w:sz="8" w:color="86B6A5"/>
            </w:tcBorders>
            <w:shd w:val="clear" w:color="auto" w:fill="86B6A5"/>
          </w:tcPr>
          <w:p>
            <w:pPr>
              <w:spacing w:after="0"/>
              <w:rPr>
                <w:sz w:val="18"/>
                <w:szCs w:val="18"/>
                <w:color w:val="auto"/>
              </w:rPr>
            </w:pPr>
          </w:p>
        </w:tc>
        <w:tc>
          <w:tcPr>
            <w:tcW w:w="1000" w:type="dxa"/>
            <w:vAlign w:val="bottom"/>
            <w:tcBorders>
              <w:bottom w:val="single" w:sz="8" w:color="86B6A5"/>
            </w:tcBorders>
            <w:shd w:val="clear" w:color="auto" w:fill="86B6A5"/>
          </w:tcPr>
          <w:p>
            <w:pPr>
              <w:jc w:val="right"/>
              <w:ind w:right="111"/>
              <w:spacing w:after="0"/>
              <w:rPr>
                <w:sz w:val="20"/>
                <w:szCs w:val="20"/>
                <w:color w:val="auto"/>
              </w:rPr>
            </w:pPr>
            <w:r>
              <w:rPr>
                <w:rFonts w:ascii="Arial" w:cs="Arial" w:eastAsia="Arial" w:hAnsi="Arial"/>
                <w:sz w:val="16"/>
                <w:szCs w:val="16"/>
                <w:b w:val="1"/>
                <w:bCs w:val="1"/>
                <w:color w:val="FFFFFF"/>
              </w:rPr>
              <w:t>2010</w:t>
            </w:r>
          </w:p>
        </w:tc>
        <w:tc>
          <w:tcPr>
            <w:tcW w:w="280" w:type="dxa"/>
            <w:vAlign w:val="bottom"/>
            <w:tcBorders>
              <w:bottom w:val="single" w:sz="8" w:color="86B6A5"/>
            </w:tcBorders>
          </w:tcPr>
          <w:p>
            <w:pPr>
              <w:spacing w:after="0"/>
              <w:rPr>
                <w:sz w:val="18"/>
                <w:szCs w:val="18"/>
                <w:color w:val="auto"/>
              </w:rPr>
            </w:pPr>
          </w:p>
        </w:tc>
        <w:tc>
          <w:tcPr>
            <w:tcW w:w="740" w:type="dxa"/>
            <w:vAlign w:val="bottom"/>
            <w:tcBorders>
              <w:bottom w:val="single" w:sz="8" w:color="86B6A5"/>
            </w:tcBorders>
          </w:tcPr>
          <w:p>
            <w:pPr>
              <w:spacing w:after="0"/>
              <w:rPr>
                <w:sz w:val="18"/>
                <w:szCs w:val="18"/>
                <w:color w:val="auto"/>
              </w:rPr>
            </w:pPr>
          </w:p>
        </w:tc>
        <w:tc>
          <w:tcPr>
            <w:tcW w:w="220" w:type="dxa"/>
            <w:vAlign w:val="bottom"/>
            <w:tcBorders>
              <w:bottom w:val="single" w:sz="8" w:color="86B6A5"/>
            </w:tcBorders>
          </w:tcPr>
          <w:p>
            <w:pPr>
              <w:spacing w:after="0"/>
              <w:rPr>
                <w:sz w:val="18"/>
                <w:szCs w:val="18"/>
                <w:color w:val="auto"/>
              </w:rPr>
            </w:pPr>
          </w:p>
        </w:tc>
        <w:tc>
          <w:tcPr>
            <w:tcW w:w="1140" w:type="dxa"/>
            <w:vAlign w:val="bottom"/>
            <w:tcBorders>
              <w:bottom w:val="single" w:sz="8" w:color="86B6A5"/>
            </w:tcBorders>
          </w:tcPr>
          <w:p>
            <w:pPr>
              <w:spacing w:after="0"/>
              <w:rPr>
                <w:sz w:val="18"/>
                <w:szCs w:val="18"/>
                <w:color w:val="auto"/>
              </w:rPr>
            </w:pPr>
          </w:p>
        </w:tc>
        <w:tc>
          <w:tcPr>
            <w:tcW w:w="380" w:type="dxa"/>
            <w:vAlign w:val="bottom"/>
            <w:tcBorders>
              <w:bottom w:val="single" w:sz="8" w:color="86B6A5"/>
            </w:tcBorders>
          </w:tcPr>
          <w:p>
            <w:pPr>
              <w:spacing w:after="0"/>
              <w:rPr>
                <w:sz w:val="18"/>
                <w:szCs w:val="18"/>
                <w:color w:val="auto"/>
              </w:rPr>
            </w:pPr>
          </w:p>
        </w:tc>
        <w:tc>
          <w:tcPr>
            <w:tcW w:w="620" w:type="dxa"/>
            <w:vAlign w:val="bottom"/>
            <w:tcBorders>
              <w:bottom w:val="single" w:sz="8" w:color="86B6A5"/>
            </w:tcBorders>
          </w:tcPr>
          <w:p>
            <w:pPr>
              <w:jc w:val="right"/>
              <w:spacing w:after="0"/>
              <w:rPr>
                <w:sz w:val="20"/>
                <w:szCs w:val="20"/>
                <w:color w:val="auto"/>
              </w:rPr>
            </w:pPr>
            <w:r>
              <w:rPr>
                <w:rFonts w:ascii="Arial" w:cs="Arial" w:eastAsia="Arial" w:hAnsi="Arial"/>
                <w:sz w:val="16"/>
                <w:szCs w:val="16"/>
                <w:b w:val="1"/>
                <w:bCs w:val="1"/>
                <w:color w:val="86B6A5"/>
              </w:rPr>
              <w:t>2009</w:t>
            </w:r>
          </w:p>
        </w:tc>
        <w:tc>
          <w:tcPr>
            <w:tcW w:w="2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4220" w:type="dxa"/>
            <w:vAlign w:val="bottom"/>
          </w:tcPr>
          <w:p>
            <w:pPr>
              <w:spacing w:after="0"/>
              <w:rPr>
                <w:sz w:val="17"/>
                <w:szCs w:val="17"/>
                <w:color w:val="auto"/>
              </w:rPr>
            </w:pPr>
          </w:p>
        </w:tc>
        <w:tc>
          <w:tcPr>
            <w:tcW w:w="100" w:type="dxa"/>
            <w:vAlign w:val="bottom"/>
            <w:shd w:val="clear" w:color="auto" w:fill="E3F1DA"/>
          </w:tcPr>
          <w:p>
            <w:pPr>
              <w:spacing w:after="0"/>
              <w:rPr>
                <w:sz w:val="17"/>
                <w:szCs w:val="17"/>
                <w:color w:val="auto"/>
              </w:rPr>
            </w:pPr>
          </w:p>
        </w:tc>
        <w:tc>
          <w:tcPr>
            <w:tcW w:w="910" w:type="dxa"/>
            <w:vAlign w:val="bottom"/>
            <w:shd w:val="clear" w:color="auto" w:fill="E3F1DA"/>
          </w:tcPr>
          <w:p>
            <w:pPr>
              <w:spacing w:after="0"/>
              <w:rPr>
                <w:sz w:val="17"/>
                <w:szCs w:val="17"/>
                <w:color w:val="auto"/>
              </w:rPr>
            </w:pPr>
          </w:p>
        </w:tc>
        <w:tc>
          <w:tcPr>
            <w:tcW w:w="210" w:type="dxa"/>
            <w:vAlign w:val="bottom"/>
            <w:shd w:val="clear" w:color="auto" w:fill="E3F1DA"/>
          </w:tcPr>
          <w:p>
            <w:pPr>
              <w:spacing w:after="0"/>
              <w:rPr>
                <w:sz w:val="17"/>
                <w:szCs w:val="17"/>
                <w:color w:val="auto"/>
              </w:rPr>
            </w:pPr>
          </w:p>
        </w:tc>
        <w:tc>
          <w:tcPr>
            <w:tcW w:w="1140" w:type="dxa"/>
            <w:vAlign w:val="bottom"/>
            <w:shd w:val="clear" w:color="auto" w:fill="E3F1DA"/>
          </w:tcPr>
          <w:p>
            <w:pPr>
              <w:jc w:val="right"/>
              <w:ind w:right="11"/>
              <w:spacing w:after="0"/>
              <w:rPr>
                <w:sz w:val="20"/>
                <w:szCs w:val="20"/>
                <w:color w:val="auto"/>
              </w:rPr>
            </w:pPr>
            <w:r>
              <w:rPr>
                <w:rFonts w:ascii="Arial" w:cs="Arial" w:eastAsia="Arial" w:hAnsi="Arial"/>
                <w:sz w:val="16"/>
                <w:szCs w:val="16"/>
                <w:b w:val="1"/>
                <w:bCs w:val="1"/>
                <w:color w:val="86B6A5"/>
              </w:rPr>
              <w:t>Accumulated</w:t>
            </w:r>
          </w:p>
        </w:tc>
        <w:tc>
          <w:tcPr>
            <w:tcW w:w="220" w:type="dxa"/>
            <w:vAlign w:val="bottom"/>
            <w:shd w:val="clear" w:color="auto" w:fill="E3F1DA"/>
          </w:tcPr>
          <w:p>
            <w:pPr>
              <w:spacing w:after="0"/>
              <w:rPr>
                <w:sz w:val="17"/>
                <w:szCs w:val="17"/>
                <w:color w:val="auto"/>
              </w:rPr>
            </w:pPr>
          </w:p>
        </w:tc>
        <w:tc>
          <w:tcPr>
            <w:tcW w:w="1000" w:type="dxa"/>
            <w:vAlign w:val="bottom"/>
            <w:shd w:val="clear" w:color="auto" w:fill="E3F1DA"/>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jc w:val="right"/>
              <w:ind w:right="31"/>
              <w:spacing w:after="0"/>
              <w:rPr>
                <w:sz w:val="20"/>
                <w:szCs w:val="20"/>
                <w:color w:val="auto"/>
              </w:rPr>
            </w:pPr>
            <w:r>
              <w:rPr>
                <w:rFonts w:ascii="Arial" w:cs="Arial" w:eastAsia="Arial" w:hAnsi="Arial"/>
                <w:sz w:val="16"/>
                <w:szCs w:val="16"/>
                <w:b w:val="1"/>
                <w:bCs w:val="1"/>
                <w:color w:val="86B6A5"/>
                <w:w w:val="99"/>
              </w:rPr>
              <w:t>Accumulated</w:t>
            </w:r>
          </w:p>
        </w:tc>
        <w:tc>
          <w:tcPr>
            <w:tcW w:w="3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0"/>
        </w:trPr>
        <w:tc>
          <w:tcPr>
            <w:tcW w:w="4240" w:type="dxa"/>
            <w:vAlign w:val="bottom"/>
            <w:gridSpan w:val="2"/>
          </w:tcPr>
          <w:p>
            <w:pPr>
              <w:spacing w:after="0"/>
              <w:rPr>
                <w:sz w:val="20"/>
                <w:szCs w:val="20"/>
                <w:color w:val="auto"/>
              </w:rPr>
            </w:pPr>
            <w:r>
              <w:rPr>
                <w:rFonts w:ascii="Arial" w:cs="Arial" w:eastAsia="Arial" w:hAnsi="Arial"/>
                <w:sz w:val="16"/>
                <w:szCs w:val="16"/>
                <w:b w:val="1"/>
                <w:bCs w:val="1"/>
                <w:color w:val="86B6A5"/>
              </w:rPr>
              <w:t>December 31</w:t>
            </w:r>
          </w:p>
        </w:tc>
        <w:tc>
          <w:tcPr>
            <w:tcW w:w="100" w:type="dxa"/>
            <w:vAlign w:val="bottom"/>
            <w:shd w:val="clear" w:color="auto" w:fill="E3F1DA"/>
          </w:tcPr>
          <w:p>
            <w:pPr>
              <w:spacing w:after="0"/>
              <w:rPr>
                <w:sz w:val="18"/>
                <w:szCs w:val="18"/>
                <w:color w:val="auto"/>
              </w:rPr>
            </w:pPr>
          </w:p>
        </w:tc>
        <w:tc>
          <w:tcPr>
            <w:tcW w:w="910" w:type="dxa"/>
            <w:vAlign w:val="bottom"/>
            <w:shd w:val="clear" w:color="auto" w:fill="E3F1DA"/>
          </w:tcPr>
          <w:p>
            <w:pPr>
              <w:jc w:val="right"/>
              <w:ind w:right="21"/>
              <w:spacing w:after="0"/>
              <w:rPr>
                <w:sz w:val="20"/>
                <w:szCs w:val="20"/>
                <w:color w:val="auto"/>
              </w:rPr>
            </w:pPr>
            <w:r>
              <w:rPr>
                <w:rFonts w:ascii="Arial" w:cs="Arial" w:eastAsia="Arial" w:hAnsi="Arial"/>
                <w:sz w:val="16"/>
                <w:szCs w:val="16"/>
                <w:b w:val="1"/>
                <w:bCs w:val="1"/>
                <w:color w:val="86B6A5"/>
              </w:rPr>
              <w:t>Gross</w:t>
            </w:r>
          </w:p>
        </w:tc>
        <w:tc>
          <w:tcPr>
            <w:tcW w:w="210" w:type="dxa"/>
            <w:vAlign w:val="bottom"/>
            <w:shd w:val="clear" w:color="auto" w:fill="E3F1DA"/>
          </w:tcPr>
          <w:p>
            <w:pPr>
              <w:spacing w:after="0"/>
              <w:rPr>
                <w:sz w:val="18"/>
                <w:szCs w:val="18"/>
                <w:color w:val="auto"/>
              </w:rPr>
            </w:pPr>
          </w:p>
        </w:tc>
        <w:tc>
          <w:tcPr>
            <w:tcW w:w="1140" w:type="dxa"/>
            <w:vAlign w:val="bottom"/>
            <w:shd w:val="clear" w:color="auto" w:fill="E3F1DA"/>
          </w:tcPr>
          <w:p>
            <w:pPr>
              <w:jc w:val="right"/>
              <w:ind w:right="11"/>
              <w:spacing w:after="0"/>
              <w:rPr>
                <w:sz w:val="20"/>
                <w:szCs w:val="20"/>
                <w:color w:val="auto"/>
              </w:rPr>
            </w:pPr>
            <w:r>
              <w:rPr>
                <w:rFonts w:ascii="Arial" w:cs="Arial" w:eastAsia="Arial" w:hAnsi="Arial"/>
                <w:sz w:val="16"/>
                <w:szCs w:val="16"/>
                <w:b w:val="1"/>
                <w:bCs w:val="1"/>
                <w:color w:val="86B6A5"/>
              </w:rPr>
              <w:t>Amortization</w:t>
            </w:r>
          </w:p>
        </w:tc>
        <w:tc>
          <w:tcPr>
            <w:tcW w:w="220" w:type="dxa"/>
            <w:vAlign w:val="bottom"/>
            <w:shd w:val="clear" w:color="auto" w:fill="E3F1DA"/>
          </w:tcPr>
          <w:p>
            <w:pPr>
              <w:spacing w:after="0"/>
              <w:rPr>
                <w:sz w:val="18"/>
                <w:szCs w:val="18"/>
                <w:color w:val="auto"/>
              </w:rPr>
            </w:pPr>
          </w:p>
        </w:tc>
        <w:tc>
          <w:tcPr>
            <w:tcW w:w="1000" w:type="dxa"/>
            <w:vAlign w:val="bottom"/>
            <w:shd w:val="clear" w:color="auto" w:fill="E3F1DA"/>
          </w:tcPr>
          <w:p>
            <w:pPr>
              <w:jc w:val="right"/>
              <w:ind w:right="111"/>
              <w:spacing w:after="0"/>
              <w:rPr>
                <w:sz w:val="20"/>
                <w:szCs w:val="20"/>
                <w:color w:val="auto"/>
              </w:rPr>
            </w:pPr>
            <w:r>
              <w:rPr>
                <w:rFonts w:ascii="Arial" w:cs="Arial" w:eastAsia="Arial" w:hAnsi="Arial"/>
                <w:sz w:val="16"/>
                <w:szCs w:val="16"/>
                <w:b w:val="1"/>
                <w:bCs w:val="1"/>
                <w:color w:val="86B6A5"/>
              </w:rPr>
              <w:t>Net</w:t>
            </w:r>
          </w:p>
        </w:tc>
        <w:tc>
          <w:tcPr>
            <w:tcW w:w="280" w:type="dxa"/>
            <w:vAlign w:val="bottom"/>
          </w:tcPr>
          <w:p>
            <w:pPr>
              <w:spacing w:after="0"/>
              <w:rPr>
                <w:sz w:val="18"/>
                <w:szCs w:val="18"/>
                <w:color w:val="auto"/>
              </w:rPr>
            </w:pPr>
          </w:p>
        </w:tc>
        <w:tc>
          <w:tcPr>
            <w:tcW w:w="740" w:type="dxa"/>
            <w:vAlign w:val="bottom"/>
          </w:tcPr>
          <w:p>
            <w:pPr>
              <w:jc w:val="right"/>
              <w:ind w:right="11"/>
              <w:spacing w:after="0"/>
              <w:rPr>
                <w:sz w:val="20"/>
                <w:szCs w:val="20"/>
                <w:color w:val="auto"/>
              </w:rPr>
            </w:pPr>
            <w:r>
              <w:rPr>
                <w:rFonts w:ascii="Arial" w:cs="Arial" w:eastAsia="Arial" w:hAnsi="Arial"/>
                <w:sz w:val="16"/>
                <w:szCs w:val="16"/>
                <w:b w:val="1"/>
                <w:bCs w:val="1"/>
                <w:color w:val="86B6A5"/>
              </w:rPr>
              <w:t>Gross</w:t>
            </w:r>
          </w:p>
        </w:tc>
        <w:tc>
          <w:tcPr>
            <w:tcW w:w="220" w:type="dxa"/>
            <w:vAlign w:val="bottom"/>
          </w:tcPr>
          <w:p>
            <w:pPr>
              <w:spacing w:after="0"/>
              <w:rPr>
                <w:sz w:val="18"/>
                <w:szCs w:val="18"/>
                <w:color w:val="auto"/>
              </w:rPr>
            </w:pPr>
          </w:p>
        </w:tc>
        <w:tc>
          <w:tcPr>
            <w:tcW w:w="1140" w:type="dxa"/>
            <w:vAlign w:val="bottom"/>
          </w:tcPr>
          <w:p>
            <w:pPr>
              <w:jc w:val="right"/>
              <w:ind w:right="31"/>
              <w:spacing w:after="0"/>
              <w:rPr>
                <w:sz w:val="20"/>
                <w:szCs w:val="20"/>
                <w:color w:val="auto"/>
              </w:rPr>
            </w:pPr>
            <w:r>
              <w:rPr>
                <w:rFonts w:ascii="Arial" w:cs="Arial" w:eastAsia="Arial" w:hAnsi="Arial"/>
                <w:sz w:val="16"/>
                <w:szCs w:val="16"/>
                <w:b w:val="1"/>
                <w:bCs w:val="1"/>
                <w:color w:val="86B6A5"/>
              </w:rPr>
              <w:t>Amortization</w:t>
            </w:r>
          </w:p>
        </w:tc>
        <w:tc>
          <w:tcPr>
            <w:tcW w:w="38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6"/>
                <w:szCs w:val="16"/>
                <w:b w:val="1"/>
                <w:bCs w:val="1"/>
                <w:color w:val="86B6A5"/>
              </w:rPr>
              <w:t>Net</w:t>
            </w:r>
          </w:p>
        </w:tc>
      </w:tr>
      <w:tr>
        <w:trPr>
          <w:trHeight w:val="203"/>
        </w:trPr>
        <w:tc>
          <w:tcPr>
            <w:tcW w:w="20" w:type="dxa"/>
            <w:vAlign w:val="bottom"/>
          </w:tcPr>
          <w:p>
            <w:pPr>
              <w:spacing w:after="0"/>
              <w:rPr>
                <w:sz w:val="17"/>
                <w:szCs w:val="17"/>
                <w:color w:val="auto"/>
              </w:rPr>
            </w:pPr>
          </w:p>
        </w:tc>
        <w:tc>
          <w:tcPr>
            <w:tcW w:w="4220" w:type="dxa"/>
            <w:vAlign w:val="bottom"/>
            <w:tcBorders>
              <w:top w:val="single" w:sz="8" w:color="86B6A5"/>
              <w:bottom w:val="single" w:sz="8" w:color="939598"/>
            </w:tcBorders>
          </w:tcPr>
          <w:p>
            <w:pPr>
              <w:spacing w:after="0" w:line="202" w:lineRule="exact"/>
              <w:rPr>
                <w:sz w:val="20"/>
                <w:szCs w:val="20"/>
                <w:color w:val="auto"/>
              </w:rPr>
            </w:pPr>
            <w:r>
              <w:rPr>
                <w:rFonts w:ascii="Arial" w:cs="Arial" w:eastAsia="Arial" w:hAnsi="Arial"/>
                <w:sz w:val="18"/>
                <w:szCs w:val="18"/>
                <w:color w:val="auto"/>
              </w:rPr>
              <w:t>Goodwill</w:t>
            </w:r>
          </w:p>
        </w:tc>
        <w:tc>
          <w:tcPr>
            <w:tcW w:w="100" w:type="dxa"/>
            <w:vAlign w:val="bottom"/>
            <w:tcBorders>
              <w:top w:val="single" w:sz="8" w:color="86B6A5"/>
              <w:bottom w:val="single" w:sz="8" w:color="939598"/>
            </w:tcBorders>
            <w:shd w:val="clear" w:color="auto" w:fill="E3F1DA"/>
          </w:tcPr>
          <w:p>
            <w:pPr>
              <w:jc w:val="right"/>
              <w:spacing w:after="0" w:line="202" w:lineRule="exact"/>
              <w:rPr>
                <w:sz w:val="20"/>
                <w:szCs w:val="20"/>
                <w:color w:val="auto"/>
              </w:rPr>
            </w:pPr>
            <w:r>
              <w:rPr>
                <w:rFonts w:ascii="Arial" w:cs="Arial" w:eastAsia="Arial" w:hAnsi="Arial"/>
                <w:sz w:val="18"/>
                <w:szCs w:val="18"/>
                <w:color w:val="86B6A5"/>
                <w:w w:val="79"/>
              </w:rPr>
              <w:t>$</w:t>
            </w:r>
          </w:p>
        </w:tc>
        <w:tc>
          <w:tcPr>
            <w:tcW w:w="910" w:type="dxa"/>
            <w:vAlign w:val="bottom"/>
            <w:tcBorders>
              <w:top w:val="single" w:sz="8" w:color="86B6A5"/>
              <w:bottom w:val="single" w:sz="8" w:color="939598"/>
            </w:tcBorders>
            <w:shd w:val="clear" w:color="auto" w:fill="E3F1DA"/>
          </w:tcPr>
          <w:p>
            <w:pPr>
              <w:jc w:val="right"/>
              <w:ind w:right="21"/>
              <w:spacing w:after="0" w:line="202" w:lineRule="exact"/>
              <w:rPr>
                <w:sz w:val="20"/>
                <w:szCs w:val="20"/>
                <w:color w:val="auto"/>
              </w:rPr>
            </w:pPr>
            <w:r>
              <w:rPr>
                <w:rFonts w:ascii="Arial" w:cs="Arial" w:eastAsia="Arial" w:hAnsi="Arial"/>
                <w:sz w:val="18"/>
                <w:szCs w:val="18"/>
                <w:color w:val="86B6A5"/>
              </w:rPr>
              <w:t>954.1</w:t>
            </w:r>
          </w:p>
        </w:tc>
        <w:tc>
          <w:tcPr>
            <w:tcW w:w="210" w:type="dxa"/>
            <w:vAlign w:val="bottom"/>
            <w:tcBorders>
              <w:top w:val="single" w:sz="8" w:color="86B6A5"/>
              <w:bottom w:val="single" w:sz="8" w:color="939598"/>
            </w:tcBorders>
            <w:shd w:val="clear" w:color="auto" w:fill="E3F1DA"/>
          </w:tcPr>
          <w:p>
            <w:pPr>
              <w:jc w:val="right"/>
              <w:spacing w:after="0" w:line="202" w:lineRule="exact"/>
              <w:rPr>
                <w:sz w:val="20"/>
                <w:szCs w:val="20"/>
                <w:color w:val="auto"/>
              </w:rPr>
            </w:pPr>
            <w:r>
              <w:rPr>
                <w:rFonts w:ascii="Arial" w:cs="Arial" w:eastAsia="Arial" w:hAnsi="Arial"/>
                <w:sz w:val="18"/>
                <w:szCs w:val="18"/>
                <w:color w:val="86B6A5"/>
              </w:rPr>
              <w:t>$</w:t>
            </w:r>
          </w:p>
        </w:tc>
        <w:tc>
          <w:tcPr>
            <w:tcW w:w="1140" w:type="dxa"/>
            <w:vAlign w:val="bottom"/>
            <w:tcBorders>
              <w:top w:val="single" w:sz="8" w:color="86B6A5"/>
              <w:bottom w:val="single" w:sz="8" w:color="939598"/>
            </w:tcBorders>
            <w:shd w:val="clear" w:color="auto" w:fill="E3F1DA"/>
          </w:tcPr>
          <w:p>
            <w:pPr>
              <w:jc w:val="right"/>
              <w:ind w:right="11"/>
              <w:spacing w:after="0" w:line="202" w:lineRule="exact"/>
              <w:rPr>
                <w:sz w:val="20"/>
                <w:szCs w:val="20"/>
                <w:color w:val="auto"/>
              </w:rPr>
            </w:pPr>
            <w:r>
              <w:rPr>
                <w:rFonts w:ascii="Arial" w:cs="Arial" w:eastAsia="Arial" w:hAnsi="Arial"/>
                <w:sz w:val="18"/>
                <w:szCs w:val="18"/>
                <w:color w:val="86B6A5"/>
              </w:rPr>
              <w:t>–</w:t>
            </w:r>
          </w:p>
        </w:tc>
        <w:tc>
          <w:tcPr>
            <w:tcW w:w="220" w:type="dxa"/>
            <w:vAlign w:val="bottom"/>
            <w:tcBorders>
              <w:top w:val="single" w:sz="8" w:color="86B6A5"/>
              <w:bottom w:val="single" w:sz="8" w:color="939598"/>
            </w:tcBorders>
            <w:shd w:val="clear" w:color="auto" w:fill="E3F1DA"/>
          </w:tcPr>
          <w:p>
            <w:pPr>
              <w:jc w:val="right"/>
              <w:spacing w:after="0" w:line="202" w:lineRule="exact"/>
              <w:rPr>
                <w:sz w:val="20"/>
                <w:szCs w:val="20"/>
                <w:color w:val="auto"/>
              </w:rPr>
            </w:pPr>
            <w:r>
              <w:rPr>
                <w:rFonts w:ascii="Arial" w:cs="Arial" w:eastAsia="Arial" w:hAnsi="Arial"/>
                <w:sz w:val="18"/>
                <w:szCs w:val="18"/>
                <w:color w:val="86B6A5"/>
              </w:rPr>
              <w:t>$</w:t>
            </w:r>
          </w:p>
        </w:tc>
        <w:tc>
          <w:tcPr>
            <w:tcW w:w="1000" w:type="dxa"/>
            <w:vAlign w:val="bottom"/>
            <w:tcBorders>
              <w:top w:val="single" w:sz="8" w:color="86B6A5"/>
              <w:bottom w:val="single" w:sz="8" w:color="939598"/>
            </w:tcBorders>
            <w:shd w:val="clear" w:color="auto" w:fill="E3F1DA"/>
          </w:tcPr>
          <w:p>
            <w:pPr>
              <w:jc w:val="right"/>
              <w:ind w:right="111"/>
              <w:spacing w:after="0" w:line="202" w:lineRule="exact"/>
              <w:rPr>
                <w:sz w:val="20"/>
                <w:szCs w:val="20"/>
                <w:color w:val="auto"/>
              </w:rPr>
            </w:pPr>
            <w:r>
              <w:rPr>
                <w:rFonts w:ascii="Arial" w:cs="Arial" w:eastAsia="Arial" w:hAnsi="Arial"/>
                <w:sz w:val="18"/>
                <w:szCs w:val="18"/>
                <w:color w:val="86B6A5"/>
              </w:rPr>
              <w:t>954.1</w:t>
            </w:r>
          </w:p>
        </w:tc>
        <w:tc>
          <w:tcPr>
            <w:tcW w:w="280" w:type="dxa"/>
            <w:vAlign w:val="bottom"/>
            <w:tcBorders>
              <w:top w:val="single" w:sz="8" w:color="86B6A5"/>
              <w:bottom w:val="single" w:sz="8" w:color="939598"/>
            </w:tcBorders>
          </w:tcPr>
          <w:p>
            <w:pPr>
              <w:jc w:val="right"/>
              <w:ind w:right="90"/>
              <w:spacing w:after="0" w:line="202" w:lineRule="exact"/>
              <w:rPr>
                <w:sz w:val="20"/>
                <w:szCs w:val="20"/>
                <w:color w:val="auto"/>
              </w:rPr>
            </w:pPr>
            <w:r>
              <w:rPr>
                <w:rFonts w:ascii="Arial" w:cs="Arial" w:eastAsia="Arial" w:hAnsi="Arial"/>
                <w:sz w:val="18"/>
                <w:szCs w:val="18"/>
                <w:color w:val="auto"/>
                <w:w w:val="79"/>
              </w:rPr>
              <w:t>$</w:t>
            </w:r>
          </w:p>
        </w:tc>
        <w:tc>
          <w:tcPr>
            <w:tcW w:w="740" w:type="dxa"/>
            <w:vAlign w:val="bottom"/>
            <w:tcBorders>
              <w:top w:val="single" w:sz="8" w:color="86B6A5"/>
              <w:bottom w:val="single" w:sz="8" w:color="939598"/>
            </w:tcBorders>
          </w:tcPr>
          <w:p>
            <w:pPr>
              <w:jc w:val="right"/>
              <w:ind w:right="11"/>
              <w:spacing w:after="0" w:line="202" w:lineRule="exact"/>
              <w:rPr>
                <w:sz w:val="20"/>
                <w:szCs w:val="20"/>
                <w:color w:val="auto"/>
              </w:rPr>
            </w:pPr>
            <w:r>
              <w:rPr>
                <w:rFonts w:ascii="Arial" w:cs="Arial" w:eastAsia="Arial" w:hAnsi="Arial"/>
                <w:sz w:val="18"/>
                <w:szCs w:val="18"/>
                <w:color w:val="auto"/>
              </w:rPr>
              <w:t>959.1</w:t>
            </w:r>
          </w:p>
        </w:tc>
        <w:tc>
          <w:tcPr>
            <w:tcW w:w="220" w:type="dxa"/>
            <w:vAlign w:val="bottom"/>
            <w:tcBorders>
              <w:top w:val="single" w:sz="8" w:color="86B6A5"/>
              <w:bottom w:val="single" w:sz="8" w:color="939598"/>
            </w:tcBorders>
          </w:tcPr>
          <w:p>
            <w:pPr>
              <w:jc w:val="right"/>
              <w:spacing w:after="0" w:line="202" w:lineRule="exact"/>
              <w:rPr>
                <w:sz w:val="20"/>
                <w:szCs w:val="20"/>
                <w:color w:val="auto"/>
              </w:rPr>
            </w:pPr>
            <w:r>
              <w:rPr>
                <w:rFonts w:ascii="Arial" w:cs="Arial" w:eastAsia="Arial" w:hAnsi="Arial"/>
                <w:sz w:val="18"/>
                <w:szCs w:val="18"/>
                <w:color w:val="auto"/>
              </w:rPr>
              <w:t>$</w:t>
            </w:r>
          </w:p>
        </w:tc>
        <w:tc>
          <w:tcPr>
            <w:tcW w:w="1140" w:type="dxa"/>
            <w:vAlign w:val="bottom"/>
            <w:tcBorders>
              <w:top w:val="single" w:sz="8" w:color="86B6A5"/>
              <w:bottom w:val="single" w:sz="8" w:color="939598"/>
            </w:tcBorders>
          </w:tcPr>
          <w:p>
            <w:pPr>
              <w:jc w:val="right"/>
              <w:ind w:right="31"/>
              <w:spacing w:after="0" w:line="202" w:lineRule="exact"/>
              <w:rPr>
                <w:sz w:val="20"/>
                <w:szCs w:val="20"/>
                <w:color w:val="auto"/>
              </w:rPr>
            </w:pPr>
            <w:r>
              <w:rPr>
                <w:rFonts w:ascii="Arial" w:cs="Arial" w:eastAsia="Arial" w:hAnsi="Arial"/>
                <w:sz w:val="18"/>
                <w:szCs w:val="18"/>
                <w:color w:val="auto"/>
              </w:rPr>
              <w:t>–</w:t>
            </w:r>
          </w:p>
        </w:tc>
        <w:tc>
          <w:tcPr>
            <w:tcW w:w="380" w:type="dxa"/>
            <w:vAlign w:val="bottom"/>
            <w:tcBorders>
              <w:top w:val="single" w:sz="8" w:color="86B6A5"/>
              <w:bottom w:val="single" w:sz="8" w:color="939598"/>
            </w:tcBorders>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620" w:type="dxa"/>
            <w:vAlign w:val="bottom"/>
            <w:tcBorders>
              <w:top w:val="single" w:sz="8" w:color="86B6A5"/>
              <w:bottom w:val="single" w:sz="8" w:color="939598"/>
            </w:tcBorders>
          </w:tcPr>
          <w:p>
            <w:pPr>
              <w:jc w:val="right"/>
              <w:spacing w:after="0" w:line="202" w:lineRule="exact"/>
              <w:rPr>
                <w:sz w:val="20"/>
                <w:szCs w:val="20"/>
                <w:color w:val="auto"/>
              </w:rPr>
            </w:pPr>
            <w:r>
              <w:rPr>
                <w:rFonts w:ascii="Arial" w:cs="Arial" w:eastAsia="Arial" w:hAnsi="Arial"/>
                <w:sz w:val="18"/>
                <w:szCs w:val="18"/>
                <w:color w:val="auto"/>
              </w:rPr>
              <w:t>959.1</w:t>
            </w:r>
          </w:p>
        </w:tc>
        <w:tc>
          <w:tcPr>
            <w:tcW w:w="20" w:type="dxa"/>
            <w:vAlign w:val="bottom"/>
          </w:tcPr>
          <w:p>
            <w:pPr>
              <w:spacing w:after="0"/>
              <w:rPr>
                <w:sz w:val="17"/>
                <w:szCs w:val="17"/>
                <w:color w:val="auto"/>
              </w:rPr>
            </w:pPr>
          </w:p>
        </w:tc>
      </w:tr>
      <w:tr>
        <w:trPr>
          <w:trHeight w:val="195"/>
        </w:trPr>
        <w:tc>
          <w:tcPr>
            <w:tcW w:w="20" w:type="dxa"/>
            <w:vAlign w:val="bottom"/>
          </w:tcPr>
          <w:p>
            <w:pPr>
              <w:spacing w:after="0"/>
              <w:rPr>
                <w:sz w:val="16"/>
                <w:szCs w:val="16"/>
                <w:color w:val="auto"/>
              </w:rPr>
            </w:pPr>
          </w:p>
        </w:tc>
        <w:tc>
          <w:tcPr>
            <w:tcW w:w="4220" w:type="dxa"/>
            <w:vAlign w:val="bottom"/>
          </w:tcPr>
          <w:p>
            <w:pPr>
              <w:spacing w:after="0" w:line="195" w:lineRule="exact"/>
              <w:rPr>
                <w:sz w:val="20"/>
                <w:szCs w:val="20"/>
                <w:color w:val="auto"/>
              </w:rPr>
            </w:pPr>
            <w:r>
              <w:rPr>
                <w:rFonts w:ascii="Arial" w:cs="Arial" w:eastAsia="Arial" w:hAnsi="Arial"/>
                <w:sz w:val="18"/>
                <w:szCs w:val="18"/>
                <w:color w:val="auto"/>
              </w:rPr>
              <w:t>Intangible Assets:</w:t>
            </w:r>
          </w:p>
        </w:tc>
        <w:tc>
          <w:tcPr>
            <w:tcW w:w="100" w:type="dxa"/>
            <w:vAlign w:val="bottom"/>
            <w:shd w:val="clear" w:color="auto" w:fill="E3F1DA"/>
          </w:tcPr>
          <w:p>
            <w:pPr>
              <w:spacing w:after="0"/>
              <w:rPr>
                <w:sz w:val="16"/>
                <w:szCs w:val="16"/>
                <w:color w:val="auto"/>
              </w:rPr>
            </w:pPr>
          </w:p>
        </w:tc>
        <w:tc>
          <w:tcPr>
            <w:tcW w:w="910" w:type="dxa"/>
            <w:vAlign w:val="bottom"/>
            <w:shd w:val="clear" w:color="auto" w:fill="E3F1DA"/>
          </w:tcPr>
          <w:p>
            <w:pPr>
              <w:spacing w:after="0"/>
              <w:rPr>
                <w:sz w:val="16"/>
                <w:szCs w:val="16"/>
                <w:color w:val="auto"/>
              </w:rPr>
            </w:pPr>
          </w:p>
        </w:tc>
        <w:tc>
          <w:tcPr>
            <w:tcW w:w="210" w:type="dxa"/>
            <w:vAlign w:val="bottom"/>
            <w:shd w:val="clear" w:color="auto" w:fill="E3F1DA"/>
          </w:tcPr>
          <w:p>
            <w:pPr>
              <w:spacing w:after="0"/>
              <w:rPr>
                <w:sz w:val="16"/>
                <w:szCs w:val="16"/>
                <w:color w:val="auto"/>
              </w:rPr>
            </w:pPr>
          </w:p>
        </w:tc>
        <w:tc>
          <w:tcPr>
            <w:tcW w:w="1140" w:type="dxa"/>
            <w:vAlign w:val="bottom"/>
            <w:shd w:val="clear" w:color="auto" w:fill="E3F1DA"/>
          </w:tcPr>
          <w:p>
            <w:pPr>
              <w:spacing w:after="0"/>
              <w:rPr>
                <w:sz w:val="16"/>
                <w:szCs w:val="16"/>
                <w:color w:val="auto"/>
              </w:rPr>
            </w:pPr>
          </w:p>
        </w:tc>
        <w:tc>
          <w:tcPr>
            <w:tcW w:w="220" w:type="dxa"/>
            <w:vAlign w:val="bottom"/>
            <w:shd w:val="clear" w:color="auto" w:fill="E3F1DA"/>
          </w:tcPr>
          <w:p>
            <w:pPr>
              <w:spacing w:after="0"/>
              <w:rPr>
                <w:sz w:val="16"/>
                <w:szCs w:val="16"/>
                <w:color w:val="auto"/>
              </w:rPr>
            </w:pPr>
          </w:p>
        </w:tc>
        <w:tc>
          <w:tcPr>
            <w:tcW w:w="1000" w:type="dxa"/>
            <w:vAlign w:val="bottom"/>
            <w:shd w:val="clear" w:color="auto" w:fill="E3F1DA"/>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3"/>
        </w:trPr>
        <w:tc>
          <w:tcPr>
            <w:tcW w:w="20" w:type="dxa"/>
            <w:vAlign w:val="bottom"/>
          </w:tcPr>
          <w:p>
            <w:pPr>
              <w:spacing w:after="0"/>
              <w:rPr>
                <w:sz w:val="17"/>
                <w:szCs w:val="17"/>
                <w:color w:val="auto"/>
              </w:rPr>
            </w:pPr>
          </w:p>
        </w:tc>
        <w:tc>
          <w:tcPr>
            <w:tcW w:w="4220" w:type="dxa"/>
            <w:vAlign w:val="bottom"/>
          </w:tcPr>
          <w:p>
            <w:pPr>
              <w:ind w:left="260"/>
              <w:spacing w:after="0" w:line="202" w:lineRule="exact"/>
              <w:rPr>
                <w:sz w:val="20"/>
                <w:szCs w:val="20"/>
                <w:color w:val="auto"/>
              </w:rPr>
            </w:pPr>
            <w:r>
              <w:rPr>
                <w:rFonts w:ascii="Arial" w:cs="Arial" w:eastAsia="Arial" w:hAnsi="Arial"/>
                <w:sz w:val="18"/>
                <w:szCs w:val="18"/>
                <w:color w:val="auto"/>
              </w:rPr>
              <w:t>Amortizable:</w:t>
            </w:r>
          </w:p>
        </w:tc>
        <w:tc>
          <w:tcPr>
            <w:tcW w:w="100" w:type="dxa"/>
            <w:vAlign w:val="bottom"/>
            <w:shd w:val="clear" w:color="auto" w:fill="E3F1DA"/>
          </w:tcPr>
          <w:p>
            <w:pPr>
              <w:spacing w:after="0"/>
              <w:rPr>
                <w:sz w:val="17"/>
                <w:szCs w:val="17"/>
                <w:color w:val="auto"/>
              </w:rPr>
            </w:pPr>
          </w:p>
        </w:tc>
        <w:tc>
          <w:tcPr>
            <w:tcW w:w="910" w:type="dxa"/>
            <w:vAlign w:val="bottom"/>
            <w:shd w:val="clear" w:color="auto" w:fill="E3F1DA"/>
          </w:tcPr>
          <w:p>
            <w:pPr>
              <w:spacing w:after="0"/>
              <w:rPr>
                <w:sz w:val="17"/>
                <w:szCs w:val="17"/>
                <w:color w:val="auto"/>
              </w:rPr>
            </w:pPr>
          </w:p>
        </w:tc>
        <w:tc>
          <w:tcPr>
            <w:tcW w:w="210" w:type="dxa"/>
            <w:vAlign w:val="bottom"/>
            <w:shd w:val="clear" w:color="auto" w:fill="E3F1DA"/>
          </w:tcPr>
          <w:p>
            <w:pPr>
              <w:spacing w:after="0"/>
              <w:rPr>
                <w:sz w:val="17"/>
                <w:szCs w:val="17"/>
                <w:color w:val="auto"/>
              </w:rPr>
            </w:pPr>
          </w:p>
        </w:tc>
        <w:tc>
          <w:tcPr>
            <w:tcW w:w="1140" w:type="dxa"/>
            <w:vAlign w:val="bottom"/>
            <w:shd w:val="clear" w:color="auto" w:fill="E3F1DA"/>
          </w:tcPr>
          <w:p>
            <w:pPr>
              <w:spacing w:after="0"/>
              <w:rPr>
                <w:sz w:val="17"/>
                <w:szCs w:val="17"/>
                <w:color w:val="auto"/>
              </w:rPr>
            </w:pPr>
          </w:p>
        </w:tc>
        <w:tc>
          <w:tcPr>
            <w:tcW w:w="220" w:type="dxa"/>
            <w:vAlign w:val="bottom"/>
            <w:shd w:val="clear" w:color="auto" w:fill="E3F1DA"/>
          </w:tcPr>
          <w:p>
            <w:pPr>
              <w:spacing w:after="0"/>
              <w:rPr>
                <w:sz w:val="17"/>
                <w:szCs w:val="17"/>
                <w:color w:val="auto"/>
              </w:rPr>
            </w:pPr>
          </w:p>
        </w:tc>
        <w:tc>
          <w:tcPr>
            <w:tcW w:w="1000" w:type="dxa"/>
            <w:vAlign w:val="bottom"/>
            <w:shd w:val="clear" w:color="auto" w:fill="E3F1DA"/>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220" w:type="dxa"/>
            <w:vAlign w:val="bottom"/>
          </w:tcPr>
          <w:p>
            <w:pPr>
              <w:ind w:left="260"/>
              <w:spacing w:after="0" w:line="202" w:lineRule="exact"/>
              <w:rPr>
                <w:sz w:val="20"/>
                <w:szCs w:val="20"/>
                <w:color w:val="auto"/>
              </w:rPr>
            </w:pPr>
            <w:r>
              <w:rPr>
                <w:rFonts w:ascii="Arial" w:cs="Arial" w:eastAsia="Arial" w:hAnsi="Arial"/>
                <w:sz w:val="18"/>
                <w:szCs w:val="18"/>
                <w:color w:val="auto"/>
              </w:rPr>
              <w:t>Technology</w:t>
            </w:r>
          </w:p>
        </w:tc>
        <w:tc>
          <w:tcPr>
            <w:tcW w:w="100" w:type="dxa"/>
            <w:vAlign w:val="bottom"/>
            <w:shd w:val="clear" w:color="auto" w:fill="E3F1DA"/>
          </w:tcPr>
          <w:p>
            <w:pPr>
              <w:jc w:val="right"/>
              <w:spacing w:after="0" w:line="202" w:lineRule="exact"/>
              <w:rPr>
                <w:sz w:val="20"/>
                <w:szCs w:val="20"/>
                <w:color w:val="auto"/>
              </w:rPr>
            </w:pPr>
            <w:r>
              <w:rPr>
                <w:rFonts w:ascii="Arial" w:cs="Arial" w:eastAsia="Arial" w:hAnsi="Arial"/>
                <w:sz w:val="18"/>
                <w:szCs w:val="18"/>
                <w:color w:val="86B6A5"/>
                <w:w w:val="79"/>
              </w:rPr>
              <w:t>$</w:t>
            </w:r>
          </w:p>
        </w:tc>
        <w:tc>
          <w:tcPr>
            <w:tcW w:w="910" w:type="dxa"/>
            <w:vAlign w:val="bottom"/>
            <w:shd w:val="clear" w:color="auto" w:fill="E3F1DA"/>
          </w:tcPr>
          <w:p>
            <w:pPr>
              <w:jc w:val="right"/>
              <w:ind w:right="21"/>
              <w:spacing w:after="0" w:line="202" w:lineRule="exact"/>
              <w:rPr>
                <w:sz w:val="20"/>
                <w:szCs w:val="20"/>
                <w:color w:val="auto"/>
              </w:rPr>
            </w:pPr>
            <w:r>
              <w:rPr>
                <w:rFonts w:ascii="Arial" w:cs="Arial" w:eastAsia="Arial" w:hAnsi="Arial"/>
                <w:sz w:val="18"/>
                <w:szCs w:val="18"/>
                <w:color w:val="86B6A5"/>
              </w:rPr>
              <w:t>19.6</w:t>
            </w:r>
          </w:p>
        </w:tc>
        <w:tc>
          <w:tcPr>
            <w:tcW w:w="210" w:type="dxa"/>
            <w:vAlign w:val="bottom"/>
            <w:shd w:val="clear" w:color="auto" w:fill="E3F1DA"/>
          </w:tcPr>
          <w:p>
            <w:pPr>
              <w:jc w:val="right"/>
              <w:spacing w:after="0" w:line="202" w:lineRule="exact"/>
              <w:rPr>
                <w:sz w:val="20"/>
                <w:szCs w:val="20"/>
                <w:color w:val="auto"/>
              </w:rPr>
            </w:pPr>
            <w:r>
              <w:rPr>
                <w:rFonts w:ascii="Arial" w:cs="Arial" w:eastAsia="Arial" w:hAnsi="Arial"/>
                <w:sz w:val="18"/>
                <w:szCs w:val="18"/>
                <w:color w:val="86B6A5"/>
              </w:rPr>
              <w:t>$</w:t>
            </w:r>
          </w:p>
        </w:tc>
        <w:tc>
          <w:tcPr>
            <w:tcW w:w="1140" w:type="dxa"/>
            <w:vAlign w:val="bottom"/>
            <w:shd w:val="clear" w:color="auto" w:fill="E3F1DA"/>
          </w:tcPr>
          <w:p>
            <w:pPr>
              <w:jc w:val="right"/>
              <w:ind w:right="11"/>
              <w:spacing w:after="0" w:line="202" w:lineRule="exact"/>
              <w:rPr>
                <w:sz w:val="20"/>
                <w:szCs w:val="20"/>
                <w:color w:val="auto"/>
              </w:rPr>
            </w:pPr>
            <w:r>
              <w:rPr>
                <w:rFonts w:ascii="Arial" w:cs="Arial" w:eastAsia="Arial" w:hAnsi="Arial"/>
                <w:sz w:val="18"/>
                <w:szCs w:val="18"/>
                <w:color w:val="86B6A5"/>
              </w:rPr>
              <w:t>19.6</w:t>
            </w:r>
          </w:p>
        </w:tc>
        <w:tc>
          <w:tcPr>
            <w:tcW w:w="220" w:type="dxa"/>
            <w:vAlign w:val="bottom"/>
            <w:shd w:val="clear" w:color="auto" w:fill="E3F1DA"/>
          </w:tcPr>
          <w:p>
            <w:pPr>
              <w:jc w:val="right"/>
              <w:spacing w:after="0" w:line="202" w:lineRule="exact"/>
              <w:rPr>
                <w:sz w:val="20"/>
                <w:szCs w:val="20"/>
                <w:color w:val="auto"/>
              </w:rPr>
            </w:pPr>
            <w:r>
              <w:rPr>
                <w:rFonts w:ascii="Arial" w:cs="Arial" w:eastAsia="Arial" w:hAnsi="Arial"/>
                <w:sz w:val="18"/>
                <w:szCs w:val="18"/>
                <w:color w:val="86B6A5"/>
              </w:rPr>
              <w:t>$</w:t>
            </w:r>
          </w:p>
        </w:tc>
        <w:tc>
          <w:tcPr>
            <w:tcW w:w="1000" w:type="dxa"/>
            <w:vAlign w:val="bottom"/>
            <w:shd w:val="clear" w:color="auto" w:fill="E3F1DA"/>
          </w:tcPr>
          <w:p>
            <w:pPr>
              <w:jc w:val="right"/>
              <w:ind w:right="111"/>
              <w:spacing w:after="0" w:line="202" w:lineRule="exact"/>
              <w:rPr>
                <w:sz w:val="20"/>
                <w:szCs w:val="20"/>
                <w:color w:val="auto"/>
              </w:rPr>
            </w:pPr>
            <w:r>
              <w:rPr>
                <w:rFonts w:ascii="Arial" w:cs="Arial" w:eastAsia="Arial" w:hAnsi="Arial"/>
                <w:sz w:val="18"/>
                <w:szCs w:val="18"/>
                <w:color w:val="86B6A5"/>
              </w:rPr>
              <w:t>–</w:t>
            </w:r>
          </w:p>
        </w:tc>
        <w:tc>
          <w:tcPr>
            <w:tcW w:w="280" w:type="dxa"/>
            <w:vAlign w:val="bottom"/>
          </w:tcPr>
          <w:p>
            <w:pPr>
              <w:jc w:val="right"/>
              <w:ind w:right="90"/>
              <w:spacing w:after="0" w:line="202" w:lineRule="exact"/>
              <w:rPr>
                <w:sz w:val="20"/>
                <w:szCs w:val="20"/>
                <w:color w:val="auto"/>
              </w:rPr>
            </w:pPr>
            <w:r>
              <w:rPr>
                <w:rFonts w:ascii="Arial" w:cs="Arial" w:eastAsia="Arial" w:hAnsi="Arial"/>
                <w:sz w:val="18"/>
                <w:szCs w:val="18"/>
                <w:color w:val="auto"/>
                <w:w w:val="79"/>
              </w:rPr>
              <w:t>$</w:t>
            </w:r>
          </w:p>
        </w:tc>
        <w:tc>
          <w:tcPr>
            <w:tcW w:w="740" w:type="dxa"/>
            <w:vAlign w:val="bottom"/>
          </w:tcPr>
          <w:p>
            <w:pPr>
              <w:jc w:val="right"/>
              <w:ind w:right="11"/>
              <w:spacing w:after="0" w:line="202" w:lineRule="exact"/>
              <w:rPr>
                <w:sz w:val="20"/>
                <w:szCs w:val="20"/>
                <w:color w:val="auto"/>
              </w:rPr>
            </w:pPr>
            <w:r>
              <w:rPr>
                <w:rFonts w:ascii="Arial" w:cs="Arial" w:eastAsia="Arial" w:hAnsi="Arial"/>
                <w:sz w:val="18"/>
                <w:szCs w:val="18"/>
                <w:color w:val="auto"/>
              </w:rPr>
              <w:t>19.6</w:t>
            </w:r>
          </w:p>
        </w:tc>
        <w:tc>
          <w:tcPr>
            <w:tcW w:w="2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140" w:type="dxa"/>
            <w:vAlign w:val="bottom"/>
          </w:tcPr>
          <w:p>
            <w:pPr>
              <w:jc w:val="right"/>
              <w:ind w:right="31"/>
              <w:spacing w:after="0" w:line="202" w:lineRule="exact"/>
              <w:rPr>
                <w:sz w:val="20"/>
                <w:szCs w:val="20"/>
                <w:color w:val="auto"/>
              </w:rPr>
            </w:pPr>
            <w:r>
              <w:rPr>
                <w:rFonts w:ascii="Arial" w:cs="Arial" w:eastAsia="Arial" w:hAnsi="Arial"/>
                <w:sz w:val="18"/>
                <w:szCs w:val="18"/>
                <w:color w:val="auto"/>
              </w:rPr>
              <w:t>19.6</w:t>
            </w:r>
          </w:p>
        </w:tc>
        <w:tc>
          <w:tcPr>
            <w:tcW w:w="380" w:type="dxa"/>
            <w:vAlign w:val="bottom"/>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4220" w:type="dxa"/>
            <w:vAlign w:val="bottom"/>
          </w:tcPr>
          <w:p>
            <w:pPr>
              <w:ind w:left="260"/>
              <w:spacing w:after="0" w:line="202" w:lineRule="exact"/>
              <w:rPr>
                <w:sz w:val="20"/>
                <w:szCs w:val="20"/>
                <w:color w:val="auto"/>
              </w:rPr>
            </w:pPr>
            <w:r>
              <w:rPr>
                <w:rFonts w:ascii="Arial" w:cs="Arial" w:eastAsia="Arial" w:hAnsi="Arial"/>
                <w:sz w:val="18"/>
                <w:szCs w:val="18"/>
                <w:color w:val="auto"/>
              </w:rPr>
              <w:t>Franchise Agreements</w:t>
            </w:r>
          </w:p>
        </w:tc>
        <w:tc>
          <w:tcPr>
            <w:tcW w:w="100" w:type="dxa"/>
            <w:vAlign w:val="bottom"/>
            <w:shd w:val="clear" w:color="auto" w:fill="E3F1DA"/>
          </w:tcPr>
          <w:p>
            <w:pPr>
              <w:spacing w:after="0"/>
              <w:rPr>
                <w:sz w:val="17"/>
                <w:szCs w:val="17"/>
                <w:color w:val="auto"/>
              </w:rPr>
            </w:pPr>
          </w:p>
        </w:tc>
        <w:tc>
          <w:tcPr>
            <w:tcW w:w="910" w:type="dxa"/>
            <w:vAlign w:val="bottom"/>
            <w:shd w:val="clear" w:color="auto" w:fill="E3F1DA"/>
          </w:tcPr>
          <w:p>
            <w:pPr>
              <w:jc w:val="right"/>
              <w:ind w:right="21"/>
              <w:spacing w:after="0" w:line="202" w:lineRule="exact"/>
              <w:rPr>
                <w:sz w:val="20"/>
                <w:szCs w:val="20"/>
                <w:color w:val="auto"/>
              </w:rPr>
            </w:pPr>
            <w:r>
              <w:rPr>
                <w:rFonts w:ascii="Arial" w:cs="Arial" w:eastAsia="Arial" w:hAnsi="Arial"/>
                <w:sz w:val="18"/>
                <w:szCs w:val="18"/>
                <w:color w:val="86B6A5"/>
              </w:rPr>
              <w:t>18.0</w:t>
            </w:r>
          </w:p>
        </w:tc>
        <w:tc>
          <w:tcPr>
            <w:tcW w:w="210" w:type="dxa"/>
            <w:vAlign w:val="bottom"/>
            <w:shd w:val="clear" w:color="auto" w:fill="E3F1DA"/>
          </w:tcPr>
          <w:p>
            <w:pPr>
              <w:spacing w:after="0"/>
              <w:rPr>
                <w:sz w:val="17"/>
                <w:szCs w:val="17"/>
                <w:color w:val="auto"/>
              </w:rPr>
            </w:pPr>
          </w:p>
        </w:tc>
        <w:tc>
          <w:tcPr>
            <w:tcW w:w="1140" w:type="dxa"/>
            <w:vAlign w:val="bottom"/>
            <w:shd w:val="clear" w:color="auto" w:fill="E3F1DA"/>
          </w:tcPr>
          <w:p>
            <w:pPr>
              <w:jc w:val="right"/>
              <w:ind w:right="11"/>
              <w:spacing w:after="0" w:line="202" w:lineRule="exact"/>
              <w:rPr>
                <w:sz w:val="20"/>
                <w:szCs w:val="20"/>
                <w:color w:val="auto"/>
              </w:rPr>
            </w:pPr>
            <w:r>
              <w:rPr>
                <w:rFonts w:ascii="Arial" w:cs="Arial" w:eastAsia="Arial" w:hAnsi="Arial"/>
                <w:sz w:val="18"/>
                <w:szCs w:val="18"/>
                <w:color w:val="86B6A5"/>
              </w:rPr>
              <w:t>12.5</w:t>
            </w:r>
          </w:p>
        </w:tc>
        <w:tc>
          <w:tcPr>
            <w:tcW w:w="220" w:type="dxa"/>
            <w:vAlign w:val="bottom"/>
            <w:shd w:val="clear" w:color="auto" w:fill="E3F1DA"/>
          </w:tcPr>
          <w:p>
            <w:pPr>
              <w:spacing w:after="0"/>
              <w:rPr>
                <w:sz w:val="17"/>
                <w:szCs w:val="17"/>
                <w:color w:val="auto"/>
              </w:rPr>
            </w:pPr>
          </w:p>
        </w:tc>
        <w:tc>
          <w:tcPr>
            <w:tcW w:w="1000" w:type="dxa"/>
            <w:vAlign w:val="bottom"/>
            <w:shd w:val="clear" w:color="auto" w:fill="E3F1DA"/>
          </w:tcPr>
          <w:p>
            <w:pPr>
              <w:jc w:val="right"/>
              <w:ind w:right="111"/>
              <w:spacing w:after="0" w:line="202" w:lineRule="exact"/>
              <w:rPr>
                <w:sz w:val="20"/>
                <w:szCs w:val="20"/>
                <w:color w:val="auto"/>
              </w:rPr>
            </w:pPr>
            <w:r>
              <w:rPr>
                <w:rFonts w:ascii="Arial" w:cs="Arial" w:eastAsia="Arial" w:hAnsi="Arial"/>
                <w:sz w:val="18"/>
                <w:szCs w:val="18"/>
                <w:color w:val="86B6A5"/>
              </w:rPr>
              <w:t>5.5</w:t>
            </w:r>
          </w:p>
        </w:tc>
        <w:tc>
          <w:tcPr>
            <w:tcW w:w="280" w:type="dxa"/>
            <w:vAlign w:val="bottom"/>
          </w:tcPr>
          <w:p>
            <w:pPr>
              <w:spacing w:after="0"/>
              <w:rPr>
                <w:sz w:val="17"/>
                <w:szCs w:val="17"/>
                <w:color w:val="auto"/>
              </w:rPr>
            </w:pPr>
          </w:p>
        </w:tc>
        <w:tc>
          <w:tcPr>
            <w:tcW w:w="740" w:type="dxa"/>
            <w:vAlign w:val="bottom"/>
          </w:tcPr>
          <w:p>
            <w:pPr>
              <w:jc w:val="right"/>
              <w:ind w:right="11"/>
              <w:spacing w:after="0" w:line="202" w:lineRule="exact"/>
              <w:rPr>
                <w:sz w:val="20"/>
                <w:szCs w:val="20"/>
                <w:color w:val="auto"/>
              </w:rPr>
            </w:pPr>
            <w:r>
              <w:rPr>
                <w:rFonts w:ascii="Arial" w:cs="Arial" w:eastAsia="Arial" w:hAnsi="Arial"/>
                <w:sz w:val="18"/>
                <w:szCs w:val="18"/>
                <w:color w:val="auto"/>
              </w:rPr>
              <w:t>18.0</w:t>
            </w:r>
          </w:p>
        </w:tc>
        <w:tc>
          <w:tcPr>
            <w:tcW w:w="220" w:type="dxa"/>
            <w:vAlign w:val="bottom"/>
          </w:tcPr>
          <w:p>
            <w:pPr>
              <w:spacing w:after="0"/>
              <w:rPr>
                <w:sz w:val="17"/>
                <w:szCs w:val="17"/>
                <w:color w:val="auto"/>
              </w:rPr>
            </w:pPr>
          </w:p>
        </w:tc>
        <w:tc>
          <w:tcPr>
            <w:tcW w:w="1140" w:type="dxa"/>
            <w:vAlign w:val="bottom"/>
          </w:tcPr>
          <w:p>
            <w:pPr>
              <w:jc w:val="right"/>
              <w:ind w:right="31"/>
              <w:spacing w:after="0" w:line="202" w:lineRule="exact"/>
              <w:rPr>
                <w:sz w:val="20"/>
                <w:szCs w:val="20"/>
                <w:color w:val="auto"/>
              </w:rPr>
            </w:pPr>
            <w:r>
              <w:rPr>
                <w:rFonts w:ascii="Arial" w:cs="Arial" w:eastAsia="Arial" w:hAnsi="Arial"/>
                <w:sz w:val="18"/>
                <w:szCs w:val="18"/>
                <w:color w:val="auto"/>
              </w:rPr>
              <w:t>10.7</w:t>
            </w:r>
          </w:p>
        </w:tc>
        <w:tc>
          <w:tcPr>
            <w:tcW w:w="380" w:type="dxa"/>
            <w:vAlign w:val="bottom"/>
          </w:tcPr>
          <w:p>
            <w:pPr>
              <w:spacing w:after="0"/>
              <w:rPr>
                <w:sz w:val="17"/>
                <w:szCs w:val="17"/>
                <w:color w:val="auto"/>
              </w:rPr>
            </w:pPr>
          </w:p>
        </w:tc>
        <w:tc>
          <w:tcPr>
            <w:tcW w:w="6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7.3</w:t>
            </w:r>
          </w:p>
        </w:tc>
      </w:tr>
      <w:tr>
        <w:trPr>
          <w:trHeight w:val="203"/>
        </w:trPr>
        <w:tc>
          <w:tcPr>
            <w:tcW w:w="20" w:type="dxa"/>
            <w:vAlign w:val="bottom"/>
          </w:tcPr>
          <w:p>
            <w:pPr>
              <w:spacing w:after="0"/>
              <w:rPr>
                <w:sz w:val="17"/>
                <w:szCs w:val="17"/>
                <w:color w:val="auto"/>
              </w:rPr>
            </w:pPr>
          </w:p>
        </w:tc>
        <w:tc>
          <w:tcPr>
            <w:tcW w:w="4220" w:type="dxa"/>
            <w:vAlign w:val="bottom"/>
          </w:tcPr>
          <w:p>
            <w:pPr>
              <w:ind w:left="260"/>
              <w:spacing w:after="0" w:line="202" w:lineRule="exact"/>
              <w:rPr>
                <w:sz w:val="20"/>
                <w:szCs w:val="20"/>
                <w:color w:val="auto"/>
              </w:rPr>
            </w:pPr>
            <w:r>
              <w:rPr>
                <w:rFonts w:ascii="Arial" w:cs="Arial" w:eastAsia="Arial" w:hAnsi="Arial"/>
                <w:sz w:val="18"/>
                <w:szCs w:val="18"/>
                <w:color w:val="auto"/>
              </w:rPr>
              <w:t>Customer Relationships</w:t>
            </w:r>
          </w:p>
        </w:tc>
        <w:tc>
          <w:tcPr>
            <w:tcW w:w="100" w:type="dxa"/>
            <w:vAlign w:val="bottom"/>
            <w:shd w:val="clear" w:color="auto" w:fill="E3F1DA"/>
          </w:tcPr>
          <w:p>
            <w:pPr>
              <w:spacing w:after="0"/>
              <w:rPr>
                <w:sz w:val="17"/>
                <w:szCs w:val="17"/>
                <w:color w:val="auto"/>
              </w:rPr>
            </w:pPr>
          </w:p>
        </w:tc>
        <w:tc>
          <w:tcPr>
            <w:tcW w:w="910" w:type="dxa"/>
            <w:vAlign w:val="bottom"/>
            <w:shd w:val="clear" w:color="auto" w:fill="E3F1DA"/>
          </w:tcPr>
          <w:p>
            <w:pPr>
              <w:jc w:val="right"/>
              <w:ind w:right="21"/>
              <w:spacing w:after="0" w:line="202" w:lineRule="exact"/>
              <w:rPr>
                <w:sz w:val="20"/>
                <w:szCs w:val="20"/>
                <w:color w:val="auto"/>
              </w:rPr>
            </w:pPr>
            <w:r>
              <w:rPr>
                <w:rFonts w:ascii="Arial" w:cs="Arial" w:eastAsia="Arial" w:hAnsi="Arial"/>
                <w:sz w:val="18"/>
                <w:szCs w:val="18"/>
                <w:color w:val="86B6A5"/>
              </w:rPr>
              <w:t>309.4</w:t>
            </w:r>
          </w:p>
        </w:tc>
        <w:tc>
          <w:tcPr>
            <w:tcW w:w="210" w:type="dxa"/>
            <w:vAlign w:val="bottom"/>
            <w:shd w:val="clear" w:color="auto" w:fill="E3F1DA"/>
          </w:tcPr>
          <w:p>
            <w:pPr>
              <w:spacing w:after="0"/>
              <w:rPr>
                <w:sz w:val="17"/>
                <w:szCs w:val="17"/>
                <w:color w:val="auto"/>
              </w:rPr>
            </w:pPr>
          </w:p>
        </w:tc>
        <w:tc>
          <w:tcPr>
            <w:tcW w:w="1140" w:type="dxa"/>
            <w:vAlign w:val="bottom"/>
            <w:shd w:val="clear" w:color="auto" w:fill="E3F1DA"/>
          </w:tcPr>
          <w:p>
            <w:pPr>
              <w:jc w:val="right"/>
              <w:ind w:right="11"/>
              <w:spacing w:after="0" w:line="202" w:lineRule="exact"/>
              <w:rPr>
                <w:sz w:val="20"/>
                <w:szCs w:val="20"/>
                <w:color w:val="auto"/>
              </w:rPr>
            </w:pPr>
            <w:r>
              <w:rPr>
                <w:rFonts w:ascii="Arial" w:cs="Arial" w:eastAsia="Arial" w:hAnsi="Arial"/>
                <w:sz w:val="18"/>
                <w:szCs w:val="18"/>
                <w:color w:val="86B6A5"/>
              </w:rPr>
              <w:t>94.3</w:t>
            </w:r>
          </w:p>
        </w:tc>
        <w:tc>
          <w:tcPr>
            <w:tcW w:w="220" w:type="dxa"/>
            <w:vAlign w:val="bottom"/>
            <w:shd w:val="clear" w:color="auto" w:fill="E3F1DA"/>
          </w:tcPr>
          <w:p>
            <w:pPr>
              <w:spacing w:after="0"/>
              <w:rPr>
                <w:sz w:val="17"/>
                <w:szCs w:val="17"/>
                <w:color w:val="auto"/>
              </w:rPr>
            </w:pPr>
          </w:p>
        </w:tc>
        <w:tc>
          <w:tcPr>
            <w:tcW w:w="1000" w:type="dxa"/>
            <w:vAlign w:val="bottom"/>
            <w:shd w:val="clear" w:color="auto" w:fill="E3F1DA"/>
          </w:tcPr>
          <w:p>
            <w:pPr>
              <w:jc w:val="right"/>
              <w:ind w:right="111"/>
              <w:spacing w:after="0" w:line="202" w:lineRule="exact"/>
              <w:rPr>
                <w:sz w:val="20"/>
                <w:szCs w:val="20"/>
                <w:color w:val="auto"/>
              </w:rPr>
            </w:pPr>
            <w:r>
              <w:rPr>
                <w:rFonts w:ascii="Arial" w:cs="Arial" w:eastAsia="Arial" w:hAnsi="Arial"/>
                <w:sz w:val="18"/>
                <w:szCs w:val="18"/>
                <w:color w:val="86B6A5"/>
              </w:rPr>
              <w:t>215.1</w:t>
            </w:r>
          </w:p>
        </w:tc>
        <w:tc>
          <w:tcPr>
            <w:tcW w:w="280" w:type="dxa"/>
            <w:vAlign w:val="bottom"/>
          </w:tcPr>
          <w:p>
            <w:pPr>
              <w:spacing w:after="0"/>
              <w:rPr>
                <w:sz w:val="17"/>
                <w:szCs w:val="17"/>
                <w:color w:val="auto"/>
              </w:rPr>
            </w:pPr>
          </w:p>
        </w:tc>
        <w:tc>
          <w:tcPr>
            <w:tcW w:w="740" w:type="dxa"/>
            <w:vAlign w:val="bottom"/>
          </w:tcPr>
          <w:p>
            <w:pPr>
              <w:jc w:val="right"/>
              <w:ind w:right="11"/>
              <w:spacing w:after="0" w:line="202" w:lineRule="exact"/>
              <w:rPr>
                <w:sz w:val="20"/>
                <w:szCs w:val="20"/>
                <w:color w:val="auto"/>
              </w:rPr>
            </w:pPr>
            <w:r>
              <w:rPr>
                <w:rFonts w:ascii="Arial" w:cs="Arial" w:eastAsia="Arial" w:hAnsi="Arial"/>
                <w:sz w:val="18"/>
                <w:szCs w:val="18"/>
                <w:color w:val="auto"/>
              </w:rPr>
              <w:t>173.8</w:t>
            </w:r>
          </w:p>
        </w:tc>
        <w:tc>
          <w:tcPr>
            <w:tcW w:w="220" w:type="dxa"/>
            <w:vAlign w:val="bottom"/>
          </w:tcPr>
          <w:p>
            <w:pPr>
              <w:spacing w:after="0"/>
              <w:rPr>
                <w:sz w:val="17"/>
                <w:szCs w:val="17"/>
                <w:color w:val="auto"/>
              </w:rPr>
            </w:pPr>
          </w:p>
        </w:tc>
        <w:tc>
          <w:tcPr>
            <w:tcW w:w="1140" w:type="dxa"/>
            <w:vAlign w:val="bottom"/>
          </w:tcPr>
          <w:p>
            <w:pPr>
              <w:jc w:val="right"/>
              <w:ind w:right="31"/>
              <w:spacing w:after="0" w:line="202" w:lineRule="exact"/>
              <w:rPr>
                <w:sz w:val="20"/>
                <w:szCs w:val="20"/>
                <w:color w:val="auto"/>
              </w:rPr>
            </w:pPr>
            <w:r>
              <w:rPr>
                <w:rFonts w:ascii="Arial" w:cs="Arial" w:eastAsia="Arial" w:hAnsi="Arial"/>
                <w:sz w:val="18"/>
                <w:szCs w:val="18"/>
                <w:color w:val="auto"/>
              </w:rPr>
              <w:t>58.8</w:t>
            </w:r>
          </w:p>
        </w:tc>
        <w:tc>
          <w:tcPr>
            <w:tcW w:w="380" w:type="dxa"/>
            <w:vAlign w:val="bottom"/>
          </w:tcPr>
          <w:p>
            <w:pPr>
              <w:spacing w:after="0"/>
              <w:rPr>
                <w:sz w:val="17"/>
                <w:szCs w:val="17"/>
                <w:color w:val="auto"/>
              </w:rPr>
            </w:pPr>
          </w:p>
        </w:tc>
        <w:tc>
          <w:tcPr>
            <w:tcW w:w="6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115.0</w:t>
            </w:r>
          </w:p>
        </w:tc>
      </w:tr>
      <w:tr>
        <w:trPr>
          <w:trHeight w:val="203"/>
        </w:trPr>
        <w:tc>
          <w:tcPr>
            <w:tcW w:w="20" w:type="dxa"/>
            <w:vAlign w:val="bottom"/>
          </w:tcPr>
          <w:p>
            <w:pPr>
              <w:spacing w:after="0"/>
              <w:rPr>
                <w:sz w:val="17"/>
                <w:szCs w:val="17"/>
                <w:color w:val="auto"/>
              </w:rPr>
            </w:pPr>
          </w:p>
        </w:tc>
        <w:tc>
          <w:tcPr>
            <w:tcW w:w="4220" w:type="dxa"/>
            <w:vAlign w:val="bottom"/>
          </w:tcPr>
          <w:p>
            <w:pPr>
              <w:ind w:left="260"/>
              <w:spacing w:after="0" w:line="203" w:lineRule="exact"/>
              <w:rPr>
                <w:sz w:val="20"/>
                <w:szCs w:val="20"/>
                <w:color w:val="auto"/>
              </w:rPr>
            </w:pPr>
            <w:r>
              <w:rPr>
                <w:rFonts w:ascii="Arial" w:cs="Arial" w:eastAsia="Arial" w:hAnsi="Arial"/>
                <w:sz w:val="18"/>
                <w:szCs w:val="18"/>
                <w:color w:val="auto"/>
              </w:rPr>
              <w:t>Other</w:t>
            </w:r>
          </w:p>
        </w:tc>
        <w:tc>
          <w:tcPr>
            <w:tcW w:w="100" w:type="dxa"/>
            <w:vAlign w:val="bottom"/>
            <w:shd w:val="clear" w:color="auto" w:fill="E3F1DA"/>
          </w:tcPr>
          <w:p>
            <w:pPr>
              <w:spacing w:after="0"/>
              <w:rPr>
                <w:sz w:val="17"/>
                <w:szCs w:val="17"/>
                <w:color w:val="auto"/>
              </w:rPr>
            </w:pPr>
          </w:p>
        </w:tc>
        <w:tc>
          <w:tcPr>
            <w:tcW w:w="910" w:type="dxa"/>
            <w:vAlign w:val="bottom"/>
            <w:shd w:val="clear" w:color="auto" w:fill="E3F1DA"/>
          </w:tcPr>
          <w:p>
            <w:pPr>
              <w:jc w:val="right"/>
              <w:ind w:right="21"/>
              <w:spacing w:after="0" w:line="203" w:lineRule="exact"/>
              <w:rPr>
                <w:sz w:val="20"/>
                <w:szCs w:val="20"/>
                <w:color w:val="auto"/>
              </w:rPr>
            </w:pPr>
            <w:r>
              <w:rPr>
                <w:rFonts w:ascii="Arial" w:cs="Arial" w:eastAsia="Arial" w:hAnsi="Arial"/>
                <w:sz w:val="18"/>
                <w:szCs w:val="18"/>
                <w:color w:val="86B6A5"/>
              </w:rPr>
              <w:t>14.0</w:t>
            </w:r>
          </w:p>
        </w:tc>
        <w:tc>
          <w:tcPr>
            <w:tcW w:w="210" w:type="dxa"/>
            <w:vAlign w:val="bottom"/>
            <w:shd w:val="clear" w:color="auto" w:fill="E3F1DA"/>
          </w:tcPr>
          <w:p>
            <w:pPr>
              <w:spacing w:after="0"/>
              <w:rPr>
                <w:sz w:val="17"/>
                <w:szCs w:val="17"/>
                <w:color w:val="auto"/>
              </w:rPr>
            </w:pPr>
          </w:p>
        </w:tc>
        <w:tc>
          <w:tcPr>
            <w:tcW w:w="1140" w:type="dxa"/>
            <w:vAlign w:val="bottom"/>
            <w:shd w:val="clear" w:color="auto" w:fill="E3F1DA"/>
          </w:tcPr>
          <w:p>
            <w:pPr>
              <w:jc w:val="right"/>
              <w:ind w:right="11"/>
              <w:spacing w:after="0" w:line="203" w:lineRule="exact"/>
              <w:rPr>
                <w:sz w:val="20"/>
                <w:szCs w:val="20"/>
                <w:color w:val="auto"/>
              </w:rPr>
            </w:pPr>
            <w:r>
              <w:rPr>
                <w:rFonts w:ascii="Arial" w:cs="Arial" w:eastAsia="Arial" w:hAnsi="Arial"/>
                <w:sz w:val="18"/>
                <w:szCs w:val="18"/>
                <w:color w:val="86B6A5"/>
              </w:rPr>
              <w:t>11.7</w:t>
            </w:r>
          </w:p>
        </w:tc>
        <w:tc>
          <w:tcPr>
            <w:tcW w:w="220" w:type="dxa"/>
            <w:vAlign w:val="bottom"/>
            <w:shd w:val="clear" w:color="auto" w:fill="E3F1DA"/>
          </w:tcPr>
          <w:p>
            <w:pPr>
              <w:spacing w:after="0"/>
              <w:rPr>
                <w:sz w:val="17"/>
                <w:szCs w:val="17"/>
                <w:color w:val="auto"/>
              </w:rPr>
            </w:pPr>
          </w:p>
        </w:tc>
        <w:tc>
          <w:tcPr>
            <w:tcW w:w="1000" w:type="dxa"/>
            <w:vAlign w:val="bottom"/>
            <w:shd w:val="clear" w:color="auto" w:fill="E3F1DA"/>
          </w:tcPr>
          <w:p>
            <w:pPr>
              <w:jc w:val="right"/>
              <w:ind w:right="111"/>
              <w:spacing w:after="0" w:line="203" w:lineRule="exact"/>
              <w:rPr>
                <w:sz w:val="20"/>
                <w:szCs w:val="20"/>
                <w:color w:val="auto"/>
              </w:rPr>
            </w:pPr>
            <w:r>
              <w:rPr>
                <w:rFonts w:ascii="Arial" w:cs="Arial" w:eastAsia="Arial" w:hAnsi="Arial"/>
                <w:sz w:val="18"/>
                <w:szCs w:val="18"/>
                <w:color w:val="86B6A5"/>
              </w:rPr>
              <w:t>2.3</w:t>
            </w:r>
          </w:p>
        </w:tc>
        <w:tc>
          <w:tcPr>
            <w:tcW w:w="280" w:type="dxa"/>
            <w:vAlign w:val="bottom"/>
          </w:tcPr>
          <w:p>
            <w:pPr>
              <w:spacing w:after="0"/>
              <w:rPr>
                <w:sz w:val="17"/>
                <w:szCs w:val="17"/>
                <w:color w:val="auto"/>
              </w:rPr>
            </w:pPr>
          </w:p>
        </w:tc>
        <w:tc>
          <w:tcPr>
            <w:tcW w:w="740" w:type="dxa"/>
            <w:vAlign w:val="bottom"/>
          </w:tcPr>
          <w:p>
            <w:pPr>
              <w:jc w:val="right"/>
              <w:ind w:right="11"/>
              <w:spacing w:after="0" w:line="203" w:lineRule="exact"/>
              <w:rPr>
                <w:sz w:val="20"/>
                <w:szCs w:val="20"/>
                <w:color w:val="auto"/>
              </w:rPr>
            </w:pPr>
            <w:r>
              <w:rPr>
                <w:rFonts w:ascii="Arial" w:cs="Arial" w:eastAsia="Arial" w:hAnsi="Arial"/>
                <w:sz w:val="18"/>
                <w:szCs w:val="18"/>
                <w:color w:val="auto"/>
              </w:rPr>
              <w:t>18.4</w:t>
            </w:r>
          </w:p>
        </w:tc>
        <w:tc>
          <w:tcPr>
            <w:tcW w:w="220" w:type="dxa"/>
            <w:vAlign w:val="bottom"/>
          </w:tcPr>
          <w:p>
            <w:pPr>
              <w:spacing w:after="0"/>
              <w:rPr>
                <w:sz w:val="17"/>
                <w:szCs w:val="17"/>
                <w:color w:val="auto"/>
              </w:rPr>
            </w:pPr>
          </w:p>
        </w:tc>
        <w:tc>
          <w:tcPr>
            <w:tcW w:w="1140" w:type="dxa"/>
            <w:vAlign w:val="bottom"/>
          </w:tcPr>
          <w:p>
            <w:pPr>
              <w:jc w:val="right"/>
              <w:ind w:right="31"/>
              <w:spacing w:after="0" w:line="203" w:lineRule="exact"/>
              <w:rPr>
                <w:sz w:val="20"/>
                <w:szCs w:val="20"/>
                <w:color w:val="auto"/>
              </w:rPr>
            </w:pPr>
            <w:r>
              <w:rPr>
                <w:rFonts w:ascii="Arial" w:cs="Arial" w:eastAsia="Arial" w:hAnsi="Arial"/>
                <w:sz w:val="18"/>
                <w:szCs w:val="18"/>
                <w:color w:val="auto"/>
              </w:rPr>
              <w:t>11.4</w:t>
            </w:r>
          </w:p>
        </w:tc>
        <w:tc>
          <w:tcPr>
            <w:tcW w:w="380" w:type="dxa"/>
            <w:vAlign w:val="bottom"/>
          </w:tcPr>
          <w:p>
            <w:pPr>
              <w:spacing w:after="0"/>
              <w:rPr>
                <w:sz w:val="17"/>
                <w:szCs w:val="17"/>
                <w:color w:val="auto"/>
              </w:rPr>
            </w:pPr>
          </w:p>
        </w:tc>
        <w:tc>
          <w:tcPr>
            <w:tcW w:w="640" w:type="dxa"/>
            <w:vAlign w:val="bottom"/>
            <w:gridSpan w:val="2"/>
          </w:tcPr>
          <w:p>
            <w:pPr>
              <w:jc w:val="right"/>
              <w:ind w:right="20"/>
              <w:spacing w:after="0" w:line="203" w:lineRule="exact"/>
              <w:rPr>
                <w:sz w:val="20"/>
                <w:szCs w:val="20"/>
                <w:color w:val="auto"/>
              </w:rPr>
            </w:pPr>
            <w:r>
              <w:rPr>
                <w:rFonts w:ascii="Arial" w:cs="Arial" w:eastAsia="Arial" w:hAnsi="Arial"/>
                <w:sz w:val="18"/>
                <w:szCs w:val="18"/>
                <w:color w:val="auto"/>
              </w:rPr>
              <w:t>7.0</w:t>
            </w:r>
          </w:p>
        </w:tc>
      </w:tr>
      <w:tr>
        <w:trPr>
          <w:trHeight w:val="196"/>
        </w:trPr>
        <w:tc>
          <w:tcPr>
            <w:tcW w:w="20" w:type="dxa"/>
            <w:vAlign w:val="bottom"/>
          </w:tcPr>
          <w:p>
            <w:pPr>
              <w:spacing w:after="0"/>
              <w:rPr>
                <w:sz w:val="17"/>
                <w:szCs w:val="17"/>
                <w:color w:val="auto"/>
              </w:rPr>
            </w:pPr>
          </w:p>
        </w:tc>
        <w:tc>
          <w:tcPr>
            <w:tcW w:w="4220" w:type="dxa"/>
            <w:vAlign w:val="bottom"/>
            <w:tcBorders>
              <w:top w:val="single" w:sz="8" w:color="939598"/>
              <w:bottom w:val="single" w:sz="8" w:color="939598"/>
            </w:tcBorders>
          </w:tcPr>
          <w:p>
            <w:pPr>
              <w:spacing w:after="0"/>
              <w:rPr>
                <w:sz w:val="17"/>
                <w:szCs w:val="17"/>
                <w:color w:val="auto"/>
              </w:rPr>
            </w:pPr>
          </w:p>
        </w:tc>
        <w:tc>
          <w:tcPr>
            <w:tcW w:w="100" w:type="dxa"/>
            <w:vAlign w:val="bottom"/>
            <w:tcBorders>
              <w:top w:val="single" w:sz="8" w:color="939598"/>
              <w:bottom w:val="single" w:sz="8" w:color="939598"/>
            </w:tcBorders>
            <w:shd w:val="clear" w:color="auto" w:fill="E3F1DA"/>
          </w:tcPr>
          <w:p>
            <w:pPr>
              <w:spacing w:after="0"/>
              <w:rPr>
                <w:sz w:val="17"/>
                <w:szCs w:val="17"/>
                <w:color w:val="auto"/>
              </w:rPr>
            </w:pPr>
          </w:p>
        </w:tc>
        <w:tc>
          <w:tcPr>
            <w:tcW w:w="910" w:type="dxa"/>
            <w:vAlign w:val="bottom"/>
            <w:tcBorders>
              <w:top w:val="single" w:sz="8" w:color="939598"/>
              <w:bottom w:val="single" w:sz="8" w:color="939598"/>
            </w:tcBorders>
            <w:shd w:val="clear" w:color="auto" w:fill="E3F1DA"/>
          </w:tcPr>
          <w:p>
            <w:pPr>
              <w:jc w:val="right"/>
              <w:ind w:right="21"/>
              <w:spacing w:after="0" w:line="196" w:lineRule="exact"/>
              <w:rPr>
                <w:sz w:val="20"/>
                <w:szCs w:val="20"/>
                <w:color w:val="auto"/>
              </w:rPr>
            </w:pPr>
            <w:r>
              <w:rPr>
                <w:rFonts w:ascii="Arial" w:cs="Arial" w:eastAsia="Arial" w:hAnsi="Arial"/>
                <w:sz w:val="18"/>
                <w:szCs w:val="18"/>
                <w:color w:val="86B6A5"/>
              </w:rPr>
              <w:t>361.0</w:t>
            </w:r>
          </w:p>
        </w:tc>
        <w:tc>
          <w:tcPr>
            <w:tcW w:w="210" w:type="dxa"/>
            <w:vAlign w:val="bottom"/>
            <w:tcBorders>
              <w:top w:val="single" w:sz="8" w:color="939598"/>
              <w:bottom w:val="single" w:sz="8" w:color="939598"/>
            </w:tcBorders>
            <w:shd w:val="clear" w:color="auto" w:fill="E3F1DA"/>
          </w:tcPr>
          <w:p>
            <w:pPr>
              <w:spacing w:after="0"/>
              <w:rPr>
                <w:sz w:val="17"/>
                <w:szCs w:val="17"/>
                <w:color w:val="auto"/>
              </w:rPr>
            </w:pPr>
          </w:p>
        </w:tc>
        <w:tc>
          <w:tcPr>
            <w:tcW w:w="1140" w:type="dxa"/>
            <w:vAlign w:val="bottom"/>
            <w:tcBorders>
              <w:top w:val="single" w:sz="8" w:color="939598"/>
              <w:bottom w:val="single" w:sz="8" w:color="939598"/>
            </w:tcBorders>
            <w:shd w:val="clear" w:color="auto" w:fill="E3F1DA"/>
          </w:tcPr>
          <w:p>
            <w:pPr>
              <w:jc w:val="right"/>
              <w:ind w:right="11"/>
              <w:spacing w:after="0" w:line="196" w:lineRule="exact"/>
              <w:rPr>
                <w:sz w:val="20"/>
                <w:szCs w:val="20"/>
                <w:color w:val="auto"/>
              </w:rPr>
            </w:pPr>
            <w:r>
              <w:rPr>
                <w:rFonts w:ascii="Arial" w:cs="Arial" w:eastAsia="Arial" w:hAnsi="Arial"/>
                <w:sz w:val="18"/>
                <w:szCs w:val="18"/>
                <w:color w:val="86B6A5"/>
              </w:rPr>
              <w:t>138.1</w:t>
            </w:r>
          </w:p>
        </w:tc>
        <w:tc>
          <w:tcPr>
            <w:tcW w:w="220" w:type="dxa"/>
            <w:vAlign w:val="bottom"/>
            <w:tcBorders>
              <w:top w:val="single" w:sz="8" w:color="939598"/>
              <w:bottom w:val="single" w:sz="8" w:color="939598"/>
            </w:tcBorders>
            <w:shd w:val="clear" w:color="auto" w:fill="E3F1DA"/>
          </w:tcPr>
          <w:p>
            <w:pPr>
              <w:spacing w:after="0"/>
              <w:rPr>
                <w:sz w:val="17"/>
                <w:szCs w:val="17"/>
                <w:color w:val="auto"/>
              </w:rPr>
            </w:pPr>
          </w:p>
        </w:tc>
        <w:tc>
          <w:tcPr>
            <w:tcW w:w="1000" w:type="dxa"/>
            <w:vAlign w:val="bottom"/>
            <w:tcBorders>
              <w:top w:val="single" w:sz="8" w:color="939598"/>
              <w:bottom w:val="single" w:sz="8" w:color="939598"/>
            </w:tcBorders>
            <w:shd w:val="clear" w:color="auto" w:fill="E3F1DA"/>
          </w:tcPr>
          <w:p>
            <w:pPr>
              <w:jc w:val="right"/>
              <w:ind w:right="111"/>
              <w:spacing w:after="0" w:line="196" w:lineRule="exact"/>
              <w:rPr>
                <w:sz w:val="20"/>
                <w:szCs w:val="20"/>
                <w:color w:val="auto"/>
              </w:rPr>
            </w:pPr>
            <w:r>
              <w:rPr>
                <w:rFonts w:ascii="Arial" w:cs="Arial" w:eastAsia="Arial" w:hAnsi="Arial"/>
                <w:sz w:val="18"/>
                <w:szCs w:val="18"/>
                <w:color w:val="86B6A5"/>
              </w:rPr>
              <w:t>222.9</w:t>
            </w:r>
          </w:p>
        </w:tc>
        <w:tc>
          <w:tcPr>
            <w:tcW w:w="280" w:type="dxa"/>
            <w:vAlign w:val="bottom"/>
            <w:tcBorders>
              <w:top w:val="single" w:sz="8" w:color="939598"/>
              <w:bottom w:val="single" w:sz="8" w:color="939598"/>
            </w:tcBorders>
          </w:tcPr>
          <w:p>
            <w:pPr>
              <w:spacing w:after="0"/>
              <w:rPr>
                <w:sz w:val="17"/>
                <w:szCs w:val="17"/>
                <w:color w:val="auto"/>
              </w:rPr>
            </w:pPr>
          </w:p>
        </w:tc>
        <w:tc>
          <w:tcPr>
            <w:tcW w:w="740" w:type="dxa"/>
            <w:vAlign w:val="bottom"/>
            <w:tcBorders>
              <w:top w:val="single" w:sz="8" w:color="939598"/>
              <w:bottom w:val="single" w:sz="8" w:color="939598"/>
            </w:tcBorders>
          </w:tcPr>
          <w:p>
            <w:pPr>
              <w:jc w:val="right"/>
              <w:ind w:right="11"/>
              <w:spacing w:after="0" w:line="196" w:lineRule="exact"/>
              <w:rPr>
                <w:sz w:val="20"/>
                <w:szCs w:val="20"/>
                <w:color w:val="auto"/>
              </w:rPr>
            </w:pPr>
            <w:r>
              <w:rPr>
                <w:rFonts w:ascii="Arial" w:cs="Arial" w:eastAsia="Arial" w:hAnsi="Arial"/>
                <w:sz w:val="18"/>
                <w:szCs w:val="18"/>
                <w:color w:val="auto"/>
              </w:rPr>
              <w:t>229.8</w:t>
            </w:r>
          </w:p>
        </w:tc>
        <w:tc>
          <w:tcPr>
            <w:tcW w:w="220" w:type="dxa"/>
            <w:vAlign w:val="bottom"/>
            <w:tcBorders>
              <w:top w:val="single" w:sz="8" w:color="939598"/>
              <w:bottom w:val="single" w:sz="8" w:color="939598"/>
            </w:tcBorders>
          </w:tcPr>
          <w:p>
            <w:pPr>
              <w:spacing w:after="0"/>
              <w:rPr>
                <w:sz w:val="17"/>
                <w:szCs w:val="17"/>
                <w:color w:val="auto"/>
              </w:rPr>
            </w:pPr>
          </w:p>
        </w:tc>
        <w:tc>
          <w:tcPr>
            <w:tcW w:w="1140" w:type="dxa"/>
            <w:vAlign w:val="bottom"/>
            <w:tcBorders>
              <w:top w:val="single" w:sz="8" w:color="939598"/>
              <w:bottom w:val="single" w:sz="8" w:color="939598"/>
            </w:tcBorders>
          </w:tcPr>
          <w:p>
            <w:pPr>
              <w:jc w:val="right"/>
              <w:ind w:right="31"/>
              <w:spacing w:after="0" w:line="196" w:lineRule="exact"/>
              <w:rPr>
                <w:sz w:val="20"/>
                <w:szCs w:val="20"/>
                <w:color w:val="auto"/>
              </w:rPr>
            </w:pPr>
            <w:r>
              <w:rPr>
                <w:rFonts w:ascii="Arial" w:cs="Arial" w:eastAsia="Arial" w:hAnsi="Arial"/>
                <w:sz w:val="18"/>
                <w:szCs w:val="18"/>
                <w:color w:val="auto"/>
              </w:rPr>
              <w:t>100.5</w:t>
            </w:r>
          </w:p>
        </w:tc>
        <w:tc>
          <w:tcPr>
            <w:tcW w:w="380" w:type="dxa"/>
            <w:vAlign w:val="bottom"/>
            <w:tcBorders>
              <w:top w:val="single" w:sz="8" w:color="939598"/>
              <w:bottom w:val="single" w:sz="8" w:color="939598"/>
            </w:tcBorders>
          </w:tcPr>
          <w:p>
            <w:pPr>
              <w:spacing w:after="0"/>
              <w:rPr>
                <w:sz w:val="17"/>
                <w:szCs w:val="17"/>
                <w:color w:val="auto"/>
              </w:rPr>
            </w:pPr>
          </w:p>
        </w:tc>
        <w:tc>
          <w:tcPr>
            <w:tcW w:w="620" w:type="dxa"/>
            <w:vAlign w:val="bottom"/>
            <w:tcBorders>
              <w:top w:val="single" w:sz="8" w:color="939598"/>
              <w:bottom w:val="single" w:sz="8" w:color="939598"/>
            </w:tcBorders>
          </w:tcPr>
          <w:p>
            <w:pPr>
              <w:jc w:val="right"/>
              <w:spacing w:after="0" w:line="196" w:lineRule="exact"/>
              <w:rPr>
                <w:sz w:val="20"/>
                <w:szCs w:val="20"/>
                <w:color w:val="auto"/>
              </w:rPr>
            </w:pPr>
            <w:r>
              <w:rPr>
                <w:rFonts w:ascii="Arial" w:cs="Arial" w:eastAsia="Arial" w:hAnsi="Arial"/>
                <w:sz w:val="18"/>
                <w:szCs w:val="18"/>
                <w:color w:val="auto"/>
              </w:rPr>
              <w:t>129.3</w:t>
            </w:r>
          </w:p>
        </w:tc>
        <w:tc>
          <w:tcPr>
            <w:tcW w:w="20" w:type="dxa"/>
            <w:vAlign w:val="bottom"/>
          </w:tcPr>
          <w:p>
            <w:pPr>
              <w:spacing w:after="0"/>
              <w:rPr>
                <w:sz w:val="17"/>
                <w:szCs w:val="17"/>
                <w:color w:val="auto"/>
              </w:rPr>
            </w:pPr>
          </w:p>
        </w:tc>
      </w:tr>
      <w:tr>
        <w:trPr>
          <w:trHeight w:val="190"/>
        </w:trPr>
        <w:tc>
          <w:tcPr>
            <w:tcW w:w="20" w:type="dxa"/>
            <w:vAlign w:val="bottom"/>
          </w:tcPr>
          <w:p>
            <w:pPr>
              <w:spacing w:after="0"/>
              <w:rPr>
                <w:sz w:val="16"/>
                <w:szCs w:val="16"/>
                <w:color w:val="auto"/>
              </w:rPr>
            </w:pPr>
          </w:p>
        </w:tc>
        <w:tc>
          <w:tcPr>
            <w:tcW w:w="4220" w:type="dxa"/>
            <w:vAlign w:val="bottom"/>
          </w:tcPr>
          <w:p>
            <w:pPr>
              <w:spacing w:after="0" w:line="190" w:lineRule="exact"/>
              <w:rPr>
                <w:sz w:val="20"/>
                <w:szCs w:val="20"/>
                <w:color w:val="auto"/>
              </w:rPr>
            </w:pPr>
            <w:r>
              <w:rPr>
                <w:rFonts w:ascii="Arial" w:cs="Arial" w:eastAsia="Arial" w:hAnsi="Arial"/>
                <w:sz w:val="18"/>
                <w:szCs w:val="18"/>
                <w:color w:val="auto"/>
              </w:rPr>
              <w:t>Non-Amortizable:</w:t>
            </w:r>
          </w:p>
        </w:tc>
        <w:tc>
          <w:tcPr>
            <w:tcW w:w="100" w:type="dxa"/>
            <w:vAlign w:val="bottom"/>
            <w:shd w:val="clear" w:color="auto" w:fill="E3F1DA"/>
          </w:tcPr>
          <w:p>
            <w:pPr>
              <w:spacing w:after="0"/>
              <w:rPr>
                <w:sz w:val="16"/>
                <w:szCs w:val="16"/>
                <w:color w:val="auto"/>
              </w:rPr>
            </w:pPr>
          </w:p>
        </w:tc>
        <w:tc>
          <w:tcPr>
            <w:tcW w:w="910" w:type="dxa"/>
            <w:vAlign w:val="bottom"/>
            <w:shd w:val="clear" w:color="auto" w:fill="E3F1DA"/>
          </w:tcPr>
          <w:p>
            <w:pPr>
              <w:spacing w:after="0"/>
              <w:rPr>
                <w:sz w:val="16"/>
                <w:szCs w:val="16"/>
                <w:color w:val="auto"/>
              </w:rPr>
            </w:pPr>
          </w:p>
        </w:tc>
        <w:tc>
          <w:tcPr>
            <w:tcW w:w="210" w:type="dxa"/>
            <w:vAlign w:val="bottom"/>
            <w:shd w:val="clear" w:color="auto" w:fill="E3F1DA"/>
          </w:tcPr>
          <w:p>
            <w:pPr>
              <w:spacing w:after="0"/>
              <w:rPr>
                <w:sz w:val="16"/>
                <w:szCs w:val="16"/>
                <w:color w:val="auto"/>
              </w:rPr>
            </w:pPr>
          </w:p>
        </w:tc>
        <w:tc>
          <w:tcPr>
            <w:tcW w:w="1140" w:type="dxa"/>
            <w:vAlign w:val="bottom"/>
            <w:shd w:val="clear" w:color="auto" w:fill="E3F1DA"/>
          </w:tcPr>
          <w:p>
            <w:pPr>
              <w:spacing w:after="0"/>
              <w:rPr>
                <w:sz w:val="16"/>
                <w:szCs w:val="16"/>
                <w:color w:val="auto"/>
              </w:rPr>
            </w:pPr>
          </w:p>
        </w:tc>
        <w:tc>
          <w:tcPr>
            <w:tcW w:w="220" w:type="dxa"/>
            <w:vAlign w:val="bottom"/>
            <w:shd w:val="clear" w:color="auto" w:fill="E3F1DA"/>
          </w:tcPr>
          <w:p>
            <w:pPr>
              <w:spacing w:after="0"/>
              <w:rPr>
                <w:sz w:val="16"/>
                <w:szCs w:val="16"/>
                <w:color w:val="auto"/>
              </w:rPr>
            </w:pPr>
          </w:p>
        </w:tc>
        <w:tc>
          <w:tcPr>
            <w:tcW w:w="1000" w:type="dxa"/>
            <w:vAlign w:val="bottom"/>
            <w:shd w:val="clear" w:color="auto" w:fill="E3F1DA"/>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8"/>
        </w:trPr>
        <w:tc>
          <w:tcPr>
            <w:tcW w:w="20" w:type="dxa"/>
            <w:vAlign w:val="bottom"/>
          </w:tcPr>
          <w:p>
            <w:pPr>
              <w:spacing w:after="0"/>
              <w:rPr>
                <w:sz w:val="18"/>
                <w:szCs w:val="18"/>
                <w:color w:val="auto"/>
              </w:rPr>
            </w:pPr>
          </w:p>
        </w:tc>
        <w:tc>
          <w:tcPr>
            <w:tcW w:w="4220" w:type="dxa"/>
            <w:vAlign w:val="bottom"/>
          </w:tcPr>
          <w:p>
            <w:pPr>
              <w:ind w:left="260"/>
              <w:spacing w:after="0" w:line="207" w:lineRule="exact"/>
              <w:rPr>
                <w:sz w:val="20"/>
                <w:szCs w:val="20"/>
                <w:color w:val="auto"/>
              </w:rPr>
            </w:pPr>
            <w:r>
              <w:rPr>
                <w:rFonts w:ascii="Arial" w:cs="Arial" w:eastAsia="Arial" w:hAnsi="Arial"/>
                <w:sz w:val="17"/>
                <w:szCs w:val="17"/>
                <w:color w:val="auto"/>
              </w:rPr>
              <w:t>Tradenames</w:t>
            </w:r>
            <w:r>
              <w:rPr>
                <w:rFonts w:ascii="Arial" w:cs="Arial" w:eastAsia="Arial" w:hAnsi="Arial"/>
                <w:sz w:val="24"/>
                <w:szCs w:val="24"/>
                <w:color w:val="auto"/>
                <w:vertAlign w:val="superscript"/>
              </w:rPr>
              <w:t>(1)</w:t>
            </w:r>
          </w:p>
        </w:tc>
        <w:tc>
          <w:tcPr>
            <w:tcW w:w="100" w:type="dxa"/>
            <w:vAlign w:val="bottom"/>
            <w:shd w:val="clear" w:color="auto" w:fill="E3F1DA"/>
          </w:tcPr>
          <w:p>
            <w:pPr>
              <w:spacing w:after="0"/>
              <w:rPr>
                <w:sz w:val="18"/>
                <w:szCs w:val="18"/>
                <w:color w:val="auto"/>
              </w:rPr>
            </w:pPr>
          </w:p>
        </w:tc>
        <w:tc>
          <w:tcPr>
            <w:tcW w:w="910" w:type="dxa"/>
            <w:vAlign w:val="bottom"/>
            <w:shd w:val="clear" w:color="auto" w:fill="E3F1DA"/>
          </w:tcPr>
          <w:p>
            <w:pPr>
              <w:jc w:val="right"/>
              <w:ind w:right="21"/>
              <w:spacing w:after="0"/>
              <w:rPr>
                <w:sz w:val="20"/>
                <w:szCs w:val="20"/>
                <w:color w:val="auto"/>
              </w:rPr>
            </w:pPr>
            <w:r>
              <w:rPr>
                <w:rFonts w:ascii="Arial" w:cs="Arial" w:eastAsia="Arial" w:hAnsi="Arial"/>
                <w:sz w:val="18"/>
                <w:szCs w:val="18"/>
                <w:color w:val="86B6A5"/>
              </w:rPr>
              <w:t>55.3</w:t>
            </w:r>
          </w:p>
        </w:tc>
        <w:tc>
          <w:tcPr>
            <w:tcW w:w="210" w:type="dxa"/>
            <w:vAlign w:val="bottom"/>
            <w:shd w:val="clear" w:color="auto" w:fill="E3F1DA"/>
          </w:tcPr>
          <w:p>
            <w:pPr>
              <w:spacing w:after="0"/>
              <w:rPr>
                <w:sz w:val="18"/>
                <w:szCs w:val="18"/>
                <w:color w:val="auto"/>
              </w:rPr>
            </w:pPr>
          </w:p>
        </w:tc>
        <w:tc>
          <w:tcPr>
            <w:tcW w:w="1140" w:type="dxa"/>
            <w:vAlign w:val="bottom"/>
            <w:shd w:val="clear" w:color="auto" w:fill="E3F1DA"/>
          </w:tcPr>
          <w:p>
            <w:pPr>
              <w:jc w:val="right"/>
              <w:ind w:right="11"/>
              <w:spacing w:after="0"/>
              <w:rPr>
                <w:sz w:val="20"/>
                <w:szCs w:val="20"/>
                <w:color w:val="auto"/>
              </w:rPr>
            </w:pPr>
            <w:r>
              <w:rPr>
                <w:rFonts w:ascii="Arial" w:cs="Arial" w:eastAsia="Arial" w:hAnsi="Arial"/>
                <w:sz w:val="18"/>
                <w:szCs w:val="18"/>
                <w:color w:val="86B6A5"/>
              </w:rPr>
              <w:t>–</w:t>
            </w:r>
          </w:p>
        </w:tc>
        <w:tc>
          <w:tcPr>
            <w:tcW w:w="220" w:type="dxa"/>
            <w:vAlign w:val="bottom"/>
            <w:shd w:val="clear" w:color="auto" w:fill="E3F1DA"/>
          </w:tcPr>
          <w:p>
            <w:pPr>
              <w:spacing w:after="0"/>
              <w:rPr>
                <w:sz w:val="18"/>
                <w:szCs w:val="18"/>
                <w:color w:val="auto"/>
              </w:rPr>
            </w:pPr>
          </w:p>
        </w:tc>
        <w:tc>
          <w:tcPr>
            <w:tcW w:w="1000" w:type="dxa"/>
            <w:vAlign w:val="bottom"/>
            <w:shd w:val="clear" w:color="auto" w:fill="E3F1DA"/>
          </w:tcPr>
          <w:p>
            <w:pPr>
              <w:jc w:val="right"/>
              <w:ind w:right="111"/>
              <w:spacing w:after="0"/>
              <w:rPr>
                <w:sz w:val="20"/>
                <w:szCs w:val="20"/>
                <w:color w:val="auto"/>
              </w:rPr>
            </w:pPr>
            <w:r>
              <w:rPr>
                <w:rFonts w:ascii="Arial" w:cs="Arial" w:eastAsia="Arial" w:hAnsi="Arial"/>
                <w:sz w:val="18"/>
                <w:szCs w:val="18"/>
                <w:color w:val="86B6A5"/>
              </w:rPr>
              <w:t>55.3</w:t>
            </w:r>
          </w:p>
        </w:tc>
        <w:tc>
          <w:tcPr>
            <w:tcW w:w="280" w:type="dxa"/>
            <w:vAlign w:val="bottom"/>
          </w:tcPr>
          <w:p>
            <w:pPr>
              <w:spacing w:after="0"/>
              <w:rPr>
                <w:sz w:val="18"/>
                <w:szCs w:val="18"/>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171.2</w:t>
            </w:r>
          </w:p>
        </w:tc>
        <w:tc>
          <w:tcPr>
            <w:tcW w:w="220" w:type="dxa"/>
            <w:vAlign w:val="bottom"/>
          </w:tcPr>
          <w:p>
            <w:pPr>
              <w:spacing w:after="0"/>
              <w:rPr>
                <w:sz w:val="18"/>
                <w:szCs w:val="18"/>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171.2</w:t>
            </w:r>
          </w:p>
        </w:tc>
      </w:tr>
      <w:tr>
        <w:trPr>
          <w:trHeight w:val="203"/>
        </w:trPr>
        <w:tc>
          <w:tcPr>
            <w:tcW w:w="20" w:type="dxa"/>
            <w:vAlign w:val="bottom"/>
          </w:tcPr>
          <w:p>
            <w:pPr>
              <w:spacing w:after="0"/>
              <w:rPr>
                <w:sz w:val="17"/>
                <w:szCs w:val="17"/>
                <w:color w:val="auto"/>
              </w:rPr>
            </w:pPr>
          </w:p>
        </w:tc>
        <w:tc>
          <w:tcPr>
            <w:tcW w:w="4220" w:type="dxa"/>
            <w:vAlign w:val="bottom"/>
            <w:tcBorders>
              <w:bottom w:val="single" w:sz="8" w:color="939598"/>
            </w:tcBorders>
          </w:tcPr>
          <w:p>
            <w:pPr>
              <w:ind w:left="260"/>
              <w:spacing w:after="0" w:line="203" w:lineRule="exact"/>
              <w:rPr>
                <w:sz w:val="20"/>
                <w:szCs w:val="20"/>
                <w:color w:val="auto"/>
              </w:rPr>
            </w:pPr>
            <w:r>
              <w:rPr>
                <w:rFonts w:ascii="Arial" w:cs="Arial" w:eastAsia="Arial" w:hAnsi="Arial"/>
                <w:sz w:val="18"/>
                <w:szCs w:val="18"/>
                <w:color w:val="auto"/>
              </w:rPr>
              <w:t>Reacquired Franchise Rights</w:t>
            </w:r>
          </w:p>
        </w:tc>
        <w:tc>
          <w:tcPr>
            <w:tcW w:w="100" w:type="dxa"/>
            <w:vAlign w:val="bottom"/>
            <w:tcBorders>
              <w:bottom w:val="single" w:sz="8" w:color="939598"/>
            </w:tcBorders>
            <w:shd w:val="clear" w:color="auto" w:fill="E3F1DA"/>
          </w:tcPr>
          <w:p>
            <w:pPr>
              <w:spacing w:after="0"/>
              <w:rPr>
                <w:sz w:val="17"/>
                <w:szCs w:val="17"/>
                <w:color w:val="auto"/>
              </w:rPr>
            </w:pPr>
          </w:p>
        </w:tc>
        <w:tc>
          <w:tcPr>
            <w:tcW w:w="910" w:type="dxa"/>
            <w:vAlign w:val="bottom"/>
            <w:tcBorders>
              <w:bottom w:val="single" w:sz="8" w:color="939598"/>
            </w:tcBorders>
            <w:shd w:val="clear" w:color="auto" w:fill="E3F1DA"/>
          </w:tcPr>
          <w:p>
            <w:pPr>
              <w:jc w:val="right"/>
              <w:ind w:right="21"/>
              <w:spacing w:after="0" w:line="203" w:lineRule="exact"/>
              <w:rPr>
                <w:sz w:val="20"/>
                <w:szCs w:val="20"/>
                <w:color w:val="auto"/>
              </w:rPr>
            </w:pPr>
            <w:r>
              <w:rPr>
                <w:rFonts w:ascii="Arial" w:cs="Arial" w:eastAsia="Arial" w:hAnsi="Arial"/>
                <w:sz w:val="18"/>
                <w:szCs w:val="18"/>
                <w:color w:val="86B6A5"/>
              </w:rPr>
              <w:t>98.0</w:t>
            </w:r>
          </w:p>
        </w:tc>
        <w:tc>
          <w:tcPr>
            <w:tcW w:w="210" w:type="dxa"/>
            <w:vAlign w:val="bottom"/>
            <w:tcBorders>
              <w:bottom w:val="single" w:sz="8" w:color="939598"/>
            </w:tcBorders>
            <w:shd w:val="clear" w:color="auto" w:fill="E3F1DA"/>
          </w:tcPr>
          <w:p>
            <w:pPr>
              <w:spacing w:after="0"/>
              <w:rPr>
                <w:sz w:val="17"/>
                <w:szCs w:val="17"/>
                <w:color w:val="auto"/>
              </w:rPr>
            </w:pPr>
          </w:p>
        </w:tc>
        <w:tc>
          <w:tcPr>
            <w:tcW w:w="1140" w:type="dxa"/>
            <w:vAlign w:val="bottom"/>
            <w:tcBorders>
              <w:bottom w:val="single" w:sz="8" w:color="939598"/>
            </w:tcBorders>
            <w:shd w:val="clear" w:color="auto" w:fill="E3F1DA"/>
          </w:tcPr>
          <w:p>
            <w:pPr>
              <w:jc w:val="right"/>
              <w:ind w:right="11"/>
              <w:spacing w:after="0" w:line="203" w:lineRule="exact"/>
              <w:rPr>
                <w:sz w:val="20"/>
                <w:szCs w:val="20"/>
                <w:color w:val="auto"/>
              </w:rPr>
            </w:pPr>
            <w:r>
              <w:rPr>
                <w:rFonts w:ascii="Arial" w:cs="Arial" w:eastAsia="Arial" w:hAnsi="Arial"/>
                <w:sz w:val="18"/>
                <w:szCs w:val="18"/>
                <w:color w:val="86B6A5"/>
              </w:rPr>
              <w:t>–</w:t>
            </w:r>
          </w:p>
        </w:tc>
        <w:tc>
          <w:tcPr>
            <w:tcW w:w="220" w:type="dxa"/>
            <w:vAlign w:val="bottom"/>
            <w:tcBorders>
              <w:bottom w:val="single" w:sz="8" w:color="939598"/>
            </w:tcBorders>
            <w:shd w:val="clear" w:color="auto" w:fill="E3F1DA"/>
          </w:tcPr>
          <w:p>
            <w:pPr>
              <w:spacing w:after="0"/>
              <w:rPr>
                <w:sz w:val="17"/>
                <w:szCs w:val="17"/>
                <w:color w:val="auto"/>
              </w:rPr>
            </w:pPr>
          </w:p>
        </w:tc>
        <w:tc>
          <w:tcPr>
            <w:tcW w:w="1000" w:type="dxa"/>
            <w:vAlign w:val="bottom"/>
            <w:tcBorders>
              <w:bottom w:val="single" w:sz="8" w:color="939598"/>
            </w:tcBorders>
            <w:shd w:val="clear" w:color="auto" w:fill="E3F1DA"/>
          </w:tcPr>
          <w:p>
            <w:pPr>
              <w:jc w:val="right"/>
              <w:ind w:right="111"/>
              <w:spacing w:after="0" w:line="203" w:lineRule="exact"/>
              <w:rPr>
                <w:sz w:val="20"/>
                <w:szCs w:val="20"/>
                <w:color w:val="auto"/>
              </w:rPr>
            </w:pPr>
            <w:r>
              <w:rPr>
                <w:rFonts w:ascii="Arial" w:cs="Arial" w:eastAsia="Arial" w:hAnsi="Arial"/>
                <w:sz w:val="18"/>
                <w:szCs w:val="18"/>
                <w:color w:val="86B6A5"/>
              </w:rPr>
              <w:t>98.0</w:t>
            </w:r>
          </w:p>
        </w:tc>
        <w:tc>
          <w:tcPr>
            <w:tcW w:w="280" w:type="dxa"/>
            <w:vAlign w:val="bottom"/>
            <w:tcBorders>
              <w:bottom w:val="single" w:sz="8" w:color="939598"/>
            </w:tcBorders>
          </w:tcPr>
          <w:p>
            <w:pPr>
              <w:spacing w:after="0"/>
              <w:rPr>
                <w:sz w:val="17"/>
                <w:szCs w:val="17"/>
                <w:color w:val="auto"/>
              </w:rPr>
            </w:pPr>
          </w:p>
        </w:tc>
        <w:tc>
          <w:tcPr>
            <w:tcW w:w="740" w:type="dxa"/>
            <w:vAlign w:val="bottom"/>
            <w:tcBorders>
              <w:bottom w:val="single" w:sz="8" w:color="939598"/>
            </w:tcBorders>
          </w:tcPr>
          <w:p>
            <w:pPr>
              <w:jc w:val="right"/>
              <w:ind w:right="11"/>
              <w:spacing w:after="0" w:line="203" w:lineRule="exact"/>
              <w:rPr>
                <w:sz w:val="20"/>
                <w:szCs w:val="20"/>
                <w:color w:val="auto"/>
              </w:rPr>
            </w:pPr>
            <w:r>
              <w:rPr>
                <w:rFonts w:ascii="Arial" w:cs="Arial" w:eastAsia="Arial" w:hAnsi="Arial"/>
                <w:sz w:val="18"/>
                <w:szCs w:val="18"/>
                <w:color w:val="auto"/>
              </w:rPr>
              <w:t>97.9</w:t>
            </w:r>
          </w:p>
        </w:tc>
        <w:tc>
          <w:tcPr>
            <w:tcW w:w="220" w:type="dxa"/>
            <w:vAlign w:val="bottom"/>
            <w:tcBorders>
              <w:bottom w:val="single" w:sz="8" w:color="939598"/>
            </w:tcBorders>
          </w:tcPr>
          <w:p>
            <w:pPr>
              <w:spacing w:after="0"/>
              <w:rPr>
                <w:sz w:val="17"/>
                <w:szCs w:val="17"/>
                <w:color w:val="auto"/>
              </w:rPr>
            </w:pPr>
          </w:p>
        </w:tc>
        <w:tc>
          <w:tcPr>
            <w:tcW w:w="1140" w:type="dxa"/>
            <w:vAlign w:val="bottom"/>
            <w:tcBorders>
              <w:bottom w:val="single" w:sz="8" w:color="939598"/>
            </w:tcBorders>
          </w:tcPr>
          <w:p>
            <w:pPr>
              <w:jc w:val="right"/>
              <w:ind w:right="31"/>
              <w:spacing w:after="0" w:line="203" w:lineRule="exact"/>
              <w:rPr>
                <w:sz w:val="20"/>
                <w:szCs w:val="20"/>
                <w:color w:val="auto"/>
              </w:rPr>
            </w:pPr>
            <w:r>
              <w:rPr>
                <w:rFonts w:ascii="Arial" w:cs="Arial" w:eastAsia="Arial" w:hAnsi="Arial"/>
                <w:sz w:val="18"/>
                <w:szCs w:val="18"/>
                <w:color w:val="auto"/>
              </w:rPr>
              <w:t>–</w:t>
            </w:r>
          </w:p>
        </w:tc>
        <w:tc>
          <w:tcPr>
            <w:tcW w:w="380" w:type="dxa"/>
            <w:vAlign w:val="bottom"/>
            <w:tcBorders>
              <w:bottom w:val="single" w:sz="8" w:color="939598"/>
            </w:tcBorders>
          </w:tcPr>
          <w:p>
            <w:pPr>
              <w:spacing w:after="0"/>
              <w:rPr>
                <w:sz w:val="17"/>
                <w:szCs w:val="17"/>
                <w:color w:val="auto"/>
              </w:rPr>
            </w:pPr>
          </w:p>
        </w:tc>
        <w:tc>
          <w:tcPr>
            <w:tcW w:w="620" w:type="dxa"/>
            <w:vAlign w:val="bottom"/>
            <w:tcBorders>
              <w:bottom w:val="single" w:sz="8" w:color="939598"/>
            </w:tcBorders>
          </w:tcPr>
          <w:p>
            <w:pPr>
              <w:jc w:val="right"/>
              <w:spacing w:after="0" w:line="203" w:lineRule="exact"/>
              <w:rPr>
                <w:sz w:val="20"/>
                <w:szCs w:val="20"/>
                <w:color w:val="auto"/>
              </w:rPr>
            </w:pPr>
            <w:r>
              <w:rPr>
                <w:rFonts w:ascii="Arial" w:cs="Arial" w:eastAsia="Arial" w:hAnsi="Arial"/>
                <w:sz w:val="18"/>
                <w:szCs w:val="18"/>
                <w:color w:val="auto"/>
              </w:rPr>
              <w:t>97.9</w:t>
            </w:r>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4220" w:type="dxa"/>
            <w:vAlign w:val="bottom"/>
            <w:tcBorders>
              <w:bottom w:val="single" w:sz="8" w:color="939598"/>
            </w:tcBorders>
          </w:tcPr>
          <w:p>
            <w:pPr>
              <w:spacing w:after="0"/>
              <w:rPr>
                <w:sz w:val="17"/>
                <w:szCs w:val="17"/>
                <w:color w:val="auto"/>
              </w:rPr>
            </w:pPr>
          </w:p>
        </w:tc>
        <w:tc>
          <w:tcPr>
            <w:tcW w:w="100" w:type="dxa"/>
            <w:vAlign w:val="bottom"/>
            <w:tcBorders>
              <w:bottom w:val="single" w:sz="8" w:color="939598"/>
            </w:tcBorders>
            <w:shd w:val="clear" w:color="auto" w:fill="E3F1DA"/>
          </w:tcPr>
          <w:p>
            <w:pPr>
              <w:spacing w:after="0"/>
              <w:rPr>
                <w:sz w:val="17"/>
                <w:szCs w:val="17"/>
                <w:color w:val="auto"/>
              </w:rPr>
            </w:pPr>
          </w:p>
        </w:tc>
        <w:tc>
          <w:tcPr>
            <w:tcW w:w="910" w:type="dxa"/>
            <w:vAlign w:val="bottom"/>
            <w:tcBorders>
              <w:bottom w:val="single" w:sz="8" w:color="939598"/>
            </w:tcBorders>
            <w:shd w:val="clear" w:color="auto" w:fill="E3F1DA"/>
          </w:tcPr>
          <w:p>
            <w:pPr>
              <w:jc w:val="right"/>
              <w:ind w:right="21"/>
              <w:spacing w:after="0" w:line="196" w:lineRule="exact"/>
              <w:rPr>
                <w:sz w:val="20"/>
                <w:szCs w:val="20"/>
                <w:color w:val="auto"/>
              </w:rPr>
            </w:pPr>
            <w:r>
              <w:rPr>
                <w:rFonts w:ascii="Arial" w:cs="Arial" w:eastAsia="Arial" w:hAnsi="Arial"/>
                <w:sz w:val="18"/>
                <w:szCs w:val="18"/>
                <w:color w:val="86B6A5"/>
              </w:rPr>
              <w:t>153.3</w:t>
            </w:r>
          </w:p>
        </w:tc>
        <w:tc>
          <w:tcPr>
            <w:tcW w:w="210" w:type="dxa"/>
            <w:vAlign w:val="bottom"/>
            <w:tcBorders>
              <w:bottom w:val="single" w:sz="8" w:color="939598"/>
            </w:tcBorders>
            <w:shd w:val="clear" w:color="auto" w:fill="E3F1DA"/>
          </w:tcPr>
          <w:p>
            <w:pPr>
              <w:spacing w:after="0"/>
              <w:rPr>
                <w:sz w:val="17"/>
                <w:szCs w:val="17"/>
                <w:color w:val="auto"/>
              </w:rPr>
            </w:pPr>
          </w:p>
        </w:tc>
        <w:tc>
          <w:tcPr>
            <w:tcW w:w="1140" w:type="dxa"/>
            <w:vAlign w:val="bottom"/>
            <w:tcBorders>
              <w:bottom w:val="single" w:sz="8" w:color="939598"/>
            </w:tcBorders>
            <w:shd w:val="clear" w:color="auto" w:fill="E3F1DA"/>
          </w:tcPr>
          <w:p>
            <w:pPr>
              <w:jc w:val="right"/>
              <w:ind w:right="11"/>
              <w:spacing w:after="0" w:line="196" w:lineRule="exact"/>
              <w:rPr>
                <w:sz w:val="20"/>
                <w:szCs w:val="20"/>
                <w:color w:val="auto"/>
              </w:rPr>
            </w:pPr>
            <w:r>
              <w:rPr>
                <w:rFonts w:ascii="Arial" w:cs="Arial" w:eastAsia="Arial" w:hAnsi="Arial"/>
                <w:sz w:val="18"/>
                <w:szCs w:val="18"/>
                <w:color w:val="86B6A5"/>
              </w:rPr>
              <w:t>–</w:t>
            </w:r>
          </w:p>
        </w:tc>
        <w:tc>
          <w:tcPr>
            <w:tcW w:w="220" w:type="dxa"/>
            <w:vAlign w:val="bottom"/>
            <w:tcBorders>
              <w:bottom w:val="single" w:sz="8" w:color="939598"/>
            </w:tcBorders>
            <w:shd w:val="clear" w:color="auto" w:fill="E3F1DA"/>
          </w:tcPr>
          <w:p>
            <w:pPr>
              <w:spacing w:after="0"/>
              <w:rPr>
                <w:sz w:val="17"/>
                <w:szCs w:val="17"/>
                <w:color w:val="auto"/>
              </w:rPr>
            </w:pPr>
          </w:p>
        </w:tc>
        <w:tc>
          <w:tcPr>
            <w:tcW w:w="1000" w:type="dxa"/>
            <w:vAlign w:val="bottom"/>
            <w:tcBorders>
              <w:bottom w:val="single" w:sz="8" w:color="939598"/>
            </w:tcBorders>
            <w:shd w:val="clear" w:color="auto" w:fill="E3F1DA"/>
          </w:tcPr>
          <w:p>
            <w:pPr>
              <w:jc w:val="right"/>
              <w:ind w:right="111"/>
              <w:spacing w:after="0" w:line="196" w:lineRule="exact"/>
              <w:rPr>
                <w:sz w:val="20"/>
                <w:szCs w:val="20"/>
                <w:color w:val="auto"/>
              </w:rPr>
            </w:pPr>
            <w:r>
              <w:rPr>
                <w:rFonts w:ascii="Arial" w:cs="Arial" w:eastAsia="Arial" w:hAnsi="Arial"/>
                <w:sz w:val="18"/>
                <w:szCs w:val="18"/>
                <w:color w:val="86B6A5"/>
              </w:rPr>
              <w:t>153.3</w:t>
            </w:r>
          </w:p>
        </w:tc>
        <w:tc>
          <w:tcPr>
            <w:tcW w:w="280" w:type="dxa"/>
            <w:vAlign w:val="bottom"/>
            <w:tcBorders>
              <w:bottom w:val="single" w:sz="8" w:color="939598"/>
            </w:tcBorders>
          </w:tcPr>
          <w:p>
            <w:pPr>
              <w:spacing w:after="0"/>
              <w:rPr>
                <w:sz w:val="17"/>
                <w:szCs w:val="17"/>
                <w:color w:val="auto"/>
              </w:rPr>
            </w:pPr>
          </w:p>
        </w:tc>
        <w:tc>
          <w:tcPr>
            <w:tcW w:w="740" w:type="dxa"/>
            <w:vAlign w:val="bottom"/>
            <w:tcBorders>
              <w:bottom w:val="single" w:sz="8" w:color="939598"/>
            </w:tcBorders>
          </w:tcPr>
          <w:p>
            <w:pPr>
              <w:jc w:val="right"/>
              <w:ind w:right="11"/>
              <w:spacing w:after="0" w:line="196" w:lineRule="exact"/>
              <w:rPr>
                <w:sz w:val="20"/>
                <w:szCs w:val="20"/>
                <w:color w:val="auto"/>
              </w:rPr>
            </w:pPr>
            <w:r>
              <w:rPr>
                <w:rFonts w:ascii="Arial" w:cs="Arial" w:eastAsia="Arial" w:hAnsi="Arial"/>
                <w:sz w:val="18"/>
                <w:szCs w:val="18"/>
                <w:color w:val="auto"/>
              </w:rPr>
              <w:t>269.1</w:t>
            </w:r>
          </w:p>
        </w:tc>
        <w:tc>
          <w:tcPr>
            <w:tcW w:w="220" w:type="dxa"/>
            <w:vAlign w:val="bottom"/>
            <w:tcBorders>
              <w:bottom w:val="single" w:sz="8" w:color="939598"/>
            </w:tcBorders>
          </w:tcPr>
          <w:p>
            <w:pPr>
              <w:spacing w:after="0"/>
              <w:rPr>
                <w:sz w:val="17"/>
                <w:szCs w:val="17"/>
                <w:color w:val="auto"/>
              </w:rPr>
            </w:pPr>
          </w:p>
        </w:tc>
        <w:tc>
          <w:tcPr>
            <w:tcW w:w="1140" w:type="dxa"/>
            <w:vAlign w:val="bottom"/>
            <w:tcBorders>
              <w:bottom w:val="single" w:sz="8" w:color="939598"/>
            </w:tcBorders>
          </w:tcPr>
          <w:p>
            <w:pPr>
              <w:jc w:val="right"/>
              <w:ind w:right="31"/>
              <w:spacing w:after="0" w:line="196" w:lineRule="exact"/>
              <w:rPr>
                <w:sz w:val="20"/>
                <w:szCs w:val="20"/>
                <w:color w:val="auto"/>
              </w:rPr>
            </w:pPr>
            <w:r>
              <w:rPr>
                <w:rFonts w:ascii="Arial" w:cs="Arial" w:eastAsia="Arial" w:hAnsi="Arial"/>
                <w:sz w:val="18"/>
                <w:szCs w:val="18"/>
                <w:color w:val="auto"/>
              </w:rPr>
              <w:t>–</w:t>
            </w:r>
          </w:p>
        </w:tc>
        <w:tc>
          <w:tcPr>
            <w:tcW w:w="380" w:type="dxa"/>
            <w:vAlign w:val="bottom"/>
            <w:tcBorders>
              <w:bottom w:val="single" w:sz="8" w:color="939598"/>
            </w:tcBorders>
          </w:tcPr>
          <w:p>
            <w:pPr>
              <w:spacing w:after="0"/>
              <w:rPr>
                <w:sz w:val="17"/>
                <w:szCs w:val="17"/>
                <w:color w:val="auto"/>
              </w:rPr>
            </w:pPr>
          </w:p>
        </w:tc>
        <w:tc>
          <w:tcPr>
            <w:tcW w:w="620" w:type="dxa"/>
            <w:vAlign w:val="bottom"/>
            <w:tcBorders>
              <w:bottom w:val="single" w:sz="8" w:color="939598"/>
            </w:tcBorders>
          </w:tcPr>
          <w:p>
            <w:pPr>
              <w:jc w:val="right"/>
              <w:spacing w:after="0" w:line="196" w:lineRule="exact"/>
              <w:rPr>
                <w:sz w:val="20"/>
                <w:szCs w:val="20"/>
                <w:color w:val="auto"/>
              </w:rPr>
            </w:pPr>
            <w:r>
              <w:rPr>
                <w:rFonts w:ascii="Arial" w:cs="Arial" w:eastAsia="Arial" w:hAnsi="Arial"/>
                <w:sz w:val="18"/>
                <w:szCs w:val="18"/>
                <w:color w:val="auto"/>
              </w:rPr>
              <w:t>269.1</w:t>
            </w:r>
          </w:p>
        </w:tc>
        <w:tc>
          <w:tcPr>
            <w:tcW w:w="20" w:type="dxa"/>
            <w:vAlign w:val="bottom"/>
            <w:tcBorders>
              <w:bottom w:val="single" w:sz="8" w:color="939598"/>
            </w:tcBorders>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220" w:type="dxa"/>
            <w:vAlign w:val="bottom"/>
            <w:tcBorders>
              <w:bottom w:val="single" w:sz="8" w:color="939598"/>
            </w:tcBorders>
          </w:tcPr>
          <w:p>
            <w:pPr>
              <w:spacing w:after="0" w:line="196" w:lineRule="exact"/>
              <w:rPr>
                <w:sz w:val="20"/>
                <w:szCs w:val="20"/>
                <w:color w:val="auto"/>
              </w:rPr>
            </w:pPr>
            <w:r>
              <w:rPr>
                <w:rFonts w:ascii="Arial" w:cs="Arial" w:eastAsia="Arial" w:hAnsi="Arial"/>
                <w:sz w:val="18"/>
                <w:szCs w:val="18"/>
                <w:color w:val="auto"/>
              </w:rPr>
              <w:t>Total Intangible Assets</w:t>
            </w:r>
          </w:p>
        </w:tc>
        <w:tc>
          <w:tcPr>
            <w:tcW w:w="100" w:type="dxa"/>
            <w:vAlign w:val="bottom"/>
            <w:tcBorders>
              <w:bottom w:val="single" w:sz="8" w:color="939598"/>
            </w:tcBorders>
            <w:shd w:val="clear" w:color="auto" w:fill="E3F1DA"/>
          </w:tcPr>
          <w:p>
            <w:pPr>
              <w:jc w:val="right"/>
              <w:spacing w:after="0" w:line="196" w:lineRule="exact"/>
              <w:rPr>
                <w:sz w:val="20"/>
                <w:szCs w:val="20"/>
                <w:color w:val="auto"/>
              </w:rPr>
            </w:pPr>
            <w:r>
              <w:rPr>
                <w:rFonts w:ascii="Arial" w:cs="Arial" w:eastAsia="Arial" w:hAnsi="Arial"/>
                <w:sz w:val="18"/>
                <w:szCs w:val="18"/>
                <w:color w:val="86B6A5"/>
                <w:w w:val="79"/>
              </w:rPr>
              <w:t>$</w:t>
            </w:r>
          </w:p>
        </w:tc>
        <w:tc>
          <w:tcPr>
            <w:tcW w:w="910" w:type="dxa"/>
            <w:vAlign w:val="bottom"/>
            <w:tcBorders>
              <w:bottom w:val="single" w:sz="8" w:color="939598"/>
            </w:tcBorders>
            <w:shd w:val="clear" w:color="auto" w:fill="E3F1DA"/>
          </w:tcPr>
          <w:p>
            <w:pPr>
              <w:jc w:val="right"/>
              <w:ind w:right="21"/>
              <w:spacing w:after="0" w:line="196" w:lineRule="exact"/>
              <w:rPr>
                <w:sz w:val="20"/>
                <w:szCs w:val="20"/>
                <w:color w:val="auto"/>
              </w:rPr>
            </w:pPr>
            <w:r>
              <w:rPr>
                <w:rFonts w:ascii="Arial" w:cs="Arial" w:eastAsia="Arial" w:hAnsi="Arial"/>
                <w:sz w:val="18"/>
                <w:szCs w:val="18"/>
                <w:color w:val="86B6A5"/>
              </w:rPr>
              <w:t>514.3</w:t>
            </w:r>
          </w:p>
        </w:tc>
        <w:tc>
          <w:tcPr>
            <w:tcW w:w="210" w:type="dxa"/>
            <w:vAlign w:val="bottom"/>
            <w:tcBorders>
              <w:bottom w:val="single" w:sz="8" w:color="939598"/>
            </w:tcBorders>
            <w:shd w:val="clear" w:color="auto" w:fill="E3F1DA"/>
          </w:tcPr>
          <w:p>
            <w:pPr>
              <w:jc w:val="right"/>
              <w:spacing w:after="0" w:line="196" w:lineRule="exact"/>
              <w:rPr>
                <w:sz w:val="20"/>
                <w:szCs w:val="20"/>
                <w:color w:val="auto"/>
              </w:rPr>
            </w:pPr>
            <w:r>
              <w:rPr>
                <w:rFonts w:ascii="Arial" w:cs="Arial" w:eastAsia="Arial" w:hAnsi="Arial"/>
                <w:sz w:val="18"/>
                <w:szCs w:val="18"/>
                <w:color w:val="86B6A5"/>
              </w:rPr>
              <w:t>$</w:t>
            </w:r>
          </w:p>
        </w:tc>
        <w:tc>
          <w:tcPr>
            <w:tcW w:w="1140" w:type="dxa"/>
            <w:vAlign w:val="bottom"/>
            <w:tcBorders>
              <w:bottom w:val="single" w:sz="8" w:color="939598"/>
            </w:tcBorders>
            <w:shd w:val="clear" w:color="auto" w:fill="E3F1DA"/>
          </w:tcPr>
          <w:p>
            <w:pPr>
              <w:jc w:val="right"/>
              <w:ind w:right="11"/>
              <w:spacing w:after="0" w:line="196" w:lineRule="exact"/>
              <w:rPr>
                <w:sz w:val="20"/>
                <w:szCs w:val="20"/>
                <w:color w:val="auto"/>
              </w:rPr>
            </w:pPr>
            <w:r>
              <w:rPr>
                <w:rFonts w:ascii="Arial" w:cs="Arial" w:eastAsia="Arial" w:hAnsi="Arial"/>
                <w:sz w:val="18"/>
                <w:szCs w:val="18"/>
                <w:color w:val="86B6A5"/>
              </w:rPr>
              <w:t>138.1</w:t>
            </w:r>
          </w:p>
        </w:tc>
        <w:tc>
          <w:tcPr>
            <w:tcW w:w="220" w:type="dxa"/>
            <w:vAlign w:val="bottom"/>
            <w:tcBorders>
              <w:bottom w:val="single" w:sz="8" w:color="939598"/>
            </w:tcBorders>
            <w:shd w:val="clear" w:color="auto" w:fill="E3F1DA"/>
          </w:tcPr>
          <w:p>
            <w:pPr>
              <w:jc w:val="right"/>
              <w:spacing w:after="0" w:line="196" w:lineRule="exact"/>
              <w:rPr>
                <w:sz w:val="20"/>
                <w:szCs w:val="20"/>
                <w:color w:val="auto"/>
              </w:rPr>
            </w:pPr>
            <w:r>
              <w:rPr>
                <w:rFonts w:ascii="Arial" w:cs="Arial" w:eastAsia="Arial" w:hAnsi="Arial"/>
                <w:sz w:val="18"/>
                <w:szCs w:val="18"/>
                <w:color w:val="86B6A5"/>
              </w:rPr>
              <w:t>$</w:t>
            </w:r>
          </w:p>
        </w:tc>
        <w:tc>
          <w:tcPr>
            <w:tcW w:w="1000" w:type="dxa"/>
            <w:vAlign w:val="bottom"/>
            <w:tcBorders>
              <w:bottom w:val="single" w:sz="8" w:color="939598"/>
            </w:tcBorders>
            <w:shd w:val="clear" w:color="auto" w:fill="E3F1DA"/>
          </w:tcPr>
          <w:p>
            <w:pPr>
              <w:jc w:val="right"/>
              <w:ind w:right="111"/>
              <w:spacing w:after="0" w:line="196" w:lineRule="exact"/>
              <w:rPr>
                <w:sz w:val="20"/>
                <w:szCs w:val="20"/>
                <w:color w:val="auto"/>
              </w:rPr>
            </w:pPr>
            <w:r>
              <w:rPr>
                <w:rFonts w:ascii="Arial" w:cs="Arial" w:eastAsia="Arial" w:hAnsi="Arial"/>
                <w:sz w:val="18"/>
                <w:szCs w:val="18"/>
                <w:color w:val="86B6A5"/>
              </w:rPr>
              <w:t>376.2</w:t>
            </w:r>
          </w:p>
        </w:tc>
        <w:tc>
          <w:tcPr>
            <w:tcW w:w="280" w:type="dxa"/>
            <w:vAlign w:val="bottom"/>
            <w:tcBorders>
              <w:bottom w:val="single" w:sz="8" w:color="939598"/>
            </w:tcBorders>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939598"/>
            </w:tcBorders>
          </w:tcPr>
          <w:p>
            <w:pPr>
              <w:jc w:val="right"/>
              <w:ind w:right="11"/>
              <w:spacing w:after="0" w:line="196" w:lineRule="exact"/>
              <w:rPr>
                <w:sz w:val="20"/>
                <w:szCs w:val="20"/>
                <w:color w:val="auto"/>
              </w:rPr>
            </w:pPr>
            <w:r>
              <w:rPr>
                <w:rFonts w:ascii="Arial" w:cs="Arial" w:eastAsia="Arial" w:hAnsi="Arial"/>
                <w:sz w:val="18"/>
                <w:szCs w:val="18"/>
                <w:color w:val="auto"/>
              </w:rPr>
              <w:t>498.9</w:t>
            </w:r>
          </w:p>
        </w:tc>
        <w:tc>
          <w:tcPr>
            <w:tcW w:w="220" w:type="dxa"/>
            <w:vAlign w:val="bottom"/>
            <w:tcBorders>
              <w:bottom w:val="single" w:sz="8" w:color="939598"/>
            </w:tcBorders>
          </w:tcPr>
          <w:p>
            <w:pPr>
              <w:jc w:val="right"/>
              <w:spacing w:after="0" w:line="196" w:lineRule="exact"/>
              <w:rPr>
                <w:sz w:val="20"/>
                <w:szCs w:val="20"/>
                <w:color w:val="auto"/>
              </w:rPr>
            </w:pPr>
            <w:r>
              <w:rPr>
                <w:rFonts w:ascii="Arial" w:cs="Arial" w:eastAsia="Arial" w:hAnsi="Arial"/>
                <w:sz w:val="18"/>
                <w:szCs w:val="18"/>
                <w:color w:val="auto"/>
              </w:rPr>
              <w:t>$</w:t>
            </w:r>
          </w:p>
        </w:tc>
        <w:tc>
          <w:tcPr>
            <w:tcW w:w="1140" w:type="dxa"/>
            <w:vAlign w:val="bottom"/>
            <w:tcBorders>
              <w:bottom w:val="single" w:sz="8" w:color="939598"/>
            </w:tcBorders>
          </w:tcPr>
          <w:p>
            <w:pPr>
              <w:jc w:val="right"/>
              <w:ind w:right="31"/>
              <w:spacing w:after="0" w:line="196" w:lineRule="exact"/>
              <w:rPr>
                <w:sz w:val="20"/>
                <w:szCs w:val="20"/>
                <w:color w:val="auto"/>
              </w:rPr>
            </w:pPr>
            <w:r>
              <w:rPr>
                <w:rFonts w:ascii="Arial" w:cs="Arial" w:eastAsia="Arial" w:hAnsi="Arial"/>
                <w:sz w:val="18"/>
                <w:szCs w:val="18"/>
                <w:color w:val="auto"/>
              </w:rPr>
              <w:t>100.5</w:t>
            </w:r>
          </w:p>
        </w:tc>
        <w:tc>
          <w:tcPr>
            <w:tcW w:w="380" w:type="dxa"/>
            <w:vAlign w:val="bottom"/>
            <w:tcBorders>
              <w:bottom w:val="single" w:sz="8" w:color="939598"/>
            </w:tcBorders>
          </w:tcPr>
          <w:p>
            <w:pPr>
              <w:jc w:val="right"/>
              <w:ind w:right="90"/>
              <w:spacing w:after="0" w:line="196" w:lineRule="exact"/>
              <w:rPr>
                <w:sz w:val="20"/>
                <w:szCs w:val="20"/>
                <w:color w:val="auto"/>
              </w:rPr>
            </w:pPr>
            <w:r>
              <w:rPr>
                <w:rFonts w:ascii="Arial" w:cs="Arial" w:eastAsia="Arial" w:hAnsi="Arial"/>
                <w:sz w:val="18"/>
                <w:szCs w:val="18"/>
                <w:color w:val="auto"/>
              </w:rPr>
              <w:t>$</w:t>
            </w:r>
          </w:p>
        </w:tc>
        <w:tc>
          <w:tcPr>
            <w:tcW w:w="620" w:type="dxa"/>
            <w:vAlign w:val="bottom"/>
            <w:tcBorders>
              <w:bottom w:val="single" w:sz="8" w:color="939598"/>
            </w:tcBorders>
          </w:tcPr>
          <w:p>
            <w:pPr>
              <w:jc w:val="right"/>
              <w:spacing w:after="0" w:line="196" w:lineRule="exact"/>
              <w:rPr>
                <w:sz w:val="20"/>
                <w:szCs w:val="20"/>
                <w:color w:val="auto"/>
              </w:rPr>
            </w:pPr>
            <w:r>
              <w:rPr>
                <w:rFonts w:ascii="Arial" w:cs="Arial" w:eastAsia="Arial" w:hAnsi="Arial"/>
                <w:sz w:val="18"/>
                <w:szCs w:val="18"/>
                <w:color w:val="auto"/>
              </w:rPr>
              <w:t>398.4</w:t>
            </w:r>
          </w:p>
        </w:tc>
        <w:tc>
          <w:tcPr>
            <w:tcW w:w="20" w:type="dxa"/>
            <w:vAlign w:val="bottom"/>
          </w:tcPr>
          <w:p>
            <w:pPr>
              <w:spacing w:after="0"/>
              <w:rPr>
                <w:sz w:val="17"/>
                <w:szCs w:val="17"/>
                <w:color w:val="auto"/>
              </w:rPr>
            </w:pPr>
          </w:p>
        </w:tc>
      </w:tr>
    </w:tbl>
    <w:p>
      <w:pPr>
        <w:spacing w:after="0" w:line="204" w:lineRule="exact"/>
        <w:rPr>
          <w:sz w:val="20"/>
          <w:szCs w:val="20"/>
          <w:color w:val="auto"/>
        </w:rPr>
      </w:pPr>
    </w:p>
    <w:p>
      <w:pPr>
        <w:ind w:left="580" w:hanging="572"/>
        <w:spacing w:after="0"/>
        <w:tabs>
          <w:tab w:leader="none" w:pos="580" w:val="left"/>
        </w:tabs>
        <w:numPr>
          <w:ilvl w:val="0"/>
          <w:numId w:val="48"/>
        </w:numPr>
        <w:rPr>
          <w:rFonts w:ascii="Arial" w:cs="Arial" w:eastAsia="Arial" w:hAnsi="Arial"/>
          <w:sz w:val="16"/>
          <w:szCs w:val="16"/>
          <w:color w:val="auto"/>
        </w:rPr>
      </w:pPr>
      <w:r>
        <w:rPr>
          <w:rFonts w:ascii="Arial" w:cs="Arial" w:eastAsia="Arial" w:hAnsi="Arial"/>
          <w:sz w:val="16"/>
          <w:szCs w:val="16"/>
          <w:color w:val="auto"/>
        </w:rPr>
        <w:t>Balances were net of accumulated impairment loss of $139.5 and $22.3 as of December 31, 2010 and 2009, respectively.</w:t>
      </w:r>
    </w:p>
    <w:p>
      <w:pPr>
        <w:spacing w:after="0" w:line="21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Amortization expense related to intangibles was $ 39.3 in 2010, $21.9 in 2009 and $22.1 in 2008. Amortization expense expected in each of the next five years related to acquisitions completed as of December 31, 2010 is as follows: 2011 – $35.8, 2012 – $31.6, 2013 – $ 27.0, 2014 – $23.5 and 2015 - $20.5. The weighted-average useful lives of the technology, franchise agreements, client relationships and other are 5, 10, 15 and 3 years, respectively. The majority of the non-amortizable tradenames results from our acquisition of Right Management. The tradenames have been assigned an indefinite life based on our expectation of renewing the tradenames, as required, without material modifications and at a minimal cost, and our expectation of positive cash flows beyond the foreseeable future. The reacquired franchise rights result from our franchise acquisitions in the U.S. completed prior to 2009.</w:t>
      </w:r>
    </w:p>
    <w:p>
      <w:pPr>
        <w:spacing w:after="0" w:line="203"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accordance with the accounting guidance on goodwill and other intangible assets, we perform an annual impairment test of goodwill at our reporting unit level and indefinite-lived intangible assets at our unit of account level during the third quarter, or more frequently if events or circumstances change that would more likely than not reduce the fair value of our reporting units below their carrying value.</w:t>
      </w:r>
    </w:p>
    <w:p>
      <w:pPr>
        <w:spacing w:after="0" w:line="203"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We performed our annual impairment test of our goodwill and indefinite-lived intangible assets during the third quarter of 2010. There was no impairment of our goodwill or indefinite-lived intangible assets recorded in the third quarter of 2010.</w:t>
      </w:r>
    </w:p>
    <w:p>
      <w:pPr>
        <w:spacing w:after="0" w:line="197"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In the fourth quarter of 2010, two of our reporting units, Right Management and Jefferson Wells, each experienced strong indicators of impairment due to continued deterioration in market conditions for both reporting units as they experienced further than anticipated profitability declines in the fourth quarter, which led us to adjust our long-term outlooks for each reporting unit. As a result, we performed an impairment test of our goodwill and indefinite-lived intangible assets during the fourth quarter of 2010, which resulted in a non-cash impairment charge of $311.6 ($ 311.6 after-tax) for goodwill associated with Right Management and Jefferson Wells. In addition, we incurred a non-cash impairment charge of $117.2 for the tradenames associated with these two reporting units. We recorded a $44.5 deferred tax asset related to the traden ame impairment in the fourth quarter of 2010.</w:t>
      </w:r>
    </w:p>
    <w:p>
      <w:pPr>
        <w:spacing w:after="0" w:line="203" w:lineRule="exact"/>
        <w:rPr>
          <w:sz w:val="20"/>
          <w:szCs w:val="20"/>
          <w:color w:val="auto"/>
        </w:rPr>
      </w:pPr>
    </w:p>
    <w:p>
      <w:pPr>
        <w:jc w:val="both"/>
        <w:ind w:right="20"/>
        <w:spacing w:after="0" w:line="239" w:lineRule="auto"/>
        <w:rPr>
          <w:sz w:val="20"/>
          <w:szCs w:val="20"/>
          <w:color w:val="auto"/>
        </w:rPr>
      </w:pPr>
      <w:r>
        <w:rPr>
          <w:rFonts w:ascii="Arial" w:cs="Arial" w:eastAsia="Arial" w:hAnsi="Arial"/>
          <w:sz w:val="18"/>
          <w:szCs w:val="18"/>
          <w:color w:val="auto"/>
        </w:rPr>
        <w:t>For Right Management, our anticipated revenues and income decreased to a level which required us to adjust the size premium included in our discount rate. In addition, the beta used to calculate the discount rate changed slightly due to a change in the mix of our comparable companies as one of the companies utilized in our annual testing had been acquired during the fourth quarter. These changes resulted in a 3% increase in the discount rate to 13%, being utilized in our fourth quarter impairment testing for Right Management.</w:t>
      </w:r>
    </w:p>
    <w:p>
      <w:pPr>
        <w:spacing w:after="0" w:line="202"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For Jefferson Wells, our discount rate was relatively flat in our fourth quarter impairment testing at 12.5% as compared to 12.4% utilized in our annual testing performed in 2010.</w:t>
      </w:r>
    </w:p>
    <w:p>
      <w:pPr>
        <w:spacing w:after="0" w:line="197"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We performed our annual impairment test of our goodwill and indefinite-lived intangible assets during the third quarter of 2009 and 2008, which resulted in non-cash impairment charges of $61.0 in 2009 for goodwill associated with our Jefferson Wells reporting unit and $ 163.1 in 2008 for goodwill ($140.8) and tradename ($22.3) associated with our Right Management reporting unit. We also recorded a deferred tax asset of $8.5 related to the tradename impairment in 2008.</w:t>
      </w:r>
    </w:p>
    <w:p>
      <w:pPr>
        <w:spacing w:after="0" w:line="185" w:lineRule="exact"/>
        <w:rPr>
          <w:sz w:val="20"/>
          <w:szCs w:val="20"/>
          <w:color w:val="auto"/>
        </w:rPr>
      </w:pPr>
    </w:p>
    <w:p>
      <w:pPr>
        <w:ind w:left="5520"/>
        <w:spacing w:after="0"/>
        <w:rPr>
          <w:sz w:val="20"/>
          <w:szCs w:val="20"/>
          <w:color w:val="auto"/>
        </w:rPr>
      </w:pPr>
      <w:r>
        <w:rPr>
          <w:rFonts w:ascii="Arial" w:cs="Arial" w:eastAsia="Arial" w:hAnsi="Arial"/>
          <w:sz w:val="16"/>
          <w:szCs w:val="16"/>
          <w:b w:val="1"/>
          <w:bCs w:val="1"/>
          <w:color w:val="939598"/>
        </w:rPr>
        <w:t xml:space="preserve">Notes to Consolidated Financial Statements </w:t>
      </w:r>
      <w:r>
        <w:rPr>
          <w:rFonts w:ascii="Arial" w:cs="Arial" w:eastAsia="Arial" w:hAnsi="Arial"/>
          <w:sz w:val="16"/>
          <w:szCs w:val="16"/>
          <w:color w:val="4D8ABE"/>
        </w:rPr>
        <w:t>Manpower 2010 Annual Report</w:t>
      </w:r>
      <w:r>
        <w:rPr>
          <w:rFonts w:ascii="Arial" w:cs="Arial" w:eastAsia="Arial" w:hAnsi="Arial"/>
          <w:sz w:val="16"/>
          <w:szCs w:val="16"/>
          <w:b w:val="1"/>
          <w:bCs w:val="1"/>
          <w:color w:val="939598"/>
        </w:rPr>
        <w:t xml:space="preserve"> </w:t>
      </w:r>
      <w:r>
        <w:rPr>
          <w:rFonts w:ascii="Arial" w:cs="Arial" w:eastAsia="Arial" w:hAnsi="Arial"/>
          <w:sz w:val="16"/>
          <w:szCs w:val="16"/>
          <w:b w:val="1"/>
          <w:bCs w:val="1"/>
          <w:color w:val="4D8ABE"/>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wp:posOffset>
            </wp:positionV>
            <wp:extent cx="7267575" cy="469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82" w:name="page83"/>
    <w:bookmarkEnd w:id="82"/>
    <w:p>
      <w:pPr>
        <w:spacing w:after="0"/>
        <w:rPr>
          <w:sz w:val="20"/>
          <w:szCs w:val="20"/>
          <w:color w:val="auto"/>
        </w:rPr>
      </w:pPr>
      <w:r>
        <w:rPr>
          <w:rFonts w:ascii="Arial" w:cs="Arial" w:eastAsia="Arial" w:hAnsi="Arial"/>
          <w:sz w:val="22"/>
          <w:szCs w:val="22"/>
          <w:color w:val="4D8ABE"/>
        </w:rPr>
        <w:t>Notes To Consolidated Financial Statements</w:t>
      </w:r>
    </w:p>
    <w:p>
      <w:pPr>
        <w:spacing w:after="0"/>
        <w:rPr>
          <w:sz w:val="20"/>
          <w:szCs w:val="20"/>
          <w:color w:val="auto"/>
        </w:rPr>
      </w:pPr>
      <w:r>
        <w:rPr>
          <w:rFonts w:ascii="Arial" w:cs="Arial" w:eastAsia="Arial" w:hAnsi="Arial"/>
          <w:sz w:val="18"/>
          <w:szCs w:val="18"/>
          <w:color w:val="4D8ABE"/>
        </w:rPr>
        <w:t>in millions, except share and per share data</w:t>
      </w:r>
    </w:p>
    <w:p>
      <w:pPr>
        <w:spacing w:after="0" w:line="212"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2009 impairment was due in part to continued deterioration in market conditions, which has resulted in Jefferson Wells experiencing significant revenue declines during 2009 and 2008. The discount rate was also impacted unfavorably by a 1% increase to our equity risk premium as a result of the market conditions and economic uncertainty at that time.</w:t>
      </w:r>
    </w:p>
    <w:p>
      <w:pPr>
        <w:spacing w:after="0" w:line="203"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2008 impairment was a result of deteriorating market conditions and general economic uncertainty. Market comparables and forecasted cash flows for the Right Management reporting unit were lower than in previous years, which led to a determination that the goodwill and tradename recorded for Right Management was impaired.</w:t>
      </w:r>
    </w:p>
    <w:p>
      <w:pPr>
        <w:spacing w:after="0" w:line="203"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accounting guidance requires a two-step method for determining goodwill impairment. In the first step, we determined the fair value of each reporting unit, generally by utilizing an income approach derived from a discounted cash flow methodology. For certain of our reporting units, a combination of the income approach (weighted 75%) and the market approach (weighted 25%) derived from comparable public companies was utilized. The income approach is developed from management’s forecasted cash flow data. Therefore, it represents an indication of fair market value reflecting management’s internal outlook for the reporting unit. The market approach utilizes the Guideline Public Company Method to quantify the respective reporting unit’s fair value based on revenue and earnings multiples realized by similar public companie s. The market approach is more volatile as an indicator of fair value as compared to the income approach. We believe that each approach has its merits. However in the instances where we have utilized both approaches, we have weighted the income approach more heavily than the market approach because we believe that management’s assumptions generally provide greater insight into the reporting unit’s fair value.</w:t>
      </w:r>
    </w:p>
    <w:p>
      <w:pPr>
        <w:spacing w:after="0" w:line="379"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Significant assumptions used in our goodwill impairment tests during the third quarter and fourth quarter of 2010 included: expected revenue growth rates, operating unit profit margins, and working capital levels; discount rates ranging from 9.7% to 21.2%; and a terminal value multiple. The discount rate was impacted favorably as compared to our previous valuations primarily by the utilization of a lower risk free rate in 2010. The expected future revenue growth rates and the expected operating unit profit margins were determined after considering our historical revenue growth rates and operating unit profit margins, our assessment of future market potential, and our expectations of future business performance.</w:t>
      </w:r>
    </w:p>
    <w:p>
      <w:pPr>
        <w:spacing w:after="0" w:line="205" w:lineRule="exact"/>
        <w:rPr>
          <w:sz w:val="20"/>
          <w:szCs w:val="20"/>
          <w:color w:val="auto"/>
        </w:rPr>
      </w:pPr>
    </w:p>
    <w:p>
      <w:pPr>
        <w:jc w:val="both"/>
        <w:spacing w:after="0"/>
        <w:rPr>
          <w:sz w:val="20"/>
          <w:szCs w:val="20"/>
          <w:color w:val="auto"/>
        </w:rPr>
      </w:pPr>
      <w:r>
        <w:rPr>
          <w:rFonts w:ascii="Arial" w:cs="Arial" w:eastAsia="Arial" w:hAnsi="Arial"/>
          <w:sz w:val="18"/>
          <w:szCs w:val="18"/>
          <w:color w:val="auto"/>
        </w:rPr>
        <w:t>If the reporting unit’s fair value is less than its carrying value as was the case for Right Management and Jefferson Wells in the fourth quarter of 2010, we are required to perform a second step. In the second step, we allocate the fair value of the reporting unit to all of the assets and liabilities of the reporting unit, including any unrecognized intangibles assets, in a “hypothetical” calculation to determine the implied fair value of the goodwill. The impairment charge, if any, is measured as the difference between the implied fair value of the goodwill and its carrying value.</w:t>
      </w:r>
    </w:p>
    <w:p>
      <w:pPr>
        <w:spacing w:after="0" w:line="200" w:lineRule="exact"/>
        <w:rPr>
          <w:sz w:val="20"/>
          <w:szCs w:val="20"/>
          <w:color w:val="auto"/>
        </w:rPr>
      </w:pPr>
    </w:p>
    <w:p>
      <w:pPr>
        <w:spacing w:after="0" w:line="201" w:lineRule="exact"/>
        <w:rPr>
          <w:sz w:val="20"/>
          <w:szCs w:val="20"/>
          <w:color w:val="auto"/>
        </w:rPr>
      </w:pPr>
    </w:p>
    <w:p>
      <w:pPr>
        <w:jc w:val="both"/>
        <w:spacing w:after="0"/>
        <w:rPr>
          <w:sz w:val="20"/>
          <w:szCs w:val="20"/>
          <w:color w:val="auto"/>
        </w:rPr>
      </w:pPr>
      <w:r>
        <w:rPr>
          <w:rFonts w:ascii="Arial" w:cs="Arial" w:eastAsia="Arial" w:hAnsi="Arial"/>
          <w:sz w:val="18"/>
          <w:szCs w:val="18"/>
          <w:color w:val="auto"/>
        </w:rPr>
        <w:t>Under the current accounting guidance, we are also required to test our indefinite-lived intangible assets for impairment by comparing the fair value of the intangible asset with its carrying value. If the intangible asset’s fair value is less than its carrying value, an impairment loss is recognized for the difference.</w:t>
      </w:r>
    </w:p>
    <w:p>
      <w:pPr>
        <w:spacing w:after="0" w:line="203" w:lineRule="exact"/>
        <w:rPr>
          <w:sz w:val="20"/>
          <w:szCs w:val="20"/>
          <w:color w:val="auto"/>
        </w:rPr>
      </w:pPr>
    </w:p>
    <w:p>
      <w:pPr>
        <w:jc w:val="both"/>
        <w:spacing w:after="0"/>
        <w:rPr>
          <w:sz w:val="20"/>
          <w:szCs w:val="20"/>
          <w:color w:val="auto"/>
        </w:rPr>
      </w:pPr>
      <w:r>
        <w:rPr>
          <w:rFonts w:ascii="Arial" w:cs="Arial" w:eastAsia="Arial" w:hAnsi="Arial"/>
          <w:sz w:val="18"/>
          <w:szCs w:val="18"/>
          <w:color w:val="auto"/>
        </w:rPr>
        <w:t>During the fourth quarter of 2010, we also performed an impairment test of our long-lived tangible and intangible assets for Right Management at the asset group level and determined that the undiscounted cash flows were in excess of the carrying value. As such, no impairment of these assets was recognized.</w:t>
      </w:r>
    </w:p>
    <w:p>
      <w:pPr>
        <w:spacing w:after="0" w:line="203"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We did not perform an interim impairment test on any of our other reporting units with goodwill and indefinite-lived intangible assets in the fourth quarter of 2010 as we noted no significant indicators of impairment as of December 31, 2010.</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4D8ABE"/>
        </w:rPr>
        <w:t>MARKETABLE SECURITIES</w:t>
      </w:r>
    </w:p>
    <w:p>
      <w:pPr>
        <w:spacing w:after="0" w:line="23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account for our marketable security investments under the accounting guidance on certain investments in debt and equity securities, and have determined that all such investments are classified as available-for-sale. Accordingly, unrealized gains and unrealized losses that are determined to be temporary, net of related income taxes, are included in Accumulated Other Comprehensive Income (Loss), which is a separate component of Shareholders’ Equity. Realized gains and losses, and unrealized losses determined to be other-than-temporary, are recorded in our Consolidated Statements of Operations. No realized gains or losses were recorded in 2010, 2009, or 2008. As of December 31, 2010 and 2009, our available-for-sale investments had a market value of $0.4 and $0.3, respectively, and an adjusted cost basis of $0.1, and none had unreal ized losses.</w:t>
      </w:r>
    </w:p>
    <w:p>
      <w:pPr>
        <w:spacing w:after="0" w:line="203"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hold a 49% interest in our Swiss franchise, which maintains an investment portfolio with a market value of $ 173.1 and $152.6 as of December 31, 2010 and 2009, respectively. This portfolio is comprised of a wide variety of European and U.S. debt and equity securities as well as various professionally-managed funds, all of which are classified as available-for-sale. Our share of net realized gains and losses, and declines in value determined to be other-than-temporary, are included in our consolidated statements of operations. For the years ended December 31, 2010, 2009 and 2008, realized gains totaled $0.5, $2.4 and $0.2, respectively, and realized losses totaled $0.2, $1.2 and $ 0.5, respectively. Our share of net unrealized gains and unrealized losses that are determined to be temporary related to these investments are included in Acc umulated Other Comprehensive Income (Loss), with the offsetting amount increasing or decreasing our investment in the franchise.</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b w:val="1"/>
          <w:bCs w:val="1"/>
          <w:color w:val="4D8ABE"/>
        </w:rPr>
        <w:t xml:space="preserve">52 </w:t>
      </w:r>
      <w:r>
        <w:rPr>
          <w:rFonts w:ascii="Arial" w:cs="Arial" w:eastAsia="Arial" w:hAnsi="Arial"/>
          <w:sz w:val="16"/>
          <w:szCs w:val="16"/>
          <w:color w:val="4D8ABE"/>
        </w:rPr>
        <w:t>Manpower 2010 Annual Report</w:t>
      </w:r>
      <w:r>
        <w:rPr>
          <w:rFonts w:ascii="Arial" w:cs="Arial" w:eastAsia="Arial" w:hAnsi="Arial"/>
          <w:sz w:val="16"/>
          <w:szCs w:val="16"/>
          <w:b w:val="1"/>
          <w:bCs w:val="1"/>
          <w:color w:val="4D8ABE"/>
        </w:rPr>
        <w:t xml:space="preserve"> </w:t>
      </w:r>
      <w:r>
        <w:rPr>
          <w:rFonts w:ascii="Arial" w:cs="Arial" w:eastAsia="Arial" w:hAnsi="Arial"/>
          <w:sz w:val="16"/>
          <w:szCs w:val="16"/>
          <w:b w:val="1"/>
          <w:bCs w:val="1"/>
          <w:color w:val="939598"/>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wp:posOffset>
            </wp:positionV>
            <wp:extent cx="7267575" cy="469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ectPr>
          <w:pgSz w:w="11900" w:h="16838" w:orient="portrait"/>
          <w:cols w:equalWidth="0" w:num="1">
            <w:col w:w="11420"/>
          </w:cols>
          <w:pgMar w:left="240" w:top="345" w:right="239" w:bottom="1440" w:gutter="0" w:footer="0" w:header="0"/>
        </w:sectPr>
      </w:pPr>
    </w:p>
    <w:bookmarkStart w:id="83" w:name="page84"/>
    <w:bookmarkEnd w:id="83"/>
    <w:p>
      <w:pPr>
        <w:spacing w:after="0"/>
        <w:rPr>
          <w:sz w:val="20"/>
          <w:szCs w:val="20"/>
          <w:color w:val="auto"/>
        </w:rPr>
      </w:pPr>
      <w:r>
        <w:rPr>
          <w:rFonts w:ascii="Arial" w:cs="Arial" w:eastAsia="Arial" w:hAnsi="Arial"/>
          <w:sz w:val="16"/>
          <w:szCs w:val="16"/>
          <w:b w:val="1"/>
          <w:bCs w:val="1"/>
          <w:color w:val="4D8ABE"/>
        </w:rPr>
        <w:t>CAPITALIZED SOFTWARE FOR INTERNAL USE</w:t>
      </w:r>
    </w:p>
    <w:p>
      <w:pPr>
        <w:spacing w:after="0" w:line="23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capitalize purchased software as well as internally developed software. Internal software development costs are capitalized from the time the internal use software is considered probable of completion until the software is ready for use. Business analysis, system evaluation, selection and software maintenance costs are expensed as incurred. Capitalized software costs are amortized using the straight-line method over the estimated useful life of the software which ranges from 2 to 10 years. The net capitalized software balance of $21.8 and $24.6 as of December 31, 2010 and 2009, respectively, is included in Other Assets in the consolidated balance sheets. Amortization expense related to the capitalized software costs was $11.6, $10.7 and $12.1 for 2010, 2009 and 2008, respectively.</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color w:val="4D8ABE"/>
        </w:rPr>
        <w:t>PROPERTY AND EQUIPMENT</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A summary of property and equipment as of December 31 is as follows: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8020" w:type="dxa"/>
            <w:vAlign w:val="bottom"/>
            <w:tcBorders>
              <w:bottom w:val="single" w:sz="8" w:color="86B6A5"/>
            </w:tcBorders>
          </w:tcPr>
          <w:p>
            <w:pPr>
              <w:spacing w:after="0"/>
              <w:rPr>
                <w:sz w:val="18"/>
                <w:szCs w:val="18"/>
                <w:color w:val="auto"/>
              </w:rPr>
            </w:pPr>
          </w:p>
        </w:tc>
        <w:tc>
          <w:tcPr>
            <w:tcW w:w="120" w:type="dxa"/>
            <w:vAlign w:val="bottom"/>
            <w:tcBorders>
              <w:bottom w:val="single" w:sz="8" w:color="86B6A5"/>
            </w:tcBorders>
            <w:shd w:val="clear" w:color="auto" w:fill="86B6A5"/>
          </w:tcPr>
          <w:p>
            <w:pPr>
              <w:spacing w:after="0"/>
              <w:rPr>
                <w:sz w:val="18"/>
                <w:szCs w:val="18"/>
                <w:color w:val="auto"/>
              </w:rPr>
            </w:pPr>
          </w:p>
        </w:tc>
        <w:tc>
          <w:tcPr>
            <w:tcW w:w="1580" w:type="dxa"/>
            <w:vAlign w:val="bottom"/>
            <w:tcBorders>
              <w:bottom w:val="single" w:sz="8" w:color="86B6A5"/>
            </w:tcBorders>
            <w:shd w:val="clear" w:color="auto" w:fill="86B6A5"/>
          </w:tcPr>
          <w:p>
            <w:pPr>
              <w:jc w:val="right"/>
              <w:ind w:right="131"/>
              <w:spacing w:after="0"/>
              <w:rPr>
                <w:sz w:val="20"/>
                <w:szCs w:val="20"/>
                <w:color w:val="auto"/>
              </w:rPr>
            </w:pPr>
            <w:r>
              <w:rPr>
                <w:rFonts w:ascii="Arial" w:cs="Arial" w:eastAsia="Arial" w:hAnsi="Arial"/>
                <w:sz w:val="16"/>
                <w:szCs w:val="16"/>
                <w:b w:val="1"/>
                <w:bCs w:val="1"/>
                <w:color w:val="FFFFFF"/>
              </w:rPr>
              <w:t>2010</w:t>
            </w:r>
          </w:p>
        </w:tc>
        <w:tc>
          <w:tcPr>
            <w:tcW w:w="560" w:type="dxa"/>
            <w:vAlign w:val="bottom"/>
            <w:tcBorders>
              <w:bottom w:val="single" w:sz="8" w:color="86B6A5"/>
            </w:tcBorders>
          </w:tcPr>
          <w:p>
            <w:pPr>
              <w:spacing w:after="0"/>
              <w:rPr>
                <w:sz w:val="18"/>
                <w:szCs w:val="18"/>
                <w:color w:val="auto"/>
              </w:rPr>
            </w:pPr>
          </w:p>
        </w:tc>
        <w:tc>
          <w:tcPr>
            <w:tcW w:w="900" w:type="dxa"/>
            <w:vAlign w:val="bottom"/>
            <w:tcBorders>
              <w:bottom w:val="single" w:sz="8" w:color="86B6A5"/>
            </w:tcBorders>
          </w:tcPr>
          <w:p>
            <w:pPr>
              <w:jc w:val="right"/>
              <w:spacing w:after="0"/>
              <w:rPr>
                <w:sz w:val="20"/>
                <w:szCs w:val="20"/>
                <w:color w:val="auto"/>
              </w:rPr>
            </w:pPr>
            <w:r>
              <w:rPr>
                <w:rFonts w:ascii="Arial" w:cs="Arial" w:eastAsia="Arial" w:hAnsi="Arial"/>
                <w:sz w:val="16"/>
                <w:szCs w:val="16"/>
                <w:b w:val="1"/>
                <w:bCs w:val="1"/>
                <w:color w:val="86B6A5"/>
              </w:rPr>
              <w:t>2009</w:t>
            </w:r>
          </w:p>
        </w:tc>
        <w:tc>
          <w:tcPr>
            <w:tcW w:w="2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8020" w:type="dxa"/>
            <w:vAlign w:val="bottom"/>
          </w:tcPr>
          <w:p>
            <w:pPr>
              <w:spacing w:after="0" w:line="201" w:lineRule="exact"/>
              <w:rPr>
                <w:sz w:val="20"/>
                <w:szCs w:val="20"/>
                <w:color w:val="auto"/>
              </w:rPr>
            </w:pPr>
            <w:r>
              <w:rPr>
                <w:rFonts w:ascii="Arial" w:cs="Arial" w:eastAsia="Arial" w:hAnsi="Arial"/>
                <w:sz w:val="18"/>
                <w:szCs w:val="18"/>
                <w:color w:val="auto"/>
              </w:rPr>
              <w:t>Land</w:t>
            </w:r>
          </w:p>
        </w:tc>
        <w:tc>
          <w:tcPr>
            <w:tcW w:w="120" w:type="dxa"/>
            <w:vAlign w:val="bottom"/>
            <w:shd w:val="clear" w:color="auto" w:fill="E3F1DA"/>
          </w:tcPr>
          <w:p>
            <w:pPr>
              <w:jc w:val="right"/>
              <w:spacing w:after="0" w:line="201" w:lineRule="exact"/>
              <w:rPr>
                <w:sz w:val="20"/>
                <w:szCs w:val="20"/>
                <w:color w:val="auto"/>
              </w:rPr>
            </w:pPr>
            <w:r>
              <w:rPr>
                <w:rFonts w:ascii="Arial" w:cs="Arial" w:eastAsia="Arial" w:hAnsi="Arial"/>
                <w:sz w:val="18"/>
                <w:szCs w:val="18"/>
                <w:color w:val="86B6A5"/>
                <w:w w:val="79"/>
              </w:rPr>
              <w:t>$</w:t>
            </w:r>
          </w:p>
        </w:tc>
        <w:tc>
          <w:tcPr>
            <w:tcW w:w="1580" w:type="dxa"/>
            <w:vAlign w:val="bottom"/>
            <w:shd w:val="clear" w:color="auto" w:fill="E3F1DA"/>
          </w:tcPr>
          <w:p>
            <w:pPr>
              <w:jc w:val="right"/>
              <w:ind w:right="131"/>
              <w:spacing w:after="0" w:line="201" w:lineRule="exact"/>
              <w:rPr>
                <w:sz w:val="20"/>
                <w:szCs w:val="20"/>
                <w:color w:val="auto"/>
              </w:rPr>
            </w:pPr>
            <w:r>
              <w:rPr>
                <w:rFonts w:ascii="Arial" w:cs="Arial" w:eastAsia="Arial" w:hAnsi="Arial"/>
                <w:sz w:val="18"/>
                <w:szCs w:val="18"/>
                <w:color w:val="86B6A5"/>
              </w:rPr>
              <w:t>7.1</w:t>
            </w:r>
          </w:p>
        </w:tc>
        <w:tc>
          <w:tcPr>
            <w:tcW w:w="560" w:type="dxa"/>
            <w:vAlign w:val="bottom"/>
          </w:tcPr>
          <w:p>
            <w:pPr>
              <w:jc w:val="right"/>
              <w:ind w:right="370"/>
              <w:spacing w:after="0" w:line="201" w:lineRule="exact"/>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line="201" w:lineRule="exact"/>
              <w:rPr>
                <w:sz w:val="20"/>
                <w:szCs w:val="20"/>
                <w:color w:val="auto"/>
              </w:rPr>
            </w:pPr>
            <w:r>
              <w:rPr>
                <w:rFonts w:ascii="Arial" w:cs="Arial" w:eastAsia="Arial" w:hAnsi="Arial"/>
                <w:sz w:val="18"/>
                <w:szCs w:val="18"/>
                <w:color w:val="auto"/>
              </w:rPr>
              <w:t>3.5</w:t>
            </w:r>
          </w:p>
        </w:tc>
        <w:tc>
          <w:tcPr>
            <w:tcW w:w="20" w:type="dxa"/>
            <w:vAlign w:val="bottom"/>
          </w:tcPr>
          <w:p>
            <w:pPr>
              <w:spacing w:after="0"/>
              <w:rPr>
                <w:sz w:val="17"/>
                <w:szCs w:val="17"/>
                <w:color w:val="auto"/>
              </w:rPr>
            </w:pPr>
          </w:p>
        </w:tc>
      </w:tr>
      <w:tr>
        <w:trPr>
          <w:trHeight w:val="203"/>
        </w:trPr>
        <w:tc>
          <w:tcPr>
            <w:tcW w:w="8040" w:type="dxa"/>
            <w:vAlign w:val="bottom"/>
            <w:gridSpan w:val="2"/>
          </w:tcPr>
          <w:p>
            <w:pPr>
              <w:spacing w:after="0" w:line="202" w:lineRule="exact"/>
              <w:rPr>
                <w:sz w:val="20"/>
                <w:szCs w:val="20"/>
                <w:color w:val="auto"/>
              </w:rPr>
            </w:pPr>
            <w:r>
              <w:rPr>
                <w:rFonts w:ascii="Arial" w:cs="Arial" w:eastAsia="Arial" w:hAnsi="Arial"/>
                <w:sz w:val="18"/>
                <w:szCs w:val="18"/>
                <w:color w:val="auto"/>
              </w:rPr>
              <w:t>Buildings</w:t>
            </w:r>
          </w:p>
        </w:tc>
        <w:tc>
          <w:tcPr>
            <w:tcW w:w="120" w:type="dxa"/>
            <w:vAlign w:val="bottom"/>
            <w:shd w:val="clear" w:color="auto" w:fill="E3F1DA"/>
          </w:tcPr>
          <w:p>
            <w:pPr>
              <w:spacing w:after="0"/>
              <w:rPr>
                <w:sz w:val="17"/>
                <w:szCs w:val="17"/>
                <w:color w:val="auto"/>
              </w:rPr>
            </w:pPr>
          </w:p>
        </w:tc>
        <w:tc>
          <w:tcPr>
            <w:tcW w:w="1580" w:type="dxa"/>
            <w:vAlign w:val="bottom"/>
            <w:shd w:val="clear" w:color="auto" w:fill="E3F1DA"/>
          </w:tcPr>
          <w:p>
            <w:pPr>
              <w:jc w:val="right"/>
              <w:ind w:right="131"/>
              <w:spacing w:after="0" w:line="202" w:lineRule="exact"/>
              <w:rPr>
                <w:sz w:val="20"/>
                <w:szCs w:val="20"/>
                <w:color w:val="auto"/>
              </w:rPr>
            </w:pPr>
            <w:r>
              <w:rPr>
                <w:rFonts w:ascii="Arial" w:cs="Arial" w:eastAsia="Arial" w:hAnsi="Arial"/>
                <w:sz w:val="18"/>
                <w:szCs w:val="18"/>
                <w:color w:val="86B6A5"/>
              </w:rPr>
              <w:t>19.5</w:t>
            </w:r>
          </w:p>
        </w:tc>
        <w:tc>
          <w:tcPr>
            <w:tcW w:w="56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18.8</w:t>
            </w:r>
          </w:p>
        </w:tc>
        <w:tc>
          <w:tcPr>
            <w:tcW w:w="20" w:type="dxa"/>
            <w:vAlign w:val="bottom"/>
          </w:tcPr>
          <w:p>
            <w:pPr>
              <w:spacing w:after="0"/>
              <w:rPr>
                <w:sz w:val="17"/>
                <w:szCs w:val="17"/>
                <w:color w:val="auto"/>
              </w:rPr>
            </w:pPr>
          </w:p>
        </w:tc>
      </w:tr>
      <w:tr>
        <w:trPr>
          <w:trHeight w:val="203"/>
        </w:trPr>
        <w:tc>
          <w:tcPr>
            <w:tcW w:w="8040" w:type="dxa"/>
            <w:vAlign w:val="bottom"/>
            <w:gridSpan w:val="2"/>
          </w:tcPr>
          <w:p>
            <w:pPr>
              <w:spacing w:after="0" w:line="202" w:lineRule="exact"/>
              <w:rPr>
                <w:sz w:val="20"/>
                <w:szCs w:val="20"/>
                <w:color w:val="auto"/>
              </w:rPr>
            </w:pPr>
            <w:r>
              <w:rPr>
                <w:rFonts w:ascii="Arial" w:cs="Arial" w:eastAsia="Arial" w:hAnsi="Arial"/>
                <w:sz w:val="18"/>
                <w:szCs w:val="18"/>
                <w:color w:val="auto"/>
              </w:rPr>
              <w:t>Furniture, fixtures, and autos</w:t>
            </w:r>
          </w:p>
        </w:tc>
        <w:tc>
          <w:tcPr>
            <w:tcW w:w="120" w:type="dxa"/>
            <w:vAlign w:val="bottom"/>
            <w:shd w:val="clear" w:color="auto" w:fill="E3F1DA"/>
          </w:tcPr>
          <w:p>
            <w:pPr>
              <w:spacing w:after="0"/>
              <w:rPr>
                <w:sz w:val="17"/>
                <w:szCs w:val="17"/>
                <w:color w:val="auto"/>
              </w:rPr>
            </w:pPr>
          </w:p>
        </w:tc>
        <w:tc>
          <w:tcPr>
            <w:tcW w:w="1580" w:type="dxa"/>
            <w:vAlign w:val="bottom"/>
            <w:shd w:val="clear" w:color="auto" w:fill="E3F1DA"/>
          </w:tcPr>
          <w:p>
            <w:pPr>
              <w:jc w:val="right"/>
              <w:ind w:right="131"/>
              <w:spacing w:after="0" w:line="202" w:lineRule="exact"/>
              <w:rPr>
                <w:sz w:val="20"/>
                <w:szCs w:val="20"/>
                <w:color w:val="auto"/>
              </w:rPr>
            </w:pPr>
            <w:r>
              <w:rPr>
                <w:rFonts w:ascii="Arial" w:cs="Arial" w:eastAsia="Arial" w:hAnsi="Arial"/>
                <w:sz w:val="18"/>
                <w:szCs w:val="18"/>
                <w:color w:val="86B6A5"/>
              </w:rPr>
              <w:t>197.0</w:t>
            </w:r>
          </w:p>
        </w:tc>
        <w:tc>
          <w:tcPr>
            <w:tcW w:w="560" w:type="dxa"/>
            <w:vAlign w:val="bottom"/>
          </w:tcPr>
          <w:p>
            <w:pPr>
              <w:spacing w:after="0"/>
              <w:rPr>
                <w:sz w:val="17"/>
                <w:szCs w:val="17"/>
                <w:color w:val="auto"/>
              </w:rPr>
            </w:pPr>
          </w:p>
        </w:tc>
        <w:tc>
          <w:tcPr>
            <w:tcW w:w="9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199.5</w:t>
            </w:r>
          </w:p>
        </w:tc>
      </w:tr>
      <w:tr>
        <w:trPr>
          <w:trHeight w:val="203"/>
        </w:trPr>
        <w:tc>
          <w:tcPr>
            <w:tcW w:w="8040" w:type="dxa"/>
            <w:vAlign w:val="bottom"/>
            <w:gridSpan w:val="2"/>
          </w:tcPr>
          <w:p>
            <w:pPr>
              <w:spacing w:after="0" w:line="202" w:lineRule="exact"/>
              <w:rPr>
                <w:sz w:val="20"/>
                <w:szCs w:val="20"/>
                <w:color w:val="auto"/>
              </w:rPr>
            </w:pPr>
            <w:r>
              <w:rPr>
                <w:rFonts w:ascii="Arial" w:cs="Arial" w:eastAsia="Arial" w:hAnsi="Arial"/>
                <w:sz w:val="18"/>
                <w:szCs w:val="18"/>
                <w:color w:val="auto"/>
              </w:rPr>
              <w:t>Computer equipment</w:t>
            </w:r>
          </w:p>
        </w:tc>
        <w:tc>
          <w:tcPr>
            <w:tcW w:w="120" w:type="dxa"/>
            <w:vAlign w:val="bottom"/>
            <w:shd w:val="clear" w:color="auto" w:fill="E3F1DA"/>
          </w:tcPr>
          <w:p>
            <w:pPr>
              <w:spacing w:after="0"/>
              <w:rPr>
                <w:sz w:val="17"/>
                <w:szCs w:val="17"/>
                <w:color w:val="auto"/>
              </w:rPr>
            </w:pPr>
          </w:p>
        </w:tc>
        <w:tc>
          <w:tcPr>
            <w:tcW w:w="1580" w:type="dxa"/>
            <w:vAlign w:val="bottom"/>
            <w:shd w:val="clear" w:color="auto" w:fill="E3F1DA"/>
          </w:tcPr>
          <w:p>
            <w:pPr>
              <w:jc w:val="right"/>
              <w:ind w:right="131"/>
              <w:spacing w:after="0" w:line="202" w:lineRule="exact"/>
              <w:rPr>
                <w:sz w:val="20"/>
                <w:szCs w:val="20"/>
                <w:color w:val="auto"/>
              </w:rPr>
            </w:pPr>
            <w:r>
              <w:rPr>
                <w:rFonts w:ascii="Arial" w:cs="Arial" w:eastAsia="Arial" w:hAnsi="Arial"/>
                <w:sz w:val="18"/>
                <w:szCs w:val="18"/>
                <w:color w:val="86B6A5"/>
              </w:rPr>
              <w:t>168.0</w:t>
            </w:r>
          </w:p>
        </w:tc>
        <w:tc>
          <w:tcPr>
            <w:tcW w:w="560" w:type="dxa"/>
            <w:vAlign w:val="bottom"/>
          </w:tcPr>
          <w:p>
            <w:pPr>
              <w:spacing w:after="0"/>
              <w:rPr>
                <w:sz w:val="17"/>
                <w:szCs w:val="17"/>
                <w:color w:val="auto"/>
              </w:rPr>
            </w:pPr>
          </w:p>
        </w:tc>
        <w:tc>
          <w:tcPr>
            <w:tcW w:w="9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171.9</w:t>
            </w:r>
          </w:p>
        </w:tc>
      </w:tr>
      <w:tr>
        <w:trPr>
          <w:trHeight w:val="203"/>
        </w:trPr>
        <w:tc>
          <w:tcPr>
            <w:tcW w:w="8040" w:type="dxa"/>
            <w:vAlign w:val="bottom"/>
            <w:tcBorders>
              <w:bottom w:val="single" w:sz="8" w:color="939598"/>
            </w:tcBorders>
            <w:gridSpan w:val="2"/>
          </w:tcPr>
          <w:p>
            <w:pPr>
              <w:spacing w:after="0" w:line="203" w:lineRule="exact"/>
              <w:rPr>
                <w:sz w:val="20"/>
                <w:szCs w:val="20"/>
                <w:color w:val="auto"/>
              </w:rPr>
            </w:pPr>
            <w:r>
              <w:rPr>
                <w:rFonts w:ascii="Arial" w:cs="Arial" w:eastAsia="Arial" w:hAnsi="Arial"/>
                <w:sz w:val="18"/>
                <w:szCs w:val="18"/>
                <w:color w:val="auto"/>
              </w:rPr>
              <w:t>Leasehold improvements</w:t>
            </w:r>
          </w:p>
        </w:tc>
        <w:tc>
          <w:tcPr>
            <w:tcW w:w="120" w:type="dxa"/>
            <w:vAlign w:val="bottom"/>
            <w:tcBorders>
              <w:bottom w:val="single" w:sz="8" w:color="939598"/>
            </w:tcBorders>
            <w:shd w:val="clear" w:color="auto" w:fill="E3F1DA"/>
          </w:tcPr>
          <w:p>
            <w:pPr>
              <w:spacing w:after="0"/>
              <w:rPr>
                <w:sz w:val="17"/>
                <w:szCs w:val="17"/>
                <w:color w:val="auto"/>
              </w:rPr>
            </w:pPr>
          </w:p>
        </w:tc>
        <w:tc>
          <w:tcPr>
            <w:tcW w:w="1580" w:type="dxa"/>
            <w:vAlign w:val="bottom"/>
            <w:tcBorders>
              <w:bottom w:val="single" w:sz="8" w:color="939598"/>
            </w:tcBorders>
            <w:shd w:val="clear" w:color="auto" w:fill="E3F1DA"/>
          </w:tcPr>
          <w:p>
            <w:pPr>
              <w:jc w:val="right"/>
              <w:ind w:right="131"/>
              <w:spacing w:after="0" w:line="203" w:lineRule="exact"/>
              <w:rPr>
                <w:sz w:val="20"/>
                <w:szCs w:val="20"/>
                <w:color w:val="auto"/>
              </w:rPr>
            </w:pPr>
            <w:r>
              <w:rPr>
                <w:rFonts w:ascii="Arial" w:cs="Arial" w:eastAsia="Arial" w:hAnsi="Arial"/>
                <w:sz w:val="18"/>
                <w:szCs w:val="18"/>
                <w:color w:val="86B6A5"/>
              </w:rPr>
              <w:t>297.2</w:t>
            </w:r>
          </w:p>
        </w:tc>
        <w:tc>
          <w:tcPr>
            <w:tcW w:w="560" w:type="dxa"/>
            <w:vAlign w:val="bottom"/>
            <w:tcBorders>
              <w:bottom w:val="single" w:sz="8" w:color="939598"/>
            </w:tcBorders>
          </w:tcPr>
          <w:p>
            <w:pPr>
              <w:spacing w:after="0"/>
              <w:rPr>
                <w:sz w:val="17"/>
                <w:szCs w:val="17"/>
                <w:color w:val="auto"/>
              </w:rPr>
            </w:pPr>
          </w:p>
        </w:tc>
        <w:tc>
          <w:tcPr>
            <w:tcW w:w="920" w:type="dxa"/>
            <w:vAlign w:val="bottom"/>
            <w:tcBorders>
              <w:bottom w:val="single" w:sz="8" w:color="939598"/>
            </w:tcBorders>
            <w:gridSpan w:val="2"/>
          </w:tcPr>
          <w:p>
            <w:pPr>
              <w:jc w:val="right"/>
              <w:ind w:right="20"/>
              <w:spacing w:after="0" w:line="203" w:lineRule="exact"/>
              <w:rPr>
                <w:sz w:val="20"/>
                <w:szCs w:val="20"/>
                <w:color w:val="auto"/>
              </w:rPr>
            </w:pPr>
            <w:r>
              <w:rPr>
                <w:rFonts w:ascii="Arial" w:cs="Arial" w:eastAsia="Arial" w:hAnsi="Arial"/>
                <w:sz w:val="18"/>
                <w:szCs w:val="18"/>
                <w:color w:val="auto"/>
              </w:rPr>
              <w:t>309.9</w:t>
            </w:r>
          </w:p>
        </w:tc>
      </w:tr>
      <w:tr>
        <w:trPr>
          <w:trHeight w:val="196"/>
        </w:trPr>
        <w:tc>
          <w:tcPr>
            <w:tcW w:w="8040" w:type="dxa"/>
            <w:vAlign w:val="bottom"/>
            <w:gridSpan w:val="2"/>
          </w:tcPr>
          <w:p>
            <w:pPr>
              <w:spacing w:after="0" w:line="196" w:lineRule="exact"/>
              <w:rPr>
                <w:sz w:val="20"/>
                <w:szCs w:val="20"/>
                <w:color w:val="auto"/>
              </w:rPr>
            </w:pPr>
            <w:r>
              <w:rPr>
                <w:rFonts w:ascii="Arial" w:cs="Arial" w:eastAsia="Arial" w:hAnsi="Arial"/>
                <w:sz w:val="18"/>
                <w:szCs w:val="18"/>
                <w:color w:val="auto"/>
              </w:rPr>
              <w:t>Property and equipment</w:t>
            </w:r>
          </w:p>
        </w:tc>
        <w:tc>
          <w:tcPr>
            <w:tcW w:w="120" w:type="dxa"/>
            <w:vAlign w:val="bottom"/>
            <w:shd w:val="clear" w:color="auto" w:fill="E3F1DA"/>
          </w:tcPr>
          <w:p>
            <w:pPr>
              <w:jc w:val="right"/>
              <w:spacing w:after="0" w:line="196" w:lineRule="exact"/>
              <w:rPr>
                <w:sz w:val="20"/>
                <w:szCs w:val="20"/>
                <w:color w:val="auto"/>
              </w:rPr>
            </w:pPr>
            <w:r>
              <w:rPr>
                <w:rFonts w:ascii="Arial" w:cs="Arial" w:eastAsia="Arial" w:hAnsi="Arial"/>
                <w:sz w:val="18"/>
                <w:szCs w:val="18"/>
                <w:color w:val="86B6A5"/>
                <w:w w:val="79"/>
              </w:rPr>
              <w:t>$</w:t>
            </w:r>
          </w:p>
        </w:tc>
        <w:tc>
          <w:tcPr>
            <w:tcW w:w="1580" w:type="dxa"/>
            <w:vAlign w:val="bottom"/>
            <w:shd w:val="clear" w:color="auto" w:fill="E3F1DA"/>
          </w:tcPr>
          <w:p>
            <w:pPr>
              <w:jc w:val="right"/>
              <w:ind w:right="131"/>
              <w:spacing w:after="0" w:line="196" w:lineRule="exact"/>
              <w:rPr>
                <w:sz w:val="20"/>
                <w:szCs w:val="20"/>
                <w:color w:val="auto"/>
              </w:rPr>
            </w:pPr>
            <w:r>
              <w:rPr>
                <w:rFonts w:ascii="Arial" w:cs="Arial" w:eastAsia="Arial" w:hAnsi="Arial"/>
                <w:sz w:val="18"/>
                <w:szCs w:val="18"/>
                <w:color w:val="86B6A5"/>
              </w:rPr>
              <w:t>688.8</w:t>
            </w:r>
          </w:p>
        </w:tc>
        <w:tc>
          <w:tcPr>
            <w:tcW w:w="560" w:type="dxa"/>
            <w:vAlign w:val="bottom"/>
          </w:tcPr>
          <w:p>
            <w:pPr>
              <w:jc w:val="right"/>
              <w:ind w:right="37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703.6</w:t>
            </w:r>
          </w:p>
        </w:tc>
      </w:tr>
      <w:tr>
        <w:trPr>
          <w:trHeight w:val="27"/>
        </w:trPr>
        <w:tc>
          <w:tcPr>
            <w:tcW w:w="20" w:type="dxa"/>
            <w:vAlign w:val="bottom"/>
          </w:tcPr>
          <w:p>
            <w:pPr>
              <w:spacing w:after="0"/>
              <w:rPr>
                <w:sz w:val="2"/>
                <w:szCs w:val="2"/>
                <w:color w:val="auto"/>
              </w:rPr>
            </w:pPr>
          </w:p>
        </w:tc>
        <w:tc>
          <w:tcPr>
            <w:tcW w:w="8020" w:type="dxa"/>
            <w:vAlign w:val="bottom"/>
            <w:shd w:val="clear" w:color="auto" w:fill="939598"/>
          </w:tcPr>
          <w:p>
            <w:pPr>
              <w:spacing w:after="0"/>
              <w:rPr>
                <w:sz w:val="2"/>
                <w:szCs w:val="2"/>
                <w:color w:val="auto"/>
              </w:rPr>
            </w:pPr>
          </w:p>
        </w:tc>
        <w:tc>
          <w:tcPr>
            <w:tcW w:w="120" w:type="dxa"/>
            <w:vAlign w:val="bottom"/>
            <w:shd w:val="clear" w:color="auto" w:fill="939598"/>
          </w:tcPr>
          <w:p>
            <w:pPr>
              <w:spacing w:after="0"/>
              <w:rPr>
                <w:sz w:val="2"/>
                <w:szCs w:val="2"/>
                <w:color w:val="auto"/>
              </w:rPr>
            </w:pPr>
          </w:p>
        </w:tc>
        <w:tc>
          <w:tcPr>
            <w:tcW w:w="1580" w:type="dxa"/>
            <w:vAlign w:val="bottom"/>
            <w:shd w:val="clear" w:color="auto" w:fill="939598"/>
          </w:tcPr>
          <w:p>
            <w:pPr>
              <w:spacing w:after="0"/>
              <w:rPr>
                <w:sz w:val="2"/>
                <w:szCs w:val="2"/>
                <w:color w:val="auto"/>
              </w:rPr>
            </w:pPr>
          </w:p>
        </w:tc>
        <w:tc>
          <w:tcPr>
            <w:tcW w:w="560" w:type="dxa"/>
            <w:vAlign w:val="bottom"/>
            <w:shd w:val="clear" w:color="auto" w:fill="939598"/>
          </w:tcPr>
          <w:p>
            <w:pPr>
              <w:spacing w:after="0"/>
              <w:rPr>
                <w:sz w:val="2"/>
                <w:szCs w:val="2"/>
                <w:color w:val="auto"/>
              </w:rPr>
            </w:pPr>
          </w:p>
        </w:tc>
        <w:tc>
          <w:tcPr>
            <w:tcW w:w="900" w:type="dxa"/>
            <w:vAlign w:val="bottom"/>
            <w:shd w:val="clear" w:color="auto" w:fill="939598"/>
          </w:tcPr>
          <w:p>
            <w:pPr>
              <w:spacing w:after="0"/>
              <w:rPr>
                <w:sz w:val="2"/>
                <w:szCs w:val="2"/>
                <w:color w:val="auto"/>
              </w:rPr>
            </w:pPr>
          </w:p>
        </w:tc>
        <w:tc>
          <w:tcPr>
            <w:tcW w:w="20" w:type="dxa"/>
            <w:vAlign w:val="bottom"/>
          </w:tcPr>
          <w:p>
            <w:pPr>
              <w:spacing w:after="0"/>
              <w:rPr>
                <w:sz w:val="2"/>
                <w:szCs w:val="2"/>
                <w:color w:val="auto"/>
              </w:rPr>
            </w:pPr>
          </w:p>
        </w:tc>
      </w:tr>
    </w:tbl>
    <w:p>
      <w:pPr>
        <w:spacing w:after="0" w:line="215"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Property and equipment are stated at cost and are depreciated using primarily the straight-line method over the following estimated useful lives: buildings – up to 40 years; furniture and equipment – 2 to 15 years; leasehold improvements – lesser of life of asset or expected lease term. Expenditures for renewals and betterments are capitalized whereas expenditures for repairs and maintenance are charged to income as incurred. Upon sale or disposition of property and equipment, the difference between the unamortized cost and the proceeds is recorded as either a gain or a loss and is included in our Consolidated Statements of Operations. Long-lived assets are evaluated for impairment in accordance with the provisions of the accounting guidance on the impairment or disposal of long-lived assets.</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color w:val="4D8ABE"/>
        </w:rPr>
        <w:t>DERIVATIVE FINANCIAL INSTRUMENTS</w:t>
      </w:r>
    </w:p>
    <w:p>
      <w:pPr>
        <w:spacing w:after="0" w:line="23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account for our derivative instruments in accordance with the accounting guidance on derivative instruments and hedging activities. Derivative instruments are recorded on the balance sheet as either an asset or liability measured at their fair value. If the derivative is designated as a fair value hedge, the changes in the fair value of the derivative and of the hedged item attributable to the hedged risk are recognized in earnings. If the derivative is designated as a cash flow hedge, the effective portions of the changes in the fair value of the derivative are recorded as a component of Accumulated Other Comprehensive Income (Loss) and recognized in the Consolidated Statements of Operations when the hedged item affects earnings. The ineffective portions of the changes in the fair value of cash flow hedges are recognized in earnings.</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b w:val="1"/>
          <w:bCs w:val="1"/>
          <w:color w:val="4D8ABE"/>
        </w:rPr>
        <w:t>FOREIGN CURRENCY TRANSLATION</w:t>
      </w:r>
    </w:p>
    <w:p>
      <w:pPr>
        <w:spacing w:after="0" w:line="23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financial statements of our non-U.S. subsidiaries have been translated in accordance with the accounting guidance on foreign currency translation. Under the accounting guidance, asset and liability accounts are translated at the current exchange rate and income statement items are translated at the weighted-average exchange rate for the year. The resulting translation adjustments are recorded as a component of Accumulated Other Comprehensive Income (Loss), which is included in Shareholders’ Equity.</w:t>
      </w:r>
    </w:p>
    <w:p>
      <w:pPr>
        <w:spacing w:after="0" w:line="202" w:lineRule="exact"/>
        <w:rPr>
          <w:sz w:val="20"/>
          <w:szCs w:val="20"/>
          <w:color w:val="auto"/>
        </w:rPr>
      </w:pPr>
    </w:p>
    <w:p>
      <w:pPr>
        <w:jc w:val="both"/>
        <w:spacing w:after="0"/>
        <w:rPr>
          <w:sz w:val="20"/>
          <w:szCs w:val="20"/>
          <w:color w:val="auto"/>
        </w:rPr>
      </w:pPr>
      <w:r>
        <w:rPr>
          <w:rFonts w:ascii="Arial" w:cs="Arial" w:eastAsia="Arial" w:hAnsi="Arial"/>
          <w:sz w:val="18"/>
          <w:szCs w:val="18"/>
          <w:color w:val="auto"/>
        </w:rPr>
        <w:t>Certain foreign-currency-denominated borrowings are accounted for as a hedge of our net investment in our subsidiaries with the related functional currencies. Since our net investment in these subsidiaries exceeds the amount of the related borrowings, all translation gains or losses related to these borrowings are included as a component of Accumulated Other Comprehensive Income (Loss).</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b w:val="1"/>
          <w:bCs w:val="1"/>
          <w:color w:val="4D8ABE"/>
        </w:rPr>
        <w:t>SHAREHOLDERS’ EQUITY</w:t>
      </w:r>
    </w:p>
    <w:p>
      <w:pPr>
        <w:spacing w:after="0" w:line="23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In December 2010, the Board of Directors authorized the repurchase of 3.0 million shares of our common stock. This authorization is in addition to the 2007 authorization to repurchase 5.0 million shares of our common stock, not to exceed a total purchase price of $400.0, on which there were 0.2 million shares, at a cost of up to $ 147.3, remaining authorized for repurchase under this authorization as of December 31, 2010. Share repurchases may be made from time to time and may be implemented through a variety of methods, including open market purchases, block transactions, privately negotiated transactions, accelerated share repurchase programs, forward repurchase agreements or similar facilities. Under the 2007 authorization, we repurchased 0.9 million, 2.2 million and 1.7 million shares of common stock at a total cost of $34.8, $112.2 a nd $105.7 during 2010, 2008 and 2007, respectively. No shares were repurchased in 2009.</w:t>
      </w:r>
    </w:p>
    <w:p>
      <w:pPr>
        <w:spacing w:after="0" w:line="186"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939598"/>
        </w:rPr>
        <w:t xml:space="preserve">Notes to Consolidated Financial Statements </w:t>
      </w:r>
      <w:r>
        <w:rPr>
          <w:rFonts w:ascii="Arial" w:cs="Arial" w:eastAsia="Arial" w:hAnsi="Arial"/>
          <w:sz w:val="16"/>
          <w:szCs w:val="16"/>
          <w:color w:val="4D8ABE"/>
        </w:rPr>
        <w:t>Manpower 2010 Annual Report</w:t>
      </w:r>
      <w:r>
        <w:rPr>
          <w:rFonts w:ascii="Arial" w:cs="Arial" w:eastAsia="Arial" w:hAnsi="Arial"/>
          <w:sz w:val="16"/>
          <w:szCs w:val="16"/>
          <w:b w:val="1"/>
          <w:bCs w:val="1"/>
          <w:color w:val="939598"/>
        </w:rPr>
        <w:t xml:space="preserve"> </w:t>
      </w:r>
      <w:r>
        <w:rPr>
          <w:rFonts w:ascii="Arial" w:cs="Arial" w:eastAsia="Arial" w:hAnsi="Arial"/>
          <w:sz w:val="16"/>
          <w:szCs w:val="16"/>
          <w:b w:val="1"/>
          <w:bCs w:val="1"/>
          <w:color w:val="4D8ABE"/>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wp:posOffset>
            </wp:positionV>
            <wp:extent cx="7267575" cy="469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84" w:name="page85"/>
    <w:bookmarkEnd w:id="84"/>
    <w:p>
      <w:pPr>
        <w:spacing w:after="0"/>
        <w:rPr>
          <w:sz w:val="20"/>
          <w:szCs w:val="20"/>
          <w:color w:val="auto"/>
        </w:rPr>
      </w:pPr>
      <w:r>
        <w:rPr>
          <w:rFonts w:ascii="Arial" w:cs="Arial" w:eastAsia="Arial" w:hAnsi="Arial"/>
          <w:sz w:val="22"/>
          <w:szCs w:val="22"/>
          <w:color w:val="4D8ABE"/>
        </w:rPr>
        <w:t>Notes To Consolidated Financial Statements</w:t>
      </w:r>
    </w:p>
    <w:p>
      <w:pPr>
        <w:spacing w:after="0"/>
        <w:rPr>
          <w:sz w:val="20"/>
          <w:szCs w:val="20"/>
          <w:color w:val="auto"/>
        </w:rPr>
      </w:pPr>
      <w:r>
        <w:rPr>
          <w:rFonts w:ascii="Arial" w:cs="Arial" w:eastAsia="Arial" w:hAnsi="Arial"/>
          <w:sz w:val="18"/>
          <w:szCs w:val="18"/>
          <w:color w:val="4D8ABE"/>
        </w:rPr>
        <w:t>in millions, except share and per share data</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4D8ABE"/>
        </w:rPr>
        <w:t>CASH AND CASH EQUIVALENTS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We consider all highly liquid investments with an original maturity of three months or less when purchased to be cash equivalents.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4D8ABE"/>
        </w:rPr>
        <w:t>RECENTLY ISSUED ACCOUNTING STANDARDS</w:t>
      </w:r>
    </w:p>
    <w:p>
      <w:pPr>
        <w:spacing w:after="0" w:line="23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In June 2009, the FASB issued new accounting guidance on transfers of financial assets. The new guidance eliminates the concept of a qualifying special-purpose entity and removes the exception from applying the current guidance for consolidation of variable interest entities to qualifying special purpose entities. The new guidance also defines the term participating interest to establish specific conditions for reporting a transfer of a portion of a financial asset as a sale. The guidance also requires that a transferor recognize and initially measure at fair value all assets obtained and liabilities incurred as a result of a transfer of financial assets accounted for as a sale. We adopted the guidance effective January 1, 2010. There was no impact of this adoption on our Consolidated Financial Statements.</w:t>
      </w:r>
    </w:p>
    <w:p>
      <w:pPr>
        <w:spacing w:after="0" w:line="205"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In June 2009, the FASB issued new accounting guidance on consolidation of variable interest entities. The new guidance amends the process for identifying the primary beneficiary in variable interest entities and requires ongoing assessments for purposes of identifying the primary beneficiary. We adopted the guidance effective January 1, 2010. There was no impact of this adoption on our Consolidated Financial Statements.</w:t>
      </w:r>
    </w:p>
    <w:p>
      <w:pPr>
        <w:spacing w:after="0" w:line="20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October 2009, the FASB issued new accounting guidance on multiple-deliverable revenue arrangements. The new guidance amends the criteria for separating deliverables as well as how to measure and allocate consideration for multiple arrangements. The guidance also expands the disclosures related to a vendor’s multiple-deliverable revenue arrangements. The guidance will be effective prospectively for our revenue arrangements entered into or materially modified in 2011. We do not expect the adoption of this guidance to have a material impact on our Consolidated Financial Statements.</w:t>
      </w:r>
    </w:p>
    <w:p>
      <w:pPr>
        <w:spacing w:after="0" w:line="203"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December 2010, the FASB issued new accounting guidance on goodwill impairment testing. The new guidance modifies Step 1 of the goodwill impairment test for reporting units with zero or negative carrying amounts. The guidance will be effective for us in 2011. We do not expect the adoption of this guidance to have a material impact on our Consolidated Financial Statements.</w:t>
      </w:r>
    </w:p>
    <w:p>
      <w:pPr>
        <w:spacing w:after="0" w:line="20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December 2010, the FASB issued new accounting guidance on business combinations. The new guidance clarifies the acquisition date that should be used for reporting the pro forma financial information disclosures when comparative financial statements are presented. The guidance also expands the supplemental pro forma disclosures. The guidance will be effective for us for business combinations with an acquisition date on or after January 1, 2011. We do not expect the adoption of this guidance to have a material impact on our Consolidated Financial Statements.</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color w:val="4D8ABE"/>
        </w:rPr>
        <w:t>SUBSEQUENT EVENTS</w:t>
      </w:r>
    </w:p>
    <w:p>
      <w:pPr>
        <w:spacing w:after="0" w:line="238" w:lineRule="exact"/>
        <w:rPr>
          <w:sz w:val="20"/>
          <w:szCs w:val="20"/>
          <w:color w:val="auto"/>
        </w:rPr>
      </w:pPr>
    </w:p>
    <w:p>
      <w:pPr>
        <w:jc w:val="both"/>
        <w:spacing w:after="0"/>
        <w:rPr>
          <w:sz w:val="20"/>
          <w:szCs w:val="20"/>
          <w:color w:val="auto"/>
        </w:rPr>
      </w:pPr>
      <w:r>
        <w:rPr>
          <w:rFonts w:ascii="Arial" w:cs="Arial" w:eastAsia="Arial" w:hAnsi="Arial"/>
          <w:sz w:val="18"/>
          <w:szCs w:val="18"/>
          <w:color w:val="auto"/>
        </w:rPr>
        <w:t>Effective January 2011, we created a new organizational structure in Europe in order to elevate our service quality throughout Europe, Middle East and Africa. We created two regions – Northern and Southern Europe. We will report on these new segments beginning in the first quarter of 2011. All previously reported results will be restated to conform to the new presentation.</w:t>
      </w:r>
    </w:p>
    <w:p>
      <w:pPr>
        <w:spacing w:after="0" w:line="203"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We have evaluated other events and transactions occurring after the balance sheet date through our filing date and noted no events that are subject to recognition or disclosure.</w:t>
      </w:r>
    </w:p>
    <w:p>
      <w:pPr>
        <w:spacing w:after="0" w:line="194" w:lineRule="exact"/>
        <w:rPr>
          <w:sz w:val="20"/>
          <w:szCs w:val="20"/>
          <w:color w:val="auto"/>
        </w:rPr>
      </w:pPr>
    </w:p>
    <w:p>
      <w:pPr>
        <w:spacing w:after="0"/>
        <w:rPr>
          <w:sz w:val="20"/>
          <w:szCs w:val="20"/>
          <w:color w:val="auto"/>
        </w:rPr>
      </w:pPr>
      <w:r>
        <w:rPr>
          <w:rFonts w:ascii="Arial" w:cs="Arial" w:eastAsia="Arial" w:hAnsi="Arial"/>
          <w:sz w:val="24"/>
          <w:szCs w:val="24"/>
          <w:color w:val="86B6A5"/>
        </w:rPr>
        <w:t>02.</w:t>
      </w:r>
    </w:p>
    <w:p>
      <w:pPr>
        <w:spacing w:after="0" w:line="8" w:lineRule="exact"/>
        <w:rPr>
          <w:sz w:val="20"/>
          <w:szCs w:val="20"/>
          <w:color w:val="auto"/>
        </w:rPr>
      </w:pPr>
    </w:p>
    <w:p>
      <w:pPr>
        <w:spacing w:after="0"/>
        <w:rPr>
          <w:sz w:val="20"/>
          <w:szCs w:val="20"/>
          <w:color w:val="auto"/>
        </w:rPr>
      </w:pPr>
      <w:r>
        <w:rPr>
          <w:rFonts w:ascii="Arial" w:cs="Arial" w:eastAsia="Arial" w:hAnsi="Arial"/>
          <w:sz w:val="24"/>
          <w:szCs w:val="24"/>
          <w:color w:val="86B6A5"/>
        </w:rPr>
        <w:t>Acquisitions</w:t>
      </w:r>
    </w:p>
    <w:p>
      <w:pPr>
        <w:spacing w:after="0" w:line="227"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On April 5, 2010, we acquired COMSYS IT Partners, Inc. (“COMSYS”) from its existing shareholders. The value of the consideration for each outstanding share of COMSYS common stock was approximately $17.65, for a total enterprise value of $427.0, including debt of $47.1, which we repaid upon closing. The consideration was approximately 50% Manpower common stock (3.2 million shares with a fair value of $188.5 upon closing) and approximately 50% cash (consideration of $191.4) . In addition, we incurred approximately $10.8 of transaction costs associated with the acquisition during the year ended December 31, 2010, respectively, which have been classified in Selling and Administrative Expenses. Goodwill and intangible assets relating to this transaction were $281.6 and $106.3, respectively, as of December 31, 2010.</w:t>
      </w:r>
    </w:p>
    <w:p>
      <w:pPr>
        <w:spacing w:after="0" w:line="41"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We have finalized our allocation of the consideration transferred to the net assets acquired, using various methodologies to assess the fair value of the assets and liabilities acquired. For our intangible assets associated with customer relationships, we utilized the multi-period excess-earnings method, a form of the income approach. Some of the significant assumptions used in this valuation included: expected revenue growth rates, operating unit profit margins, capital charges representing 1.3% of revenues, and a 13% discount rate.</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color w:val="4D8ABE"/>
        </w:rPr>
        <w:t xml:space="preserve">54 </w:t>
      </w:r>
      <w:r>
        <w:rPr>
          <w:rFonts w:ascii="Arial" w:cs="Arial" w:eastAsia="Arial" w:hAnsi="Arial"/>
          <w:sz w:val="16"/>
          <w:szCs w:val="16"/>
          <w:color w:val="4D8ABE"/>
        </w:rPr>
        <w:t>Manpower 2010 Annual Report</w:t>
      </w:r>
      <w:r>
        <w:rPr>
          <w:rFonts w:ascii="Arial" w:cs="Arial" w:eastAsia="Arial" w:hAnsi="Arial"/>
          <w:sz w:val="16"/>
          <w:szCs w:val="16"/>
          <w:b w:val="1"/>
          <w:bCs w:val="1"/>
          <w:color w:val="4D8ABE"/>
        </w:rPr>
        <w:t xml:space="preserve"> </w:t>
      </w:r>
      <w:r>
        <w:rPr>
          <w:rFonts w:ascii="Arial" w:cs="Arial" w:eastAsia="Arial" w:hAnsi="Arial"/>
          <w:sz w:val="16"/>
          <w:szCs w:val="16"/>
          <w:b w:val="1"/>
          <w:bCs w:val="1"/>
          <w:color w:val="939598"/>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wp:posOffset>
            </wp:positionV>
            <wp:extent cx="7267575" cy="469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ectPr>
          <w:pgSz w:w="11900" w:h="16838" w:orient="portrait"/>
          <w:cols w:equalWidth="0" w:num="1">
            <w:col w:w="11420"/>
          </w:cols>
          <w:pgMar w:left="240" w:top="345" w:right="239" w:bottom="1440" w:gutter="0" w:footer="0" w:header="0"/>
        </w:sectPr>
      </w:pPr>
    </w:p>
    <w:bookmarkStart w:id="85" w:name="page86"/>
    <w:bookmarkEnd w:id="85"/>
    <w:p>
      <w:pPr>
        <w:spacing w:after="0"/>
        <w:rPr>
          <w:sz w:val="20"/>
          <w:szCs w:val="20"/>
          <w:color w:val="auto"/>
        </w:rPr>
      </w:pPr>
      <w:r>
        <w:rPr>
          <w:rFonts w:ascii="Arial" w:cs="Arial" w:eastAsia="Arial" w:hAnsi="Arial"/>
          <w:sz w:val="18"/>
          <w:szCs w:val="18"/>
          <w:color w:val="auto"/>
        </w:rPr>
        <w:t>The following table summarizes the fair value of the assets acquired and liabilities assumed as of the acquisition date of April 5, 2010:</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280" w:type="dxa"/>
            <w:vAlign w:val="bottom"/>
            <w:tcBorders>
              <w:top w:val="single" w:sz="8" w:color="86B6A5"/>
            </w:tcBorders>
          </w:tcPr>
          <w:p>
            <w:pPr>
              <w:spacing w:after="0"/>
              <w:rPr>
                <w:sz w:val="20"/>
                <w:szCs w:val="20"/>
                <w:color w:val="auto"/>
              </w:rPr>
            </w:pPr>
            <w:r>
              <w:rPr>
                <w:rFonts w:ascii="Arial" w:cs="Arial" w:eastAsia="Arial" w:hAnsi="Arial"/>
                <w:sz w:val="18"/>
                <w:szCs w:val="18"/>
                <w:color w:val="auto"/>
              </w:rPr>
              <w:t>Cash and cash equivalents</w:t>
            </w:r>
          </w:p>
        </w:tc>
        <w:tc>
          <w:tcPr>
            <w:tcW w:w="4020" w:type="dxa"/>
            <w:vAlign w:val="bottom"/>
            <w:tcBorders>
              <w:top w:val="single" w:sz="8" w:color="86B6A5"/>
            </w:tcBorders>
          </w:tcPr>
          <w:p>
            <w:pPr>
              <w:jc w:val="right"/>
              <w:ind w:right="37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86B6A5"/>
            </w:tcBorders>
            <w:gridSpan w:val="2"/>
          </w:tcPr>
          <w:p>
            <w:pPr>
              <w:jc w:val="right"/>
              <w:ind w:right="20"/>
              <w:spacing w:after="0"/>
              <w:rPr>
                <w:sz w:val="20"/>
                <w:szCs w:val="20"/>
                <w:color w:val="auto"/>
              </w:rPr>
            </w:pPr>
            <w:r>
              <w:rPr>
                <w:rFonts w:ascii="Arial" w:cs="Arial" w:eastAsia="Arial" w:hAnsi="Arial"/>
                <w:sz w:val="18"/>
                <w:szCs w:val="18"/>
                <w:color w:val="auto"/>
              </w:rPr>
              <w:t>0.9</w:t>
            </w:r>
          </w:p>
        </w:tc>
      </w:tr>
      <w:tr>
        <w:trPr>
          <w:trHeight w:val="203"/>
        </w:trPr>
        <w:tc>
          <w:tcPr>
            <w:tcW w:w="6280" w:type="dxa"/>
            <w:vAlign w:val="bottom"/>
          </w:tcPr>
          <w:p>
            <w:pPr>
              <w:spacing w:after="0" w:line="202" w:lineRule="exact"/>
              <w:rPr>
                <w:sz w:val="20"/>
                <w:szCs w:val="20"/>
                <w:color w:val="auto"/>
              </w:rPr>
            </w:pPr>
            <w:r>
              <w:rPr>
                <w:rFonts w:ascii="Arial" w:cs="Arial" w:eastAsia="Arial" w:hAnsi="Arial"/>
                <w:sz w:val="18"/>
                <w:szCs w:val="18"/>
                <w:color w:val="auto"/>
              </w:rPr>
              <w:t>Accounts receivable, net</w:t>
            </w:r>
          </w:p>
        </w:tc>
        <w:tc>
          <w:tcPr>
            <w:tcW w:w="4020" w:type="dxa"/>
            <w:vAlign w:val="bottom"/>
          </w:tcPr>
          <w:p>
            <w:pPr>
              <w:spacing w:after="0"/>
              <w:rPr>
                <w:sz w:val="17"/>
                <w:szCs w:val="17"/>
                <w:color w:val="auto"/>
              </w:rPr>
            </w:pPr>
          </w:p>
        </w:tc>
        <w:tc>
          <w:tcPr>
            <w:tcW w:w="9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207.0</w:t>
            </w:r>
          </w:p>
        </w:tc>
      </w:tr>
      <w:tr>
        <w:trPr>
          <w:trHeight w:val="203"/>
        </w:trPr>
        <w:tc>
          <w:tcPr>
            <w:tcW w:w="6280" w:type="dxa"/>
            <w:vAlign w:val="bottom"/>
            <w:tcBorders>
              <w:bottom w:val="single" w:sz="8" w:color="939598"/>
            </w:tcBorders>
          </w:tcPr>
          <w:p>
            <w:pPr>
              <w:spacing w:after="0" w:line="203" w:lineRule="exact"/>
              <w:rPr>
                <w:sz w:val="20"/>
                <w:szCs w:val="20"/>
                <w:color w:val="auto"/>
              </w:rPr>
            </w:pPr>
            <w:r>
              <w:rPr>
                <w:rFonts w:ascii="Arial" w:cs="Arial" w:eastAsia="Arial" w:hAnsi="Arial"/>
                <w:sz w:val="18"/>
                <w:szCs w:val="18"/>
                <w:color w:val="auto"/>
              </w:rPr>
              <w:t>Prepaid expenses and other assets</w:t>
            </w:r>
          </w:p>
        </w:tc>
        <w:tc>
          <w:tcPr>
            <w:tcW w:w="4020" w:type="dxa"/>
            <w:vAlign w:val="bottom"/>
            <w:tcBorders>
              <w:bottom w:val="single" w:sz="8" w:color="939598"/>
            </w:tcBorders>
          </w:tcPr>
          <w:p>
            <w:pPr>
              <w:spacing w:after="0"/>
              <w:rPr>
                <w:sz w:val="17"/>
                <w:szCs w:val="17"/>
                <w:color w:val="auto"/>
              </w:rPr>
            </w:pPr>
          </w:p>
        </w:tc>
        <w:tc>
          <w:tcPr>
            <w:tcW w:w="920" w:type="dxa"/>
            <w:vAlign w:val="bottom"/>
            <w:tcBorders>
              <w:bottom w:val="single" w:sz="8" w:color="939598"/>
            </w:tcBorders>
            <w:gridSpan w:val="2"/>
          </w:tcPr>
          <w:p>
            <w:pPr>
              <w:jc w:val="right"/>
              <w:ind w:right="20"/>
              <w:spacing w:after="0" w:line="203" w:lineRule="exact"/>
              <w:rPr>
                <w:sz w:val="20"/>
                <w:szCs w:val="20"/>
                <w:color w:val="auto"/>
              </w:rPr>
            </w:pPr>
            <w:r>
              <w:rPr>
                <w:rFonts w:ascii="Arial" w:cs="Arial" w:eastAsia="Arial" w:hAnsi="Arial"/>
                <w:sz w:val="18"/>
                <w:szCs w:val="18"/>
                <w:color w:val="auto"/>
              </w:rPr>
              <w:t>2.1</w:t>
            </w:r>
          </w:p>
        </w:tc>
      </w:tr>
      <w:tr>
        <w:trPr>
          <w:trHeight w:val="210"/>
        </w:trPr>
        <w:tc>
          <w:tcPr>
            <w:tcW w:w="6280" w:type="dxa"/>
            <w:vAlign w:val="bottom"/>
          </w:tcPr>
          <w:p>
            <w:pPr>
              <w:ind w:left="280"/>
              <w:spacing w:after="0"/>
              <w:rPr>
                <w:sz w:val="20"/>
                <w:szCs w:val="20"/>
                <w:color w:val="auto"/>
              </w:rPr>
            </w:pPr>
            <w:r>
              <w:rPr>
                <w:rFonts w:ascii="Arial" w:cs="Arial" w:eastAsia="Arial" w:hAnsi="Arial"/>
                <w:sz w:val="18"/>
                <w:szCs w:val="18"/>
                <w:color w:val="auto"/>
              </w:rPr>
              <w:t>Total current assets</w:t>
            </w:r>
          </w:p>
        </w:tc>
        <w:tc>
          <w:tcPr>
            <w:tcW w:w="40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210.0</w:t>
            </w:r>
          </w:p>
        </w:tc>
      </w:tr>
      <w:tr>
        <w:trPr>
          <w:trHeight w:val="390"/>
        </w:trPr>
        <w:tc>
          <w:tcPr>
            <w:tcW w:w="6280" w:type="dxa"/>
            <w:vAlign w:val="bottom"/>
          </w:tcPr>
          <w:p>
            <w:pPr>
              <w:spacing w:after="0"/>
              <w:rPr>
                <w:sz w:val="20"/>
                <w:szCs w:val="20"/>
                <w:color w:val="auto"/>
              </w:rPr>
            </w:pPr>
            <w:r>
              <w:rPr>
                <w:rFonts w:ascii="Arial" w:cs="Arial" w:eastAsia="Arial" w:hAnsi="Arial"/>
                <w:sz w:val="18"/>
                <w:szCs w:val="18"/>
                <w:color w:val="auto"/>
              </w:rPr>
              <w:t>Goodwill</w:t>
            </w:r>
          </w:p>
        </w:tc>
        <w:tc>
          <w:tcPr>
            <w:tcW w:w="4020" w:type="dxa"/>
            <w:vAlign w:val="bottom"/>
          </w:tcPr>
          <w:p>
            <w:pPr>
              <w:spacing w:after="0"/>
              <w:rPr>
                <w:sz w:val="24"/>
                <w:szCs w:val="24"/>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281.6</w:t>
            </w:r>
          </w:p>
        </w:tc>
      </w:tr>
      <w:tr>
        <w:trPr>
          <w:trHeight w:val="203"/>
        </w:trPr>
        <w:tc>
          <w:tcPr>
            <w:tcW w:w="6280" w:type="dxa"/>
            <w:vAlign w:val="bottom"/>
          </w:tcPr>
          <w:p>
            <w:pPr>
              <w:spacing w:after="0" w:line="202" w:lineRule="exact"/>
              <w:rPr>
                <w:sz w:val="20"/>
                <w:szCs w:val="20"/>
                <w:color w:val="auto"/>
              </w:rPr>
            </w:pPr>
            <w:r>
              <w:rPr>
                <w:rFonts w:ascii="Arial" w:cs="Arial" w:eastAsia="Arial" w:hAnsi="Arial"/>
                <w:sz w:val="18"/>
                <w:szCs w:val="18"/>
                <w:color w:val="auto"/>
              </w:rPr>
              <w:t>Intangible assets</w:t>
            </w:r>
          </w:p>
        </w:tc>
        <w:tc>
          <w:tcPr>
            <w:tcW w:w="4020" w:type="dxa"/>
            <w:vAlign w:val="bottom"/>
          </w:tcPr>
          <w:p>
            <w:pPr>
              <w:spacing w:after="0"/>
              <w:rPr>
                <w:sz w:val="17"/>
                <w:szCs w:val="17"/>
                <w:color w:val="auto"/>
              </w:rPr>
            </w:pPr>
          </w:p>
        </w:tc>
        <w:tc>
          <w:tcPr>
            <w:tcW w:w="9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127.1</w:t>
            </w:r>
          </w:p>
        </w:tc>
      </w:tr>
      <w:tr>
        <w:trPr>
          <w:trHeight w:val="203"/>
        </w:trPr>
        <w:tc>
          <w:tcPr>
            <w:tcW w:w="6280" w:type="dxa"/>
            <w:vAlign w:val="bottom"/>
          </w:tcPr>
          <w:p>
            <w:pPr>
              <w:spacing w:after="0" w:line="202" w:lineRule="exact"/>
              <w:rPr>
                <w:sz w:val="20"/>
                <w:szCs w:val="20"/>
                <w:color w:val="auto"/>
              </w:rPr>
            </w:pPr>
            <w:r>
              <w:rPr>
                <w:rFonts w:ascii="Arial" w:cs="Arial" w:eastAsia="Arial" w:hAnsi="Arial"/>
                <w:sz w:val="18"/>
                <w:szCs w:val="18"/>
                <w:color w:val="auto"/>
              </w:rPr>
              <w:t>Other assets</w:t>
            </w:r>
          </w:p>
        </w:tc>
        <w:tc>
          <w:tcPr>
            <w:tcW w:w="40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50.5</w:t>
            </w:r>
          </w:p>
        </w:tc>
        <w:tc>
          <w:tcPr>
            <w:tcW w:w="20" w:type="dxa"/>
            <w:vAlign w:val="bottom"/>
          </w:tcPr>
          <w:p>
            <w:pPr>
              <w:spacing w:after="0"/>
              <w:rPr>
                <w:sz w:val="17"/>
                <w:szCs w:val="17"/>
                <w:color w:val="auto"/>
              </w:rPr>
            </w:pPr>
          </w:p>
        </w:tc>
      </w:tr>
      <w:tr>
        <w:trPr>
          <w:trHeight w:val="203"/>
        </w:trPr>
        <w:tc>
          <w:tcPr>
            <w:tcW w:w="6280" w:type="dxa"/>
            <w:vAlign w:val="bottom"/>
            <w:tcBorders>
              <w:bottom w:val="single" w:sz="8" w:color="939598"/>
            </w:tcBorders>
          </w:tcPr>
          <w:p>
            <w:pPr>
              <w:spacing w:after="0" w:line="203" w:lineRule="exact"/>
              <w:rPr>
                <w:sz w:val="20"/>
                <w:szCs w:val="20"/>
                <w:color w:val="auto"/>
              </w:rPr>
            </w:pPr>
            <w:r>
              <w:rPr>
                <w:rFonts w:ascii="Arial" w:cs="Arial" w:eastAsia="Arial" w:hAnsi="Arial"/>
                <w:sz w:val="18"/>
                <w:szCs w:val="18"/>
                <w:color w:val="auto"/>
              </w:rPr>
              <w:t>Property and equipment</w:t>
            </w:r>
          </w:p>
        </w:tc>
        <w:tc>
          <w:tcPr>
            <w:tcW w:w="4020" w:type="dxa"/>
            <w:vAlign w:val="bottom"/>
            <w:tcBorders>
              <w:bottom w:val="single" w:sz="8" w:color="939598"/>
            </w:tcBorders>
          </w:tcPr>
          <w:p>
            <w:pPr>
              <w:spacing w:after="0"/>
              <w:rPr>
                <w:sz w:val="17"/>
                <w:szCs w:val="17"/>
                <w:color w:val="auto"/>
              </w:rPr>
            </w:pPr>
          </w:p>
        </w:tc>
        <w:tc>
          <w:tcPr>
            <w:tcW w:w="920" w:type="dxa"/>
            <w:vAlign w:val="bottom"/>
            <w:tcBorders>
              <w:bottom w:val="single" w:sz="8" w:color="939598"/>
            </w:tcBorders>
            <w:gridSpan w:val="2"/>
          </w:tcPr>
          <w:p>
            <w:pPr>
              <w:jc w:val="right"/>
              <w:ind w:right="20"/>
              <w:spacing w:after="0" w:line="203" w:lineRule="exact"/>
              <w:rPr>
                <w:sz w:val="20"/>
                <w:szCs w:val="20"/>
                <w:color w:val="auto"/>
              </w:rPr>
            </w:pPr>
            <w:r>
              <w:rPr>
                <w:rFonts w:ascii="Arial" w:cs="Arial" w:eastAsia="Arial" w:hAnsi="Arial"/>
                <w:sz w:val="18"/>
                <w:szCs w:val="18"/>
                <w:color w:val="auto"/>
              </w:rPr>
              <w:t>5.2</w:t>
            </w:r>
          </w:p>
        </w:tc>
      </w:tr>
      <w:tr>
        <w:trPr>
          <w:trHeight w:val="203"/>
        </w:trPr>
        <w:tc>
          <w:tcPr>
            <w:tcW w:w="6280" w:type="dxa"/>
            <w:vAlign w:val="bottom"/>
            <w:tcBorders>
              <w:bottom w:val="single" w:sz="8" w:color="939598"/>
            </w:tcBorders>
          </w:tcPr>
          <w:p>
            <w:pPr>
              <w:ind w:left="280"/>
              <w:spacing w:after="0" w:line="196" w:lineRule="exact"/>
              <w:rPr>
                <w:sz w:val="20"/>
                <w:szCs w:val="20"/>
                <w:color w:val="auto"/>
              </w:rPr>
            </w:pPr>
            <w:r>
              <w:rPr>
                <w:rFonts w:ascii="Arial" w:cs="Arial" w:eastAsia="Arial" w:hAnsi="Arial"/>
                <w:sz w:val="18"/>
                <w:szCs w:val="18"/>
                <w:color w:val="auto"/>
              </w:rPr>
              <w:t>Total assets</w:t>
            </w:r>
          </w:p>
        </w:tc>
        <w:tc>
          <w:tcPr>
            <w:tcW w:w="4020" w:type="dxa"/>
            <w:vAlign w:val="bottom"/>
            <w:tcBorders>
              <w:bottom w:val="single" w:sz="8" w:color="939598"/>
            </w:tcBorders>
          </w:tcPr>
          <w:p>
            <w:pPr>
              <w:jc w:val="right"/>
              <w:ind w:right="370"/>
              <w:spacing w:after="0" w:line="196" w:lineRule="exact"/>
              <w:rPr>
                <w:sz w:val="20"/>
                <w:szCs w:val="20"/>
                <w:color w:val="auto"/>
              </w:rPr>
            </w:pPr>
            <w:r>
              <w:rPr>
                <w:rFonts w:ascii="Arial" w:cs="Arial" w:eastAsia="Arial" w:hAnsi="Arial"/>
                <w:sz w:val="18"/>
                <w:szCs w:val="18"/>
                <w:color w:val="auto"/>
              </w:rPr>
              <w:t>$</w:t>
            </w:r>
          </w:p>
        </w:tc>
        <w:tc>
          <w:tcPr>
            <w:tcW w:w="920" w:type="dxa"/>
            <w:vAlign w:val="bottom"/>
            <w:tcBorders>
              <w:bottom w:val="single" w:sz="8" w:color="939598"/>
            </w:tcBorders>
            <w:gridSpan w:val="2"/>
          </w:tcPr>
          <w:p>
            <w:pPr>
              <w:jc w:val="right"/>
              <w:ind w:right="20"/>
              <w:spacing w:after="0" w:line="196" w:lineRule="exact"/>
              <w:rPr>
                <w:sz w:val="20"/>
                <w:szCs w:val="20"/>
                <w:color w:val="auto"/>
              </w:rPr>
            </w:pPr>
            <w:r>
              <w:rPr>
                <w:rFonts w:ascii="Arial" w:cs="Arial" w:eastAsia="Arial" w:hAnsi="Arial"/>
                <w:sz w:val="18"/>
                <w:szCs w:val="18"/>
                <w:color w:val="auto"/>
              </w:rPr>
              <w:t>674.4</w:t>
            </w:r>
          </w:p>
        </w:tc>
      </w:tr>
      <w:tr>
        <w:trPr>
          <w:trHeight w:val="404"/>
        </w:trPr>
        <w:tc>
          <w:tcPr>
            <w:tcW w:w="6280" w:type="dxa"/>
            <w:vAlign w:val="bottom"/>
          </w:tcPr>
          <w:p>
            <w:pPr>
              <w:spacing w:after="0"/>
              <w:rPr>
                <w:sz w:val="20"/>
                <w:szCs w:val="20"/>
                <w:color w:val="auto"/>
              </w:rPr>
            </w:pPr>
            <w:r>
              <w:rPr>
                <w:rFonts w:ascii="Arial" w:cs="Arial" w:eastAsia="Arial" w:hAnsi="Arial"/>
                <w:sz w:val="18"/>
                <w:szCs w:val="18"/>
                <w:color w:val="auto"/>
              </w:rPr>
              <w:t>Accounts payable</w:t>
            </w:r>
          </w:p>
        </w:tc>
        <w:tc>
          <w:tcPr>
            <w:tcW w:w="402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135.9</w:t>
            </w:r>
          </w:p>
        </w:tc>
      </w:tr>
      <w:tr>
        <w:trPr>
          <w:trHeight w:val="203"/>
        </w:trPr>
        <w:tc>
          <w:tcPr>
            <w:tcW w:w="6280" w:type="dxa"/>
            <w:vAlign w:val="bottom"/>
          </w:tcPr>
          <w:p>
            <w:pPr>
              <w:spacing w:after="0" w:line="202" w:lineRule="exact"/>
              <w:rPr>
                <w:sz w:val="20"/>
                <w:szCs w:val="20"/>
                <w:color w:val="auto"/>
              </w:rPr>
            </w:pPr>
            <w:r>
              <w:rPr>
                <w:rFonts w:ascii="Arial" w:cs="Arial" w:eastAsia="Arial" w:hAnsi="Arial"/>
                <w:sz w:val="18"/>
                <w:szCs w:val="18"/>
                <w:color w:val="auto"/>
              </w:rPr>
              <w:t>Employee compensation payable</w:t>
            </w:r>
          </w:p>
        </w:tc>
        <w:tc>
          <w:tcPr>
            <w:tcW w:w="40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40.8</w:t>
            </w:r>
          </w:p>
        </w:tc>
        <w:tc>
          <w:tcPr>
            <w:tcW w:w="20" w:type="dxa"/>
            <w:vAlign w:val="bottom"/>
          </w:tcPr>
          <w:p>
            <w:pPr>
              <w:spacing w:after="0"/>
              <w:rPr>
                <w:sz w:val="17"/>
                <w:szCs w:val="17"/>
                <w:color w:val="auto"/>
              </w:rPr>
            </w:pPr>
          </w:p>
        </w:tc>
      </w:tr>
      <w:tr>
        <w:trPr>
          <w:trHeight w:val="203"/>
        </w:trPr>
        <w:tc>
          <w:tcPr>
            <w:tcW w:w="6280" w:type="dxa"/>
            <w:vAlign w:val="bottom"/>
            <w:tcBorders>
              <w:bottom w:val="single" w:sz="8" w:color="939598"/>
            </w:tcBorders>
          </w:tcPr>
          <w:p>
            <w:pPr>
              <w:spacing w:after="0" w:line="203" w:lineRule="exact"/>
              <w:rPr>
                <w:sz w:val="20"/>
                <w:szCs w:val="20"/>
                <w:color w:val="auto"/>
              </w:rPr>
            </w:pPr>
            <w:r>
              <w:rPr>
                <w:rFonts w:ascii="Arial" w:cs="Arial" w:eastAsia="Arial" w:hAnsi="Arial"/>
                <w:sz w:val="18"/>
                <w:szCs w:val="18"/>
                <w:color w:val="auto"/>
              </w:rPr>
              <w:t>Accrued liabilities</w:t>
            </w:r>
          </w:p>
        </w:tc>
        <w:tc>
          <w:tcPr>
            <w:tcW w:w="4020" w:type="dxa"/>
            <w:vAlign w:val="bottom"/>
            <w:tcBorders>
              <w:bottom w:val="single" w:sz="8" w:color="939598"/>
            </w:tcBorders>
          </w:tcPr>
          <w:p>
            <w:pPr>
              <w:spacing w:after="0"/>
              <w:rPr>
                <w:sz w:val="17"/>
                <w:szCs w:val="17"/>
                <w:color w:val="auto"/>
              </w:rPr>
            </w:pPr>
          </w:p>
        </w:tc>
        <w:tc>
          <w:tcPr>
            <w:tcW w:w="900" w:type="dxa"/>
            <w:vAlign w:val="bottom"/>
            <w:tcBorders>
              <w:bottom w:val="single" w:sz="8" w:color="939598"/>
            </w:tcBorders>
          </w:tcPr>
          <w:p>
            <w:pPr>
              <w:jc w:val="right"/>
              <w:spacing w:after="0" w:line="203" w:lineRule="exact"/>
              <w:rPr>
                <w:sz w:val="20"/>
                <w:szCs w:val="20"/>
                <w:color w:val="auto"/>
              </w:rPr>
            </w:pPr>
            <w:r>
              <w:rPr>
                <w:rFonts w:ascii="Arial" w:cs="Arial" w:eastAsia="Arial" w:hAnsi="Arial"/>
                <w:sz w:val="18"/>
                <w:szCs w:val="18"/>
                <w:color w:val="auto"/>
              </w:rPr>
              <w:t>14.3</w:t>
            </w:r>
          </w:p>
        </w:tc>
        <w:tc>
          <w:tcPr>
            <w:tcW w:w="20" w:type="dxa"/>
            <w:vAlign w:val="bottom"/>
          </w:tcPr>
          <w:p>
            <w:pPr>
              <w:spacing w:after="0"/>
              <w:rPr>
                <w:sz w:val="17"/>
                <w:szCs w:val="17"/>
                <w:color w:val="auto"/>
              </w:rPr>
            </w:pPr>
          </w:p>
        </w:tc>
      </w:tr>
      <w:tr>
        <w:trPr>
          <w:trHeight w:val="210"/>
        </w:trPr>
        <w:tc>
          <w:tcPr>
            <w:tcW w:w="6280" w:type="dxa"/>
            <w:vAlign w:val="bottom"/>
          </w:tcPr>
          <w:p>
            <w:pPr>
              <w:ind w:left="280"/>
              <w:spacing w:after="0"/>
              <w:rPr>
                <w:sz w:val="20"/>
                <w:szCs w:val="20"/>
                <w:color w:val="auto"/>
              </w:rPr>
            </w:pPr>
            <w:r>
              <w:rPr>
                <w:rFonts w:ascii="Arial" w:cs="Arial" w:eastAsia="Arial" w:hAnsi="Arial"/>
                <w:sz w:val="18"/>
                <w:szCs w:val="18"/>
                <w:color w:val="auto"/>
              </w:rPr>
              <w:t>Total current liabilities</w:t>
            </w:r>
          </w:p>
        </w:tc>
        <w:tc>
          <w:tcPr>
            <w:tcW w:w="40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191.0</w:t>
            </w:r>
          </w:p>
        </w:tc>
        <w:tc>
          <w:tcPr>
            <w:tcW w:w="20" w:type="dxa"/>
            <w:vAlign w:val="bottom"/>
          </w:tcPr>
          <w:p>
            <w:pPr>
              <w:spacing w:after="0"/>
              <w:rPr>
                <w:sz w:val="18"/>
                <w:szCs w:val="18"/>
                <w:color w:val="auto"/>
              </w:rPr>
            </w:pPr>
          </w:p>
        </w:tc>
      </w:tr>
      <w:tr>
        <w:trPr>
          <w:trHeight w:val="391"/>
        </w:trPr>
        <w:tc>
          <w:tcPr>
            <w:tcW w:w="6280" w:type="dxa"/>
            <w:vAlign w:val="bottom"/>
            <w:tcBorders>
              <w:bottom w:val="single" w:sz="8" w:color="939598"/>
            </w:tcBorders>
          </w:tcPr>
          <w:p>
            <w:pPr>
              <w:spacing w:after="0"/>
              <w:rPr>
                <w:sz w:val="20"/>
                <w:szCs w:val="20"/>
                <w:color w:val="auto"/>
              </w:rPr>
            </w:pPr>
            <w:r>
              <w:rPr>
                <w:rFonts w:ascii="Arial" w:cs="Arial" w:eastAsia="Arial" w:hAnsi="Arial"/>
                <w:sz w:val="18"/>
                <w:szCs w:val="18"/>
                <w:color w:val="auto"/>
              </w:rPr>
              <w:t>Other long-term liabilities</w:t>
            </w:r>
          </w:p>
        </w:tc>
        <w:tc>
          <w:tcPr>
            <w:tcW w:w="4020" w:type="dxa"/>
            <w:vAlign w:val="bottom"/>
            <w:tcBorders>
              <w:bottom w:val="single" w:sz="8" w:color="939598"/>
            </w:tcBorders>
          </w:tcPr>
          <w:p>
            <w:pPr>
              <w:spacing w:after="0"/>
              <w:rPr>
                <w:sz w:val="24"/>
                <w:szCs w:val="24"/>
                <w:color w:val="auto"/>
              </w:rPr>
            </w:pPr>
          </w:p>
        </w:tc>
        <w:tc>
          <w:tcPr>
            <w:tcW w:w="900" w:type="dxa"/>
            <w:vAlign w:val="bottom"/>
            <w:tcBorders>
              <w:bottom w:val="single" w:sz="8" w:color="939598"/>
            </w:tcBorders>
          </w:tcPr>
          <w:p>
            <w:pPr>
              <w:jc w:val="right"/>
              <w:spacing w:after="0"/>
              <w:rPr>
                <w:sz w:val="20"/>
                <w:szCs w:val="20"/>
                <w:color w:val="auto"/>
              </w:rPr>
            </w:pPr>
            <w:r>
              <w:rPr>
                <w:rFonts w:ascii="Arial" w:cs="Arial" w:eastAsia="Arial" w:hAnsi="Arial"/>
                <w:sz w:val="18"/>
                <w:szCs w:val="18"/>
                <w:color w:val="auto"/>
              </w:rPr>
              <w:t>56.4</w:t>
            </w:r>
          </w:p>
        </w:tc>
        <w:tc>
          <w:tcPr>
            <w:tcW w:w="20" w:type="dxa"/>
            <w:vAlign w:val="bottom"/>
          </w:tcPr>
          <w:p>
            <w:pPr>
              <w:spacing w:after="0"/>
              <w:rPr>
                <w:sz w:val="24"/>
                <w:szCs w:val="24"/>
                <w:color w:val="auto"/>
              </w:rPr>
            </w:pPr>
          </w:p>
        </w:tc>
      </w:tr>
      <w:tr>
        <w:trPr>
          <w:trHeight w:val="196"/>
        </w:trPr>
        <w:tc>
          <w:tcPr>
            <w:tcW w:w="6280" w:type="dxa"/>
            <w:vAlign w:val="bottom"/>
            <w:tcBorders>
              <w:bottom w:val="single" w:sz="8" w:color="939598"/>
            </w:tcBorders>
          </w:tcPr>
          <w:p>
            <w:pPr>
              <w:ind w:left="280"/>
              <w:spacing w:after="0" w:line="196" w:lineRule="exact"/>
              <w:rPr>
                <w:sz w:val="20"/>
                <w:szCs w:val="20"/>
                <w:color w:val="auto"/>
              </w:rPr>
            </w:pPr>
            <w:r>
              <w:rPr>
                <w:rFonts w:ascii="Arial" w:cs="Arial" w:eastAsia="Arial" w:hAnsi="Arial"/>
                <w:sz w:val="18"/>
                <w:szCs w:val="18"/>
                <w:color w:val="auto"/>
              </w:rPr>
              <w:t>Total liabilities assumed</w:t>
            </w:r>
          </w:p>
        </w:tc>
        <w:tc>
          <w:tcPr>
            <w:tcW w:w="4020" w:type="dxa"/>
            <w:vAlign w:val="bottom"/>
            <w:tcBorders>
              <w:bottom w:val="single" w:sz="8" w:color="939598"/>
            </w:tcBorders>
          </w:tcPr>
          <w:p>
            <w:pPr>
              <w:spacing w:after="0"/>
              <w:rPr>
                <w:sz w:val="17"/>
                <w:szCs w:val="17"/>
                <w:color w:val="auto"/>
              </w:rPr>
            </w:pPr>
          </w:p>
        </w:tc>
        <w:tc>
          <w:tcPr>
            <w:tcW w:w="900" w:type="dxa"/>
            <w:vAlign w:val="bottom"/>
            <w:tcBorders>
              <w:bottom w:val="single" w:sz="8" w:color="939598"/>
            </w:tcBorders>
          </w:tcPr>
          <w:p>
            <w:pPr>
              <w:jc w:val="right"/>
              <w:spacing w:after="0" w:line="196" w:lineRule="exact"/>
              <w:rPr>
                <w:sz w:val="20"/>
                <w:szCs w:val="20"/>
                <w:color w:val="auto"/>
              </w:rPr>
            </w:pPr>
            <w:r>
              <w:rPr>
                <w:rFonts w:ascii="Arial" w:cs="Arial" w:eastAsia="Arial" w:hAnsi="Arial"/>
                <w:sz w:val="18"/>
                <w:szCs w:val="18"/>
                <w:color w:val="auto"/>
              </w:rPr>
              <w:t>247.4</w:t>
            </w:r>
          </w:p>
        </w:tc>
        <w:tc>
          <w:tcPr>
            <w:tcW w:w="20" w:type="dxa"/>
            <w:vAlign w:val="bottom"/>
            <w:tcBorders>
              <w:bottom w:val="single" w:sz="8" w:color="939598"/>
            </w:tcBorders>
          </w:tcPr>
          <w:p>
            <w:pPr>
              <w:spacing w:after="0"/>
              <w:rPr>
                <w:sz w:val="17"/>
                <w:szCs w:val="17"/>
                <w:color w:val="auto"/>
              </w:rPr>
            </w:pPr>
          </w:p>
        </w:tc>
      </w:tr>
      <w:tr>
        <w:trPr>
          <w:trHeight w:val="203"/>
        </w:trPr>
        <w:tc>
          <w:tcPr>
            <w:tcW w:w="6280" w:type="dxa"/>
            <w:vAlign w:val="bottom"/>
            <w:tcBorders>
              <w:bottom w:val="single" w:sz="8" w:color="939598"/>
            </w:tcBorders>
          </w:tcPr>
          <w:p>
            <w:pPr>
              <w:ind w:left="280"/>
              <w:spacing w:after="0" w:line="196" w:lineRule="exact"/>
              <w:rPr>
                <w:sz w:val="20"/>
                <w:szCs w:val="20"/>
                <w:color w:val="auto"/>
              </w:rPr>
            </w:pPr>
            <w:r>
              <w:rPr>
                <w:rFonts w:ascii="Arial" w:cs="Arial" w:eastAsia="Arial" w:hAnsi="Arial"/>
                <w:sz w:val="18"/>
                <w:szCs w:val="18"/>
                <w:color w:val="auto"/>
              </w:rPr>
              <w:t>Net assets acquired</w:t>
            </w:r>
          </w:p>
        </w:tc>
        <w:tc>
          <w:tcPr>
            <w:tcW w:w="4020" w:type="dxa"/>
            <w:vAlign w:val="bottom"/>
            <w:tcBorders>
              <w:bottom w:val="single" w:sz="8" w:color="939598"/>
            </w:tcBorders>
          </w:tcPr>
          <w:p>
            <w:pPr>
              <w:jc w:val="right"/>
              <w:ind w:right="370"/>
              <w:spacing w:after="0" w:line="196" w:lineRule="exact"/>
              <w:rPr>
                <w:sz w:val="20"/>
                <w:szCs w:val="20"/>
                <w:color w:val="auto"/>
              </w:rPr>
            </w:pPr>
            <w:r>
              <w:rPr>
                <w:rFonts w:ascii="Arial" w:cs="Arial" w:eastAsia="Arial" w:hAnsi="Arial"/>
                <w:sz w:val="18"/>
                <w:szCs w:val="18"/>
                <w:color w:val="auto"/>
              </w:rPr>
              <w:t>$</w:t>
            </w:r>
          </w:p>
        </w:tc>
        <w:tc>
          <w:tcPr>
            <w:tcW w:w="920" w:type="dxa"/>
            <w:vAlign w:val="bottom"/>
            <w:tcBorders>
              <w:bottom w:val="single" w:sz="8" w:color="939598"/>
            </w:tcBorders>
            <w:gridSpan w:val="2"/>
          </w:tcPr>
          <w:p>
            <w:pPr>
              <w:jc w:val="right"/>
              <w:ind w:right="20"/>
              <w:spacing w:after="0" w:line="196" w:lineRule="exact"/>
              <w:rPr>
                <w:sz w:val="20"/>
                <w:szCs w:val="20"/>
                <w:color w:val="auto"/>
              </w:rPr>
            </w:pPr>
            <w:r>
              <w:rPr>
                <w:rFonts w:ascii="Arial" w:cs="Arial" w:eastAsia="Arial" w:hAnsi="Arial"/>
                <w:sz w:val="18"/>
                <w:szCs w:val="18"/>
                <w:color w:val="auto"/>
              </w:rPr>
              <w:t>427.0</w:t>
            </w:r>
          </w:p>
        </w:tc>
      </w:tr>
    </w:tbl>
    <w:p>
      <w:pPr>
        <w:spacing w:after="0" w:line="215" w:lineRule="exact"/>
        <w:rPr>
          <w:sz w:val="20"/>
          <w:szCs w:val="20"/>
          <w:color w:val="auto"/>
        </w:rPr>
      </w:pPr>
    </w:p>
    <w:p>
      <w:pPr>
        <w:jc w:val="both"/>
        <w:spacing w:after="0"/>
        <w:rPr>
          <w:sz w:val="20"/>
          <w:szCs w:val="20"/>
          <w:color w:val="auto"/>
        </w:rPr>
      </w:pPr>
      <w:r>
        <w:rPr>
          <w:rFonts w:ascii="Arial" w:cs="Arial" w:eastAsia="Arial" w:hAnsi="Arial"/>
          <w:sz w:val="18"/>
          <w:szCs w:val="18"/>
          <w:color w:val="auto"/>
        </w:rPr>
        <w:t>Of the $427.0 of net acquired assets, $127.1 was assigned to customer relationships and will be amortized over 14 years, using an accelerating method. The remaining fair value of $281.6, which was not directly attributable to any specific assets or liabilities, was assigned to goodwill as part of the US reporting unit. Of the goodwill assigned, $15.2 is deductible for tax purposes as of December 31, 2010.</w:t>
      </w:r>
    </w:p>
    <w:p>
      <w:pPr>
        <w:spacing w:after="0" w:line="203"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following unaudited pro forma information reflects the results of Manpower’s operations for the years ended December 31, 2010, 2009 and 2008 as if the COMSYS acquisition had been completed at the beginning of the respective period. Pro forma adjustments have been made to illustrate the incremental impact on earnings of amortization expense related to the acquired intangible assets, lost interest income that would have been earned on the cash proceeds used to acquire COMSYS and the tax impact of these respective items.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7020" w:type="dxa"/>
            <w:vAlign w:val="bottom"/>
            <w:tcBorders>
              <w:bottom w:val="single" w:sz="8" w:color="A9A9A9"/>
            </w:tcBorders>
          </w:tcPr>
          <w:p>
            <w:pPr>
              <w:spacing w:after="0"/>
              <w:rPr>
                <w:sz w:val="18"/>
                <w:szCs w:val="18"/>
                <w:color w:val="auto"/>
              </w:rPr>
            </w:pPr>
          </w:p>
        </w:tc>
        <w:tc>
          <w:tcPr>
            <w:tcW w:w="120" w:type="dxa"/>
            <w:vAlign w:val="bottom"/>
            <w:tcBorders>
              <w:bottom w:val="single" w:sz="8" w:color="A9A9A9"/>
            </w:tcBorders>
            <w:shd w:val="clear" w:color="auto" w:fill="86B6A5"/>
          </w:tcPr>
          <w:p>
            <w:pPr>
              <w:spacing w:after="0"/>
              <w:rPr>
                <w:sz w:val="18"/>
                <w:szCs w:val="18"/>
                <w:color w:val="auto"/>
              </w:rPr>
            </w:pPr>
          </w:p>
        </w:tc>
        <w:tc>
          <w:tcPr>
            <w:tcW w:w="1340" w:type="dxa"/>
            <w:vAlign w:val="bottom"/>
            <w:tcBorders>
              <w:bottom w:val="single" w:sz="8" w:color="A9A9A9"/>
            </w:tcBorders>
            <w:shd w:val="clear" w:color="auto" w:fill="86B6A5"/>
          </w:tcPr>
          <w:p>
            <w:pPr>
              <w:jc w:val="right"/>
              <w:ind w:right="131"/>
              <w:spacing w:after="0"/>
              <w:rPr>
                <w:sz w:val="20"/>
                <w:szCs w:val="20"/>
                <w:color w:val="auto"/>
              </w:rPr>
            </w:pPr>
            <w:r>
              <w:rPr>
                <w:rFonts w:ascii="Arial" w:cs="Arial" w:eastAsia="Arial" w:hAnsi="Arial"/>
                <w:sz w:val="16"/>
                <w:szCs w:val="16"/>
                <w:b w:val="1"/>
                <w:bCs w:val="1"/>
                <w:color w:val="FFFFFF"/>
              </w:rPr>
              <w:t>2010</w:t>
            </w:r>
          </w:p>
        </w:tc>
        <w:tc>
          <w:tcPr>
            <w:tcW w:w="320" w:type="dxa"/>
            <w:vAlign w:val="bottom"/>
            <w:tcBorders>
              <w:bottom w:val="single" w:sz="8" w:color="A9A9A9"/>
            </w:tcBorders>
          </w:tcPr>
          <w:p>
            <w:pPr>
              <w:spacing w:after="0"/>
              <w:rPr>
                <w:sz w:val="18"/>
                <w:szCs w:val="18"/>
                <w:color w:val="auto"/>
              </w:rPr>
            </w:pPr>
          </w:p>
        </w:tc>
        <w:tc>
          <w:tcPr>
            <w:tcW w:w="1060" w:type="dxa"/>
            <w:vAlign w:val="bottom"/>
            <w:tcBorders>
              <w:bottom w:val="single" w:sz="8" w:color="A9A9A9"/>
            </w:tcBorders>
          </w:tcPr>
          <w:p>
            <w:pPr>
              <w:jc w:val="right"/>
              <w:ind w:right="51"/>
              <w:spacing w:after="0"/>
              <w:rPr>
                <w:sz w:val="20"/>
                <w:szCs w:val="20"/>
                <w:color w:val="auto"/>
              </w:rPr>
            </w:pPr>
            <w:r>
              <w:rPr>
                <w:rFonts w:ascii="Arial" w:cs="Arial" w:eastAsia="Arial" w:hAnsi="Arial"/>
                <w:sz w:val="16"/>
                <w:szCs w:val="16"/>
                <w:b w:val="1"/>
                <w:bCs w:val="1"/>
                <w:color w:val="86B6A5"/>
              </w:rPr>
              <w:t>2009</w:t>
            </w:r>
          </w:p>
        </w:tc>
        <w:tc>
          <w:tcPr>
            <w:tcW w:w="400" w:type="dxa"/>
            <w:vAlign w:val="bottom"/>
            <w:tcBorders>
              <w:bottom w:val="single" w:sz="8" w:color="A9A9A9"/>
            </w:tcBorders>
          </w:tcPr>
          <w:p>
            <w:pPr>
              <w:spacing w:after="0"/>
              <w:rPr>
                <w:sz w:val="18"/>
                <w:szCs w:val="18"/>
                <w:color w:val="auto"/>
              </w:rPr>
            </w:pPr>
          </w:p>
        </w:tc>
        <w:tc>
          <w:tcPr>
            <w:tcW w:w="920" w:type="dxa"/>
            <w:vAlign w:val="bottom"/>
            <w:tcBorders>
              <w:bottom w:val="single" w:sz="8" w:color="A9A9A9"/>
            </w:tcBorders>
          </w:tcPr>
          <w:p>
            <w:pPr>
              <w:jc w:val="right"/>
              <w:spacing w:after="0"/>
              <w:rPr>
                <w:sz w:val="20"/>
                <w:szCs w:val="20"/>
                <w:color w:val="auto"/>
              </w:rPr>
            </w:pPr>
            <w:r>
              <w:rPr>
                <w:rFonts w:ascii="Arial" w:cs="Arial" w:eastAsia="Arial" w:hAnsi="Arial"/>
                <w:sz w:val="16"/>
                <w:szCs w:val="16"/>
                <w:b w:val="1"/>
                <w:bCs w:val="1"/>
                <w:color w:val="86B6A5"/>
              </w:rPr>
              <w:t>2008</w:t>
            </w:r>
          </w:p>
        </w:tc>
        <w:tc>
          <w:tcPr>
            <w:tcW w:w="20" w:type="dxa"/>
            <w:vAlign w:val="bottom"/>
            <w:tcBorders>
              <w:bottom w:val="single" w:sz="8" w:color="A9A9A9"/>
            </w:tcBorders>
          </w:tcPr>
          <w:p>
            <w:pPr>
              <w:spacing w:after="0"/>
              <w:rPr>
                <w:sz w:val="18"/>
                <w:szCs w:val="18"/>
                <w:color w:val="auto"/>
              </w:rPr>
            </w:pPr>
          </w:p>
        </w:tc>
        <w:tc>
          <w:tcPr>
            <w:tcW w:w="200" w:type="dxa"/>
            <w:vAlign w:val="bottom"/>
            <w:tcBorders>
              <w:bottom w:val="single" w:sz="8" w:color="A9A9A9"/>
            </w:tcBorders>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7020" w:type="dxa"/>
            <w:vAlign w:val="bottom"/>
          </w:tcPr>
          <w:p>
            <w:pPr>
              <w:spacing w:after="0" w:line="201" w:lineRule="exact"/>
              <w:rPr>
                <w:sz w:val="20"/>
                <w:szCs w:val="20"/>
                <w:color w:val="auto"/>
              </w:rPr>
            </w:pPr>
            <w:r>
              <w:rPr>
                <w:rFonts w:ascii="Arial" w:cs="Arial" w:eastAsia="Arial" w:hAnsi="Arial"/>
                <w:sz w:val="18"/>
                <w:szCs w:val="18"/>
                <w:color w:val="auto"/>
              </w:rPr>
              <w:t>Revenues from services</w:t>
            </w:r>
          </w:p>
        </w:tc>
        <w:tc>
          <w:tcPr>
            <w:tcW w:w="120" w:type="dxa"/>
            <w:vAlign w:val="bottom"/>
            <w:shd w:val="clear" w:color="auto" w:fill="E3F1DA"/>
          </w:tcPr>
          <w:p>
            <w:pPr>
              <w:spacing w:after="0"/>
              <w:rPr>
                <w:sz w:val="17"/>
                <w:szCs w:val="17"/>
                <w:color w:val="auto"/>
              </w:rPr>
            </w:pPr>
          </w:p>
        </w:tc>
        <w:tc>
          <w:tcPr>
            <w:tcW w:w="1340" w:type="dxa"/>
            <w:vAlign w:val="bottom"/>
            <w:shd w:val="clear" w:color="auto" w:fill="E3F1DA"/>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10"/>
        </w:trPr>
        <w:tc>
          <w:tcPr>
            <w:tcW w:w="7040" w:type="dxa"/>
            <w:vAlign w:val="bottom"/>
            <w:gridSpan w:val="2"/>
          </w:tcPr>
          <w:p>
            <w:pPr>
              <w:spacing w:after="0" w:line="203" w:lineRule="exact"/>
              <w:rPr>
                <w:sz w:val="20"/>
                <w:szCs w:val="20"/>
                <w:color w:val="auto"/>
              </w:rPr>
            </w:pPr>
            <w:r>
              <w:rPr>
                <w:rFonts w:ascii="Arial" w:cs="Arial" w:eastAsia="Arial" w:hAnsi="Arial"/>
                <w:sz w:val="18"/>
                <w:szCs w:val="18"/>
                <w:color w:val="auto"/>
              </w:rPr>
              <w:t>Pro forma</w:t>
            </w:r>
          </w:p>
        </w:tc>
        <w:tc>
          <w:tcPr>
            <w:tcW w:w="120" w:type="dxa"/>
            <w:vAlign w:val="bottom"/>
            <w:shd w:val="clear" w:color="auto" w:fill="E3F1DA"/>
          </w:tcPr>
          <w:p>
            <w:pPr>
              <w:jc w:val="right"/>
              <w:spacing w:after="0" w:line="203" w:lineRule="exact"/>
              <w:rPr>
                <w:sz w:val="20"/>
                <w:szCs w:val="20"/>
                <w:color w:val="auto"/>
              </w:rPr>
            </w:pPr>
            <w:r>
              <w:rPr>
                <w:rFonts w:ascii="Arial" w:cs="Arial" w:eastAsia="Arial" w:hAnsi="Arial"/>
                <w:sz w:val="18"/>
                <w:szCs w:val="18"/>
                <w:color w:val="86B6A5"/>
                <w:w w:val="79"/>
              </w:rPr>
              <w:t>$</w:t>
            </w:r>
          </w:p>
        </w:tc>
        <w:tc>
          <w:tcPr>
            <w:tcW w:w="1340" w:type="dxa"/>
            <w:vAlign w:val="bottom"/>
            <w:shd w:val="clear" w:color="auto" w:fill="E3F1DA"/>
          </w:tcPr>
          <w:p>
            <w:pPr>
              <w:jc w:val="right"/>
              <w:ind w:right="131"/>
              <w:spacing w:after="0" w:line="203" w:lineRule="exact"/>
              <w:rPr>
                <w:sz w:val="20"/>
                <w:szCs w:val="20"/>
                <w:color w:val="auto"/>
              </w:rPr>
            </w:pPr>
            <w:r>
              <w:rPr>
                <w:rFonts w:ascii="Arial" w:cs="Arial" w:eastAsia="Arial" w:hAnsi="Arial"/>
                <w:sz w:val="18"/>
                <w:szCs w:val="18"/>
                <w:color w:val="86B6A5"/>
              </w:rPr>
              <w:t>19,036.1</w:t>
            </w:r>
          </w:p>
        </w:tc>
        <w:tc>
          <w:tcPr>
            <w:tcW w:w="320" w:type="dxa"/>
            <w:vAlign w:val="bottom"/>
          </w:tcPr>
          <w:p>
            <w:pPr>
              <w:jc w:val="right"/>
              <w:ind w:right="130"/>
              <w:spacing w:after="0" w:line="203" w:lineRule="exact"/>
              <w:rPr>
                <w:sz w:val="20"/>
                <w:szCs w:val="20"/>
                <w:color w:val="auto"/>
              </w:rPr>
            </w:pPr>
            <w:r>
              <w:rPr>
                <w:rFonts w:ascii="Arial" w:cs="Arial" w:eastAsia="Arial" w:hAnsi="Arial"/>
                <w:sz w:val="18"/>
                <w:szCs w:val="18"/>
                <w:color w:val="auto"/>
                <w:w w:val="79"/>
              </w:rPr>
              <w:t>$</w:t>
            </w:r>
          </w:p>
        </w:tc>
        <w:tc>
          <w:tcPr>
            <w:tcW w:w="1060" w:type="dxa"/>
            <w:vAlign w:val="bottom"/>
          </w:tcPr>
          <w:p>
            <w:pPr>
              <w:jc w:val="right"/>
              <w:ind w:right="51"/>
              <w:spacing w:after="0" w:line="203" w:lineRule="exact"/>
              <w:rPr>
                <w:sz w:val="20"/>
                <w:szCs w:val="20"/>
                <w:color w:val="auto"/>
              </w:rPr>
            </w:pPr>
            <w:r>
              <w:rPr>
                <w:rFonts w:ascii="Arial" w:cs="Arial" w:eastAsia="Arial" w:hAnsi="Arial"/>
                <w:sz w:val="18"/>
                <w:szCs w:val="18"/>
                <w:color w:val="auto"/>
              </w:rPr>
              <w:t>16,688.0</w:t>
            </w:r>
          </w:p>
        </w:tc>
        <w:tc>
          <w:tcPr>
            <w:tcW w:w="400" w:type="dxa"/>
            <w:vAlign w:val="bottom"/>
          </w:tcPr>
          <w:p>
            <w:pPr>
              <w:jc w:val="right"/>
              <w:ind w:right="130"/>
              <w:spacing w:after="0" w:line="203" w:lineRule="exact"/>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
              <w:spacing w:after="0" w:line="203" w:lineRule="exact"/>
              <w:rPr>
                <w:sz w:val="20"/>
                <w:szCs w:val="20"/>
                <w:color w:val="auto"/>
              </w:rPr>
            </w:pPr>
            <w:r>
              <w:rPr>
                <w:rFonts w:ascii="Arial" w:cs="Arial" w:eastAsia="Arial" w:hAnsi="Arial"/>
                <w:sz w:val="18"/>
                <w:szCs w:val="18"/>
                <w:color w:val="auto"/>
              </w:rPr>
              <w:t>22,264.2</w:t>
            </w:r>
          </w:p>
        </w:tc>
        <w:tc>
          <w:tcPr>
            <w:tcW w:w="200" w:type="dxa"/>
            <w:vAlign w:val="bottom"/>
          </w:tcPr>
          <w:p>
            <w:pPr>
              <w:spacing w:after="0"/>
              <w:rPr>
                <w:sz w:val="18"/>
                <w:szCs w:val="18"/>
                <w:color w:val="auto"/>
              </w:rPr>
            </w:pPr>
          </w:p>
        </w:tc>
      </w:tr>
      <w:tr>
        <w:trPr>
          <w:trHeight w:val="210"/>
        </w:trPr>
        <w:tc>
          <w:tcPr>
            <w:tcW w:w="20" w:type="dxa"/>
            <w:vAlign w:val="bottom"/>
            <w:tcBorders>
              <w:bottom w:val="single" w:sz="8" w:color="939598"/>
            </w:tcBorders>
          </w:tcPr>
          <w:p>
            <w:pPr>
              <w:spacing w:after="0"/>
              <w:rPr>
                <w:sz w:val="18"/>
                <w:szCs w:val="18"/>
                <w:color w:val="auto"/>
              </w:rPr>
            </w:pPr>
          </w:p>
        </w:tc>
        <w:tc>
          <w:tcPr>
            <w:tcW w:w="7020" w:type="dxa"/>
            <w:vAlign w:val="bottom"/>
            <w:tcBorders>
              <w:top w:val="single" w:sz="8" w:color="939598"/>
              <w:bottom w:val="single" w:sz="8" w:color="939598"/>
            </w:tcBorders>
          </w:tcPr>
          <w:p>
            <w:pPr>
              <w:spacing w:after="0" w:line="202" w:lineRule="exact"/>
              <w:rPr>
                <w:sz w:val="20"/>
                <w:szCs w:val="20"/>
                <w:color w:val="auto"/>
              </w:rPr>
            </w:pPr>
            <w:r>
              <w:rPr>
                <w:rFonts w:ascii="Arial" w:cs="Arial" w:eastAsia="Arial" w:hAnsi="Arial"/>
                <w:sz w:val="18"/>
                <w:szCs w:val="18"/>
                <w:color w:val="auto"/>
              </w:rPr>
              <w:t>As reported</w:t>
            </w:r>
          </w:p>
        </w:tc>
        <w:tc>
          <w:tcPr>
            <w:tcW w:w="120" w:type="dxa"/>
            <w:vAlign w:val="bottom"/>
            <w:tcBorders>
              <w:top w:val="single" w:sz="8" w:color="939598"/>
              <w:bottom w:val="single" w:sz="8" w:color="939598"/>
            </w:tcBorders>
            <w:shd w:val="clear" w:color="auto" w:fill="E3F1DA"/>
          </w:tcPr>
          <w:p>
            <w:pPr>
              <w:jc w:val="right"/>
              <w:spacing w:after="0" w:line="202" w:lineRule="exact"/>
              <w:rPr>
                <w:sz w:val="20"/>
                <w:szCs w:val="20"/>
                <w:color w:val="auto"/>
              </w:rPr>
            </w:pPr>
            <w:r>
              <w:rPr>
                <w:rFonts w:ascii="Arial" w:cs="Arial" w:eastAsia="Arial" w:hAnsi="Arial"/>
                <w:sz w:val="18"/>
                <w:szCs w:val="18"/>
                <w:color w:val="86B6A5"/>
                <w:w w:val="79"/>
              </w:rPr>
              <w:t>$</w:t>
            </w:r>
          </w:p>
        </w:tc>
        <w:tc>
          <w:tcPr>
            <w:tcW w:w="1340" w:type="dxa"/>
            <w:vAlign w:val="bottom"/>
            <w:tcBorders>
              <w:top w:val="single" w:sz="8" w:color="939598"/>
              <w:bottom w:val="single" w:sz="8" w:color="939598"/>
            </w:tcBorders>
          </w:tcPr>
          <w:p>
            <w:pPr>
              <w:jc w:val="right"/>
              <w:ind w:right="131"/>
              <w:spacing w:after="0" w:line="202" w:lineRule="exact"/>
              <w:rPr>
                <w:sz w:val="20"/>
                <w:szCs w:val="20"/>
                <w:color w:val="auto"/>
              </w:rPr>
            </w:pPr>
            <w:r>
              <w:rPr>
                <w:rFonts w:ascii="Arial" w:cs="Arial" w:eastAsia="Arial" w:hAnsi="Arial"/>
                <w:sz w:val="18"/>
                <w:szCs w:val="18"/>
                <w:color w:val="86B6A5"/>
              </w:rPr>
              <w:t>18,866.5</w:t>
            </w:r>
          </w:p>
        </w:tc>
        <w:tc>
          <w:tcPr>
            <w:tcW w:w="320" w:type="dxa"/>
            <w:vAlign w:val="bottom"/>
            <w:tcBorders>
              <w:top w:val="single" w:sz="8" w:color="939598"/>
              <w:bottom w:val="single" w:sz="8" w:color="939598"/>
            </w:tcBorders>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1060" w:type="dxa"/>
            <w:vAlign w:val="bottom"/>
            <w:tcBorders>
              <w:top w:val="single" w:sz="8" w:color="939598"/>
              <w:bottom w:val="single" w:sz="8" w:color="939598"/>
            </w:tcBorders>
          </w:tcPr>
          <w:p>
            <w:pPr>
              <w:jc w:val="right"/>
              <w:ind w:right="51"/>
              <w:spacing w:after="0" w:line="202" w:lineRule="exact"/>
              <w:rPr>
                <w:sz w:val="20"/>
                <w:szCs w:val="20"/>
                <w:color w:val="auto"/>
              </w:rPr>
            </w:pPr>
            <w:r>
              <w:rPr>
                <w:rFonts w:ascii="Arial" w:cs="Arial" w:eastAsia="Arial" w:hAnsi="Arial"/>
                <w:sz w:val="18"/>
                <w:szCs w:val="18"/>
                <w:color w:val="auto"/>
              </w:rPr>
              <w:t>16,038.7</w:t>
            </w:r>
          </w:p>
        </w:tc>
        <w:tc>
          <w:tcPr>
            <w:tcW w:w="400" w:type="dxa"/>
            <w:vAlign w:val="bottom"/>
            <w:tcBorders>
              <w:top w:val="single" w:sz="8" w:color="939598"/>
              <w:bottom w:val="single" w:sz="8" w:color="939598"/>
            </w:tcBorders>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920" w:type="dxa"/>
            <w:vAlign w:val="bottom"/>
            <w:tcBorders>
              <w:top w:val="single" w:sz="8" w:color="939598"/>
              <w:bottom w:val="single" w:sz="8" w:color="939598"/>
            </w:tcBorders>
          </w:tcPr>
          <w:p>
            <w:pPr>
              <w:jc w:val="right"/>
              <w:spacing w:after="0" w:line="202" w:lineRule="exact"/>
              <w:rPr>
                <w:sz w:val="20"/>
                <w:szCs w:val="20"/>
                <w:color w:val="auto"/>
              </w:rPr>
            </w:pPr>
            <w:r>
              <w:rPr>
                <w:rFonts w:ascii="Arial" w:cs="Arial" w:eastAsia="Arial" w:hAnsi="Arial"/>
                <w:sz w:val="18"/>
                <w:szCs w:val="18"/>
                <w:color w:val="auto"/>
              </w:rPr>
              <w:t>21,537.1</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404"/>
        </w:trPr>
        <w:tc>
          <w:tcPr>
            <w:tcW w:w="7040" w:type="dxa"/>
            <w:vAlign w:val="bottom"/>
            <w:gridSpan w:val="2"/>
          </w:tcPr>
          <w:p>
            <w:pPr>
              <w:spacing w:after="0"/>
              <w:rPr>
                <w:sz w:val="20"/>
                <w:szCs w:val="20"/>
                <w:color w:val="auto"/>
              </w:rPr>
            </w:pPr>
            <w:r>
              <w:rPr>
                <w:rFonts w:ascii="Arial" w:cs="Arial" w:eastAsia="Arial" w:hAnsi="Arial"/>
                <w:sz w:val="18"/>
                <w:szCs w:val="18"/>
                <w:color w:val="auto"/>
              </w:rPr>
              <w:t>Net (loss) earnings</w:t>
            </w:r>
          </w:p>
        </w:tc>
        <w:tc>
          <w:tcPr>
            <w:tcW w:w="120" w:type="dxa"/>
            <w:vAlign w:val="bottom"/>
            <w:shd w:val="clear" w:color="auto" w:fill="E3F1DA"/>
          </w:tcPr>
          <w:p>
            <w:pPr>
              <w:spacing w:after="0"/>
              <w:rPr>
                <w:sz w:val="24"/>
                <w:szCs w:val="24"/>
                <w:color w:val="auto"/>
              </w:rPr>
            </w:pPr>
          </w:p>
        </w:tc>
        <w:tc>
          <w:tcPr>
            <w:tcW w:w="1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10"/>
        </w:trPr>
        <w:tc>
          <w:tcPr>
            <w:tcW w:w="7040" w:type="dxa"/>
            <w:vAlign w:val="bottom"/>
            <w:tcBorders>
              <w:bottom w:val="single" w:sz="8" w:color="939598"/>
            </w:tcBorders>
            <w:gridSpan w:val="2"/>
          </w:tcPr>
          <w:p>
            <w:pPr>
              <w:spacing w:after="0" w:line="203" w:lineRule="exact"/>
              <w:rPr>
                <w:sz w:val="20"/>
                <w:szCs w:val="20"/>
                <w:color w:val="auto"/>
              </w:rPr>
            </w:pPr>
            <w:r>
              <w:rPr>
                <w:rFonts w:ascii="Arial" w:cs="Arial" w:eastAsia="Arial" w:hAnsi="Arial"/>
                <w:sz w:val="18"/>
                <w:szCs w:val="18"/>
                <w:color w:val="auto"/>
              </w:rPr>
              <w:t>Pro forma</w:t>
            </w:r>
          </w:p>
        </w:tc>
        <w:tc>
          <w:tcPr>
            <w:tcW w:w="120" w:type="dxa"/>
            <w:vAlign w:val="bottom"/>
            <w:tcBorders>
              <w:bottom w:val="single" w:sz="8" w:color="939598"/>
            </w:tcBorders>
            <w:shd w:val="clear" w:color="auto" w:fill="E3F1DA"/>
          </w:tcPr>
          <w:p>
            <w:pPr>
              <w:jc w:val="right"/>
              <w:spacing w:after="0" w:line="203" w:lineRule="exact"/>
              <w:rPr>
                <w:sz w:val="20"/>
                <w:szCs w:val="20"/>
                <w:color w:val="auto"/>
              </w:rPr>
            </w:pPr>
            <w:r>
              <w:rPr>
                <w:rFonts w:ascii="Arial" w:cs="Arial" w:eastAsia="Arial" w:hAnsi="Arial"/>
                <w:sz w:val="18"/>
                <w:szCs w:val="18"/>
                <w:color w:val="86B6A5"/>
                <w:w w:val="79"/>
              </w:rPr>
              <w:t>$</w:t>
            </w:r>
          </w:p>
        </w:tc>
        <w:tc>
          <w:tcPr>
            <w:tcW w:w="1340" w:type="dxa"/>
            <w:vAlign w:val="bottom"/>
            <w:tcBorders>
              <w:bottom w:val="single" w:sz="8" w:color="939598"/>
            </w:tcBorders>
          </w:tcPr>
          <w:p>
            <w:pPr>
              <w:jc w:val="right"/>
              <w:ind w:right="71"/>
              <w:spacing w:after="0" w:line="203" w:lineRule="exact"/>
              <w:rPr>
                <w:sz w:val="20"/>
                <w:szCs w:val="20"/>
                <w:color w:val="auto"/>
              </w:rPr>
            </w:pPr>
            <w:r>
              <w:rPr>
                <w:rFonts w:ascii="Arial" w:cs="Arial" w:eastAsia="Arial" w:hAnsi="Arial"/>
                <w:sz w:val="18"/>
                <w:szCs w:val="18"/>
                <w:color w:val="86B6A5"/>
              </w:rPr>
              <w:t>(269.9)</w:t>
            </w:r>
          </w:p>
        </w:tc>
        <w:tc>
          <w:tcPr>
            <w:tcW w:w="320" w:type="dxa"/>
            <w:vAlign w:val="bottom"/>
            <w:tcBorders>
              <w:bottom w:val="single" w:sz="8" w:color="939598"/>
            </w:tcBorders>
          </w:tcPr>
          <w:p>
            <w:pPr>
              <w:jc w:val="right"/>
              <w:ind w:right="130"/>
              <w:spacing w:after="0" w:line="203"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939598"/>
            </w:tcBorders>
          </w:tcPr>
          <w:p>
            <w:pPr>
              <w:jc w:val="right"/>
              <w:spacing w:after="0" w:line="203" w:lineRule="exact"/>
              <w:rPr>
                <w:sz w:val="20"/>
                <w:szCs w:val="20"/>
                <w:color w:val="auto"/>
              </w:rPr>
            </w:pPr>
            <w:r>
              <w:rPr>
                <w:rFonts w:ascii="Arial" w:cs="Arial" w:eastAsia="Arial" w:hAnsi="Arial"/>
                <w:sz w:val="18"/>
                <w:szCs w:val="18"/>
                <w:color w:val="auto"/>
              </w:rPr>
              <w:t>(27.9)</w:t>
            </w:r>
          </w:p>
        </w:tc>
        <w:tc>
          <w:tcPr>
            <w:tcW w:w="400" w:type="dxa"/>
            <w:vAlign w:val="bottom"/>
            <w:tcBorders>
              <w:bottom w:val="single" w:sz="8" w:color="939598"/>
            </w:tcBorders>
          </w:tcPr>
          <w:p>
            <w:pPr>
              <w:jc w:val="right"/>
              <w:ind w:right="130"/>
              <w:spacing w:after="0" w:line="203" w:lineRule="exact"/>
              <w:rPr>
                <w:sz w:val="20"/>
                <w:szCs w:val="20"/>
                <w:color w:val="auto"/>
              </w:rPr>
            </w:pPr>
            <w:r>
              <w:rPr>
                <w:rFonts w:ascii="Arial" w:cs="Arial" w:eastAsia="Arial" w:hAnsi="Arial"/>
                <w:sz w:val="18"/>
                <w:szCs w:val="18"/>
                <w:color w:val="auto"/>
              </w:rPr>
              <w:t>$</w:t>
            </w:r>
          </w:p>
        </w:tc>
        <w:tc>
          <w:tcPr>
            <w:tcW w:w="940" w:type="dxa"/>
            <w:vAlign w:val="bottom"/>
            <w:tcBorders>
              <w:bottom w:val="single" w:sz="8" w:color="939598"/>
            </w:tcBorders>
            <w:gridSpan w:val="2"/>
          </w:tcPr>
          <w:p>
            <w:pPr>
              <w:jc w:val="right"/>
              <w:ind w:right="20"/>
              <w:spacing w:after="0" w:line="203" w:lineRule="exact"/>
              <w:rPr>
                <w:sz w:val="20"/>
                <w:szCs w:val="20"/>
                <w:color w:val="auto"/>
              </w:rPr>
            </w:pPr>
            <w:r>
              <w:rPr>
                <w:rFonts w:ascii="Arial" w:cs="Arial" w:eastAsia="Arial" w:hAnsi="Arial"/>
                <w:sz w:val="18"/>
                <w:szCs w:val="18"/>
                <w:color w:val="auto"/>
              </w:rPr>
              <w:t>111.1</w:t>
            </w:r>
          </w:p>
        </w:tc>
        <w:tc>
          <w:tcPr>
            <w:tcW w:w="200" w:type="dxa"/>
            <w:vAlign w:val="bottom"/>
          </w:tcPr>
          <w:p>
            <w:pPr>
              <w:spacing w:after="0"/>
              <w:rPr>
                <w:sz w:val="18"/>
                <w:szCs w:val="18"/>
                <w:color w:val="auto"/>
              </w:rPr>
            </w:pPr>
          </w:p>
        </w:tc>
      </w:tr>
      <w:tr>
        <w:trPr>
          <w:trHeight w:val="210"/>
        </w:trPr>
        <w:tc>
          <w:tcPr>
            <w:tcW w:w="7040" w:type="dxa"/>
            <w:vAlign w:val="bottom"/>
            <w:gridSpan w:val="2"/>
          </w:tcPr>
          <w:p>
            <w:pPr>
              <w:spacing w:after="0" w:line="202" w:lineRule="exact"/>
              <w:rPr>
                <w:sz w:val="20"/>
                <w:szCs w:val="20"/>
                <w:color w:val="auto"/>
              </w:rPr>
            </w:pPr>
            <w:r>
              <w:rPr>
                <w:rFonts w:ascii="Arial" w:cs="Arial" w:eastAsia="Arial" w:hAnsi="Arial"/>
                <w:sz w:val="18"/>
                <w:szCs w:val="18"/>
                <w:color w:val="auto"/>
              </w:rPr>
              <w:t>As reported</w:t>
            </w:r>
          </w:p>
        </w:tc>
        <w:tc>
          <w:tcPr>
            <w:tcW w:w="120" w:type="dxa"/>
            <w:vAlign w:val="bottom"/>
            <w:shd w:val="clear" w:color="auto" w:fill="E3F1DA"/>
          </w:tcPr>
          <w:p>
            <w:pPr>
              <w:jc w:val="right"/>
              <w:spacing w:after="0" w:line="202" w:lineRule="exact"/>
              <w:rPr>
                <w:sz w:val="20"/>
                <w:szCs w:val="20"/>
                <w:color w:val="auto"/>
              </w:rPr>
            </w:pPr>
            <w:r>
              <w:rPr>
                <w:rFonts w:ascii="Arial" w:cs="Arial" w:eastAsia="Arial" w:hAnsi="Arial"/>
                <w:sz w:val="18"/>
                <w:szCs w:val="18"/>
                <w:color w:val="86B6A5"/>
                <w:w w:val="79"/>
              </w:rPr>
              <w:t>$</w:t>
            </w:r>
          </w:p>
        </w:tc>
        <w:tc>
          <w:tcPr>
            <w:tcW w:w="1340" w:type="dxa"/>
            <w:vAlign w:val="bottom"/>
          </w:tcPr>
          <w:p>
            <w:pPr>
              <w:jc w:val="right"/>
              <w:ind w:right="71"/>
              <w:spacing w:after="0" w:line="202" w:lineRule="exact"/>
              <w:rPr>
                <w:sz w:val="20"/>
                <w:szCs w:val="20"/>
                <w:color w:val="auto"/>
              </w:rPr>
            </w:pPr>
            <w:r>
              <w:rPr>
                <w:rFonts w:ascii="Arial" w:cs="Arial" w:eastAsia="Arial" w:hAnsi="Arial"/>
                <w:sz w:val="18"/>
                <w:szCs w:val="18"/>
                <w:color w:val="86B6A5"/>
              </w:rPr>
              <w:t>(263.6)</w:t>
            </w:r>
          </w:p>
        </w:tc>
        <w:tc>
          <w:tcPr>
            <w:tcW w:w="320" w:type="dxa"/>
            <w:vAlign w:val="bottom"/>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(9.2)</w:t>
            </w:r>
          </w:p>
        </w:tc>
        <w:tc>
          <w:tcPr>
            <w:tcW w:w="40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205.5</w:t>
            </w:r>
          </w:p>
        </w:tc>
        <w:tc>
          <w:tcPr>
            <w:tcW w:w="200" w:type="dxa"/>
            <w:vAlign w:val="bottom"/>
          </w:tcPr>
          <w:p>
            <w:pPr>
              <w:spacing w:after="0"/>
              <w:rPr>
                <w:sz w:val="18"/>
                <w:szCs w:val="18"/>
                <w:color w:val="auto"/>
              </w:rPr>
            </w:pPr>
          </w:p>
        </w:tc>
      </w:tr>
      <w:tr>
        <w:trPr>
          <w:trHeight w:val="404"/>
        </w:trPr>
        <w:tc>
          <w:tcPr>
            <w:tcW w:w="7040" w:type="dxa"/>
            <w:vAlign w:val="bottom"/>
            <w:tcBorders>
              <w:top w:val="single" w:sz="8" w:color="939598"/>
            </w:tcBorders>
            <w:gridSpan w:val="2"/>
          </w:tcPr>
          <w:p>
            <w:pPr>
              <w:spacing w:after="0"/>
              <w:rPr>
                <w:sz w:val="20"/>
                <w:szCs w:val="20"/>
                <w:color w:val="auto"/>
              </w:rPr>
            </w:pPr>
            <w:r>
              <w:rPr>
                <w:rFonts w:ascii="Arial" w:cs="Arial" w:eastAsia="Arial" w:hAnsi="Arial"/>
                <w:sz w:val="18"/>
                <w:szCs w:val="18"/>
                <w:color w:val="auto"/>
              </w:rPr>
              <w:t>Net (loss) earnings per share – diluted</w:t>
            </w:r>
          </w:p>
        </w:tc>
        <w:tc>
          <w:tcPr>
            <w:tcW w:w="120" w:type="dxa"/>
            <w:vAlign w:val="bottom"/>
            <w:tcBorders>
              <w:top w:val="single" w:sz="8" w:color="939598"/>
            </w:tcBorders>
            <w:shd w:val="clear" w:color="auto" w:fill="E3F1DA"/>
          </w:tcPr>
          <w:p>
            <w:pPr>
              <w:spacing w:after="0"/>
              <w:rPr>
                <w:sz w:val="24"/>
                <w:szCs w:val="24"/>
                <w:color w:val="auto"/>
              </w:rPr>
            </w:pPr>
          </w:p>
        </w:tc>
        <w:tc>
          <w:tcPr>
            <w:tcW w:w="1340" w:type="dxa"/>
            <w:vAlign w:val="bottom"/>
            <w:tcBorders>
              <w:top w:val="single" w:sz="8" w:color="939598"/>
            </w:tcBorders>
          </w:tcPr>
          <w:p>
            <w:pPr>
              <w:spacing w:after="0"/>
              <w:rPr>
                <w:sz w:val="24"/>
                <w:szCs w:val="24"/>
                <w:color w:val="auto"/>
              </w:rPr>
            </w:pPr>
          </w:p>
        </w:tc>
        <w:tc>
          <w:tcPr>
            <w:tcW w:w="320" w:type="dxa"/>
            <w:vAlign w:val="bottom"/>
            <w:tcBorders>
              <w:top w:val="single" w:sz="8" w:color="939598"/>
            </w:tcBorders>
          </w:tcPr>
          <w:p>
            <w:pPr>
              <w:spacing w:after="0"/>
              <w:rPr>
                <w:sz w:val="24"/>
                <w:szCs w:val="24"/>
                <w:color w:val="auto"/>
              </w:rPr>
            </w:pPr>
          </w:p>
        </w:tc>
        <w:tc>
          <w:tcPr>
            <w:tcW w:w="1060" w:type="dxa"/>
            <w:vAlign w:val="bottom"/>
            <w:tcBorders>
              <w:top w:val="single" w:sz="8" w:color="939598"/>
            </w:tcBorders>
          </w:tcPr>
          <w:p>
            <w:pPr>
              <w:spacing w:after="0"/>
              <w:rPr>
                <w:sz w:val="24"/>
                <w:szCs w:val="24"/>
                <w:color w:val="auto"/>
              </w:rPr>
            </w:pPr>
          </w:p>
        </w:tc>
        <w:tc>
          <w:tcPr>
            <w:tcW w:w="400" w:type="dxa"/>
            <w:vAlign w:val="bottom"/>
            <w:tcBorders>
              <w:top w:val="single" w:sz="8" w:color="939598"/>
            </w:tcBorders>
          </w:tcPr>
          <w:p>
            <w:pPr>
              <w:spacing w:after="0"/>
              <w:rPr>
                <w:sz w:val="24"/>
                <w:szCs w:val="24"/>
                <w:color w:val="auto"/>
              </w:rPr>
            </w:pPr>
          </w:p>
        </w:tc>
        <w:tc>
          <w:tcPr>
            <w:tcW w:w="920" w:type="dxa"/>
            <w:vAlign w:val="bottom"/>
            <w:tcBorders>
              <w:top w:val="single" w:sz="8" w:color="939598"/>
            </w:tcBorders>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10"/>
        </w:trPr>
        <w:tc>
          <w:tcPr>
            <w:tcW w:w="7040" w:type="dxa"/>
            <w:vAlign w:val="bottom"/>
            <w:tcBorders>
              <w:bottom w:val="single" w:sz="8" w:color="939598"/>
            </w:tcBorders>
            <w:gridSpan w:val="2"/>
          </w:tcPr>
          <w:p>
            <w:pPr>
              <w:spacing w:after="0" w:line="203" w:lineRule="exact"/>
              <w:rPr>
                <w:sz w:val="20"/>
                <w:szCs w:val="20"/>
                <w:color w:val="auto"/>
              </w:rPr>
            </w:pPr>
            <w:r>
              <w:rPr>
                <w:rFonts w:ascii="Arial" w:cs="Arial" w:eastAsia="Arial" w:hAnsi="Arial"/>
                <w:sz w:val="18"/>
                <w:szCs w:val="18"/>
                <w:color w:val="auto"/>
              </w:rPr>
              <w:t>Pro forma</w:t>
            </w:r>
          </w:p>
        </w:tc>
        <w:tc>
          <w:tcPr>
            <w:tcW w:w="120" w:type="dxa"/>
            <w:vAlign w:val="bottom"/>
            <w:tcBorders>
              <w:bottom w:val="single" w:sz="8" w:color="939598"/>
            </w:tcBorders>
            <w:shd w:val="clear" w:color="auto" w:fill="E3F1DA"/>
          </w:tcPr>
          <w:p>
            <w:pPr>
              <w:jc w:val="right"/>
              <w:spacing w:after="0" w:line="203" w:lineRule="exact"/>
              <w:rPr>
                <w:sz w:val="20"/>
                <w:szCs w:val="20"/>
                <w:color w:val="auto"/>
              </w:rPr>
            </w:pPr>
            <w:r>
              <w:rPr>
                <w:rFonts w:ascii="Arial" w:cs="Arial" w:eastAsia="Arial" w:hAnsi="Arial"/>
                <w:sz w:val="18"/>
                <w:szCs w:val="18"/>
                <w:color w:val="86B6A5"/>
                <w:w w:val="79"/>
              </w:rPr>
              <w:t>$</w:t>
            </w:r>
          </w:p>
        </w:tc>
        <w:tc>
          <w:tcPr>
            <w:tcW w:w="1340" w:type="dxa"/>
            <w:vAlign w:val="bottom"/>
            <w:tcBorders>
              <w:bottom w:val="single" w:sz="8" w:color="939598"/>
            </w:tcBorders>
          </w:tcPr>
          <w:p>
            <w:pPr>
              <w:jc w:val="right"/>
              <w:ind w:right="71"/>
              <w:spacing w:after="0" w:line="203" w:lineRule="exact"/>
              <w:rPr>
                <w:sz w:val="20"/>
                <w:szCs w:val="20"/>
                <w:color w:val="auto"/>
              </w:rPr>
            </w:pPr>
            <w:r>
              <w:rPr>
                <w:rFonts w:ascii="Arial" w:cs="Arial" w:eastAsia="Arial" w:hAnsi="Arial"/>
                <w:sz w:val="18"/>
                <w:szCs w:val="18"/>
                <w:color w:val="86B6A5"/>
              </w:rPr>
              <w:t>(3.30)</w:t>
            </w:r>
          </w:p>
        </w:tc>
        <w:tc>
          <w:tcPr>
            <w:tcW w:w="320" w:type="dxa"/>
            <w:vAlign w:val="bottom"/>
            <w:tcBorders>
              <w:bottom w:val="single" w:sz="8" w:color="939598"/>
            </w:tcBorders>
          </w:tcPr>
          <w:p>
            <w:pPr>
              <w:jc w:val="right"/>
              <w:ind w:right="130"/>
              <w:spacing w:after="0" w:line="203"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939598"/>
            </w:tcBorders>
          </w:tcPr>
          <w:p>
            <w:pPr>
              <w:jc w:val="right"/>
              <w:spacing w:after="0" w:line="203" w:lineRule="exact"/>
              <w:rPr>
                <w:sz w:val="20"/>
                <w:szCs w:val="20"/>
                <w:color w:val="auto"/>
              </w:rPr>
            </w:pPr>
            <w:r>
              <w:rPr>
                <w:rFonts w:ascii="Arial" w:cs="Arial" w:eastAsia="Arial" w:hAnsi="Arial"/>
                <w:sz w:val="18"/>
                <w:szCs w:val="18"/>
                <w:color w:val="auto"/>
              </w:rPr>
              <w:t>(0.34)</w:t>
            </w:r>
          </w:p>
        </w:tc>
        <w:tc>
          <w:tcPr>
            <w:tcW w:w="400" w:type="dxa"/>
            <w:vAlign w:val="bottom"/>
            <w:tcBorders>
              <w:bottom w:val="single" w:sz="8" w:color="939598"/>
            </w:tcBorders>
          </w:tcPr>
          <w:p>
            <w:pPr>
              <w:jc w:val="right"/>
              <w:ind w:right="130"/>
              <w:spacing w:after="0" w:line="203" w:lineRule="exact"/>
              <w:rPr>
                <w:sz w:val="20"/>
                <w:szCs w:val="20"/>
                <w:color w:val="auto"/>
              </w:rPr>
            </w:pPr>
            <w:r>
              <w:rPr>
                <w:rFonts w:ascii="Arial" w:cs="Arial" w:eastAsia="Arial" w:hAnsi="Arial"/>
                <w:sz w:val="18"/>
                <w:szCs w:val="18"/>
                <w:color w:val="auto"/>
              </w:rPr>
              <w:t>$</w:t>
            </w:r>
          </w:p>
        </w:tc>
        <w:tc>
          <w:tcPr>
            <w:tcW w:w="920" w:type="dxa"/>
            <w:vAlign w:val="bottom"/>
            <w:tcBorders>
              <w:bottom w:val="single" w:sz="8" w:color="939598"/>
            </w:tcBorders>
          </w:tcPr>
          <w:p>
            <w:pPr>
              <w:jc w:val="right"/>
              <w:spacing w:after="0" w:line="203" w:lineRule="exact"/>
              <w:rPr>
                <w:sz w:val="20"/>
                <w:szCs w:val="20"/>
                <w:color w:val="auto"/>
              </w:rPr>
            </w:pPr>
            <w:r>
              <w:rPr>
                <w:rFonts w:ascii="Arial" w:cs="Arial" w:eastAsia="Arial" w:hAnsi="Arial"/>
                <w:sz w:val="18"/>
                <w:szCs w:val="18"/>
                <w:color w:val="auto"/>
              </w:rPr>
              <w:t>1.34</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03"/>
        </w:trPr>
        <w:tc>
          <w:tcPr>
            <w:tcW w:w="7040" w:type="dxa"/>
            <w:vAlign w:val="bottom"/>
            <w:gridSpan w:val="2"/>
          </w:tcPr>
          <w:p>
            <w:pPr>
              <w:spacing w:after="0" w:line="202" w:lineRule="exact"/>
              <w:rPr>
                <w:sz w:val="20"/>
                <w:szCs w:val="20"/>
                <w:color w:val="auto"/>
              </w:rPr>
            </w:pPr>
            <w:r>
              <w:rPr>
                <w:rFonts w:ascii="Arial" w:cs="Arial" w:eastAsia="Arial" w:hAnsi="Arial"/>
                <w:sz w:val="18"/>
                <w:szCs w:val="18"/>
                <w:color w:val="auto"/>
              </w:rPr>
              <w:t>As reported</w:t>
            </w:r>
          </w:p>
        </w:tc>
        <w:tc>
          <w:tcPr>
            <w:tcW w:w="120" w:type="dxa"/>
            <w:vAlign w:val="bottom"/>
            <w:shd w:val="clear" w:color="auto" w:fill="E3F1DA"/>
          </w:tcPr>
          <w:p>
            <w:pPr>
              <w:jc w:val="right"/>
              <w:spacing w:after="0" w:line="202" w:lineRule="exact"/>
              <w:rPr>
                <w:sz w:val="20"/>
                <w:szCs w:val="20"/>
                <w:color w:val="auto"/>
              </w:rPr>
            </w:pPr>
            <w:r>
              <w:rPr>
                <w:rFonts w:ascii="Arial" w:cs="Arial" w:eastAsia="Arial" w:hAnsi="Arial"/>
                <w:sz w:val="18"/>
                <w:szCs w:val="18"/>
                <w:color w:val="86B6A5"/>
                <w:w w:val="79"/>
              </w:rPr>
              <w:t>$</w:t>
            </w:r>
          </w:p>
        </w:tc>
        <w:tc>
          <w:tcPr>
            <w:tcW w:w="1340" w:type="dxa"/>
            <w:vAlign w:val="bottom"/>
          </w:tcPr>
          <w:p>
            <w:pPr>
              <w:jc w:val="right"/>
              <w:ind w:right="71"/>
              <w:spacing w:after="0" w:line="202" w:lineRule="exact"/>
              <w:rPr>
                <w:sz w:val="20"/>
                <w:szCs w:val="20"/>
                <w:color w:val="auto"/>
              </w:rPr>
            </w:pPr>
            <w:r>
              <w:rPr>
                <w:rFonts w:ascii="Arial" w:cs="Arial" w:eastAsia="Arial" w:hAnsi="Arial"/>
                <w:sz w:val="18"/>
                <w:szCs w:val="18"/>
                <w:color w:val="86B6A5"/>
              </w:rPr>
              <w:t>(3.26)</w:t>
            </w:r>
          </w:p>
        </w:tc>
        <w:tc>
          <w:tcPr>
            <w:tcW w:w="320" w:type="dxa"/>
            <w:vAlign w:val="bottom"/>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(0.12)</w:t>
            </w:r>
          </w:p>
        </w:tc>
        <w:tc>
          <w:tcPr>
            <w:tcW w:w="40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2.58</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7"/>
        </w:trPr>
        <w:tc>
          <w:tcPr>
            <w:tcW w:w="20" w:type="dxa"/>
            <w:vAlign w:val="bottom"/>
          </w:tcPr>
          <w:p>
            <w:pPr>
              <w:spacing w:after="0"/>
              <w:rPr>
                <w:sz w:val="2"/>
                <w:szCs w:val="2"/>
                <w:color w:val="auto"/>
              </w:rPr>
            </w:pPr>
          </w:p>
        </w:tc>
        <w:tc>
          <w:tcPr>
            <w:tcW w:w="7020" w:type="dxa"/>
            <w:vAlign w:val="bottom"/>
            <w:shd w:val="clear" w:color="auto" w:fill="939598"/>
          </w:tcPr>
          <w:p>
            <w:pPr>
              <w:spacing w:after="0"/>
              <w:rPr>
                <w:sz w:val="2"/>
                <w:szCs w:val="2"/>
                <w:color w:val="auto"/>
              </w:rPr>
            </w:pPr>
          </w:p>
        </w:tc>
        <w:tc>
          <w:tcPr>
            <w:tcW w:w="120" w:type="dxa"/>
            <w:vAlign w:val="bottom"/>
            <w:shd w:val="clear" w:color="auto" w:fill="939598"/>
          </w:tcPr>
          <w:p>
            <w:pPr>
              <w:spacing w:after="0"/>
              <w:rPr>
                <w:sz w:val="2"/>
                <w:szCs w:val="2"/>
                <w:color w:val="auto"/>
              </w:rPr>
            </w:pPr>
          </w:p>
        </w:tc>
        <w:tc>
          <w:tcPr>
            <w:tcW w:w="1340" w:type="dxa"/>
            <w:vAlign w:val="bottom"/>
            <w:shd w:val="clear" w:color="auto" w:fill="939598"/>
          </w:tcPr>
          <w:p>
            <w:pPr>
              <w:spacing w:after="0"/>
              <w:rPr>
                <w:sz w:val="2"/>
                <w:szCs w:val="2"/>
                <w:color w:val="auto"/>
              </w:rPr>
            </w:pPr>
          </w:p>
        </w:tc>
        <w:tc>
          <w:tcPr>
            <w:tcW w:w="320" w:type="dxa"/>
            <w:vAlign w:val="bottom"/>
            <w:shd w:val="clear" w:color="auto" w:fill="939598"/>
          </w:tcPr>
          <w:p>
            <w:pPr>
              <w:spacing w:after="0"/>
              <w:rPr>
                <w:sz w:val="2"/>
                <w:szCs w:val="2"/>
                <w:color w:val="auto"/>
              </w:rPr>
            </w:pPr>
          </w:p>
        </w:tc>
        <w:tc>
          <w:tcPr>
            <w:tcW w:w="1060" w:type="dxa"/>
            <w:vAlign w:val="bottom"/>
            <w:shd w:val="clear" w:color="auto" w:fill="939598"/>
          </w:tcPr>
          <w:p>
            <w:pPr>
              <w:spacing w:after="0"/>
              <w:rPr>
                <w:sz w:val="2"/>
                <w:szCs w:val="2"/>
                <w:color w:val="auto"/>
              </w:rPr>
            </w:pPr>
          </w:p>
        </w:tc>
        <w:tc>
          <w:tcPr>
            <w:tcW w:w="400" w:type="dxa"/>
            <w:vAlign w:val="bottom"/>
            <w:shd w:val="clear" w:color="auto" w:fill="939598"/>
          </w:tcPr>
          <w:p>
            <w:pPr>
              <w:spacing w:after="0"/>
              <w:rPr>
                <w:sz w:val="2"/>
                <w:szCs w:val="2"/>
                <w:color w:val="auto"/>
              </w:rPr>
            </w:pPr>
          </w:p>
        </w:tc>
        <w:tc>
          <w:tcPr>
            <w:tcW w:w="920" w:type="dxa"/>
            <w:vAlign w:val="bottom"/>
            <w:shd w:val="clear" w:color="auto" w:fill="939598"/>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4541520</wp:posOffset>
            </wp:positionH>
            <wp:positionV relativeFrom="paragraph">
              <wp:posOffset>-1388745</wp:posOffset>
            </wp:positionV>
            <wp:extent cx="857885" cy="13804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857885" cy="1380490"/>
                    </a:xfrm>
                    <a:prstGeom prst="rect">
                      <a:avLst/>
                    </a:prstGeom>
                    <a:noFill/>
                  </pic:spPr>
                </pic:pic>
              </a:graphicData>
            </a:graphic>
          </wp:anchor>
        </w:drawing>
      </w:r>
    </w:p>
    <w:p>
      <w:pPr>
        <w:spacing w:after="0" w:line="195"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unaudited pro forma information is provided for illustrative purposes only and does not represent what our consolidated results of operations would have been if the transaction had actually occurred as of January 1, 2010, 2009 or 2008 and does not represent our expected future consolidated results of operations.</w:t>
      </w:r>
    </w:p>
    <w:p>
      <w:pPr>
        <w:spacing w:after="0" w:line="186" w:lineRule="exact"/>
        <w:rPr>
          <w:sz w:val="20"/>
          <w:szCs w:val="20"/>
          <w:color w:val="auto"/>
        </w:rPr>
      </w:pPr>
    </w:p>
    <w:p>
      <w:pPr>
        <w:ind w:left="5520"/>
        <w:spacing w:after="0"/>
        <w:rPr>
          <w:sz w:val="20"/>
          <w:szCs w:val="20"/>
          <w:color w:val="auto"/>
        </w:rPr>
      </w:pPr>
      <w:r>
        <w:rPr>
          <w:rFonts w:ascii="Arial" w:cs="Arial" w:eastAsia="Arial" w:hAnsi="Arial"/>
          <w:sz w:val="16"/>
          <w:szCs w:val="16"/>
          <w:b w:val="1"/>
          <w:bCs w:val="1"/>
          <w:color w:val="939598"/>
        </w:rPr>
        <w:t xml:space="preserve">Notes to Consolidated Financial Statements </w:t>
      </w:r>
      <w:r>
        <w:rPr>
          <w:rFonts w:ascii="Arial" w:cs="Arial" w:eastAsia="Arial" w:hAnsi="Arial"/>
          <w:sz w:val="16"/>
          <w:szCs w:val="16"/>
          <w:color w:val="4D8ABE"/>
        </w:rPr>
        <w:t>Manpower 2010 Annual Report</w:t>
      </w:r>
      <w:r>
        <w:rPr>
          <w:rFonts w:ascii="Arial" w:cs="Arial" w:eastAsia="Arial" w:hAnsi="Arial"/>
          <w:sz w:val="16"/>
          <w:szCs w:val="16"/>
          <w:b w:val="1"/>
          <w:bCs w:val="1"/>
          <w:color w:val="939598"/>
        </w:rPr>
        <w:t xml:space="preserve"> </w:t>
      </w:r>
      <w:r>
        <w:rPr>
          <w:rFonts w:ascii="Arial" w:cs="Arial" w:eastAsia="Arial" w:hAnsi="Arial"/>
          <w:sz w:val="16"/>
          <w:szCs w:val="16"/>
          <w:b w:val="1"/>
          <w:bCs w:val="1"/>
          <w:color w:val="4D8ABE"/>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wp:posOffset>
            </wp:positionV>
            <wp:extent cx="7267575" cy="469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86" w:name="page87"/>
    <w:bookmarkEnd w:id="86"/>
    <w:p>
      <w:pPr>
        <w:spacing w:after="0"/>
        <w:rPr>
          <w:sz w:val="20"/>
          <w:szCs w:val="20"/>
          <w:color w:val="auto"/>
        </w:rPr>
      </w:pPr>
      <w:r>
        <w:rPr>
          <w:rFonts w:ascii="Arial" w:cs="Arial" w:eastAsia="Arial" w:hAnsi="Arial"/>
          <w:sz w:val="22"/>
          <w:szCs w:val="22"/>
          <w:color w:val="4D8ABE"/>
        </w:rPr>
        <w:t>Notes To Consolidated Financial Statements</w:t>
      </w:r>
    </w:p>
    <w:p>
      <w:pPr>
        <w:spacing w:after="0"/>
        <w:rPr>
          <w:sz w:val="20"/>
          <w:szCs w:val="20"/>
          <w:color w:val="auto"/>
        </w:rPr>
      </w:pPr>
      <w:r>
        <w:rPr>
          <w:rFonts w:ascii="Arial" w:cs="Arial" w:eastAsia="Arial" w:hAnsi="Arial"/>
          <w:sz w:val="18"/>
          <w:szCs w:val="18"/>
          <w:color w:val="4D8ABE"/>
        </w:rPr>
        <w:t>in millions, except share and per share data</w:t>
      </w:r>
    </w:p>
    <w:p>
      <w:pPr>
        <w:spacing w:after="0" w:line="212"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April 2008, we acquired Vitae, a leading professional placement firm in the Netherlands, for total consideration, net of cash acquired, of $114.7 (€72.6). Goodwill and intangible assets related to this transaction were $81.9 and $12.2, respectively, as of December 31, 2010 and $87.6 and $15.9, respectively, as of December 31, 2009.</w:t>
      </w:r>
    </w:p>
    <w:p>
      <w:pPr>
        <w:spacing w:after="0" w:line="203"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From time to time, we acquire and invest in companies throughout the world, including franchises. Excluding COMSYS and Vitae, the total cash consideration paid for acquisitions, net of cash acquired, for the years ended December 31, 2010, 2009 and 2008 was $32.3, $21.6 and $127.3, respectively. Goodwill and intangible assets resulting from these 2010 acquisitions were $26.2 and $6.4, respectively, as of December 31, 2010.</w:t>
      </w:r>
    </w:p>
    <w:p>
      <w:pPr>
        <w:spacing w:after="0" w:line="199" w:lineRule="exact"/>
        <w:rPr>
          <w:sz w:val="20"/>
          <w:szCs w:val="20"/>
          <w:color w:val="auto"/>
        </w:rPr>
      </w:pPr>
    </w:p>
    <w:p>
      <w:pPr>
        <w:spacing w:after="0"/>
        <w:rPr>
          <w:sz w:val="20"/>
          <w:szCs w:val="20"/>
          <w:color w:val="auto"/>
        </w:rPr>
      </w:pPr>
      <w:r>
        <w:rPr>
          <w:rFonts w:ascii="Arial" w:cs="Arial" w:eastAsia="Arial" w:hAnsi="Arial"/>
          <w:sz w:val="24"/>
          <w:szCs w:val="24"/>
          <w:color w:val="86B6A5"/>
        </w:rPr>
        <w:t>03.</w:t>
      </w:r>
    </w:p>
    <w:p>
      <w:pPr>
        <w:spacing w:after="0" w:line="8" w:lineRule="exact"/>
        <w:rPr>
          <w:sz w:val="20"/>
          <w:szCs w:val="20"/>
          <w:color w:val="auto"/>
        </w:rPr>
      </w:pPr>
    </w:p>
    <w:p>
      <w:pPr>
        <w:spacing w:after="0"/>
        <w:rPr>
          <w:sz w:val="20"/>
          <w:szCs w:val="20"/>
          <w:color w:val="auto"/>
        </w:rPr>
      </w:pPr>
      <w:r>
        <w:rPr>
          <w:rFonts w:ascii="Arial" w:cs="Arial" w:eastAsia="Arial" w:hAnsi="Arial"/>
          <w:sz w:val="24"/>
          <w:szCs w:val="24"/>
          <w:color w:val="86B6A5"/>
        </w:rPr>
        <w:t>Stock Compensation Plans</w:t>
      </w:r>
    </w:p>
    <w:p>
      <w:pPr>
        <w:spacing w:after="0" w:line="227"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account for share-based payments according to the accounting guidance on share-based payments. During 2010, 2009 and 2008 we recognized approximately $24.1, $17.5 and $ 21.1, respectively, in share-based compensation expense related to stock options, deferred stock, restricted stock, and the stock purchase plan (only 2008), all of which is recorded in Selling and Administrative Expenses. The total income tax benefit recognized related to share-based compensation during 2010, 2009 and 2008 was $3.7, $3.2 and $3.2, respectively. Consideration received from stock-based awards for 2010, 2009 and 2008 was $24.9, $15.1 and $ 12.2, respectively. The excess income tax benefit recognized related to share-based compensation awards, which is recorded in Capital in Excess of Par Value, for 2010, 2009 and 2008 was approximately $3.7, $1.2 and $0.3, respectively. We recognize compensation expense on grants of share-based compensation awards on a straight-line basis over the vesting period of each award.</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b w:val="1"/>
          <w:bCs w:val="1"/>
          <w:color w:val="4D8ABE"/>
        </w:rPr>
        <w:t>STOCK OPTIONS</w:t>
      </w:r>
    </w:p>
    <w:p>
      <w:pPr>
        <w:spacing w:after="0" w:line="238" w:lineRule="exact"/>
        <w:rPr>
          <w:sz w:val="20"/>
          <w:szCs w:val="20"/>
          <w:color w:val="auto"/>
        </w:rPr>
      </w:pPr>
    </w:p>
    <w:p>
      <w:pPr>
        <w:jc w:val="both"/>
        <w:ind w:right="20"/>
        <w:spacing w:after="0" w:line="239" w:lineRule="auto"/>
        <w:rPr>
          <w:sz w:val="20"/>
          <w:szCs w:val="20"/>
          <w:color w:val="auto"/>
        </w:rPr>
      </w:pPr>
      <w:r>
        <w:rPr>
          <w:rFonts w:ascii="Arial" w:cs="Arial" w:eastAsia="Arial" w:hAnsi="Arial"/>
          <w:sz w:val="18"/>
          <w:szCs w:val="18"/>
          <w:color w:val="auto"/>
        </w:rPr>
        <w:t>All share-based compensation is currently granted under our 2003 Equity Incentive Plan of Manpower Inc. (“2003 Plan”). Options and stock appreciation rights are granted at a price not less than 100% of the fair market value of the common stock at the date of grant. Generally, options are granted with a vesting period of up to four years and expire ten years from date of grant. As of December 31, 2010, no stock appreciation rights had been granted or were outstanding.</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 summary of stock option activity is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472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60" w:type="dxa"/>
            <w:vAlign w:val="bottom"/>
          </w:tcPr>
          <w:p>
            <w:pPr>
              <w:jc w:val="right"/>
              <w:ind w:right="33"/>
              <w:spacing w:after="0"/>
              <w:rPr>
                <w:sz w:val="20"/>
                <w:szCs w:val="20"/>
                <w:color w:val="auto"/>
              </w:rPr>
            </w:pPr>
            <w:r>
              <w:rPr>
                <w:rFonts w:ascii="Arial" w:cs="Arial" w:eastAsia="Arial" w:hAnsi="Arial"/>
                <w:sz w:val="16"/>
                <w:szCs w:val="16"/>
                <w:b w:val="1"/>
                <w:bCs w:val="1"/>
                <w:color w:val="86B6A5"/>
              </w:rPr>
              <w:t>Wtd. Avg.</w:t>
            </w: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72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86B6A5"/>
              </w:rPr>
              <w:t>Wtd. Avg.</w:t>
            </w:r>
          </w:p>
        </w:tc>
        <w:tc>
          <w:tcPr>
            <w:tcW w:w="1560" w:type="dxa"/>
            <w:vAlign w:val="bottom"/>
          </w:tcPr>
          <w:p>
            <w:pPr>
              <w:jc w:val="right"/>
              <w:ind w:right="33"/>
              <w:spacing w:after="0"/>
              <w:rPr>
                <w:sz w:val="20"/>
                <w:szCs w:val="20"/>
                <w:color w:val="auto"/>
              </w:rPr>
            </w:pPr>
            <w:r>
              <w:rPr>
                <w:rFonts w:ascii="Arial" w:cs="Arial" w:eastAsia="Arial" w:hAnsi="Arial"/>
                <w:sz w:val="16"/>
                <w:szCs w:val="16"/>
                <w:b w:val="1"/>
                <w:bCs w:val="1"/>
                <w:color w:val="86B6A5"/>
              </w:rPr>
              <w:t>Remaining</w:t>
            </w:r>
          </w:p>
        </w:tc>
        <w:tc>
          <w:tcPr>
            <w:tcW w:w="220" w:type="dxa"/>
            <w:vAlign w:val="bottom"/>
          </w:tcPr>
          <w:p>
            <w:pPr>
              <w:spacing w:after="0"/>
              <w:rPr>
                <w:sz w:val="17"/>
                <w:szCs w:val="17"/>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6"/>
                <w:szCs w:val="16"/>
                <w:b w:val="1"/>
                <w:bCs w:val="1"/>
                <w:color w:val="86B6A5"/>
              </w:rPr>
              <w:t>Aggregate</w:t>
            </w:r>
          </w:p>
        </w:tc>
      </w:tr>
      <w:tr>
        <w:trPr>
          <w:trHeight w:val="203"/>
        </w:trPr>
        <w:tc>
          <w:tcPr>
            <w:tcW w:w="20" w:type="dxa"/>
            <w:vAlign w:val="bottom"/>
          </w:tcPr>
          <w:p>
            <w:pPr>
              <w:spacing w:after="0"/>
              <w:rPr>
                <w:sz w:val="17"/>
                <w:szCs w:val="17"/>
                <w:color w:val="auto"/>
              </w:rPr>
            </w:pPr>
          </w:p>
        </w:tc>
        <w:tc>
          <w:tcPr>
            <w:tcW w:w="472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86B6A5"/>
              </w:rPr>
              <w:t>Exercise Price</w:t>
            </w:r>
          </w:p>
        </w:tc>
        <w:tc>
          <w:tcPr>
            <w:tcW w:w="1560" w:type="dxa"/>
            <w:vAlign w:val="bottom"/>
          </w:tcPr>
          <w:p>
            <w:pPr>
              <w:jc w:val="right"/>
              <w:ind w:right="33"/>
              <w:spacing w:after="0"/>
              <w:rPr>
                <w:sz w:val="20"/>
                <w:szCs w:val="20"/>
                <w:color w:val="auto"/>
              </w:rPr>
            </w:pPr>
            <w:r>
              <w:rPr>
                <w:rFonts w:ascii="Arial" w:cs="Arial" w:eastAsia="Arial" w:hAnsi="Arial"/>
                <w:sz w:val="16"/>
                <w:szCs w:val="16"/>
                <w:b w:val="1"/>
                <w:bCs w:val="1"/>
                <w:color w:val="86B6A5"/>
              </w:rPr>
              <w:t>Contractual Term</w:t>
            </w:r>
          </w:p>
        </w:tc>
        <w:tc>
          <w:tcPr>
            <w:tcW w:w="220" w:type="dxa"/>
            <w:vAlign w:val="bottom"/>
          </w:tcPr>
          <w:p>
            <w:pPr>
              <w:spacing w:after="0"/>
              <w:rPr>
                <w:sz w:val="17"/>
                <w:szCs w:val="17"/>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6"/>
                <w:szCs w:val="16"/>
                <w:b w:val="1"/>
                <w:bCs w:val="1"/>
                <w:color w:val="86B6A5"/>
              </w:rPr>
              <w:t>Intrinsic Value</w:t>
            </w:r>
          </w:p>
        </w:tc>
      </w:tr>
      <w:tr>
        <w:trPr>
          <w:trHeight w:val="228"/>
        </w:trPr>
        <w:tc>
          <w:tcPr>
            <w:tcW w:w="20" w:type="dxa"/>
            <w:vAlign w:val="bottom"/>
          </w:tcPr>
          <w:p>
            <w:pPr>
              <w:spacing w:after="0"/>
              <w:rPr>
                <w:sz w:val="19"/>
                <w:szCs w:val="19"/>
                <w:color w:val="auto"/>
              </w:rPr>
            </w:pPr>
          </w:p>
        </w:tc>
        <w:tc>
          <w:tcPr>
            <w:tcW w:w="4720" w:type="dxa"/>
            <w:vAlign w:val="bottom"/>
          </w:tcPr>
          <w:p>
            <w:pPr>
              <w:spacing w:after="0"/>
              <w:rPr>
                <w:sz w:val="19"/>
                <w:szCs w:val="19"/>
                <w:color w:val="auto"/>
              </w:rPr>
            </w:pPr>
          </w:p>
        </w:tc>
        <w:tc>
          <w:tcPr>
            <w:tcW w:w="2020" w:type="dxa"/>
            <w:vAlign w:val="bottom"/>
          </w:tcPr>
          <w:p>
            <w:pPr>
              <w:jc w:val="right"/>
              <w:ind w:right="50"/>
              <w:spacing w:after="0"/>
              <w:rPr>
                <w:sz w:val="20"/>
                <w:szCs w:val="20"/>
                <w:color w:val="auto"/>
              </w:rPr>
            </w:pPr>
            <w:r>
              <w:rPr>
                <w:rFonts w:ascii="Arial" w:cs="Arial" w:eastAsia="Arial" w:hAnsi="Arial"/>
                <w:sz w:val="16"/>
                <w:szCs w:val="16"/>
                <w:b w:val="1"/>
                <w:bCs w:val="1"/>
                <w:color w:val="86B6A5"/>
              </w:rPr>
              <w:t>Shares (000)</w:t>
            </w:r>
          </w:p>
        </w:tc>
        <w:tc>
          <w:tcPr>
            <w:tcW w:w="20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86B6A5"/>
              </w:rPr>
              <w:t>Per Share</w:t>
            </w:r>
          </w:p>
        </w:tc>
        <w:tc>
          <w:tcPr>
            <w:tcW w:w="1560" w:type="dxa"/>
            <w:vAlign w:val="bottom"/>
          </w:tcPr>
          <w:p>
            <w:pPr>
              <w:jc w:val="right"/>
              <w:ind w:right="33"/>
              <w:spacing w:after="0"/>
              <w:rPr>
                <w:sz w:val="20"/>
                <w:szCs w:val="20"/>
                <w:color w:val="auto"/>
              </w:rPr>
            </w:pPr>
            <w:r>
              <w:rPr>
                <w:rFonts w:ascii="Arial" w:cs="Arial" w:eastAsia="Arial" w:hAnsi="Arial"/>
                <w:sz w:val="16"/>
                <w:szCs w:val="16"/>
                <w:b w:val="1"/>
                <w:bCs w:val="1"/>
                <w:color w:val="86B6A5"/>
              </w:rPr>
              <w:t>(years)</w:t>
            </w:r>
          </w:p>
        </w:tc>
        <w:tc>
          <w:tcPr>
            <w:tcW w:w="220" w:type="dxa"/>
            <w:vAlign w:val="bottom"/>
          </w:tcPr>
          <w:p>
            <w:pPr>
              <w:spacing w:after="0"/>
              <w:rPr>
                <w:sz w:val="19"/>
                <w:szCs w:val="19"/>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6"/>
                <w:szCs w:val="16"/>
                <w:b w:val="1"/>
                <w:bCs w:val="1"/>
                <w:color w:val="86B6A5"/>
              </w:rPr>
              <w:t>(in millions)</w:t>
            </w:r>
          </w:p>
        </w:tc>
      </w:tr>
      <w:tr>
        <w:trPr>
          <w:trHeight w:val="202"/>
        </w:trPr>
        <w:tc>
          <w:tcPr>
            <w:tcW w:w="20" w:type="dxa"/>
            <w:vAlign w:val="bottom"/>
          </w:tcPr>
          <w:p>
            <w:pPr>
              <w:spacing w:after="0"/>
              <w:rPr>
                <w:sz w:val="17"/>
                <w:szCs w:val="17"/>
                <w:color w:val="auto"/>
              </w:rPr>
            </w:pPr>
          </w:p>
        </w:tc>
        <w:tc>
          <w:tcPr>
            <w:tcW w:w="4720" w:type="dxa"/>
            <w:vAlign w:val="bottom"/>
            <w:tcBorders>
              <w:top w:val="single" w:sz="8" w:color="86B6A5"/>
            </w:tcBorders>
          </w:tcPr>
          <w:p>
            <w:pPr>
              <w:spacing w:after="0" w:line="201" w:lineRule="exact"/>
              <w:rPr>
                <w:sz w:val="20"/>
                <w:szCs w:val="20"/>
                <w:color w:val="auto"/>
              </w:rPr>
            </w:pPr>
            <w:r>
              <w:rPr>
                <w:rFonts w:ascii="Arial" w:cs="Arial" w:eastAsia="Arial" w:hAnsi="Arial"/>
                <w:sz w:val="18"/>
                <w:szCs w:val="18"/>
                <w:color w:val="auto"/>
              </w:rPr>
              <w:t>Outstanding, January 1, 2008</w:t>
            </w:r>
          </w:p>
        </w:tc>
        <w:tc>
          <w:tcPr>
            <w:tcW w:w="2020" w:type="dxa"/>
            <w:vAlign w:val="bottom"/>
            <w:tcBorders>
              <w:top w:val="single" w:sz="8" w:color="86B6A5"/>
            </w:tcBorders>
          </w:tcPr>
          <w:p>
            <w:pPr>
              <w:jc w:val="right"/>
              <w:ind w:right="50"/>
              <w:spacing w:after="0" w:line="201" w:lineRule="exact"/>
              <w:rPr>
                <w:sz w:val="20"/>
                <w:szCs w:val="20"/>
                <w:color w:val="auto"/>
              </w:rPr>
            </w:pPr>
            <w:r>
              <w:rPr>
                <w:rFonts w:ascii="Arial" w:cs="Arial" w:eastAsia="Arial" w:hAnsi="Arial"/>
                <w:sz w:val="18"/>
                <w:szCs w:val="18"/>
                <w:color w:val="auto"/>
              </w:rPr>
              <w:t>4,379</w:t>
            </w:r>
          </w:p>
        </w:tc>
        <w:tc>
          <w:tcPr>
            <w:tcW w:w="200" w:type="dxa"/>
            <w:vAlign w:val="bottom"/>
            <w:tcBorders>
              <w:top w:val="single" w:sz="8" w:color="86B6A5"/>
            </w:tcBorders>
          </w:tcPr>
          <w:p>
            <w:pPr>
              <w:jc w:val="right"/>
              <w:spacing w:after="0" w:line="201" w:lineRule="exact"/>
              <w:rPr>
                <w:sz w:val="20"/>
                <w:szCs w:val="20"/>
                <w:color w:val="auto"/>
              </w:rPr>
            </w:pPr>
            <w:r>
              <w:rPr>
                <w:rFonts w:ascii="Arial" w:cs="Arial" w:eastAsia="Arial" w:hAnsi="Arial"/>
                <w:sz w:val="18"/>
                <w:szCs w:val="18"/>
                <w:color w:val="auto"/>
              </w:rPr>
              <w:t>$</w:t>
            </w:r>
          </w:p>
        </w:tc>
        <w:tc>
          <w:tcPr>
            <w:tcW w:w="1120" w:type="dxa"/>
            <w:vAlign w:val="bottom"/>
            <w:tcBorders>
              <w:top w:val="single" w:sz="8" w:color="86B6A5"/>
            </w:tcBorders>
          </w:tcPr>
          <w:p>
            <w:pPr>
              <w:jc w:val="right"/>
              <w:spacing w:after="0" w:line="201" w:lineRule="exact"/>
              <w:rPr>
                <w:sz w:val="20"/>
                <w:szCs w:val="20"/>
                <w:color w:val="auto"/>
              </w:rPr>
            </w:pPr>
            <w:r>
              <w:rPr>
                <w:rFonts w:ascii="Arial" w:cs="Arial" w:eastAsia="Arial" w:hAnsi="Arial"/>
                <w:sz w:val="18"/>
                <w:szCs w:val="18"/>
                <w:color w:val="auto"/>
              </w:rPr>
              <w:t>48</w:t>
            </w:r>
          </w:p>
        </w:tc>
        <w:tc>
          <w:tcPr>
            <w:tcW w:w="220" w:type="dxa"/>
            <w:vAlign w:val="bottom"/>
          </w:tcPr>
          <w:p>
            <w:pPr>
              <w:spacing w:after="0"/>
              <w:rPr>
                <w:sz w:val="17"/>
                <w:szCs w:val="17"/>
                <w:color w:val="auto"/>
              </w:rPr>
            </w:pPr>
          </w:p>
        </w:tc>
        <w:tc>
          <w:tcPr>
            <w:tcW w:w="1560" w:type="dxa"/>
            <w:vAlign w:val="bottom"/>
            <w:tcBorders>
              <w:top w:val="single" w:sz="8" w:color="86B6A5"/>
            </w:tcBorders>
          </w:tcPr>
          <w:p>
            <w:pPr>
              <w:spacing w:after="0"/>
              <w:rPr>
                <w:sz w:val="17"/>
                <w:szCs w:val="17"/>
                <w:color w:val="auto"/>
              </w:rPr>
            </w:pPr>
          </w:p>
        </w:tc>
        <w:tc>
          <w:tcPr>
            <w:tcW w:w="220" w:type="dxa"/>
            <w:vAlign w:val="bottom"/>
            <w:tcBorders>
              <w:top w:val="single" w:sz="8" w:color="86B6A5"/>
            </w:tcBorders>
          </w:tcPr>
          <w:p>
            <w:pPr>
              <w:spacing w:after="0"/>
              <w:rPr>
                <w:sz w:val="17"/>
                <w:szCs w:val="17"/>
                <w:color w:val="auto"/>
              </w:rPr>
            </w:pPr>
          </w:p>
        </w:tc>
        <w:tc>
          <w:tcPr>
            <w:tcW w:w="1120" w:type="dxa"/>
            <w:vAlign w:val="bottom"/>
            <w:tcBorders>
              <w:top w:val="single" w:sz="8" w:color="86B6A5"/>
            </w:tcBorders>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4740" w:type="dxa"/>
            <w:vAlign w:val="bottom"/>
            <w:gridSpan w:val="2"/>
          </w:tcPr>
          <w:p>
            <w:pPr>
              <w:spacing w:after="0" w:line="202" w:lineRule="exact"/>
              <w:rPr>
                <w:sz w:val="20"/>
                <w:szCs w:val="20"/>
                <w:color w:val="auto"/>
              </w:rPr>
            </w:pPr>
            <w:r>
              <w:rPr>
                <w:rFonts w:ascii="Arial" w:cs="Arial" w:eastAsia="Arial" w:hAnsi="Arial"/>
                <w:sz w:val="18"/>
                <w:szCs w:val="18"/>
                <w:color w:val="auto"/>
              </w:rPr>
              <w:t>Granted</w:t>
            </w:r>
          </w:p>
        </w:tc>
        <w:tc>
          <w:tcPr>
            <w:tcW w:w="2020" w:type="dxa"/>
            <w:vAlign w:val="bottom"/>
          </w:tcPr>
          <w:p>
            <w:pPr>
              <w:jc w:val="right"/>
              <w:ind w:right="50"/>
              <w:spacing w:after="0" w:line="202" w:lineRule="exact"/>
              <w:rPr>
                <w:sz w:val="20"/>
                <w:szCs w:val="20"/>
                <w:color w:val="auto"/>
              </w:rPr>
            </w:pPr>
            <w:r>
              <w:rPr>
                <w:rFonts w:ascii="Arial" w:cs="Arial" w:eastAsia="Arial" w:hAnsi="Arial"/>
                <w:sz w:val="18"/>
                <w:szCs w:val="18"/>
                <w:color w:val="auto"/>
              </w:rPr>
              <w:t>980</w:t>
            </w:r>
          </w:p>
        </w:tc>
        <w:tc>
          <w:tcPr>
            <w:tcW w:w="200" w:type="dxa"/>
            <w:vAlign w:val="bottom"/>
          </w:tcPr>
          <w:p>
            <w:pPr>
              <w:spacing w:after="0"/>
              <w:rPr>
                <w:sz w:val="17"/>
                <w:szCs w:val="17"/>
                <w:color w:val="auto"/>
              </w:rPr>
            </w:pPr>
          </w:p>
        </w:tc>
        <w:tc>
          <w:tcPr>
            <w:tcW w:w="13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56</w:t>
            </w:r>
          </w:p>
        </w:tc>
        <w:tc>
          <w:tcPr>
            <w:tcW w:w="1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4740" w:type="dxa"/>
            <w:vAlign w:val="bottom"/>
            <w:gridSpan w:val="2"/>
          </w:tcPr>
          <w:p>
            <w:pPr>
              <w:spacing w:after="0" w:line="202" w:lineRule="exact"/>
              <w:rPr>
                <w:sz w:val="20"/>
                <w:szCs w:val="20"/>
                <w:color w:val="auto"/>
              </w:rPr>
            </w:pPr>
            <w:r>
              <w:rPr>
                <w:rFonts w:ascii="Arial" w:cs="Arial" w:eastAsia="Arial" w:hAnsi="Arial"/>
                <w:sz w:val="18"/>
                <w:szCs w:val="18"/>
                <w:color w:val="auto"/>
              </w:rPr>
              <w:t>Exercised</w:t>
            </w:r>
          </w:p>
        </w:tc>
        <w:tc>
          <w:tcPr>
            <w:tcW w:w="2020" w:type="dxa"/>
            <w:vAlign w:val="bottom"/>
          </w:tcPr>
          <w:p>
            <w:pPr>
              <w:jc w:val="right"/>
              <w:spacing w:after="0" w:line="202" w:lineRule="exact"/>
              <w:rPr>
                <w:sz w:val="20"/>
                <w:szCs w:val="20"/>
                <w:color w:val="auto"/>
              </w:rPr>
            </w:pPr>
            <w:r>
              <w:rPr>
                <w:rFonts w:ascii="Arial" w:cs="Arial" w:eastAsia="Arial" w:hAnsi="Arial"/>
                <w:sz w:val="18"/>
                <w:szCs w:val="18"/>
                <w:color w:val="auto"/>
              </w:rPr>
              <w:t>(161)</w:t>
            </w:r>
          </w:p>
        </w:tc>
        <w:tc>
          <w:tcPr>
            <w:tcW w:w="200" w:type="dxa"/>
            <w:vAlign w:val="bottom"/>
          </w:tcPr>
          <w:p>
            <w:pPr>
              <w:spacing w:after="0"/>
              <w:rPr>
                <w:sz w:val="17"/>
                <w:szCs w:val="17"/>
                <w:color w:val="auto"/>
              </w:rPr>
            </w:pPr>
          </w:p>
        </w:tc>
        <w:tc>
          <w:tcPr>
            <w:tcW w:w="13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36</w:t>
            </w:r>
          </w:p>
        </w:tc>
        <w:tc>
          <w:tcPr>
            <w:tcW w:w="1560" w:type="dxa"/>
            <w:vAlign w:val="bottom"/>
          </w:tcPr>
          <w:p>
            <w:pPr>
              <w:spacing w:after="0"/>
              <w:rPr>
                <w:sz w:val="17"/>
                <w:szCs w:val="17"/>
                <w:color w:val="auto"/>
              </w:rPr>
            </w:pPr>
          </w:p>
        </w:tc>
        <w:tc>
          <w:tcPr>
            <w:tcW w:w="2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3</w:t>
            </w:r>
          </w:p>
        </w:tc>
      </w:tr>
      <w:tr>
        <w:trPr>
          <w:trHeight w:val="203"/>
        </w:trPr>
        <w:tc>
          <w:tcPr>
            <w:tcW w:w="4740" w:type="dxa"/>
            <w:vAlign w:val="bottom"/>
            <w:tcBorders>
              <w:bottom w:val="single" w:sz="8" w:color="939598"/>
            </w:tcBorders>
            <w:gridSpan w:val="2"/>
          </w:tcPr>
          <w:p>
            <w:pPr>
              <w:spacing w:after="0" w:line="203" w:lineRule="exact"/>
              <w:rPr>
                <w:sz w:val="20"/>
                <w:szCs w:val="20"/>
                <w:color w:val="auto"/>
              </w:rPr>
            </w:pPr>
            <w:r>
              <w:rPr>
                <w:rFonts w:ascii="Arial" w:cs="Arial" w:eastAsia="Arial" w:hAnsi="Arial"/>
                <w:sz w:val="18"/>
                <w:szCs w:val="18"/>
                <w:color w:val="auto"/>
              </w:rPr>
              <w:t>Expired or cancelled</w:t>
            </w:r>
          </w:p>
        </w:tc>
        <w:tc>
          <w:tcPr>
            <w:tcW w:w="2020" w:type="dxa"/>
            <w:vAlign w:val="bottom"/>
            <w:tcBorders>
              <w:bottom w:val="single" w:sz="8" w:color="939598"/>
            </w:tcBorders>
          </w:tcPr>
          <w:p>
            <w:pPr>
              <w:jc w:val="right"/>
              <w:spacing w:after="0" w:line="203" w:lineRule="exact"/>
              <w:rPr>
                <w:sz w:val="20"/>
                <w:szCs w:val="20"/>
                <w:color w:val="auto"/>
              </w:rPr>
            </w:pPr>
            <w:r>
              <w:rPr>
                <w:rFonts w:ascii="Arial" w:cs="Arial" w:eastAsia="Arial" w:hAnsi="Arial"/>
                <w:sz w:val="18"/>
                <w:szCs w:val="18"/>
                <w:color w:val="auto"/>
              </w:rPr>
              <w:t>(171)</w:t>
            </w:r>
          </w:p>
        </w:tc>
        <w:tc>
          <w:tcPr>
            <w:tcW w:w="200" w:type="dxa"/>
            <w:vAlign w:val="bottom"/>
            <w:tcBorders>
              <w:bottom w:val="single" w:sz="8" w:color="939598"/>
            </w:tcBorders>
          </w:tcPr>
          <w:p>
            <w:pPr>
              <w:spacing w:after="0"/>
              <w:rPr>
                <w:sz w:val="17"/>
                <w:szCs w:val="17"/>
                <w:color w:val="auto"/>
              </w:rPr>
            </w:pPr>
          </w:p>
        </w:tc>
        <w:tc>
          <w:tcPr>
            <w:tcW w:w="1340" w:type="dxa"/>
            <w:vAlign w:val="bottom"/>
            <w:tcBorders>
              <w:bottom w:val="single" w:sz="8" w:color="939598"/>
            </w:tcBorders>
            <w:gridSpan w:val="2"/>
          </w:tcPr>
          <w:p>
            <w:pPr>
              <w:jc w:val="right"/>
              <w:ind w:right="220"/>
              <w:spacing w:after="0" w:line="203" w:lineRule="exact"/>
              <w:rPr>
                <w:sz w:val="20"/>
                <w:szCs w:val="20"/>
                <w:color w:val="auto"/>
              </w:rPr>
            </w:pPr>
            <w:r>
              <w:rPr>
                <w:rFonts w:ascii="Arial" w:cs="Arial" w:eastAsia="Arial" w:hAnsi="Arial"/>
                <w:sz w:val="18"/>
                <w:szCs w:val="18"/>
                <w:color w:val="auto"/>
              </w:rPr>
              <w:t>57</w:t>
            </w:r>
          </w:p>
        </w:tc>
        <w:tc>
          <w:tcPr>
            <w:tcW w:w="1560" w:type="dxa"/>
            <w:vAlign w:val="bottom"/>
            <w:tcBorders>
              <w:bottom w:val="single" w:sz="8" w:color="939598"/>
            </w:tcBorders>
          </w:tcPr>
          <w:p>
            <w:pPr>
              <w:spacing w:after="0"/>
              <w:rPr>
                <w:sz w:val="17"/>
                <w:szCs w:val="17"/>
                <w:color w:val="auto"/>
              </w:rPr>
            </w:pPr>
          </w:p>
        </w:tc>
        <w:tc>
          <w:tcPr>
            <w:tcW w:w="220" w:type="dxa"/>
            <w:vAlign w:val="bottom"/>
            <w:tcBorders>
              <w:bottom w:val="single" w:sz="8" w:color="939598"/>
            </w:tcBorders>
          </w:tcPr>
          <w:p>
            <w:pPr>
              <w:spacing w:after="0"/>
              <w:rPr>
                <w:sz w:val="17"/>
                <w:szCs w:val="17"/>
                <w:color w:val="auto"/>
              </w:rPr>
            </w:pPr>
          </w:p>
        </w:tc>
        <w:tc>
          <w:tcPr>
            <w:tcW w:w="1120" w:type="dxa"/>
            <w:vAlign w:val="bottom"/>
            <w:tcBorders>
              <w:bottom w:val="single" w:sz="8" w:color="939598"/>
            </w:tcBorders>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4740" w:type="dxa"/>
            <w:vAlign w:val="bottom"/>
            <w:tcBorders>
              <w:bottom w:val="single" w:sz="8" w:color="939598"/>
            </w:tcBorders>
            <w:gridSpan w:val="2"/>
          </w:tcPr>
          <w:p>
            <w:pPr>
              <w:spacing w:after="0" w:line="196" w:lineRule="exact"/>
              <w:rPr>
                <w:sz w:val="20"/>
                <w:szCs w:val="20"/>
                <w:color w:val="auto"/>
              </w:rPr>
            </w:pPr>
            <w:r>
              <w:rPr>
                <w:rFonts w:ascii="Arial" w:cs="Arial" w:eastAsia="Arial" w:hAnsi="Arial"/>
                <w:sz w:val="18"/>
                <w:szCs w:val="18"/>
                <w:color w:val="auto"/>
              </w:rPr>
              <w:t>Outstanding, December 31, 2008</w:t>
            </w:r>
          </w:p>
        </w:tc>
        <w:tc>
          <w:tcPr>
            <w:tcW w:w="2020" w:type="dxa"/>
            <w:vAlign w:val="bottom"/>
            <w:tcBorders>
              <w:bottom w:val="single" w:sz="8" w:color="939598"/>
            </w:tcBorders>
          </w:tcPr>
          <w:p>
            <w:pPr>
              <w:jc w:val="right"/>
              <w:ind w:right="50"/>
              <w:spacing w:after="0" w:line="196" w:lineRule="exact"/>
              <w:rPr>
                <w:sz w:val="20"/>
                <w:szCs w:val="20"/>
                <w:color w:val="auto"/>
              </w:rPr>
            </w:pPr>
            <w:r>
              <w:rPr>
                <w:rFonts w:ascii="Arial" w:cs="Arial" w:eastAsia="Arial" w:hAnsi="Arial"/>
                <w:sz w:val="18"/>
                <w:szCs w:val="18"/>
                <w:color w:val="auto"/>
              </w:rPr>
              <w:t>5,027</w:t>
            </w:r>
          </w:p>
        </w:tc>
        <w:tc>
          <w:tcPr>
            <w:tcW w:w="200" w:type="dxa"/>
            <w:vAlign w:val="bottom"/>
            <w:tcBorders>
              <w:bottom w:val="single" w:sz="8" w:color="939598"/>
            </w:tcBorders>
          </w:tcPr>
          <w:p>
            <w:pPr>
              <w:jc w:val="right"/>
              <w:spacing w:after="0" w:line="196" w:lineRule="exact"/>
              <w:rPr>
                <w:sz w:val="20"/>
                <w:szCs w:val="20"/>
                <w:color w:val="auto"/>
              </w:rPr>
            </w:pPr>
            <w:r>
              <w:rPr>
                <w:rFonts w:ascii="Arial" w:cs="Arial" w:eastAsia="Arial" w:hAnsi="Arial"/>
                <w:sz w:val="18"/>
                <w:szCs w:val="18"/>
                <w:color w:val="auto"/>
              </w:rPr>
              <w:t>$</w:t>
            </w:r>
          </w:p>
        </w:tc>
        <w:tc>
          <w:tcPr>
            <w:tcW w:w="1340" w:type="dxa"/>
            <w:vAlign w:val="bottom"/>
            <w:tcBorders>
              <w:bottom w:val="single" w:sz="8" w:color="939598"/>
            </w:tcBorders>
            <w:gridSpan w:val="2"/>
          </w:tcPr>
          <w:p>
            <w:pPr>
              <w:jc w:val="right"/>
              <w:ind w:right="220"/>
              <w:spacing w:after="0" w:line="196" w:lineRule="exact"/>
              <w:rPr>
                <w:sz w:val="20"/>
                <w:szCs w:val="20"/>
                <w:color w:val="auto"/>
              </w:rPr>
            </w:pPr>
            <w:r>
              <w:rPr>
                <w:rFonts w:ascii="Arial" w:cs="Arial" w:eastAsia="Arial" w:hAnsi="Arial"/>
                <w:sz w:val="18"/>
                <w:szCs w:val="18"/>
                <w:color w:val="auto"/>
              </w:rPr>
              <w:t>50</w:t>
            </w:r>
          </w:p>
        </w:tc>
        <w:tc>
          <w:tcPr>
            <w:tcW w:w="1560" w:type="dxa"/>
            <w:vAlign w:val="bottom"/>
            <w:tcBorders>
              <w:bottom w:val="single" w:sz="8" w:color="939598"/>
            </w:tcBorders>
          </w:tcPr>
          <w:p>
            <w:pPr>
              <w:jc w:val="right"/>
              <w:ind w:right="33"/>
              <w:spacing w:after="0" w:line="196" w:lineRule="exact"/>
              <w:rPr>
                <w:sz w:val="20"/>
                <w:szCs w:val="20"/>
                <w:color w:val="auto"/>
              </w:rPr>
            </w:pPr>
            <w:r>
              <w:rPr>
                <w:rFonts w:ascii="Arial" w:cs="Arial" w:eastAsia="Arial" w:hAnsi="Arial"/>
                <w:sz w:val="18"/>
                <w:szCs w:val="18"/>
                <w:color w:val="auto"/>
              </w:rPr>
              <w:t>6.2</w:t>
            </w:r>
          </w:p>
        </w:tc>
        <w:tc>
          <w:tcPr>
            <w:tcW w:w="220" w:type="dxa"/>
            <w:vAlign w:val="bottom"/>
            <w:tcBorders>
              <w:bottom w:val="single" w:sz="8" w:color="939598"/>
            </w:tcBorders>
          </w:tcPr>
          <w:p>
            <w:pPr>
              <w:spacing w:after="0"/>
              <w:rPr>
                <w:sz w:val="17"/>
                <w:szCs w:val="17"/>
                <w:color w:val="auto"/>
              </w:rPr>
            </w:pPr>
          </w:p>
        </w:tc>
        <w:tc>
          <w:tcPr>
            <w:tcW w:w="1120" w:type="dxa"/>
            <w:vAlign w:val="bottom"/>
            <w:tcBorders>
              <w:bottom w:val="single" w:sz="8" w:color="939598"/>
            </w:tcBorders>
          </w:tcPr>
          <w:p>
            <w:pPr>
              <w:spacing w:after="0"/>
              <w:rPr>
                <w:sz w:val="17"/>
                <w:szCs w:val="17"/>
                <w:color w:val="auto"/>
              </w:rPr>
            </w:pPr>
          </w:p>
        </w:tc>
        <w:tc>
          <w:tcPr>
            <w:tcW w:w="20" w:type="dxa"/>
            <w:vAlign w:val="bottom"/>
          </w:tcPr>
          <w:p>
            <w:pPr>
              <w:spacing w:after="0"/>
              <w:rPr>
                <w:sz w:val="17"/>
                <w:szCs w:val="17"/>
                <w:color w:val="auto"/>
              </w:rPr>
            </w:pPr>
          </w:p>
        </w:tc>
      </w:tr>
      <w:tr>
        <w:trPr>
          <w:trHeight w:val="210"/>
        </w:trPr>
        <w:tc>
          <w:tcPr>
            <w:tcW w:w="4740" w:type="dxa"/>
            <w:vAlign w:val="bottom"/>
            <w:tcBorders>
              <w:bottom w:val="single" w:sz="8" w:color="939598"/>
            </w:tcBorders>
            <w:gridSpan w:val="2"/>
          </w:tcPr>
          <w:p>
            <w:pPr>
              <w:spacing w:after="0" w:line="202" w:lineRule="exact"/>
              <w:rPr>
                <w:sz w:val="20"/>
                <w:szCs w:val="20"/>
                <w:color w:val="auto"/>
              </w:rPr>
            </w:pPr>
            <w:r>
              <w:rPr>
                <w:rFonts w:ascii="Arial" w:cs="Arial" w:eastAsia="Arial" w:hAnsi="Arial"/>
                <w:sz w:val="18"/>
                <w:szCs w:val="18"/>
                <w:color w:val="auto"/>
              </w:rPr>
              <w:t>Vested or expected to vest, December 31, 2008</w:t>
            </w:r>
          </w:p>
        </w:tc>
        <w:tc>
          <w:tcPr>
            <w:tcW w:w="2020" w:type="dxa"/>
            <w:vAlign w:val="bottom"/>
            <w:tcBorders>
              <w:bottom w:val="single" w:sz="8" w:color="939598"/>
            </w:tcBorders>
          </w:tcPr>
          <w:p>
            <w:pPr>
              <w:jc w:val="right"/>
              <w:ind w:right="50"/>
              <w:spacing w:after="0" w:line="202" w:lineRule="exact"/>
              <w:rPr>
                <w:sz w:val="20"/>
                <w:szCs w:val="20"/>
                <w:color w:val="auto"/>
              </w:rPr>
            </w:pPr>
            <w:r>
              <w:rPr>
                <w:rFonts w:ascii="Arial" w:cs="Arial" w:eastAsia="Arial" w:hAnsi="Arial"/>
                <w:sz w:val="18"/>
                <w:szCs w:val="18"/>
                <w:color w:val="auto"/>
              </w:rPr>
              <w:t>4,940</w:t>
            </w:r>
          </w:p>
        </w:tc>
        <w:tc>
          <w:tcPr>
            <w:tcW w:w="200" w:type="dxa"/>
            <w:vAlign w:val="bottom"/>
            <w:tcBorders>
              <w:bottom w:val="single" w:sz="8" w:color="939598"/>
            </w:tcBorders>
          </w:tcPr>
          <w:p>
            <w:pPr>
              <w:jc w:val="right"/>
              <w:spacing w:after="0" w:line="202" w:lineRule="exact"/>
              <w:rPr>
                <w:sz w:val="20"/>
                <w:szCs w:val="20"/>
                <w:color w:val="auto"/>
              </w:rPr>
            </w:pPr>
            <w:r>
              <w:rPr>
                <w:rFonts w:ascii="Arial" w:cs="Arial" w:eastAsia="Arial" w:hAnsi="Arial"/>
                <w:sz w:val="18"/>
                <w:szCs w:val="18"/>
                <w:color w:val="auto"/>
              </w:rPr>
              <w:t>$</w:t>
            </w:r>
          </w:p>
        </w:tc>
        <w:tc>
          <w:tcPr>
            <w:tcW w:w="1340" w:type="dxa"/>
            <w:vAlign w:val="bottom"/>
            <w:tcBorders>
              <w:bottom w:val="single" w:sz="8" w:color="939598"/>
            </w:tcBorders>
            <w:gridSpan w:val="2"/>
          </w:tcPr>
          <w:p>
            <w:pPr>
              <w:jc w:val="right"/>
              <w:ind w:right="220"/>
              <w:spacing w:after="0" w:line="202" w:lineRule="exact"/>
              <w:rPr>
                <w:sz w:val="20"/>
                <w:szCs w:val="20"/>
                <w:color w:val="auto"/>
              </w:rPr>
            </w:pPr>
            <w:r>
              <w:rPr>
                <w:rFonts w:ascii="Arial" w:cs="Arial" w:eastAsia="Arial" w:hAnsi="Arial"/>
                <w:sz w:val="18"/>
                <w:szCs w:val="18"/>
                <w:color w:val="auto"/>
              </w:rPr>
              <w:t>49</w:t>
            </w:r>
          </w:p>
        </w:tc>
        <w:tc>
          <w:tcPr>
            <w:tcW w:w="1560" w:type="dxa"/>
            <w:vAlign w:val="bottom"/>
            <w:tcBorders>
              <w:bottom w:val="single" w:sz="8" w:color="939598"/>
            </w:tcBorders>
          </w:tcPr>
          <w:p>
            <w:pPr>
              <w:jc w:val="right"/>
              <w:ind w:right="33"/>
              <w:spacing w:after="0" w:line="202" w:lineRule="exact"/>
              <w:rPr>
                <w:sz w:val="20"/>
                <w:szCs w:val="20"/>
                <w:color w:val="auto"/>
              </w:rPr>
            </w:pPr>
            <w:r>
              <w:rPr>
                <w:rFonts w:ascii="Arial" w:cs="Arial" w:eastAsia="Arial" w:hAnsi="Arial"/>
                <w:sz w:val="18"/>
                <w:szCs w:val="18"/>
                <w:color w:val="auto"/>
              </w:rPr>
              <w:t>6.0</w:t>
            </w:r>
          </w:p>
        </w:tc>
        <w:tc>
          <w:tcPr>
            <w:tcW w:w="220" w:type="dxa"/>
            <w:vAlign w:val="bottom"/>
            <w:tcBorders>
              <w:bottom w:val="single" w:sz="8" w:color="939598"/>
            </w:tcBorders>
          </w:tcPr>
          <w:p>
            <w:pPr>
              <w:spacing w:after="0"/>
              <w:rPr>
                <w:sz w:val="18"/>
                <w:szCs w:val="18"/>
                <w:color w:val="auto"/>
              </w:rPr>
            </w:pPr>
          </w:p>
        </w:tc>
        <w:tc>
          <w:tcPr>
            <w:tcW w:w="1120" w:type="dxa"/>
            <w:vAlign w:val="bottom"/>
            <w:tcBorders>
              <w:bottom w:val="single" w:sz="8" w:color="939598"/>
            </w:tcBorders>
          </w:tcPr>
          <w:p>
            <w:pPr>
              <w:spacing w:after="0"/>
              <w:rPr>
                <w:sz w:val="18"/>
                <w:szCs w:val="18"/>
                <w:color w:val="auto"/>
              </w:rPr>
            </w:pPr>
          </w:p>
        </w:tc>
        <w:tc>
          <w:tcPr>
            <w:tcW w:w="20" w:type="dxa"/>
            <w:vAlign w:val="bottom"/>
          </w:tcPr>
          <w:p>
            <w:pPr>
              <w:spacing w:after="0"/>
              <w:rPr>
                <w:sz w:val="18"/>
                <w:szCs w:val="18"/>
                <w:color w:val="auto"/>
              </w:rPr>
            </w:pPr>
          </w:p>
        </w:tc>
      </w:tr>
      <w:tr>
        <w:trPr>
          <w:trHeight w:val="210"/>
        </w:trPr>
        <w:tc>
          <w:tcPr>
            <w:tcW w:w="4740" w:type="dxa"/>
            <w:vAlign w:val="bottom"/>
            <w:tcBorders>
              <w:bottom w:val="single" w:sz="8" w:color="939598"/>
            </w:tcBorders>
            <w:gridSpan w:val="2"/>
          </w:tcPr>
          <w:p>
            <w:pPr>
              <w:spacing w:after="0" w:line="202" w:lineRule="exact"/>
              <w:rPr>
                <w:sz w:val="20"/>
                <w:szCs w:val="20"/>
                <w:color w:val="auto"/>
              </w:rPr>
            </w:pPr>
            <w:r>
              <w:rPr>
                <w:rFonts w:ascii="Arial" w:cs="Arial" w:eastAsia="Arial" w:hAnsi="Arial"/>
                <w:sz w:val="18"/>
                <w:szCs w:val="18"/>
                <w:color w:val="auto"/>
              </w:rPr>
              <w:t>Exercisable, December 31, 2008</w:t>
            </w:r>
          </w:p>
        </w:tc>
        <w:tc>
          <w:tcPr>
            <w:tcW w:w="2020" w:type="dxa"/>
            <w:vAlign w:val="bottom"/>
            <w:tcBorders>
              <w:bottom w:val="single" w:sz="8" w:color="939598"/>
            </w:tcBorders>
          </w:tcPr>
          <w:p>
            <w:pPr>
              <w:jc w:val="right"/>
              <w:ind w:right="50"/>
              <w:spacing w:after="0" w:line="202" w:lineRule="exact"/>
              <w:rPr>
                <w:sz w:val="20"/>
                <w:szCs w:val="20"/>
                <w:color w:val="auto"/>
              </w:rPr>
            </w:pPr>
            <w:r>
              <w:rPr>
                <w:rFonts w:ascii="Arial" w:cs="Arial" w:eastAsia="Arial" w:hAnsi="Arial"/>
                <w:sz w:val="18"/>
                <w:szCs w:val="18"/>
                <w:color w:val="auto"/>
              </w:rPr>
              <w:t>2,868</w:t>
            </w:r>
          </w:p>
        </w:tc>
        <w:tc>
          <w:tcPr>
            <w:tcW w:w="200" w:type="dxa"/>
            <w:vAlign w:val="bottom"/>
            <w:tcBorders>
              <w:bottom w:val="single" w:sz="8" w:color="939598"/>
            </w:tcBorders>
          </w:tcPr>
          <w:p>
            <w:pPr>
              <w:jc w:val="right"/>
              <w:spacing w:after="0" w:line="202" w:lineRule="exact"/>
              <w:rPr>
                <w:sz w:val="20"/>
                <w:szCs w:val="20"/>
                <w:color w:val="auto"/>
              </w:rPr>
            </w:pPr>
            <w:r>
              <w:rPr>
                <w:rFonts w:ascii="Arial" w:cs="Arial" w:eastAsia="Arial" w:hAnsi="Arial"/>
                <w:sz w:val="18"/>
                <w:szCs w:val="18"/>
                <w:color w:val="auto"/>
              </w:rPr>
              <w:t>$</w:t>
            </w:r>
          </w:p>
        </w:tc>
        <w:tc>
          <w:tcPr>
            <w:tcW w:w="1340" w:type="dxa"/>
            <w:vAlign w:val="bottom"/>
            <w:tcBorders>
              <w:bottom w:val="single" w:sz="8" w:color="939598"/>
            </w:tcBorders>
            <w:gridSpan w:val="2"/>
          </w:tcPr>
          <w:p>
            <w:pPr>
              <w:jc w:val="right"/>
              <w:ind w:right="220"/>
              <w:spacing w:after="0" w:line="202" w:lineRule="exact"/>
              <w:rPr>
                <w:sz w:val="20"/>
                <w:szCs w:val="20"/>
                <w:color w:val="auto"/>
              </w:rPr>
            </w:pPr>
            <w:r>
              <w:rPr>
                <w:rFonts w:ascii="Arial" w:cs="Arial" w:eastAsia="Arial" w:hAnsi="Arial"/>
                <w:sz w:val="18"/>
                <w:szCs w:val="18"/>
                <w:color w:val="auto"/>
              </w:rPr>
              <w:t>42</w:t>
            </w:r>
          </w:p>
        </w:tc>
        <w:tc>
          <w:tcPr>
            <w:tcW w:w="1560" w:type="dxa"/>
            <w:vAlign w:val="bottom"/>
            <w:tcBorders>
              <w:bottom w:val="single" w:sz="8" w:color="939598"/>
            </w:tcBorders>
          </w:tcPr>
          <w:p>
            <w:pPr>
              <w:jc w:val="right"/>
              <w:ind w:right="33"/>
              <w:spacing w:after="0" w:line="202" w:lineRule="exact"/>
              <w:rPr>
                <w:sz w:val="20"/>
                <w:szCs w:val="20"/>
                <w:color w:val="auto"/>
              </w:rPr>
            </w:pPr>
            <w:r>
              <w:rPr>
                <w:rFonts w:ascii="Arial" w:cs="Arial" w:eastAsia="Arial" w:hAnsi="Arial"/>
                <w:sz w:val="18"/>
                <w:szCs w:val="18"/>
                <w:color w:val="auto"/>
              </w:rPr>
              <w:t>4.8</w:t>
            </w:r>
          </w:p>
        </w:tc>
        <w:tc>
          <w:tcPr>
            <w:tcW w:w="220" w:type="dxa"/>
            <w:vAlign w:val="bottom"/>
            <w:tcBorders>
              <w:bottom w:val="single" w:sz="8" w:color="939598"/>
            </w:tcBorders>
          </w:tcPr>
          <w:p>
            <w:pPr>
              <w:spacing w:after="0"/>
              <w:rPr>
                <w:sz w:val="18"/>
                <w:szCs w:val="18"/>
                <w:color w:val="auto"/>
              </w:rPr>
            </w:pPr>
          </w:p>
        </w:tc>
        <w:tc>
          <w:tcPr>
            <w:tcW w:w="1120" w:type="dxa"/>
            <w:vAlign w:val="bottom"/>
            <w:tcBorders>
              <w:bottom w:val="single" w:sz="8" w:color="939598"/>
            </w:tcBorders>
          </w:tcPr>
          <w:p>
            <w:pPr>
              <w:spacing w:after="0"/>
              <w:rPr>
                <w:sz w:val="18"/>
                <w:szCs w:val="18"/>
                <w:color w:val="auto"/>
              </w:rPr>
            </w:pPr>
          </w:p>
        </w:tc>
        <w:tc>
          <w:tcPr>
            <w:tcW w:w="20" w:type="dxa"/>
            <w:vAlign w:val="bottom"/>
          </w:tcPr>
          <w:p>
            <w:pPr>
              <w:spacing w:after="0"/>
              <w:rPr>
                <w:sz w:val="18"/>
                <w:szCs w:val="18"/>
                <w:color w:val="auto"/>
              </w:rPr>
            </w:pPr>
          </w:p>
        </w:tc>
      </w:tr>
      <w:tr>
        <w:trPr>
          <w:trHeight w:val="202"/>
        </w:trPr>
        <w:tc>
          <w:tcPr>
            <w:tcW w:w="4740" w:type="dxa"/>
            <w:vAlign w:val="bottom"/>
            <w:gridSpan w:val="2"/>
          </w:tcPr>
          <w:p>
            <w:pPr>
              <w:spacing w:after="0" w:line="201" w:lineRule="exact"/>
              <w:rPr>
                <w:sz w:val="20"/>
                <w:szCs w:val="20"/>
                <w:color w:val="auto"/>
              </w:rPr>
            </w:pPr>
            <w:r>
              <w:rPr>
                <w:rFonts w:ascii="Arial" w:cs="Arial" w:eastAsia="Arial" w:hAnsi="Arial"/>
                <w:sz w:val="18"/>
                <w:szCs w:val="18"/>
                <w:color w:val="auto"/>
              </w:rPr>
              <w:t>Outstanding, January 1, 2009</w:t>
            </w:r>
          </w:p>
        </w:tc>
        <w:tc>
          <w:tcPr>
            <w:tcW w:w="2020" w:type="dxa"/>
            <w:vAlign w:val="bottom"/>
          </w:tcPr>
          <w:p>
            <w:pPr>
              <w:jc w:val="right"/>
              <w:ind w:right="50"/>
              <w:spacing w:after="0" w:line="201" w:lineRule="exact"/>
              <w:rPr>
                <w:sz w:val="20"/>
                <w:szCs w:val="20"/>
                <w:color w:val="auto"/>
              </w:rPr>
            </w:pPr>
            <w:r>
              <w:rPr>
                <w:rFonts w:ascii="Arial" w:cs="Arial" w:eastAsia="Arial" w:hAnsi="Arial"/>
                <w:sz w:val="18"/>
                <w:szCs w:val="18"/>
                <w:color w:val="auto"/>
              </w:rPr>
              <w:t>5,027</w:t>
            </w:r>
          </w:p>
        </w:tc>
        <w:tc>
          <w:tcPr>
            <w:tcW w:w="20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20"/>
              <w:spacing w:after="0" w:line="201" w:lineRule="exact"/>
              <w:rPr>
                <w:sz w:val="20"/>
                <w:szCs w:val="20"/>
                <w:color w:val="auto"/>
              </w:rPr>
            </w:pPr>
            <w:r>
              <w:rPr>
                <w:rFonts w:ascii="Arial" w:cs="Arial" w:eastAsia="Arial" w:hAnsi="Arial"/>
                <w:sz w:val="18"/>
                <w:szCs w:val="18"/>
                <w:color w:val="auto"/>
              </w:rPr>
              <w:t>50</w:t>
            </w:r>
          </w:p>
        </w:tc>
        <w:tc>
          <w:tcPr>
            <w:tcW w:w="1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4740" w:type="dxa"/>
            <w:vAlign w:val="bottom"/>
            <w:gridSpan w:val="2"/>
          </w:tcPr>
          <w:p>
            <w:pPr>
              <w:spacing w:after="0" w:line="202" w:lineRule="exact"/>
              <w:rPr>
                <w:sz w:val="20"/>
                <w:szCs w:val="20"/>
                <w:color w:val="auto"/>
              </w:rPr>
            </w:pPr>
            <w:r>
              <w:rPr>
                <w:rFonts w:ascii="Arial" w:cs="Arial" w:eastAsia="Arial" w:hAnsi="Arial"/>
                <w:sz w:val="18"/>
                <w:szCs w:val="18"/>
                <w:color w:val="auto"/>
              </w:rPr>
              <w:t>Granted</w:t>
            </w:r>
          </w:p>
        </w:tc>
        <w:tc>
          <w:tcPr>
            <w:tcW w:w="2020" w:type="dxa"/>
            <w:vAlign w:val="bottom"/>
          </w:tcPr>
          <w:p>
            <w:pPr>
              <w:jc w:val="right"/>
              <w:ind w:right="50"/>
              <w:spacing w:after="0" w:line="202" w:lineRule="exact"/>
              <w:rPr>
                <w:sz w:val="20"/>
                <w:szCs w:val="20"/>
                <w:color w:val="auto"/>
              </w:rPr>
            </w:pPr>
            <w:r>
              <w:rPr>
                <w:rFonts w:ascii="Arial" w:cs="Arial" w:eastAsia="Arial" w:hAnsi="Arial"/>
                <w:sz w:val="18"/>
                <w:szCs w:val="18"/>
                <w:color w:val="auto"/>
              </w:rPr>
              <w:t>1,349</w:t>
            </w:r>
          </w:p>
        </w:tc>
        <w:tc>
          <w:tcPr>
            <w:tcW w:w="200" w:type="dxa"/>
            <w:vAlign w:val="bottom"/>
          </w:tcPr>
          <w:p>
            <w:pPr>
              <w:spacing w:after="0"/>
              <w:rPr>
                <w:sz w:val="17"/>
                <w:szCs w:val="17"/>
                <w:color w:val="auto"/>
              </w:rPr>
            </w:pPr>
          </w:p>
        </w:tc>
        <w:tc>
          <w:tcPr>
            <w:tcW w:w="13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31</w:t>
            </w:r>
          </w:p>
        </w:tc>
        <w:tc>
          <w:tcPr>
            <w:tcW w:w="1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4740" w:type="dxa"/>
            <w:vAlign w:val="bottom"/>
            <w:gridSpan w:val="2"/>
          </w:tcPr>
          <w:p>
            <w:pPr>
              <w:spacing w:after="0" w:line="202" w:lineRule="exact"/>
              <w:rPr>
                <w:sz w:val="20"/>
                <w:szCs w:val="20"/>
                <w:color w:val="auto"/>
              </w:rPr>
            </w:pPr>
            <w:r>
              <w:rPr>
                <w:rFonts w:ascii="Arial" w:cs="Arial" w:eastAsia="Arial" w:hAnsi="Arial"/>
                <w:sz w:val="18"/>
                <w:szCs w:val="18"/>
                <w:color w:val="auto"/>
              </w:rPr>
              <w:t>Exercised</w:t>
            </w:r>
          </w:p>
        </w:tc>
        <w:tc>
          <w:tcPr>
            <w:tcW w:w="2020" w:type="dxa"/>
            <w:vAlign w:val="bottom"/>
          </w:tcPr>
          <w:p>
            <w:pPr>
              <w:jc w:val="right"/>
              <w:spacing w:after="0" w:line="202" w:lineRule="exact"/>
              <w:rPr>
                <w:sz w:val="20"/>
                <w:szCs w:val="20"/>
                <w:color w:val="auto"/>
              </w:rPr>
            </w:pPr>
            <w:r>
              <w:rPr>
                <w:rFonts w:ascii="Arial" w:cs="Arial" w:eastAsia="Arial" w:hAnsi="Arial"/>
                <w:sz w:val="18"/>
                <w:szCs w:val="18"/>
                <w:color w:val="auto"/>
              </w:rPr>
              <w:t>(339)</w:t>
            </w:r>
          </w:p>
        </w:tc>
        <w:tc>
          <w:tcPr>
            <w:tcW w:w="200" w:type="dxa"/>
            <w:vAlign w:val="bottom"/>
          </w:tcPr>
          <w:p>
            <w:pPr>
              <w:spacing w:after="0"/>
              <w:rPr>
                <w:sz w:val="17"/>
                <w:szCs w:val="17"/>
                <w:color w:val="auto"/>
              </w:rPr>
            </w:pPr>
          </w:p>
        </w:tc>
        <w:tc>
          <w:tcPr>
            <w:tcW w:w="13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33</w:t>
            </w:r>
          </w:p>
        </w:tc>
        <w:tc>
          <w:tcPr>
            <w:tcW w:w="1560" w:type="dxa"/>
            <w:vAlign w:val="bottom"/>
          </w:tcPr>
          <w:p>
            <w:pPr>
              <w:spacing w:after="0"/>
              <w:rPr>
                <w:sz w:val="17"/>
                <w:szCs w:val="17"/>
                <w:color w:val="auto"/>
              </w:rPr>
            </w:pPr>
          </w:p>
        </w:tc>
        <w:tc>
          <w:tcPr>
            <w:tcW w:w="2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5</w:t>
            </w:r>
          </w:p>
        </w:tc>
      </w:tr>
      <w:tr>
        <w:trPr>
          <w:trHeight w:val="203"/>
        </w:trPr>
        <w:tc>
          <w:tcPr>
            <w:tcW w:w="4740" w:type="dxa"/>
            <w:vAlign w:val="bottom"/>
            <w:tcBorders>
              <w:bottom w:val="single" w:sz="8" w:color="939598"/>
            </w:tcBorders>
            <w:gridSpan w:val="2"/>
          </w:tcPr>
          <w:p>
            <w:pPr>
              <w:spacing w:after="0" w:line="203" w:lineRule="exact"/>
              <w:rPr>
                <w:sz w:val="20"/>
                <w:szCs w:val="20"/>
                <w:color w:val="auto"/>
              </w:rPr>
            </w:pPr>
            <w:r>
              <w:rPr>
                <w:rFonts w:ascii="Arial" w:cs="Arial" w:eastAsia="Arial" w:hAnsi="Arial"/>
                <w:sz w:val="18"/>
                <w:szCs w:val="18"/>
                <w:color w:val="auto"/>
              </w:rPr>
              <w:t>Expired or cancelled</w:t>
            </w:r>
          </w:p>
        </w:tc>
        <w:tc>
          <w:tcPr>
            <w:tcW w:w="2020" w:type="dxa"/>
            <w:vAlign w:val="bottom"/>
            <w:tcBorders>
              <w:bottom w:val="single" w:sz="8" w:color="939598"/>
            </w:tcBorders>
          </w:tcPr>
          <w:p>
            <w:pPr>
              <w:jc w:val="right"/>
              <w:spacing w:after="0" w:line="203" w:lineRule="exact"/>
              <w:rPr>
                <w:sz w:val="20"/>
                <w:szCs w:val="20"/>
                <w:color w:val="auto"/>
              </w:rPr>
            </w:pPr>
            <w:r>
              <w:rPr>
                <w:rFonts w:ascii="Arial" w:cs="Arial" w:eastAsia="Arial" w:hAnsi="Arial"/>
                <w:sz w:val="18"/>
                <w:szCs w:val="18"/>
                <w:color w:val="auto"/>
              </w:rPr>
              <w:t>(179)</w:t>
            </w:r>
          </w:p>
        </w:tc>
        <w:tc>
          <w:tcPr>
            <w:tcW w:w="200" w:type="dxa"/>
            <w:vAlign w:val="bottom"/>
            <w:tcBorders>
              <w:bottom w:val="single" w:sz="8" w:color="939598"/>
            </w:tcBorders>
          </w:tcPr>
          <w:p>
            <w:pPr>
              <w:spacing w:after="0"/>
              <w:rPr>
                <w:sz w:val="17"/>
                <w:szCs w:val="17"/>
                <w:color w:val="auto"/>
              </w:rPr>
            </w:pPr>
          </w:p>
        </w:tc>
        <w:tc>
          <w:tcPr>
            <w:tcW w:w="1340" w:type="dxa"/>
            <w:vAlign w:val="bottom"/>
            <w:tcBorders>
              <w:bottom w:val="single" w:sz="8" w:color="939598"/>
            </w:tcBorders>
            <w:gridSpan w:val="2"/>
          </w:tcPr>
          <w:p>
            <w:pPr>
              <w:jc w:val="right"/>
              <w:ind w:right="220"/>
              <w:spacing w:after="0" w:line="203" w:lineRule="exact"/>
              <w:rPr>
                <w:sz w:val="20"/>
                <w:szCs w:val="20"/>
                <w:color w:val="auto"/>
              </w:rPr>
            </w:pPr>
            <w:r>
              <w:rPr>
                <w:rFonts w:ascii="Arial" w:cs="Arial" w:eastAsia="Arial" w:hAnsi="Arial"/>
                <w:sz w:val="18"/>
                <w:szCs w:val="18"/>
                <w:color w:val="auto"/>
              </w:rPr>
              <w:t>53</w:t>
            </w:r>
          </w:p>
        </w:tc>
        <w:tc>
          <w:tcPr>
            <w:tcW w:w="1560" w:type="dxa"/>
            <w:vAlign w:val="bottom"/>
            <w:tcBorders>
              <w:bottom w:val="single" w:sz="8" w:color="939598"/>
            </w:tcBorders>
          </w:tcPr>
          <w:p>
            <w:pPr>
              <w:spacing w:after="0"/>
              <w:rPr>
                <w:sz w:val="17"/>
                <w:szCs w:val="17"/>
                <w:color w:val="auto"/>
              </w:rPr>
            </w:pPr>
          </w:p>
        </w:tc>
        <w:tc>
          <w:tcPr>
            <w:tcW w:w="220" w:type="dxa"/>
            <w:vAlign w:val="bottom"/>
            <w:tcBorders>
              <w:bottom w:val="single" w:sz="8" w:color="939598"/>
            </w:tcBorders>
          </w:tcPr>
          <w:p>
            <w:pPr>
              <w:spacing w:after="0"/>
              <w:rPr>
                <w:sz w:val="17"/>
                <w:szCs w:val="17"/>
                <w:color w:val="auto"/>
              </w:rPr>
            </w:pPr>
          </w:p>
        </w:tc>
        <w:tc>
          <w:tcPr>
            <w:tcW w:w="1120" w:type="dxa"/>
            <w:vAlign w:val="bottom"/>
            <w:tcBorders>
              <w:bottom w:val="single" w:sz="8" w:color="939598"/>
            </w:tcBorders>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4740" w:type="dxa"/>
            <w:vAlign w:val="bottom"/>
            <w:tcBorders>
              <w:bottom w:val="single" w:sz="8" w:color="939598"/>
            </w:tcBorders>
            <w:gridSpan w:val="2"/>
          </w:tcPr>
          <w:p>
            <w:pPr>
              <w:spacing w:after="0" w:line="196" w:lineRule="exact"/>
              <w:rPr>
                <w:sz w:val="20"/>
                <w:szCs w:val="20"/>
                <w:color w:val="auto"/>
              </w:rPr>
            </w:pPr>
            <w:r>
              <w:rPr>
                <w:rFonts w:ascii="Arial" w:cs="Arial" w:eastAsia="Arial" w:hAnsi="Arial"/>
                <w:sz w:val="18"/>
                <w:szCs w:val="18"/>
                <w:color w:val="auto"/>
              </w:rPr>
              <w:t>Outstanding, December 31, 2009</w:t>
            </w:r>
          </w:p>
        </w:tc>
        <w:tc>
          <w:tcPr>
            <w:tcW w:w="2020" w:type="dxa"/>
            <w:vAlign w:val="bottom"/>
            <w:tcBorders>
              <w:bottom w:val="single" w:sz="8" w:color="939598"/>
            </w:tcBorders>
          </w:tcPr>
          <w:p>
            <w:pPr>
              <w:jc w:val="right"/>
              <w:ind w:right="50"/>
              <w:spacing w:after="0" w:line="196" w:lineRule="exact"/>
              <w:rPr>
                <w:sz w:val="20"/>
                <w:szCs w:val="20"/>
                <w:color w:val="auto"/>
              </w:rPr>
            </w:pPr>
            <w:r>
              <w:rPr>
                <w:rFonts w:ascii="Arial" w:cs="Arial" w:eastAsia="Arial" w:hAnsi="Arial"/>
                <w:sz w:val="18"/>
                <w:szCs w:val="18"/>
                <w:color w:val="auto"/>
              </w:rPr>
              <w:t>5,858</w:t>
            </w:r>
          </w:p>
        </w:tc>
        <w:tc>
          <w:tcPr>
            <w:tcW w:w="200" w:type="dxa"/>
            <w:vAlign w:val="bottom"/>
            <w:tcBorders>
              <w:bottom w:val="single" w:sz="8" w:color="939598"/>
            </w:tcBorders>
          </w:tcPr>
          <w:p>
            <w:pPr>
              <w:jc w:val="right"/>
              <w:spacing w:after="0" w:line="196" w:lineRule="exact"/>
              <w:rPr>
                <w:sz w:val="20"/>
                <w:szCs w:val="20"/>
                <w:color w:val="auto"/>
              </w:rPr>
            </w:pPr>
            <w:r>
              <w:rPr>
                <w:rFonts w:ascii="Arial" w:cs="Arial" w:eastAsia="Arial" w:hAnsi="Arial"/>
                <w:sz w:val="18"/>
                <w:szCs w:val="18"/>
                <w:color w:val="auto"/>
              </w:rPr>
              <w:t>$</w:t>
            </w:r>
          </w:p>
        </w:tc>
        <w:tc>
          <w:tcPr>
            <w:tcW w:w="1340" w:type="dxa"/>
            <w:vAlign w:val="bottom"/>
            <w:tcBorders>
              <w:bottom w:val="single" w:sz="8" w:color="939598"/>
            </w:tcBorders>
            <w:gridSpan w:val="2"/>
          </w:tcPr>
          <w:p>
            <w:pPr>
              <w:jc w:val="right"/>
              <w:ind w:right="220"/>
              <w:spacing w:after="0" w:line="196" w:lineRule="exact"/>
              <w:rPr>
                <w:sz w:val="20"/>
                <w:szCs w:val="20"/>
                <w:color w:val="auto"/>
              </w:rPr>
            </w:pPr>
            <w:r>
              <w:rPr>
                <w:rFonts w:ascii="Arial" w:cs="Arial" w:eastAsia="Arial" w:hAnsi="Arial"/>
                <w:sz w:val="18"/>
                <w:szCs w:val="18"/>
                <w:color w:val="auto"/>
              </w:rPr>
              <w:t>46</w:t>
            </w:r>
          </w:p>
        </w:tc>
        <w:tc>
          <w:tcPr>
            <w:tcW w:w="1560" w:type="dxa"/>
            <w:vAlign w:val="bottom"/>
            <w:tcBorders>
              <w:bottom w:val="single" w:sz="8" w:color="939598"/>
            </w:tcBorders>
          </w:tcPr>
          <w:p>
            <w:pPr>
              <w:jc w:val="right"/>
              <w:ind w:right="33"/>
              <w:spacing w:after="0" w:line="196" w:lineRule="exact"/>
              <w:rPr>
                <w:sz w:val="20"/>
                <w:szCs w:val="20"/>
                <w:color w:val="auto"/>
              </w:rPr>
            </w:pPr>
            <w:r>
              <w:rPr>
                <w:rFonts w:ascii="Arial" w:cs="Arial" w:eastAsia="Arial" w:hAnsi="Arial"/>
                <w:sz w:val="18"/>
                <w:szCs w:val="18"/>
                <w:color w:val="auto"/>
              </w:rPr>
              <w:t>6.1</w:t>
            </w:r>
          </w:p>
        </w:tc>
        <w:tc>
          <w:tcPr>
            <w:tcW w:w="220" w:type="dxa"/>
            <w:vAlign w:val="bottom"/>
            <w:tcBorders>
              <w:bottom w:val="single" w:sz="8" w:color="939598"/>
            </w:tcBorders>
          </w:tcPr>
          <w:p>
            <w:pPr>
              <w:spacing w:after="0"/>
              <w:rPr>
                <w:sz w:val="17"/>
                <w:szCs w:val="17"/>
                <w:color w:val="auto"/>
              </w:rPr>
            </w:pPr>
          </w:p>
        </w:tc>
        <w:tc>
          <w:tcPr>
            <w:tcW w:w="1120" w:type="dxa"/>
            <w:vAlign w:val="bottom"/>
            <w:tcBorders>
              <w:bottom w:val="single" w:sz="8" w:color="939598"/>
            </w:tcBorders>
          </w:tcPr>
          <w:p>
            <w:pPr>
              <w:spacing w:after="0"/>
              <w:rPr>
                <w:sz w:val="17"/>
                <w:szCs w:val="17"/>
                <w:color w:val="auto"/>
              </w:rPr>
            </w:pPr>
          </w:p>
        </w:tc>
        <w:tc>
          <w:tcPr>
            <w:tcW w:w="20" w:type="dxa"/>
            <w:vAlign w:val="bottom"/>
          </w:tcPr>
          <w:p>
            <w:pPr>
              <w:spacing w:after="0"/>
              <w:rPr>
                <w:sz w:val="17"/>
                <w:szCs w:val="17"/>
                <w:color w:val="auto"/>
              </w:rPr>
            </w:pPr>
          </w:p>
        </w:tc>
      </w:tr>
      <w:tr>
        <w:trPr>
          <w:trHeight w:val="210"/>
        </w:trPr>
        <w:tc>
          <w:tcPr>
            <w:tcW w:w="4740" w:type="dxa"/>
            <w:vAlign w:val="bottom"/>
            <w:tcBorders>
              <w:bottom w:val="single" w:sz="8" w:color="939598"/>
            </w:tcBorders>
            <w:gridSpan w:val="2"/>
          </w:tcPr>
          <w:p>
            <w:pPr>
              <w:spacing w:after="0" w:line="202" w:lineRule="exact"/>
              <w:rPr>
                <w:sz w:val="20"/>
                <w:szCs w:val="20"/>
                <w:color w:val="auto"/>
              </w:rPr>
            </w:pPr>
            <w:r>
              <w:rPr>
                <w:rFonts w:ascii="Arial" w:cs="Arial" w:eastAsia="Arial" w:hAnsi="Arial"/>
                <w:sz w:val="18"/>
                <w:szCs w:val="18"/>
                <w:color w:val="auto"/>
              </w:rPr>
              <w:t>Vested or expected to vest, December 31, 2009</w:t>
            </w:r>
          </w:p>
        </w:tc>
        <w:tc>
          <w:tcPr>
            <w:tcW w:w="2020" w:type="dxa"/>
            <w:vAlign w:val="bottom"/>
            <w:tcBorders>
              <w:bottom w:val="single" w:sz="8" w:color="939598"/>
            </w:tcBorders>
          </w:tcPr>
          <w:p>
            <w:pPr>
              <w:jc w:val="right"/>
              <w:ind w:right="50"/>
              <w:spacing w:after="0" w:line="202" w:lineRule="exact"/>
              <w:rPr>
                <w:sz w:val="20"/>
                <w:szCs w:val="20"/>
                <w:color w:val="auto"/>
              </w:rPr>
            </w:pPr>
            <w:r>
              <w:rPr>
                <w:rFonts w:ascii="Arial" w:cs="Arial" w:eastAsia="Arial" w:hAnsi="Arial"/>
                <w:sz w:val="18"/>
                <w:szCs w:val="18"/>
                <w:color w:val="auto"/>
              </w:rPr>
              <w:t>5,767</w:t>
            </w:r>
          </w:p>
        </w:tc>
        <w:tc>
          <w:tcPr>
            <w:tcW w:w="200" w:type="dxa"/>
            <w:vAlign w:val="bottom"/>
            <w:tcBorders>
              <w:bottom w:val="single" w:sz="8" w:color="939598"/>
            </w:tcBorders>
          </w:tcPr>
          <w:p>
            <w:pPr>
              <w:jc w:val="right"/>
              <w:spacing w:after="0" w:line="202" w:lineRule="exact"/>
              <w:rPr>
                <w:sz w:val="20"/>
                <w:szCs w:val="20"/>
                <w:color w:val="auto"/>
              </w:rPr>
            </w:pPr>
            <w:r>
              <w:rPr>
                <w:rFonts w:ascii="Arial" w:cs="Arial" w:eastAsia="Arial" w:hAnsi="Arial"/>
                <w:sz w:val="18"/>
                <w:szCs w:val="18"/>
                <w:color w:val="auto"/>
              </w:rPr>
              <w:t>$</w:t>
            </w:r>
          </w:p>
        </w:tc>
        <w:tc>
          <w:tcPr>
            <w:tcW w:w="1340" w:type="dxa"/>
            <w:vAlign w:val="bottom"/>
            <w:tcBorders>
              <w:bottom w:val="single" w:sz="8" w:color="939598"/>
            </w:tcBorders>
            <w:gridSpan w:val="2"/>
          </w:tcPr>
          <w:p>
            <w:pPr>
              <w:jc w:val="right"/>
              <w:ind w:right="220"/>
              <w:spacing w:after="0" w:line="202" w:lineRule="exact"/>
              <w:rPr>
                <w:sz w:val="20"/>
                <w:szCs w:val="20"/>
                <w:color w:val="auto"/>
              </w:rPr>
            </w:pPr>
            <w:r>
              <w:rPr>
                <w:rFonts w:ascii="Arial" w:cs="Arial" w:eastAsia="Arial" w:hAnsi="Arial"/>
                <w:sz w:val="18"/>
                <w:szCs w:val="18"/>
                <w:color w:val="auto"/>
              </w:rPr>
              <w:t>46</w:t>
            </w:r>
          </w:p>
        </w:tc>
        <w:tc>
          <w:tcPr>
            <w:tcW w:w="1560" w:type="dxa"/>
            <w:vAlign w:val="bottom"/>
            <w:tcBorders>
              <w:bottom w:val="single" w:sz="8" w:color="939598"/>
            </w:tcBorders>
          </w:tcPr>
          <w:p>
            <w:pPr>
              <w:jc w:val="right"/>
              <w:ind w:right="33"/>
              <w:spacing w:after="0" w:line="202" w:lineRule="exact"/>
              <w:rPr>
                <w:sz w:val="20"/>
                <w:szCs w:val="20"/>
                <w:color w:val="auto"/>
              </w:rPr>
            </w:pPr>
            <w:r>
              <w:rPr>
                <w:rFonts w:ascii="Arial" w:cs="Arial" w:eastAsia="Arial" w:hAnsi="Arial"/>
                <w:sz w:val="18"/>
                <w:szCs w:val="18"/>
                <w:color w:val="auto"/>
              </w:rPr>
              <w:t>6.1</w:t>
            </w:r>
          </w:p>
        </w:tc>
        <w:tc>
          <w:tcPr>
            <w:tcW w:w="220" w:type="dxa"/>
            <w:vAlign w:val="bottom"/>
            <w:tcBorders>
              <w:bottom w:val="single" w:sz="8" w:color="939598"/>
            </w:tcBorders>
          </w:tcPr>
          <w:p>
            <w:pPr>
              <w:spacing w:after="0"/>
              <w:rPr>
                <w:sz w:val="18"/>
                <w:szCs w:val="18"/>
                <w:color w:val="auto"/>
              </w:rPr>
            </w:pPr>
          </w:p>
        </w:tc>
        <w:tc>
          <w:tcPr>
            <w:tcW w:w="1120" w:type="dxa"/>
            <w:vAlign w:val="bottom"/>
            <w:tcBorders>
              <w:bottom w:val="single" w:sz="8" w:color="939598"/>
            </w:tcBorders>
          </w:tcPr>
          <w:p>
            <w:pPr>
              <w:spacing w:after="0"/>
              <w:rPr>
                <w:sz w:val="18"/>
                <w:szCs w:val="18"/>
                <w:color w:val="auto"/>
              </w:rPr>
            </w:pPr>
          </w:p>
        </w:tc>
        <w:tc>
          <w:tcPr>
            <w:tcW w:w="20" w:type="dxa"/>
            <w:vAlign w:val="bottom"/>
          </w:tcPr>
          <w:p>
            <w:pPr>
              <w:spacing w:after="0"/>
              <w:rPr>
                <w:sz w:val="18"/>
                <w:szCs w:val="18"/>
                <w:color w:val="auto"/>
              </w:rPr>
            </w:pPr>
          </w:p>
        </w:tc>
      </w:tr>
      <w:tr>
        <w:trPr>
          <w:trHeight w:val="210"/>
        </w:trPr>
        <w:tc>
          <w:tcPr>
            <w:tcW w:w="4740" w:type="dxa"/>
            <w:vAlign w:val="bottom"/>
            <w:tcBorders>
              <w:bottom w:val="single" w:sz="8" w:color="939598"/>
            </w:tcBorders>
            <w:gridSpan w:val="2"/>
          </w:tcPr>
          <w:p>
            <w:pPr>
              <w:spacing w:after="0" w:line="202" w:lineRule="exact"/>
              <w:rPr>
                <w:sz w:val="20"/>
                <w:szCs w:val="20"/>
                <w:color w:val="auto"/>
              </w:rPr>
            </w:pPr>
            <w:r>
              <w:rPr>
                <w:rFonts w:ascii="Arial" w:cs="Arial" w:eastAsia="Arial" w:hAnsi="Arial"/>
                <w:sz w:val="18"/>
                <w:szCs w:val="18"/>
                <w:color w:val="auto"/>
              </w:rPr>
              <w:t>Exercisable, December 31, 2009</w:t>
            </w:r>
          </w:p>
        </w:tc>
        <w:tc>
          <w:tcPr>
            <w:tcW w:w="2020" w:type="dxa"/>
            <w:vAlign w:val="bottom"/>
            <w:tcBorders>
              <w:bottom w:val="single" w:sz="8" w:color="939598"/>
            </w:tcBorders>
          </w:tcPr>
          <w:p>
            <w:pPr>
              <w:jc w:val="right"/>
              <w:ind w:right="50"/>
              <w:spacing w:after="0" w:line="202" w:lineRule="exact"/>
              <w:rPr>
                <w:sz w:val="20"/>
                <w:szCs w:val="20"/>
                <w:color w:val="auto"/>
              </w:rPr>
            </w:pPr>
            <w:r>
              <w:rPr>
                <w:rFonts w:ascii="Arial" w:cs="Arial" w:eastAsia="Arial" w:hAnsi="Arial"/>
                <w:sz w:val="18"/>
                <w:szCs w:val="18"/>
                <w:color w:val="auto"/>
              </w:rPr>
              <w:t>3,330</w:t>
            </w:r>
          </w:p>
        </w:tc>
        <w:tc>
          <w:tcPr>
            <w:tcW w:w="200" w:type="dxa"/>
            <w:vAlign w:val="bottom"/>
            <w:tcBorders>
              <w:bottom w:val="single" w:sz="8" w:color="939598"/>
            </w:tcBorders>
          </w:tcPr>
          <w:p>
            <w:pPr>
              <w:jc w:val="right"/>
              <w:spacing w:after="0" w:line="202" w:lineRule="exact"/>
              <w:rPr>
                <w:sz w:val="20"/>
                <w:szCs w:val="20"/>
                <w:color w:val="auto"/>
              </w:rPr>
            </w:pPr>
            <w:r>
              <w:rPr>
                <w:rFonts w:ascii="Arial" w:cs="Arial" w:eastAsia="Arial" w:hAnsi="Arial"/>
                <w:sz w:val="18"/>
                <w:szCs w:val="18"/>
                <w:color w:val="auto"/>
              </w:rPr>
              <w:t>$</w:t>
            </w:r>
          </w:p>
        </w:tc>
        <w:tc>
          <w:tcPr>
            <w:tcW w:w="1340" w:type="dxa"/>
            <w:vAlign w:val="bottom"/>
            <w:tcBorders>
              <w:bottom w:val="single" w:sz="8" w:color="939598"/>
            </w:tcBorders>
            <w:gridSpan w:val="2"/>
          </w:tcPr>
          <w:p>
            <w:pPr>
              <w:jc w:val="right"/>
              <w:ind w:right="220"/>
              <w:spacing w:after="0" w:line="202" w:lineRule="exact"/>
              <w:rPr>
                <w:sz w:val="20"/>
                <w:szCs w:val="20"/>
                <w:color w:val="auto"/>
              </w:rPr>
            </w:pPr>
            <w:r>
              <w:rPr>
                <w:rFonts w:ascii="Arial" w:cs="Arial" w:eastAsia="Arial" w:hAnsi="Arial"/>
                <w:sz w:val="18"/>
                <w:szCs w:val="18"/>
                <w:color w:val="auto"/>
              </w:rPr>
              <w:t>47</w:t>
            </w:r>
          </w:p>
        </w:tc>
        <w:tc>
          <w:tcPr>
            <w:tcW w:w="1560" w:type="dxa"/>
            <w:vAlign w:val="bottom"/>
            <w:tcBorders>
              <w:bottom w:val="single" w:sz="8" w:color="939598"/>
            </w:tcBorders>
          </w:tcPr>
          <w:p>
            <w:pPr>
              <w:jc w:val="right"/>
              <w:ind w:right="33"/>
              <w:spacing w:after="0" w:line="202" w:lineRule="exact"/>
              <w:rPr>
                <w:sz w:val="20"/>
                <w:szCs w:val="20"/>
                <w:color w:val="auto"/>
              </w:rPr>
            </w:pPr>
            <w:r>
              <w:rPr>
                <w:rFonts w:ascii="Arial" w:cs="Arial" w:eastAsia="Arial" w:hAnsi="Arial"/>
                <w:sz w:val="18"/>
                <w:szCs w:val="18"/>
                <w:color w:val="auto"/>
              </w:rPr>
              <w:t>4.4</w:t>
            </w:r>
          </w:p>
        </w:tc>
        <w:tc>
          <w:tcPr>
            <w:tcW w:w="220" w:type="dxa"/>
            <w:vAlign w:val="bottom"/>
            <w:tcBorders>
              <w:bottom w:val="single" w:sz="8" w:color="939598"/>
            </w:tcBorders>
          </w:tcPr>
          <w:p>
            <w:pPr>
              <w:spacing w:after="0"/>
              <w:rPr>
                <w:sz w:val="18"/>
                <w:szCs w:val="18"/>
                <w:color w:val="auto"/>
              </w:rPr>
            </w:pPr>
          </w:p>
        </w:tc>
        <w:tc>
          <w:tcPr>
            <w:tcW w:w="1120" w:type="dxa"/>
            <w:vAlign w:val="bottom"/>
            <w:tcBorders>
              <w:bottom w:val="single" w:sz="8" w:color="939598"/>
            </w:tcBorders>
          </w:tcPr>
          <w:p>
            <w:pPr>
              <w:spacing w:after="0"/>
              <w:rPr>
                <w:sz w:val="18"/>
                <w:szCs w:val="18"/>
                <w:color w:val="auto"/>
              </w:rPr>
            </w:pPr>
          </w:p>
        </w:tc>
        <w:tc>
          <w:tcPr>
            <w:tcW w:w="20" w:type="dxa"/>
            <w:vAlign w:val="bottom"/>
          </w:tcPr>
          <w:p>
            <w:pPr>
              <w:spacing w:after="0"/>
              <w:rPr>
                <w:sz w:val="18"/>
                <w:szCs w:val="18"/>
                <w:color w:val="auto"/>
              </w:rPr>
            </w:pPr>
          </w:p>
        </w:tc>
      </w:tr>
      <w:tr>
        <w:trPr>
          <w:trHeight w:val="202"/>
        </w:trPr>
        <w:tc>
          <w:tcPr>
            <w:tcW w:w="4740" w:type="dxa"/>
            <w:vAlign w:val="bottom"/>
            <w:gridSpan w:val="2"/>
          </w:tcPr>
          <w:p>
            <w:pPr>
              <w:spacing w:after="0" w:line="201" w:lineRule="exact"/>
              <w:rPr>
                <w:sz w:val="20"/>
                <w:szCs w:val="20"/>
                <w:color w:val="auto"/>
              </w:rPr>
            </w:pPr>
            <w:r>
              <w:rPr>
                <w:rFonts w:ascii="Arial" w:cs="Arial" w:eastAsia="Arial" w:hAnsi="Arial"/>
                <w:sz w:val="18"/>
                <w:szCs w:val="18"/>
                <w:color w:val="auto"/>
              </w:rPr>
              <w:t>Outstanding, January 1, 2010</w:t>
            </w:r>
          </w:p>
        </w:tc>
        <w:tc>
          <w:tcPr>
            <w:tcW w:w="2020" w:type="dxa"/>
            <w:vAlign w:val="bottom"/>
          </w:tcPr>
          <w:p>
            <w:pPr>
              <w:jc w:val="right"/>
              <w:ind w:right="50"/>
              <w:spacing w:after="0" w:line="201" w:lineRule="exact"/>
              <w:rPr>
                <w:sz w:val="20"/>
                <w:szCs w:val="20"/>
                <w:color w:val="auto"/>
              </w:rPr>
            </w:pPr>
            <w:r>
              <w:rPr>
                <w:rFonts w:ascii="Arial" w:cs="Arial" w:eastAsia="Arial" w:hAnsi="Arial"/>
                <w:sz w:val="18"/>
                <w:szCs w:val="18"/>
                <w:color w:val="auto"/>
              </w:rPr>
              <w:t>5,858</w:t>
            </w:r>
          </w:p>
        </w:tc>
        <w:tc>
          <w:tcPr>
            <w:tcW w:w="20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20"/>
              <w:spacing w:after="0" w:line="201" w:lineRule="exact"/>
              <w:rPr>
                <w:sz w:val="20"/>
                <w:szCs w:val="20"/>
                <w:color w:val="auto"/>
              </w:rPr>
            </w:pPr>
            <w:r>
              <w:rPr>
                <w:rFonts w:ascii="Arial" w:cs="Arial" w:eastAsia="Arial" w:hAnsi="Arial"/>
                <w:sz w:val="18"/>
                <w:szCs w:val="18"/>
                <w:color w:val="auto"/>
              </w:rPr>
              <w:t>46</w:t>
            </w:r>
          </w:p>
        </w:tc>
        <w:tc>
          <w:tcPr>
            <w:tcW w:w="1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4740" w:type="dxa"/>
            <w:vAlign w:val="bottom"/>
            <w:gridSpan w:val="2"/>
          </w:tcPr>
          <w:p>
            <w:pPr>
              <w:spacing w:after="0" w:line="202" w:lineRule="exact"/>
              <w:rPr>
                <w:sz w:val="20"/>
                <w:szCs w:val="20"/>
                <w:color w:val="auto"/>
              </w:rPr>
            </w:pPr>
            <w:r>
              <w:rPr>
                <w:rFonts w:ascii="Arial" w:cs="Arial" w:eastAsia="Arial" w:hAnsi="Arial"/>
                <w:sz w:val="18"/>
                <w:szCs w:val="18"/>
                <w:color w:val="auto"/>
              </w:rPr>
              <w:t>Granted</w:t>
            </w:r>
          </w:p>
        </w:tc>
        <w:tc>
          <w:tcPr>
            <w:tcW w:w="2020" w:type="dxa"/>
            <w:vAlign w:val="bottom"/>
          </w:tcPr>
          <w:p>
            <w:pPr>
              <w:jc w:val="right"/>
              <w:ind w:right="50"/>
              <w:spacing w:after="0" w:line="202" w:lineRule="exact"/>
              <w:rPr>
                <w:sz w:val="20"/>
                <w:szCs w:val="20"/>
                <w:color w:val="auto"/>
              </w:rPr>
            </w:pPr>
            <w:r>
              <w:rPr>
                <w:rFonts w:ascii="Arial" w:cs="Arial" w:eastAsia="Arial" w:hAnsi="Arial"/>
                <w:sz w:val="18"/>
                <w:szCs w:val="18"/>
                <w:color w:val="auto"/>
              </w:rPr>
              <w:t>897</w:t>
            </w:r>
          </w:p>
        </w:tc>
        <w:tc>
          <w:tcPr>
            <w:tcW w:w="200" w:type="dxa"/>
            <w:vAlign w:val="bottom"/>
          </w:tcPr>
          <w:p>
            <w:pPr>
              <w:spacing w:after="0"/>
              <w:rPr>
                <w:sz w:val="17"/>
                <w:szCs w:val="17"/>
                <w:color w:val="auto"/>
              </w:rPr>
            </w:pPr>
          </w:p>
        </w:tc>
        <w:tc>
          <w:tcPr>
            <w:tcW w:w="13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53</w:t>
            </w:r>
          </w:p>
        </w:tc>
        <w:tc>
          <w:tcPr>
            <w:tcW w:w="1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4740" w:type="dxa"/>
            <w:vAlign w:val="bottom"/>
            <w:gridSpan w:val="2"/>
          </w:tcPr>
          <w:p>
            <w:pPr>
              <w:spacing w:after="0" w:line="202" w:lineRule="exact"/>
              <w:rPr>
                <w:sz w:val="20"/>
                <w:szCs w:val="20"/>
                <w:color w:val="auto"/>
              </w:rPr>
            </w:pPr>
            <w:r>
              <w:rPr>
                <w:rFonts w:ascii="Arial" w:cs="Arial" w:eastAsia="Arial" w:hAnsi="Arial"/>
                <w:sz w:val="18"/>
                <w:szCs w:val="18"/>
                <w:color w:val="auto"/>
              </w:rPr>
              <w:t>Exercised</w:t>
            </w:r>
          </w:p>
        </w:tc>
        <w:tc>
          <w:tcPr>
            <w:tcW w:w="2020" w:type="dxa"/>
            <w:vAlign w:val="bottom"/>
          </w:tcPr>
          <w:p>
            <w:pPr>
              <w:jc w:val="right"/>
              <w:spacing w:after="0" w:line="202" w:lineRule="exact"/>
              <w:rPr>
                <w:sz w:val="20"/>
                <w:szCs w:val="20"/>
                <w:color w:val="auto"/>
              </w:rPr>
            </w:pPr>
            <w:r>
              <w:rPr>
                <w:rFonts w:ascii="Arial" w:cs="Arial" w:eastAsia="Arial" w:hAnsi="Arial"/>
                <w:sz w:val="18"/>
                <w:szCs w:val="18"/>
                <w:color w:val="auto"/>
              </w:rPr>
              <w:t>(682)</w:t>
            </w:r>
          </w:p>
        </w:tc>
        <w:tc>
          <w:tcPr>
            <w:tcW w:w="200" w:type="dxa"/>
            <w:vAlign w:val="bottom"/>
          </w:tcPr>
          <w:p>
            <w:pPr>
              <w:spacing w:after="0"/>
              <w:rPr>
                <w:sz w:val="17"/>
                <w:szCs w:val="17"/>
                <w:color w:val="auto"/>
              </w:rPr>
            </w:pPr>
          </w:p>
        </w:tc>
        <w:tc>
          <w:tcPr>
            <w:tcW w:w="13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37</w:t>
            </w:r>
          </w:p>
        </w:tc>
        <w:tc>
          <w:tcPr>
            <w:tcW w:w="1560" w:type="dxa"/>
            <w:vAlign w:val="bottom"/>
          </w:tcPr>
          <w:p>
            <w:pPr>
              <w:spacing w:after="0"/>
              <w:rPr>
                <w:sz w:val="17"/>
                <w:szCs w:val="17"/>
                <w:color w:val="auto"/>
              </w:rPr>
            </w:pPr>
          </w:p>
        </w:tc>
        <w:tc>
          <w:tcPr>
            <w:tcW w:w="2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14</w:t>
            </w:r>
          </w:p>
        </w:tc>
      </w:tr>
      <w:tr>
        <w:trPr>
          <w:trHeight w:val="203"/>
        </w:trPr>
        <w:tc>
          <w:tcPr>
            <w:tcW w:w="4740" w:type="dxa"/>
            <w:vAlign w:val="bottom"/>
            <w:tcBorders>
              <w:bottom w:val="single" w:sz="8" w:color="939598"/>
            </w:tcBorders>
            <w:gridSpan w:val="2"/>
          </w:tcPr>
          <w:p>
            <w:pPr>
              <w:spacing w:after="0" w:line="203" w:lineRule="exact"/>
              <w:rPr>
                <w:sz w:val="20"/>
                <w:szCs w:val="20"/>
                <w:color w:val="auto"/>
              </w:rPr>
            </w:pPr>
            <w:r>
              <w:rPr>
                <w:rFonts w:ascii="Arial" w:cs="Arial" w:eastAsia="Arial" w:hAnsi="Arial"/>
                <w:sz w:val="18"/>
                <w:szCs w:val="18"/>
                <w:color w:val="auto"/>
              </w:rPr>
              <w:t>Expired or cancelled</w:t>
            </w:r>
          </w:p>
        </w:tc>
        <w:tc>
          <w:tcPr>
            <w:tcW w:w="2020" w:type="dxa"/>
            <w:vAlign w:val="bottom"/>
            <w:tcBorders>
              <w:bottom w:val="single" w:sz="8" w:color="939598"/>
            </w:tcBorders>
          </w:tcPr>
          <w:p>
            <w:pPr>
              <w:jc w:val="right"/>
              <w:spacing w:after="0" w:line="203" w:lineRule="exact"/>
              <w:rPr>
                <w:sz w:val="20"/>
                <w:szCs w:val="20"/>
                <w:color w:val="auto"/>
              </w:rPr>
            </w:pPr>
            <w:r>
              <w:rPr>
                <w:rFonts w:ascii="Arial" w:cs="Arial" w:eastAsia="Arial" w:hAnsi="Arial"/>
                <w:sz w:val="18"/>
                <w:szCs w:val="18"/>
                <w:color w:val="auto"/>
              </w:rPr>
              <w:t>(133)</w:t>
            </w:r>
          </w:p>
        </w:tc>
        <w:tc>
          <w:tcPr>
            <w:tcW w:w="200" w:type="dxa"/>
            <w:vAlign w:val="bottom"/>
            <w:tcBorders>
              <w:bottom w:val="single" w:sz="8" w:color="939598"/>
            </w:tcBorders>
          </w:tcPr>
          <w:p>
            <w:pPr>
              <w:spacing w:after="0"/>
              <w:rPr>
                <w:sz w:val="17"/>
                <w:szCs w:val="17"/>
                <w:color w:val="auto"/>
              </w:rPr>
            </w:pPr>
          </w:p>
        </w:tc>
        <w:tc>
          <w:tcPr>
            <w:tcW w:w="1340" w:type="dxa"/>
            <w:vAlign w:val="bottom"/>
            <w:tcBorders>
              <w:bottom w:val="single" w:sz="8" w:color="939598"/>
            </w:tcBorders>
            <w:gridSpan w:val="2"/>
          </w:tcPr>
          <w:p>
            <w:pPr>
              <w:jc w:val="right"/>
              <w:ind w:right="220"/>
              <w:spacing w:after="0" w:line="203" w:lineRule="exact"/>
              <w:rPr>
                <w:sz w:val="20"/>
                <w:szCs w:val="20"/>
                <w:color w:val="auto"/>
              </w:rPr>
            </w:pPr>
            <w:r>
              <w:rPr>
                <w:rFonts w:ascii="Arial" w:cs="Arial" w:eastAsia="Arial" w:hAnsi="Arial"/>
                <w:sz w:val="18"/>
                <w:szCs w:val="18"/>
                <w:color w:val="auto"/>
              </w:rPr>
              <w:t>50</w:t>
            </w:r>
          </w:p>
        </w:tc>
        <w:tc>
          <w:tcPr>
            <w:tcW w:w="1560" w:type="dxa"/>
            <w:vAlign w:val="bottom"/>
            <w:tcBorders>
              <w:bottom w:val="single" w:sz="8" w:color="939598"/>
            </w:tcBorders>
          </w:tcPr>
          <w:p>
            <w:pPr>
              <w:spacing w:after="0"/>
              <w:rPr>
                <w:sz w:val="17"/>
                <w:szCs w:val="17"/>
                <w:color w:val="auto"/>
              </w:rPr>
            </w:pPr>
          </w:p>
        </w:tc>
        <w:tc>
          <w:tcPr>
            <w:tcW w:w="220" w:type="dxa"/>
            <w:vAlign w:val="bottom"/>
            <w:tcBorders>
              <w:bottom w:val="single" w:sz="8" w:color="939598"/>
            </w:tcBorders>
          </w:tcPr>
          <w:p>
            <w:pPr>
              <w:spacing w:after="0"/>
              <w:rPr>
                <w:sz w:val="17"/>
                <w:szCs w:val="17"/>
                <w:color w:val="auto"/>
              </w:rPr>
            </w:pPr>
          </w:p>
        </w:tc>
        <w:tc>
          <w:tcPr>
            <w:tcW w:w="1120" w:type="dxa"/>
            <w:vAlign w:val="bottom"/>
            <w:tcBorders>
              <w:bottom w:val="single" w:sz="8" w:color="939598"/>
            </w:tcBorders>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4740" w:type="dxa"/>
            <w:vAlign w:val="bottom"/>
            <w:tcBorders>
              <w:bottom w:val="single" w:sz="8" w:color="939598"/>
            </w:tcBorders>
            <w:gridSpan w:val="2"/>
          </w:tcPr>
          <w:p>
            <w:pPr>
              <w:spacing w:after="0" w:line="196" w:lineRule="exact"/>
              <w:rPr>
                <w:sz w:val="20"/>
                <w:szCs w:val="20"/>
                <w:color w:val="auto"/>
              </w:rPr>
            </w:pPr>
            <w:r>
              <w:rPr>
                <w:rFonts w:ascii="Arial" w:cs="Arial" w:eastAsia="Arial" w:hAnsi="Arial"/>
                <w:sz w:val="18"/>
                <w:szCs w:val="18"/>
                <w:color w:val="auto"/>
              </w:rPr>
              <w:t>Outstanding, December 31, 2010</w:t>
            </w:r>
          </w:p>
        </w:tc>
        <w:tc>
          <w:tcPr>
            <w:tcW w:w="2020" w:type="dxa"/>
            <w:vAlign w:val="bottom"/>
            <w:tcBorders>
              <w:bottom w:val="single" w:sz="8" w:color="939598"/>
            </w:tcBorders>
          </w:tcPr>
          <w:p>
            <w:pPr>
              <w:jc w:val="right"/>
              <w:ind w:right="50"/>
              <w:spacing w:after="0" w:line="196" w:lineRule="exact"/>
              <w:rPr>
                <w:sz w:val="20"/>
                <w:szCs w:val="20"/>
                <w:color w:val="auto"/>
              </w:rPr>
            </w:pPr>
            <w:r>
              <w:rPr>
                <w:rFonts w:ascii="Arial" w:cs="Arial" w:eastAsia="Arial" w:hAnsi="Arial"/>
                <w:sz w:val="18"/>
                <w:szCs w:val="18"/>
                <w:color w:val="auto"/>
              </w:rPr>
              <w:t>5,940</w:t>
            </w:r>
          </w:p>
        </w:tc>
        <w:tc>
          <w:tcPr>
            <w:tcW w:w="200" w:type="dxa"/>
            <w:vAlign w:val="bottom"/>
            <w:tcBorders>
              <w:bottom w:val="single" w:sz="8" w:color="939598"/>
            </w:tcBorders>
          </w:tcPr>
          <w:p>
            <w:pPr>
              <w:jc w:val="right"/>
              <w:spacing w:after="0" w:line="196" w:lineRule="exact"/>
              <w:rPr>
                <w:sz w:val="20"/>
                <w:szCs w:val="20"/>
                <w:color w:val="auto"/>
              </w:rPr>
            </w:pPr>
            <w:r>
              <w:rPr>
                <w:rFonts w:ascii="Arial" w:cs="Arial" w:eastAsia="Arial" w:hAnsi="Arial"/>
                <w:sz w:val="18"/>
                <w:szCs w:val="18"/>
                <w:color w:val="auto"/>
              </w:rPr>
              <w:t>$</w:t>
            </w:r>
          </w:p>
        </w:tc>
        <w:tc>
          <w:tcPr>
            <w:tcW w:w="1340" w:type="dxa"/>
            <w:vAlign w:val="bottom"/>
            <w:tcBorders>
              <w:bottom w:val="single" w:sz="8" w:color="939598"/>
            </w:tcBorders>
            <w:gridSpan w:val="2"/>
          </w:tcPr>
          <w:p>
            <w:pPr>
              <w:jc w:val="right"/>
              <w:ind w:right="220"/>
              <w:spacing w:after="0" w:line="196" w:lineRule="exact"/>
              <w:rPr>
                <w:sz w:val="20"/>
                <w:szCs w:val="20"/>
                <w:color w:val="auto"/>
              </w:rPr>
            </w:pPr>
            <w:r>
              <w:rPr>
                <w:rFonts w:ascii="Arial" w:cs="Arial" w:eastAsia="Arial" w:hAnsi="Arial"/>
                <w:sz w:val="18"/>
                <w:szCs w:val="18"/>
                <w:color w:val="auto"/>
              </w:rPr>
              <w:t>48</w:t>
            </w:r>
          </w:p>
        </w:tc>
        <w:tc>
          <w:tcPr>
            <w:tcW w:w="1560" w:type="dxa"/>
            <w:vAlign w:val="bottom"/>
            <w:tcBorders>
              <w:bottom w:val="single" w:sz="8" w:color="939598"/>
            </w:tcBorders>
          </w:tcPr>
          <w:p>
            <w:pPr>
              <w:jc w:val="right"/>
              <w:ind w:right="33"/>
              <w:spacing w:after="0" w:line="196" w:lineRule="exact"/>
              <w:rPr>
                <w:sz w:val="20"/>
                <w:szCs w:val="20"/>
                <w:color w:val="auto"/>
              </w:rPr>
            </w:pPr>
            <w:r>
              <w:rPr>
                <w:rFonts w:ascii="Arial" w:cs="Arial" w:eastAsia="Arial" w:hAnsi="Arial"/>
                <w:sz w:val="18"/>
                <w:szCs w:val="18"/>
                <w:color w:val="auto"/>
              </w:rPr>
              <w:t>6.2</w:t>
            </w:r>
          </w:p>
        </w:tc>
        <w:tc>
          <w:tcPr>
            <w:tcW w:w="220" w:type="dxa"/>
            <w:vAlign w:val="bottom"/>
            <w:tcBorders>
              <w:bottom w:val="single" w:sz="8" w:color="939598"/>
            </w:tcBorders>
          </w:tcPr>
          <w:p>
            <w:pPr>
              <w:jc w:val="right"/>
              <w:spacing w:after="0" w:line="196" w:lineRule="exact"/>
              <w:rPr>
                <w:sz w:val="20"/>
                <w:szCs w:val="20"/>
                <w:color w:val="auto"/>
              </w:rPr>
            </w:pPr>
            <w:r>
              <w:rPr>
                <w:rFonts w:ascii="Arial" w:cs="Arial" w:eastAsia="Arial" w:hAnsi="Arial"/>
                <w:sz w:val="18"/>
                <w:szCs w:val="18"/>
                <w:color w:val="auto"/>
              </w:rPr>
              <w:t>$</w:t>
            </w:r>
          </w:p>
        </w:tc>
        <w:tc>
          <w:tcPr>
            <w:tcW w:w="1120" w:type="dxa"/>
            <w:vAlign w:val="bottom"/>
            <w:tcBorders>
              <w:bottom w:val="single" w:sz="8" w:color="939598"/>
            </w:tcBorders>
          </w:tcPr>
          <w:p>
            <w:pPr>
              <w:jc w:val="right"/>
              <w:spacing w:after="0" w:line="196" w:lineRule="exact"/>
              <w:rPr>
                <w:sz w:val="20"/>
                <w:szCs w:val="20"/>
                <w:color w:val="auto"/>
              </w:rPr>
            </w:pPr>
            <w:r>
              <w:rPr>
                <w:rFonts w:ascii="Arial" w:cs="Arial" w:eastAsia="Arial" w:hAnsi="Arial"/>
                <w:sz w:val="18"/>
                <w:szCs w:val="18"/>
                <w:color w:val="auto"/>
              </w:rPr>
              <w:t>98</w:t>
            </w:r>
          </w:p>
        </w:tc>
        <w:tc>
          <w:tcPr>
            <w:tcW w:w="20" w:type="dxa"/>
            <w:vAlign w:val="bottom"/>
          </w:tcPr>
          <w:p>
            <w:pPr>
              <w:spacing w:after="0"/>
              <w:rPr>
                <w:sz w:val="17"/>
                <w:szCs w:val="17"/>
                <w:color w:val="auto"/>
              </w:rPr>
            </w:pPr>
          </w:p>
        </w:tc>
      </w:tr>
      <w:tr>
        <w:trPr>
          <w:trHeight w:val="210"/>
        </w:trPr>
        <w:tc>
          <w:tcPr>
            <w:tcW w:w="4740" w:type="dxa"/>
            <w:vAlign w:val="bottom"/>
            <w:tcBorders>
              <w:bottom w:val="single" w:sz="8" w:color="939598"/>
            </w:tcBorders>
            <w:gridSpan w:val="2"/>
          </w:tcPr>
          <w:p>
            <w:pPr>
              <w:spacing w:after="0" w:line="202" w:lineRule="exact"/>
              <w:rPr>
                <w:sz w:val="20"/>
                <w:szCs w:val="20"/>
                <w:color w:val="auto"/>
              </w:rPr>
            </w:pPr>
            <w:r>
              <w:rPr>
                <w:rFonts w:ascii="Arial" w:cs="Arial" w:eastAsia="Arial" w:hAnsi="Arial"/>
                <w:sz w:val="18"/>
                <w:szCs w:val="18"/>
                <w:color w:val="auto"/>
              </w:rPr>
              <w:t>Vested or expected to vest, December 31, 2010</w:t>
            </w:r>
          </w:p>
        </w:tc>
        <w:tc>
          <w:tcPr>
            <w:tcW w:w="2020" w:type="dxa"/>
            <w:vAlign w:val="bottom"/>
            <w:tcBorders>
              <w:bottom w:val="single" w:sz="8" w:color="939598"/>
            </w:tcBorders>
          </w:tcPr>
          <w:p>
            <w:pPr>
              <w:jc w:val="right"/>
              <w:ind w:right="50"/>
              <w:spacing w:after="0" w:line="202" w:lineRule="exact"/>
              <w:rPr>
                <w:sz w:val="20"/>
                <w:szCs w:val="20"/>
                <w:color w:val="auto"/>
              </w:rPr>
            </w:pPr>
            <w:r>
              <w:rPr>
                <w:rFonts w:ascii="Arial" w:cs="Arial" w:eastAsia="Arial" w:hAnsi="Arial"/>
                <w:sz w:val="18"/>
                <w:szCs w:val="18"/>
                <w:color w:val="auto"/>
              </w:rPr>
              <w:t>5,877</w:t>
            </w:r>
          </w:p>
        </w:tc>
        <w:tc>
          <w:tcPr>
            <w:tcW w:w="200" w:type="dxa"/>
            <w:vAlign w:val="bottom"/>
            <w:tcBorders>
              <w:bottom w:val="single" w:sz="8" w:color="939598"/>
            </w:tcBorders>
          </w:tcPr>
          <w:p>
            <w:pPr>
              <w:jc w:val="right"/>
              <w:spacing w:after="0" w:line="202" w:lineRule="exact"/>
              <w:rPr>
                <w:sz w:val="20"/>
                <w:szCs w:val="20"/>
                <w:color w:val="auto"/>
              </w:rPr>
            </w:pPr>
            <w:r>
              <w:rPr>
                <w:rFonts w:ascii="Arial" w:cs="Arial" w:eastAsia="Arial" w:hAnsi="Arial"/>
                <w:sz w:val="18"/>
                <w:szCs w:val="18"/>
                <w:color w:val="auto"/>
              </w:rPr>
              <w:t>$</w:t>
            </w:r>
          </w:p>
        </w:tc>
        <w:tc>
          <w:tcPr>
            <w:tcW w:w="1340" w:type="dxa"/>
            <w:vAlign w:val="bottom"/>
            <w:tcBorders>
              <w:bottom w:val="single" w:sz="8" w:color="939598"/>
            </w:tcBorders>
            <w:gridSpan w:val="2"/>
          </w:tcPr>
          <w:p>
            <w:pPr>
              <w:jc w:val="right"/>
              <w:ind w:right="220"/>
              <w:spacing w:after="0" w:line="202" w:lineRule="exact"/>
              <w:rPr>
                <w:sz w:val="20"/>
                <w:szCs w:val="20"/>
                <w:color w:val="auto"/>
              </w:rPr>
            </w:pPr>
            <w:r>
              <w:rPr>
                <w:rFonts w:ascii="Arial" w:cs="Arial" w:eastAsia="Arial" w:hAnsi="Arial"/>
                <w:sz w:val="18"/>
                <w:szCs w:val="18"/>
                <w:color w:val="auto"/>
              </w:rPr>
              <w:t>48</w:t>
            </w:r>
          </w:p>
        </w:tc>
        <w:tc>
          <w:tcPr>
            <w:tcW w:w="1560" w:type="dxa"/>
            <w:vAlign w:val="bottom"/>
            <w:tcBorders>
              <w:bottom w:val="single" w:sz="8" w:color="939598"/>
            </w:tcBorders>
          </w:tcPr>
          <w:p>
            <w:pPr>
              <w:jc w:val="right"/>
              <w:ind w:right="33"/>
              <w:spacing w:after="0" w:line="202" w:lineRule="exact"/>
              <w:rPr>
                <w:sz w:val="20"/>
                <w:szCs w:val="20"/>
                <w:color w:val="auto"/>
              </w:rPr>
            </w:pPr>
            <w:r>
              <w:rPr>
                <w:rFonts w:ascii="Arial" w:cs="Arial" w:eastAsia="Arial" w:hAnsi="Arial"/>
                <w:sz w:val="18"/>
                <w:szCs w:val="18"/>
                <w:color w:val="auto"/>
              </w:rPr>
              <w:t>6.1</w:t>
            </w:r>
          </w:p>
        </w:tc>
        <w:tc>
          <w:tcPr>
            <w:tcW w:w="220" w:type="dxa"/>
            <w:vAlign w:val="bottom"/>
            <w:tcBorders>
              <w:bottom w:val="single" w:sz="8" w:color="939598"/>
            </w:tcBorders>
          </w:tcPr>
          <w:p>
            <w:pPr>
              <w:spacing w:after="0"/>
              <w:rPr>
                <w:sz w:val="18"/>
                <w:szCs w:val="18"/>
                <w:color w:val="auto"/>
              </w:rPr>
            </w:pPr>
          </w:p>
        </w:tc>
        <w:tc>
          <w:tcPr>
            <w:tcW w:w="1120" w:type="dxa"/>
            <w:vAlign w:val="bottom"/>
            <w:tcBorders>
              <w:bottom w:val="single" w:sz="8" w:color="939598"/>
            </w:tcBorders>
          </w:tcPr>
          <w:p>
            <w:pPr>
              <w:spacing w:after="0"/>
              <w:rPr>
                <w:sz w:val="18"/>
                <w:szCs w:val="18"/>
                <w:color w:val="auto"/>
              </w:rPr>
            </w:pPr>
          </w:p>
        </w:tc>
        <w:tc>
          <w:tcPr>
            <w:tcW w:w="20" w:type="dxa"/>
            <w:vAlign w:val="bottom"/>
          </w:tcPr>
          <w:p>
            <w:pPr>
              <w:spacing w:after="0"/>
              <w:rPr>
                <w:sz w:val="18"/>
                <w:szCs w:val="18"/>
                <w:color w:val="auto"/>
              </w:rPr>
            </w:pPr>
          </w:p>
        </w:tc>
      </w:tr>
      <w:tr>
        <w:trPr>
          <w:trHeight w:val="210"/>
        </w:trPr>
        <w:tc>
          <w:tcPr>
            <w:tcW w:w="4740" w:type="dxa"/>
            <w:vAlign w:val="bottom"/>
            <w:tcBorders>
              <w:bottom w:val="single" w:sz="8" w:color="939598"/>
            </w:tcBorders>
            <w:gridSpan w:val="2"/>
          </w:tcPr>
          <w:p>
            <w:pPr>
              <w:spacing w:after="0" w:line="202" w:lineRule="exact"/>
              <w:rPr>
                <w:sz w:val="20"/>
                <w:szCs w:val="20"/>
                <w:color w:val="auto"/>
              </w:rPr>
            </w:pPr>
            <w:r>
              <w:rPr>
                <w:rFonts w:ascii="Arial" w:cs="Arial" w:eastAsia="Arial" w:hAnsi="Arial"/>
                <w:sz w:val="18"/>
                <w:szCs w:val="18"/>
                <w:color w:val="auto"/>
              </w:rPr>
              <w:t>Exercisable, December 31, 2010</w:t>
            </w:r>
          </w:p>
        </w:tc>
        <w:tc>
          <w:tcPr>
            <w:tcW w:w="2020" w:type="dxa"/>
            <w:vAlign w:val="bottom"/>
            <w:tcBorders>
              <w:bottom w:val="single" w:sz="8" w:color="939598"/>
            </w:tcBorders>
          </w:tcPr>
          <w:p>
            <w:pPr>
              <w:jc w:val="right"/>
              <w:ind w:right="50"/>
              <w:spacing w:after="0" w:line="202" w:lineRule="exact"/>
              <w:rPr>
                <w:sz w:val="20"/>
                <w:szCs w:val="20"/>
                <w:color w:val="auto"/>
              </w:rPr>
            </w:pPr>
            <w:r>
              <w:rPr>
                <w:rFonts w:ascii="Arial" w:cs="Arial" w:eastAsia="Arial" w:hAnsi="Arial"/>
                <w:sz w:val="18"/>
                <w:szCs w:val="18"/>
                <w:color w:val="auto"/>
              </w:rPr>
              <w:t>3,446</w:t>
            </w:r>
          </w:p>
        </w:tc>
        <w:tc>
          <w:tcPr>
            <w:tcW w:w="200" w:type="dxa"/>
            <w:vAlign w:val="bottom"/>
            <w:tcBorders>
              <w:bottom w:val="single" w:sz="8" w:color="939598"/>
            </w:tcBorders>
          </w:tcPr>
          <w:p>
            <w:pPr>
              <w:jc w:val="right"/>
              <w:spacing w:after="0" w:line="202" w:lineRule="exact"/>
              <w:rPr>
                <w:sz w:val="20"/>
                <w:szCs w:val="20"/>
                <w:color w:val="auto"/>
              </w:rPr>
            </w:pPr>
            <w:r>
              <w:rPr>
                <w:rFonts w:ascii="Arial" w:cs="Arial" w:eastAsia="Arial" w:hAnsi="Arial"/>
                <w:sz w:val="18"/>
                <w:szCs w:val="18"/>
                <w:color w:val="auto"/>
              </w:rPr>
              <w:t>$</w:t>
            </w:r>
          </w:p>
        </w:tc>
        <w:tc>
          <w:tcPr>
            <w:tcW w:w="1340" w:type="dxa"/>
            <w:vAlign w:val="bottom"/>
            <w:tcBorders>
              <w:bottom w:val="single" w:sz="8" w:color="939598"/>
            </w:tcBorders>
            <w:gridSpan w:val="2"/>
          </w:tcPr>
          <w:p>
            <w:pPr>
              <w:jc w:val="right"/>
              <w:ind w:right="220"/>
              <w:spacing w:after="0" w:line="202" w:lineRule="exact"/>
              <w:rPr>
                <w:sz w:val="20"/>
                <w:szCs w:val="20"/>
                <w:color w:val="auto"/>
              </w:rPr>
            </w:pPr>
            <w:r>
              <w:rPr>
                <w:rFonts w:ascii="Arial" w:cs="Arial" w:eastAsia="Arial" w:hAnsi="Arial"/>
                <w:sz w:val="18"/>
                <w:szCs w:val="18"/>
                <w:color w:val="auto"/>
              </w:rPr>
              <w:t>49</w:t>
            </w:r>
          </w:p>
        </w:tc>
        <w:tc>
          <w:tcPr>
            <w:tcW w:w="1560" w:type="dxa"/>
            <w:vAlign w:val="bottom"/>
            <w:tcBorders>
              <w:bottom w:val="single" w:sz="8" w:color="939598"/>
            </w:tcBorders>
          </w:tcPr>
          <w:p>
            <w:pPr>
              <w:jc w:val="right"/>
              <w:ind w:right="33"/>
              <w:spacing w:after="0" w:line="202" w:lineRule="exact"/>
              <w:rPr>
                <w:sz w:val="20"/>
                <w:szCs w:val="20"/>
                <w:color w:val="auto"/>
              </w:rPr>
            </w:pPr>
            <w:r>
              <w:rPr>
                <w:rFonts w:ascii="Arial" w:cs="Arial" w:eastAsia="Arial" w:hAnsi="Arial"/>
                <w:sz w:val="18"/>
                <w:szCs w:val="18"/>
                <w:color w:val="auto"/>
              </w:rPr>
              <w:t>4.7</w:t>
            </w:r>
          </w:p>
        </w:tc>
        <w:tc>
          <w:tcPr>
            <w:tcW w:w="220" w:type="dxa"/>
            <w:vAlign w:val="bottom"/>
            <w:tcBorders>
              <w:bottom w:val="single" w:sz="8" w:color="939598"/>
            </w:tcBorders>
          </w:tcPr>
          <w:p>
            <w:pPr>
              <w:jc w:val="right"/>
              <w:spacing w:after="0" w:line="202" w:lineRule="exact"/>
              <w:rPr>
                <w:sz w:val="20"/>
                <w:szCs w:val="20"/>
                <w:color w:val="auto"/>
              </w:rPr>
            </w:pPr>
            <w:r>
              <w:rPr>
                <w:rFonts w:ascii="Arial" w:cs="Arial" w:eastAsia="Arial" w:hAnsi="Arial"/>
                <w:sz w:val="18"/>
                <w:szCs w:val="18"/>
                <w:color w:val="auto"/>
              </w:rPr>
              <w:t>$</w:t>
            </w:r>
          </w:p>
        </w:tc>
        <w:tc>
          <w:tcPr>
            <w:tcW w:w="1120" w:type="dxa"/>
            <w:vAlign w:val="bottom"/>
            <w:tcBorders>
              <w:bottom w:val="single" w:sz="8" w:color="939598"/>
            </w:tcBorders>
          </w:tcPr>
          <w:p>
            <w:pPr>
              <w:jc w:val="right"/>
              <w:spacing w:after="0" w:line="202" w:lineRule="exact"/>
              <w:rPr>
                <w:sz w:val="20"/>
                <w:szCs w:val="20"/>
                <w:color w:val="auto"/>
              </w:rPr>
            </w:pPr>
            <w:r>
              <w:rPr>
                <w:rFonts w:ascii="Arial" w:cs="Arial" w:eastAsia="Arial" w:hAnsi="Arial"/>
                <w:sz w:val="18"/>
                <w:szCs w:val="18"/>
                <w:color w:val="auto"/>
              </w:rPr>
              <w:t>54</w:t>
            </w:r>
          </w:p>
        </w:tc>
        <w:tc>
          <w:tcPr>
            <w:tcW w:w="20" w:type="dxa"/>
            <w:vAlign w:val="bottom"/>
            <w:tcBorders>
              <w:bottom w:val="single" w:sz="8" w:color="939598"/>
            </w:tcBorders>
          </w:tcPr>
          <w:p>
            <w:pPr>
              <w:spacing w:after="0"/>
              <w:rPr>
                <w:sz w:val="18"/>
                <w:szCs w:val="18"/>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color w:val="4D8ABE"/>
        </w:rPr>
        <w:t xml:space="preserve">56 </w:t>
      </w:r>
      <w:r>
        <w:rPr>
          <w:rFonts w:ascii="Arial" w:cs="Arial" w:eastAsia="Arial" w:hAnsi="Arial"/>
          <w:sz w:val="16"/>
          <w:szCs w:val="16"/>
          <w:color w:val="4D8ABE"/>
        </w:rPr>
        <w:t>Manpower 2010 Annual Report</w:t>
      </w:r>
      <w:r>
        <w:rPr>
          <w:rFonts w:ascii="Arial" w:cs="Arial" w:eastAsia="Arial" w:hAnsi="Arial"/>
          <w:sz w:val="16"/>
          <w:szCs w:val="16"/>
          <w:b w:val="1"/>
          <w:bCs w:val="1"/>
          <w:color w:val="4D8ABE"/>
        </w:rPr>
        <w:t xml:space="preserve"> </w:t>
      </w:r>
      <w:r>
        <w:rPr>
          <w:rFonts w:ascii="Arial" w:cs="Arial" w:eastAsia="Arial" w:hAnsi="Arial"/>
          <w:sz w:val="16"/>
          <w:szCs w:val="16"/>
          <w:b w:val="1"/>
          <w:bCs w:val="1"/>
          <w:color w:val="939598"/>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wp:posOffset>
            </wp:positionV>
            <wp:extent cx="7267575" cy="469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ectPr>
          <w:pgSz w:w="11900" w:h="16838" w:orient="portrait"/>
          <w:cols w:equalWidth="0" w:num="1">
            <w:col w:w="11420"/>
          </w:cols>
          <w:pgMar w:left="240" w:top="345" w:right="239" w:bottom="1440" w:gutter="0" w:footer="0" w:header="0"/>
        </w:sectPr>
      </w:pPr>
    </w:p>
    <w:bookmarkStart w:id="87" w:name="page88"/>
    <w:bookmarkEnd w:id="87"/>
    <w:p>
      <w:pPr>
        <w:spacing w:after="0"/>
        <w:rPr>
          <w:sz w:val="20"/>
          <w:szCs w:val="20"/>
          <w:color w:val="auto"/>
        </w:rPr>
      </w:pPr>
      <w:r>
        <w:rPr>
          <w:rFonts w:ascii="Arial" w:cs="Arial" w:eastAsia="Arial" w:hAnsi="Arial"/>
          <w:sz w:val="18"/>
          <w:szCs w:val="18"/>
          <w:color w:val="auto"/>
        </w:rPr>
        <w:t>Options outstanding and exercisable as of December 31, 2010 are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30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2700" w:type="dxa"/>
            <w:vAlign w:val="bottom"/>
            <w:gridSpan w:val="3"/>
          </w:tcPr>
          <w:p>
            <w:pPr>
              <w:jc w:val="right"/>
              <w:ind w:right="220"/>
              <w:spacing w:after="0"/>
              <w:rPr>
                <w:sz w:val="20"/>
                <w:szCs w:val="20"/>
                <w:color w:val="auto"/>
              </w:rPr>
            </w:pPr>
            <w:r>
              <w:rPr>
                <w:rFonts w:ascii="Arial" w:cs="Arial" w:eastAsia="Arial" w:hAnsi="Arial"/>
                <w:sz w:val="16"/>
                <w:szCs w:val="16"/>
                <w:b w:val="1"/>
                <w:bCs w:val="1"/>
                <w:color w:val="86B6A5"/>
              </w:rPr>
              <w:t>Options Outstanding</w:t>
            </w:r>
          </w:p>
        </w:tc>
        <w:tc>
          <w:tcPr>
            <w:tcW w:w="2460" w:type="dxa"/>
            <w:vAlign w:val="bottom"/>
            <w:gridSpan w:val="2"/>
          </w:tcPr>
          <w:p>
            <w:pPr>
              <w:jc w:val="right"/>
              <w:spacing w:after="0"/>
              <w:rPr>
                <w:sz w:val="20"/>
                <w:szCs w:val="20"/>
                <w:color w:val="auto"/>
              </w:rPr>
            </w:pPr>
            <w:r>
              <w:rPr>
                <w:rFonts w:ascii="Arial" w:cs="Arial" w:eastAsia="Arial" w:hAnsi="Arial"/>
                <w:sz w:val="16"/>
                <w:szCs w:val="16"/>
                <w:b w:val="1"/>
                <w:bCs w:val="1"/>
                <w:color w:val="86B6A5"/>
              </w:rPr>
              <w:t>Options Exercisable</w:t>
            </w:r>
          </w:p>
        </w:tc>
      </w:tr>
      <w:tr>
        <w:trPr>
          <w:trHeight w:val="184"/>
        </w:trPr>
        <w:tc>
          <w:tcPr>
            <w:tcW w:w="3020" w:type="dxa"/>
            <w:vAlign w:val="bottom"/>
            <w:tcBorders>
              <w:top w:val="single" w:sz="8" w:color="86B6A5"/>
            </w:tcBorders>
          </w:tcPr>
          <w:p>
            <w:pPr>
              <w:spacing w:after="0"/>
              <w:rPr>
                <w:sz w:val="16"/>
                <w:szCs w:val="16"/>
                <w:color w:val="auto"/>
              </w:rPr>
            </w:pPr>
          </w:p>
        </w:tc>
        <w:tc>
          <w:tcPr>
            <w:tcW w:w="3020" w:type="dxa"/>
            <w:vAlign w:val="bottom"/>
            <w:tcBorders>
              <w:top w:val="single" w:sz="8" w:color="86B6A5"/>
            </w:tcBorders>
          </w:tcPr>
          <w:p>
            <w:pPr>
              <w:spacing w:after="0"/>
              <w:rPr>
                <w:sz w:val="16"/>
                <w:szCs w:val="16"/>
                <w:color w:val="auto"/>
              </w:rPr>
            </w:pPr>
          </w:p>
        </w:tc>
        <w:tc>
          <w:tcPr>
            <w:tcW w:w="1200" w:type="dxa"/>
            <w:vAlign w:val="bottom"/>
            <w:tcBorders>
              <w:top w:val="single" w:sz="8" w:color="86B6A5"/>
            </w:tcBorders>
          </w:tcPr>
          <w:p>
            <w:pPr>
              <w:jc w:val="right"/>
              <w:ind w:right="79"/>
              <w:spacing w:after="0"/>
              <w:rPr>
                <w:sz w:val="20"/>
                <w:szCs w:val="20"/>
                <w:color w:val="auto"/>
              </w:rPr>
            </w:pPr>
            <w:r>
              <w:rPr>
                <w:rFonts w:ascii="Arial" w:cs="Arial" w:eastAsia="Arial" w:hAnsi="Arial"/>
                <w:sz w:val="16"/>
                <w:szCs w:val="16"/>
                <w:b w:val="1"/>
                <w:bCs w:val="1"/>
                <w:color w:val="86B6A5"/>
              </w:rPr>
              <w:t>Weighted-</w:t>
            </w:r>
          </w:p>
        </w:tc>
        <w:tc>
          <w:tcPr>
            <w:tcW w:w="1280" w:type="dxa"/>
            <w:vAlign w:val="bottom"/>
            <w:tcBorders>
              <w:top w:val="single" w:sz="8" w:color="86B6A5"/>
            </w:tcBorders>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Borders>
              <w:top w:val="single" w:sz="8" w:color="86B6A5"/>
            </w:tcBorders>
          </w:tcPr>
          <w:p>
            <w:pPr>
              <w:spacing w:after="0"/>
              <w:rPr>
                <w:sz w:val="16"/>
                <w:szCs w:val="16"/>
                <w:color w:val="auto"/>
              </w:rPr>
            </w:pPr>
          </w:p>
        </w:tc>
        <w:tc>
          <w:tcPr>
            <w:tcW w:w="1240" w:type="dxa"/>
            <w:vAlign w:val="bottom"/>
            <w:tcBorders>
              <w:top w:val="single" w:sz="8" w:color="86B6A5"/>
            </w:tcBorders>
          </w:tcPr>
          <w:p>
            <w:pPr>
              <w:spacing w:after="0"/>
              <w:rPr>
                <w:sz w:val="16"/>
                <w:szCs w:val="16"/>
                <w:color w:val="auto"/>
              </w:rPr>
            </w:pPr>
          </w:p>
        </w:tc>
      </w:tr>
      <w:tr>
        <w:trPr>
          <w:trHeight w:val="203"/>
        </w:trPr>
        <w:tc>
          <w:tcPr>
            <w:tcW w:w="302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1200" w:type="dxa"/>
            <w:vAlign w:val="bottom"/>
          </w:tcPr>
          <w:p>
            <w:pPr>
              <w:jc w:val="right"/>
              <w:ind w:right="79"/>
              <w:spacing w:after="0"/>
              <w:rPr>
                <w:sz w:val="20"/>
                <w:szCs w:val="20"/>
                <w:color w:val="auto"/>
              </w:rPr>
            </w:pPr>
            <w:r>
              <w:rPr>
                <w:rFonts w:ascii="Arial" w:cs="Arial" w:eastAsia="Arial" w:hAnsi="Arial"/>
                <w:sz w:val="16"/>
                <w:szCs w:val="16"/>
                <w:b w:val="1"/>
                <w:bCs w:val="1"/>
                <w:color w:val="86B6A5"/>
              </w:rPr>
              <w:t>Average</w:t>
            </w:r>
          </w:p>
        </w:tc>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03"/>
        </w:trPr>
        <w:tc>
          <w:tcPr>
            <w:tcW w:w="302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1200" w:type="dxa"/>
            <w:vAlign w:val="bottom"/>
          </w:tcPr>
          <w:p>
            <w:pPr>
              <w:jc w:val="right"/>
              <w:ind w:right="79"/>
              <w:spacing w:after="0"/>
              <w:rPr>
                <w:sz w:val="20"/>
                <w:szCs w:val="20"/>
                <w:color w:val="auto"/>
              </w:rPr>
            </w:pPr>
            <w:r>
              <w:rPr>
                <w:rFonts w:ascii="Arial" w:cs="Arial" w:eastAsia="Arial" w:hAnsi="Arial"/>
                <w:sz w:val="16"/>
                <w:szCs w:val="16"/>
                <w:b w:val="1"/>
                <w:bCs w:val="1"/>
                <w:color w:val="86B6A5"/>
              </w:rPr>
              <w:t>Remaining</w:t>
            </w:r>
          </w:p>
        </w:tc>
        <w:tc>
          <w:tcPr>
            <w:tcW w:w="150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86B6A5"/>
              </w:rPr>
              <w:t>Weighted-</w:t>
            </w:r>
          </w:p>
        </w:tc>
        <w:tc>
          <w:tcPr>
            <w:tcW w:w="12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b w:val="1"/>
                <w:bCs w:val="1"/>
                <w:color w:val="86B6A5"/>
              </w:rPr>
              <w:t>Weighted-</w:t>
            </w:r>
          </w:p>
        </w:tc>
      </w:tr>
      <w:tr>
        <w:trPr>
          <w:trHeight w:val="203"/>
        </w:trPr>
        <w:tc>
          <w:tcPr>
            <w:tcW w:w="302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1200" w:type="dxa"/>
            <w:vAlign w:val="bottom"/>
          </w:tcPr>
          <w:p>
            <w:pPr>
              <w:jc w:val="right"/>
              <w:ind w:right="79"/>
              <w:spacing w:after="0"/>
              <w:rPr>
                <w:sz w:val="20"/>
                <w:szCs w:val="20"/>
                <w:color w:val="auto"/>
              </w:rPr>
            </w:pPr>
            <w:r>
              <w:rPr>
                <w:rFonts w:ascii="Arial" w:cs="Arial" w:eastAsia="Arial" w:hAnsi="Arial"/>
                <w:sz w:val="16"/>
                <w:szCs w:val="16"/>
                <w:b w:val="1"/>
                <w:bCs w:val="1"/>
                <w:color w:val="86B6A5"/>
              </w:rPr>
              <w:t>Contractual</w:t>
            </w:r>
          </w:p>
        </w:tc>
        <w:tc>
          <w:tcPr>
            <w:tcW w:w="150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86B6A5"/>
              </w:rPr>
              <w:t>Average</w:t>
            </w:r>
          </w:p>
        </w:tc>
        <w:tc>
          <w:tcPr>
            <w:tcW w:w="12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b w:val="1"/>
                <w:bCs w:val="1"/>
                <w:color w:val="86B6A5"/>
              </w:rPr>
              <w:t>Average</w:t>
            </w:r>
          </w:p>
        </w:tc>
      </w:tr>
      <w:tr>
        <w:trPr>
          <w:trHeight w:val="215"/>
        </w:trPr>
        <w:tc>
          <w:tcPr>
            <w:tcW w:w="3020" w:type="dxa"/>
            <w:vAlign w:val="bottom"/>
          </w:tcPr>
          <w:p>
            <w:pPr>
              <w:spacing w:after="0"/>
              <w:rPr>
                <w:sz w:val="20"/>
                <w:szCs w:val="20"/>
                <w:color w:val="auto"/>
              </w:rPr>
            </w:pPr>
            <w:r>
              <w:rPr>
                <w:rFonts w:ascii="Arial" w:cs="Arial" w:eastAsia="Arial" w:hAnsi="Arial"/>
                <w:sz w:val="16"/>
                <w:szCs w:val="16"/>
                <w:b w:val="1"/>
                <w:bCs w:val="1"/>
                <w:color w:val="86B6A5"/>
              </w:rPr>
              <w:t>Exercise Price</w:t>
            </w:r>
          </w:p>
        </w:tc>
        <w:tc>
          <w:tcPr>
            <w:tcW w:w="3020" w:type="dxa"/>
            <w:vAlign w:val="bottom"/>
          </w:tcPr>
          <w:p>
            <w:pPr>
              <w:ind w:left="1920"/>
              <w:spacing w:after="0"/>
              <w:rPr>
                <w:sz w:val="20"/>
                <w:szCs w:val="20"/>
                <w:color w:val="auto"/>
              </w:rPr>
            </w:pPr>
            <w:r>
              <w:rPr>
                <w:rFonts w:ascii="Arial" w:cs="Arial" w:eastAsia="Arial" w:hAnsi="Arial"/>
                <w:sz w:val="16"/>
                <w:szCs w:val="16"/>
                <w:b w:val="1"/>
                <w:bCs w:val="1"/>
                <w:color w:val="86B6A5"/>
              </w:rPr>
              <w:t>Shares (000)</w:t>
            </w:r>
          </w:p>
        </w:tc>
        <w:tc>
          <w:tcPr>
            <w:tcW w:w="1200" w:type="dxa"/>
            <w:vAlign w:val="bottom"/>
          </w:tcPr>
          <w:p>
            <w:pPr>
              <w:jc w:val="right"/>
              <w:ind w:right="79"/>
              <w:spacing w:after="0"/>
              <w:rPr>
                <w:sz w:val="20"/>
                <w:szCs w:val="20"/>
                <w:color w:val="auto"/>
              </w:rPr>
            </w:pPr>
            <w:r>
              <w:rPr>
                <w:rFonts w:ascii="Arial" w:cs="Arial" w:eastAsia="Arial" w:hAnsi="Arial"/>
                <w:sz w:val="16"/>
                <w:szCs w:val="16"/>
                <w:b w:val="1"/>
                <w:bCs w:val="1"/>
                <w:color w:val="86B6A5"/>
              </w:rPr>
              <w:t>Life (years)</w:t>
            </w:r>
          </w:p>
        </w:tc>
        <w:tc>
          <w:tcPr>
            <w:tcW w:w="150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86B6A5"/>
              </w:rPr>
              <w:t>Exercise Price</w:t>
            </w:r>
          </w:p>
        </w:tc>
        <w:tc>
          <w:tcPr>
            <w:tcW w:w="1220" w:type="dxa"/>
            <w:vAlign w:val="bottom"/>
          </w:tcPr>
          <w:p>
            <w:pPr>
              <w:ind w:left="100"/>
              <w:spacing w:after="0"/>
              <w:rPr>
                <w:sz w:val="20"/>
                <w:szCs w:val="20"/>
                <w:color w:val="auto"/>
              </w:rPr>
            </w:pPr>
            <w:r>
              <w:rPr>
                <w:rFonts w:ascii="Arial" w:cs="Arial" w:eastAsia="Arial" w:hAnsi="Arial"/>
                <w:sz w:val="16"/>
                <w:szCs w:val="16"/>
                <w:b w:val="1"/>
                <w:bCs w:val="1"/>
                <w:color w:val="86B6A5"/>
              </w:rPr>
              <w:t>Shares (000)</w:t>
            </w:r>
          </w:p>
        </w:tc>
        <w:tc>
          <w:tcPr>
            <w:tcW w:w="1240" w:type="dxa"/>
            <w:vAlign w:val="bottom"/>
          </w:tcPr>
          <w:p>
            <w:pPr>
              <w:jc w:val="right"/>
              <w:spacing w:after="0"/>
              <w:rPr>
                <w:sz w:val="20"/>
                <w:szCs w:val="20"/>
                <w:color w:val="auto"/>
              </w:rPr>
            </w:pPr>
            <w:r>
              <w:rPr>
                <w:rFonts w:ascii="Arial" w:cs="Arial" w:eastAsia="Arial" w:hAnsi="Arial"/>
                <w:sz w:val="16"/>
                <w:szCs w:val="16"/>
                <w:b w:val="1"/>
                <w:bCs w:val="1"/>
                <w:color w:val="86B6A5"/>
              </w:rPr>
              <w:t>Exercise Price</w:t>
            </w:r>
          </w:p>
        </w:tc>
      </w:tr>
    </w:tbl>
    <w:p>
      <w:pPr>
        <w:spacing w:after="0" w:line="1" w:lineRule="exact"/>
        <w:rPr>
          <w:sz w:val="20"/>
          <w:szCs w:val="20"/>
          <w:color w:val="auto"/>
        </w:rPr>
      </w:pPr>
    </w:p>
    <w:p>
      <w:pPr>
        <w:sectPr>
          <w:pgSz w:w="11900" w:h="16838" w:orient="portrait"/>
          <w:cols w:equalWidth="0" w:num="1">
            <w:col w:w="11420"/>
          </w:cols>
          <w:pgMar w:left="240" w:top="355" w:right="239" w:bottom="1440" w:gutter="0" w:footer="0" w:header="0"/>
        </w:sectPr>
      </w:pPr>
    </w:p>
    <w:tbl>
      <w:tblPr>
        <w:tblLayout w:type="fixed"/>
        <w:tblInd w:w="0" w:type="dxa"/>
        <w:tblCellMar>
          <w:top w:w="0" w:type="dxa"/>
          <w:left w:w="0" w:type="dxa"/>
          <w:bottom w:w="0" w:type="dxa"/>
          <w:right w:w="0" w:type="dxa"/>
        </w:tblCellMar>
      </w:tblPr>
      <w:tr>
        <w:trPr>
          <w:trHeight w:val="215"/>
        </w:trPr>
        <w:tc>
          <w:tcPr>
            <w:tcW w:w="3040" w:type="dxa"/>
            <w:vAlign w:val="bottom"/>
            <w:tcBorders>
              <w:top w:val="single" w:sz="8" w:color="86B6A5"/>
            </w:tcBorders>
          </w:tcPr>
          <w:p>
            <w:pPr>
              <w:jc w:val="right"/>
              <w:ind w:right="2290"/>
              <w:spacing w:after="0"/>
              <w:rPr>
                <w:sz w:val="20"/>
                <w:szCs w:val="20"/>
                <w:color w:val="auto"/>
              </w:rPr>
            </w:pPr>
            <w:r>
              <w:rPr>
                <w:rFonts w:ascii="Arial" w:cs="Arial" w:eastAsia="Arial" w:hAnsi="Arial"/>
                <w:sz w:val="18"/>
                <w:szCs w:val="18"/>
                <w:color w:val="auto"/>
                <w:w w:val="96"/>
              </w:rPr>
              <w:t>$11-$34</w:t>
            </w:r>
          </w:p>
        </w:tc>
        <w:tc>
          <w:tcPr>
            <w:tcW w:w="3300" w:type="dxa"/>
            <w:vAlign w:val="bottom"/>
            <w:tcBorders>
              <w:top w:val="single" w:sz="8" w:color="86B6A5"/>
            </w:tcBorders>
          </w:tcPr>
          <w:p>
            <w:pPr>
              <w:jc w:val="right"/>
              <w:ind w:right="410"/>
              <w:spacing w:after="0"/>
              <w:rPr>
                <w:sz w:val="20"/>
                <w:szCs w:val="20"/>
                <w:color w:val="auto"/>
              </w:rPr>
            </w:pPr>
            <w:r>
              <w:rPr>
                <w:rFonts w:ascii="Arial" w:cs="Arial" w:eastAsia="Arial" w:hAnsi="Arial"/>
                <w:sz w:val="18"/>
                <w:szCs w:val="18"/>
                <w:color w:val="auto"/>
              </w:rPr>
              <w:t>1,805</w:t>
            </w:r>
          </w:p>
        </w:tc>
        <w:tc>
          <w:tcPr>
            <w:tcW w:w="840" w:type="dxa"/>
            <w:vAlign w:val="bottom"/>
            <w:tcBorders>
              <w:top w:val="single" w:sz="8" w:color="86B6A5"/>
            </w:tcBorders>
          </w:tcPr>
          <w:p>
            <w:pPr>
              <w:jc w:val="right"/>
              <w:ind w:right="10"/>
              <w:spacing w:after="0"/>
              <w:rPr>
                <w:sz w:val="20"/>
                <w:szCs w:val="20"/>
                <w:color w:val="auto"/>
              </w:rPr>
            </w:pPr>
            <w:r>
              <w:rPr>
                <w:rFonts w:ascii="Arial" w:cs="Arial" w:eastAsia="Arial" w:hAnsi="Arial"/>
                <w:sz w:val="18"/>
                <w:szCs w:val="18"/>
                <w:color w:val="auto"/>
              </w:rPr>
              <w:t>6.1</w:t>
            </w:r>
          </w:p>
        </w:tc>
        <w:tc>
          <w:tcPr>
            <w:tcW w:w="680" w:type="dxa"/>
            <w:vAlign w:val="bottom"/>
            <w:tcBorders>
              <w:top w:val="single" w:sz="8" w:color="86B6A5"/>
            </w:tcBorders>
          </w:tcPr>
          <w:p>
            <w:pPr>
              <w:jc w:val="right"/>
              <w:ind w:right="390"/>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86B6A5"/>
            </w:tcBorders>
          </w:tcPr>
          <w:p>
            <w:pPr>
              <w:jc w:val="right"/>
              <w:spacing w:after="0"/>
              <w:rPr>
                <w:sz w:val="20"/>
                <w:szCs w:val="20"/>
                <w:color w:val="auto"/>
              </w:rPr>
            </w:pPr>
            <w:r>
              <w:rPr>
                <w:rFonts w:ascii="Arial" w:cs="Arial" w:eastAsia="Arial" w:hAnsi="Arial"/>
                <w:sz w:val="18"/>
                <w:szCs w:val="18"/>
                <w:color w:val="auto"/>
              </w:rPr>
              <w:t>31</w:t>
            </w:r>
          </w:p>
        </w:tc>
      </w:tr>
      <w:tr>
        <w:trPr>
          <w:trHeight w:val="203"/>
        </w:trPr>
        <w:tc>
          <w:tcPr>
            <w:tcW w:w="3040" w:type="dxa"/>
            <w:vAlign w:val="bottom"/>
          </w:tcPr>
          <w:p>
            <w:pPr>
              <w:jc w:val="right"/>
              <w:ind w:right="2290"/>
              <w:spacing w:after="0" w:line="202" w:lineRule="exact"/>
              <w:rPr>
                <w:sz w:val="20"/>
                <w:szCs w:val="20"/>
                <w:color w:val="auto"/>
              </w:rPr>
            </w:pPr>
            <w:r>
              <w:rPr>
                <w:rFonts w:ascii="Arial" w:cs="Arial" w:eastAsia="Arial" w:hAnsi="Arial"/>
                <w:sz w:val="18"/>
                <w:szCs w:val="18"/>
                <w:color w:val="auto"/>
                <w:w w:val="96"/>
              </w:rPr>
              <w:t>$35-$44</w:t>
            </w:r>
          </w:p>
        </w:tc>
        <w:tc>
          <w:tcPr>
            <w:tcW w:w="3300" w:type="dxa"/>
            <w:vAlign w:val="bottom"/>
          </w:tcPr>
          <w:p>
            <w:pPr>
              <w:jc w:val="right"/>
              <w:ind w:right="410"/>
              <w:spacing w:after="0" w:line="202" w:lineRule="exact"/>
              <w:rPr>
                <w:sz w:val="20"/>
                <w:szCs w:val="20"/>
                <w:color w:val="auto"/>
              </w:rPr>
            </w:pPr>
            <w:r>
              <w:rPr>
                <w:rFonts w:ascii="Arial" w:cs="Arial" w:eastAsia="Arial" w:hAnsi="Arial"/>
                <w:sz w:val="18"/>
                <w:szCs w:val="18"/>
                <w:color w:val="auto"/>
              </w:rPr>
              <w:t>949</w:t>
            </w:r>
          </w:p>
        </w:tc>
        <w:tc>
          <w:tcPr>
            <w:tcW w:w="8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3.7</w:t>
            </w:r>
          </w:p>
        </w:tc>
        <w:tc>
          <w:tcPr>
            <w:tcW w:w="68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44</w:t>
            </w:r>
          </w:p>
        </w:tc>
      </w:tr>
      <w:tr>
        <w:trPr>
          <w:trHeight w:val="203"/>
        </w:trPr>
        <w:tc>
          <w:tcPr>
            <w:tcW w:w="3040" w:type="dxa"/>
            <w:vAlign w:val="bottom"/>
          </w:tcPr>
          <w:p>
            <w:pPr>
              <w:jc w:val="right"/>
              <w:ind w:right="2290"/>
              <w:spacing w:after="0" w:line="202" w:lineRule="exact"/>
              <w:rPr>
                <w:sz w:val="20"/>
                <w:szCs w:val="20"/>
                <w:color w:val="auto"/>
              </w:rPr>
            </w:pPr>
            <w:r>
              <w:rPr>
                <w:rFonts w:ascii="Arial" w:cs="Arial" w:eastAsia="Arial" w:hAnsi="Arial"/>
                <w:sz w:val="18"/>
                <w:szCs w:val="18"/>
                <w:color w:val="auto"/>
                <w:w w:val="96"/>
              </w:rPr>
              <w:t>$45-$55</w:t>
            </w:r>
          </w:p>
        </w:tc>
        <w:tc>
          <w:tcPr>
            <w:tcW w:w="3300" w:type="dxa"/>
            <w:vAlign w:val="bottom"/>
          </w:tcPr>
          <w:p>
            <w:pPr>
              <w:jc w:val="right"/>
              <w:ind w:right="410"/>
              <w:spacing w:after="0" w:line="202" w:lineRule="exact"/>
              <w:rPr>
                <w:sz w:val="20"/>
                <w:szCs w:val="20"/>
                <w:color w:val="auto"/>
              </w:rPr>
            </w:pPr>
            <w:r>
              <w:rPr>
                <w:rFonts w:ascii="Arial" w:cs="Arial" w:eastAsia="Arial" w:hAnsi="Arial"/>
                <w:sz w:val="18"/>
                <w:szCs w:val="18"/>
                <w:color w:val="auto"/>
              </w:rPr>
              <w:t>1,722</w:t>
            </w:r>
          </w:p>
        </w:tc>
        <w:tc>
          <w:tcPr>
            <w:tcW w:w="8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7.2</w:t>
            </w:r>
          </w:p>
        </w:tc>
        <w:tc>
          <w:tcPr>
            <w:tcW w:w="68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53</w:t>
            </w:r>
          </w:p>
        </w:tc>
      </w:tr>
      <w:tr>
        <w:trPr>
          <w:trHeight w:val="203"/>
        </w:trPr>
        <w:tc>
          <w:tcPr>
            <w:tcW w:w="3040" w:type="dxa"/>
            <w:vAlign w:val="bottom"/>
            <w:tcBorders>
              <w:bottom w:val="single" w:sz="8" w:color="939598"/>
            </w:tcBorders>
          </w:tcPr>
          <w:p>
            <w:pPr>
              <w:jc w:val="right"/>
              <w:ind w:right="2290"/>
              <w:spacing w:after="0" w:line="203" w:lineRule="exact"/>
              <w:rPr>
                <w:sz w:val="20"/>
                <w:szCs w:val="20"/>
                <w:color w:val="auto"/>
              </w:rPr>
            </w:pPr>
            <w:r>
              <w:rPr>
                <w:rFonts w:ascii="Arial" w:cs="Arial" w:eastAsia="Arial" w:hAnsi="Arial"/>
                <w:sz w:val="18"/>
                <w:szCs w:val="18"/>
                <w:color w:val="auto"/>
                <w:w w:val="96"/>
              </w:rPr>
              <w:t>$56-$93</w:t>
            </w:r>
          </w:p>
        </w:tc>
        <w:tc>
          <w:tcPr>
            <w:tcW w:w="3300" w:type="dxa"/>
            <w:vAlign w:val="bottom"/>
            <w:tcBorders>
              <w:bottom w:val="single" w:sz="8" w:color="939598"/>
            </w:tcBorders>
          </w:tcPr>
          <w:p>
            <w:pPr>
              <w:jc w:val="right"/>
              <w:ind w:right="410"/>
              <w:spacing w:after="0" w:line="203" w:lineRule="exact"/>
              <w:rPr>
                <w:sz w:val="20"/>
                <w:szCs w:val="20"/>
                <w:color w:val="auto"/>
              </w:rPr>
            </w:pPr>
            <w:r>
              <w:rPr>
                <w:rFonts w:ascii="Arial" w:cs="Arial" w:eastAsia="Arial" w:hAnsi="Arial"/>
                <w:sz w:val="18"/>
                <w:szCs w:val="18"/>
                <w:color w:val="auto"/>
              </w:rPr>
              <w:t>1,464</w:t>
            </w:r>
          </w:p>
        </w:tc>
        <w:tc>
          <w:tcPr>
            <w:tcW w:w="840" w:type="dxa"/>
            <w:vAlign w:val="bottom"/>
            <w:tcBorders>
              <w:bottom w:val="single" w:sz="8" w:color="939598"/>
            </w:tcBorders>
          </w:tcPr>
          <w:p>
            <w:pPr>
              <w:jc w:val="right"/>
              <w:ind w:right="10"/>
              <w:spacing w:after="0" w:line="203" w:lineRule="exact"/>
              <w:rPr>
                <w:sz w:val="20"/>
                <w:szCs w:val="20"/>
                <w:color w:val="auto"/>
              </w:rPr>
            </w:pPr>
            <w:r>
              <w:rPr>
                <w:rFonts w:ascii="Arial" w:cs="Arial" w:eastAsia="Arial" w:hAnsi="Arial"/>
                <w:sz w:val="18"/>
                <w:szCs w:val="18"/>
                <w:color w:val="auto"/>
              </w:rPr>
              <w:t>6.6</w:t>
            </w:r>
          </w:p>
        </w:tc>
        <w:tc>
          <w:tcPr>
            <w:tcW w:w="680" w:type="dxa"/>
            <w:vAlign w:val="bottom"/>
            <w:tcBorders>
              <w:bottom w:val="single" w:sz="8" w:color="939598"/>
            </w:tcBorders>
          </w:tcPr>
          <w:p>
            <w:pPr>
              <w:spacing w:after="0"/>
              <w:rPr>
                <w:sz w:val="17"/>
                <w:szCs w:val="17"/>
                <w:color w:val="auto"/>
              </w:rPr>
            </w:pPr>
          </w:p>
        </w:tc>
        <w:tc>
          <w:tcPr>
            <w:tcW w:w="660" w:type="dxa"/>
            <w:vAlign w:val="bottom"/>
            <w:tcBorders>
              <w:bottom w:val="single" w:sz="8" w:color="939598"/>
            </w:tcBorders>
          </w:tcPr>
          <w:p>
            <w:pPr>
              <w:jc w:val="right"/>
              <w:spacing w:after="0" w:line="203" w:lineRule="exact"/>
              <w:rPr>
                <w:sz w:val="20"/>
                <w:szCs w:val="20"/>
                <w:color w:val="auto"/>
              </w:rPr>
            </w:pPr>
            <w:r>
              <w:rPr>
                <w:rFonts w:ascii="Arial" w:cs="Arial" w:eastAsia="Arial" w:hAnsi="Arial"/>
                <w:sz w:val="18"/>
                <w:szCs w:val="18"/>
                <w:color w:val="auto"/>
              </w:rPr>
              <w:t>66</w:t>
            </w:r>
          </w:p>
        </w:tc>
      </w:tr>
      <w:tr>
        <w:trPr>
          <w:trHeight w:val="203"/>
        </w:trPr>
        <w:tc>
          <w:tcPr>
            <w:tcW w:w="3040" w:type="dxa"/>
            <w:vAlign w:val="bottom"/>
            <w:tcBorders>
              <w:bottom w:val="single" w:sz="8" w:color="939598"/>
            </w:tcBorders>
          </w:tcPr>
          <w:p>
            <w:pPr>
              <w:spacing w:after="0"/>
              <w:rPr>
                <w:sz w:val="17"/>
                <w:szCs w:val="17"/>
                <w:color w:val="auto"/>
              </w:rPr>
            </w:pPr>
          </w:p>
        </w:tc>
        <w:tc>
          <w:tcPr>
            <w:tcW w:w="3300" w:type="dxa"/>
            <w:vAlign w:val="bottom"/>
            <w:tcBorders>
              <w:bottom w:val="single" w:sz="8" w:color="939598"/>
            </w:tcBorders>
          </w:tcPr>
          <w:p>
            <w:pPr>
              <w:jc w:val="right"/>
              <w:ind w:right="410"/>
              <w:spacing w:after="0" w:line="196" w:lineRule="exact"/>
              <w:rPr>
                <w:sz w:val="20"/>
                <w:szCs w:val="20"/>
                <w:color w:val="auto"/>
              </w:rPr>
            </w:pPr>
            <w:r>
              <w:rPr>
                <w:rFonts w:ascii="Arial" w:cs="Arial" w:eastAsia="Arial" w:hAnsi="Arial"/>
                <w:sz w:val="18"/>
                <w:szCs w:val="18"/>
                <w:color w:val="auto"/>
              </w:rPr>
              <w:t>5,940</w:t>
            </w:r>
          </w:p>
        </w:tc>
        <w:tc>
          <w:tcPr>
            <w:tcW w:w="840" w:type="dxa"/>
            <w:vAlign w:val="bottom"/>
            <w:tcBorders>
              <w:bottom w:val="single" w:sz="8" w:color="939598"/>
            </w:tcBorders>
          </w:tcPr>
          <w:p>
            <w:pPr>
              <w:jc w:val="right"/>
              <w:ind w:right="10"/>
              <w:spacing w:after="0" w:line="196" w:lineRule="exact"/>
              <w:rPr>
                <w:sz w:val="20"/>
                <w:szCs w:val="20"/>
                <w:color w:val="auto"/>
              </w:rPr>
            </w:pPr>
            <w:r>
              <w:rPr>
                <w:rFonts w:ascii="Arial" w:cs="Arial" w:eastAsia="Arial" w:hAnsi="Arial"/>
                <w:sz w:val="18"/>
                <w:szCs w:val="18"/>
                <w:color w:val="auto"/>
              </w:rPr>
              <w:t>6.2</w:t>
            </w:r>
          </w:p>
        </w:tc>
        <w:tc>
          <w:tcPr>
            <w:tcW w:w="680" w:type="dxa"/>
            <w:vAlign w:val="bottom"/>
            <w:tcBorders>
              <w:bottom w:val="single" w:sz="8" w:color="939598"/>
            </w:tcBorders>
          </w:tcPr>
          <w:p>
            <w:pPr>
              <w:jc w:val="right"/>
              <w:ind w:right="390"/>
              <w:spacing w:after="0" w:line="196" w:lineRule="exact"/>
              <w:rPr>
                <w:sz w:val="20"/>
                <w:szCs w:val="20"/>
                <w:color w:val="auto"/>
              </w:rPr>
            </w:pPr>
            <w:r>
              <w:rPr>
                <w:rFonts w:ascii="Arial" w:cs="Arial" w:eastAsia="Arial" w:hAnsi="Arial"/>
                <w:sz w:val="18"/>
                <w:szCs w:val="18"/>
                <w:color w:val="auto"/>
              </w:rPr>
              <w:t>$</w:t>
            </w:r>
          </w:p>
        </w:tc>
        <w:tc>
          <w:tcPr>
            <w:tcW w:w="660" w:type="dxa"/>
            <w:vAlign w:val="bottom"/>
            <w:tcBorders>
              <w:bottom w:val="single" w:sz="8" w:color="939598"/>
            </w:tcBorders>
          </w:tcPr>
          <w:p>
            <w:pPr>
              <w:jc w:val="right"/>
              <w:spacing w:after="0" w:line="196" w:lineRule="exact"/>
              <w:rPr>
                <w:sz w:val="20"/>
                <w:szCs w:val="20"/>
                <w:color w:val="auto"/>
              </w:rPr>
            </w:pPr>
            <w:r>
              <w:rPr>
                <w:rFonts w:ascii="Arial" w:cs="Arial" w:eastAsia="Arial" w:hAnsi="Arial"/>
                <w:sz w:val="18"/>
                <w:szCs w:val="18"/>
                <w:color w:val="auto"/>
              </w:rPr>
              <w:t>48</w:t>
            </w: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1120" w:type="dxa"/>
            <w:vAlign w:val="bottom"/>
            <w:tcBorders>
              <w:top w:val="single" w:sz="8" w:color="86B6A5"/>
            </w:tcBorders>
          </w:tcPr>
          <w:p>
            <w:pPr>
              <w:jc w:val="right"/>
              <w:ind w:right="10"/>
              <w:spacing w:after="0"/>
              <w:rPr>
                <w:sz w:val="20"/>
                <w:szCs w:val="20"/>
                <w:color w:val="auto"/>
              </w:rPr>
            </w:pPr>
            <w:r>
              <w:rPr>
                <w:rFonts w:ascii="Arial" w:cs="Arial" w:eastAsia="Arial" w:hAnsi="Arial"/>
                <w:sz w:val="18"/>
                <w:szCs w:val="18"/>
                <w:color w:val="auto"/>
              </w:rPr>
              <w:t>821</w:t>
            </w:r>
          </w:p>
        </w:tc>
        <w:tc>
          <w:tcPr>
            <w:tcW w:w="680" w:type="dxa"/>
            <w:vAlign w:val="bottom"/>
            <w:tcBorders>
              <w:top w:val="single" w:sz="8" w:color="86B6A5"/>
            </w:tcBorders>
          </w:tcPr>
          <w:p>
            <w:pPr>
              <w:jc w:val="right"/>
              <w:ind w:right="370"/>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86B6A5"/>
            </w:tcBorders>
          </w:tcPr>
          <w:p>
            <w:pPr>
              <w:jc w:val="right"/>
              <w:spacing w:after="0"/>
              <w:rPr>
                <w:sz w:val="20"/>
                <w:szCs w:val="20"/>
                <w:color w:val="auto"/>
              </w:rPr>
            </w:pPr>
            <w:r>
              <w:rPr>
                <w:rFonts w:ascii="Arial" w:cs="Arial" w:eastAsia="Arial" w:hAnsi="Arial"/>
                <w:sz w:val="18"/>
                <w:szCs w:val="18"/>
                <w:color w:val="auto"/>
              </w:rPr>
              <w:t>32</w:t>
            </w:r>
          </w:p>
        </w:tc>
      </w:tr>
      <w:tr>
        <w:trPr>
          <w:trHeight w:val="203"/>
        </w:trPr>
        <w:tc>
          <w:tcPr>
            <w:tcW w:w="11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944</w:t>
            </w:r>
          </w:p>
        </w:tc>
        <w:tc>
          <w:tcPr>
            <w:tcW w:w="68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44</w:t>
            </w:r>
          </w:p>
        </w:tc>
      </w:tr>
    </w:tbl>
    <w:p>
      <w:pPr>
        <w:ind w:left="2260" w:hanging="1541"/>
        <w:spacing w:after="0"/>
        <w:tabs>
          <w:tab w:leader="none" w:pos="2260" w:val="left"/>
        </w:tabs>
        <w:numPr>
          <w:ilvl w:val="0"/>
          <w:numId w:val="49"/>
        </w:numPr>
        <w:rPr>
          <w:rFonts w:ascii="Arial" w:cs="Arial" w:eastAsia="Arial" w:hAnsi="Arial"/>
          <w:sz w:val="17"/>
          <w:szCs w:val="17"/>
          <w:color w:val="auto"/>
        </w:rPr>
      </w:pPr>
      <w:r>
        <w:rPr>
          <w:rFonts w:ascii="Arial" w:cs="Arial" w:eastAsia="Arial" w:hAnsi="Arial"/>
          <w:sz w:val="17"/>
          <w:szCs w:val="17"/>
          <w:color w:val="auto"/>
        </w:rPr>
        <w:t>52</w:t>
      </w:r>
    </w:p>
    <w:p>
      <w:pPr>
        <w:spacing w:after="0" w:line="7" w:lineRule="exact"/>
        <w:rPr>
          <w:rFonts w:ascii="Arial" w:cs="Arial" w:eastAsia="Arial" w:hAnsi="Arial"/>
          <w:sz w:val="17"/>
          <w:szCs w:val="17"/>
          <w:color w:val="auto"/>
        </w:rPr>
      </w:pPr>
    </w:p>
    <w:p>
      <w:pPr>
        <w:ind w:left="2260" w:hanging="1541"/>
        <w:spacing w:after="0"/>
        <w:tabs>
          <w:tab w:leader="none" w:pos="2260" w:val="left"/>
        </w:tabs>
        <w:numPr>
          <w:ilvl w:val="0"/>
          <w:numId w:val="50"/>
        </w:numPr>
        <w:rPr>
          <w:rFonts w:ascii="Arial" w:cs="Arial" w:eastAsia="Arial" w:hAnsi="Arial"/>
          <w:sz w:val="17"/>
          <w:szCs w:val="17"/>
          <w:color w:val="auto"/>
        </w:rPr>
      </w:pPr>
      <w:r>
        <w:rPr>
          <w:rFonts w:ascii="Arial" w:cs="Arial" w:eastAsia="Arial" w:hAnsi="Arial"/>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1569085"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569085" cy="8890"/>
                    </a:xfrm>
                    <a:prstGeom prst="rect">
                      <a:avLst/>
                    </a:prstGeom>
                    <a:noFill/>
                  </pic:spPr>
                </pic:pic>
              </a:graphicData>
            </a:graphic>
          </wp:anchor>
        </w:drawing>
      </w:r>
    </w:p>
    <w:p>
      <w:pPr>
        <w:spacing w:after="0" w:line="1" w:lineRule="exact"/>
        <w:rPr>
          <w:sz w:val="20"/>
          <w:szCs w:val="20"/>
          <w:color w:val="auto"/>
        </w:rPr>
      </w:pPr>
    </w:p>
    <w:p>
      <w:pPr>
        <w:jc w:val="both"/>
        <w:ind w:left="560"/>
        <w:spacing w:after="0"/>
        <w:tabs>
          <w:tab w:leader="none" w:pos="1220" w:val="left"/>
          <w:tab w:leader="none" w:pos="2240" w:val="left"/>
        </w:tabs>
        <w:rPr>
          <w:sz w:val="20"/>
          <w:szCs w:val="20"/>
          <w:color w:val="auto"/>
        </w:rPr>
      </w:pPr>
      <w:r>
        <w:rPr>
          <w:rFonts w:ascii="Arial" w:cs="Arial" w:eastAsia="Arial" w:hAnsi="Arial"/>
          <w:sz w:val="18"/>
          <w:szCs w:val="18"/>
          <w:color w:val="auto"/>
        </w:rPr>
        <w:t>3,446</w:t>
        <w:tab/>
        <w:t>$</w:t>
      </w:r>
      <w:r>
        <w:rPr>
          <w:sz w:val="20"/>
          <w:szCs w:val="20"/>
          <w:color w:val="auto"/>
        </w:rPr>
        <w:tab/>
      </w: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-1905</wp:posOffset>
            </wp:positionV>
            <wp:extent cx="1569085"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569085" cy="17145"/>
                    </a:xfrm>
                    <a:prstGeom prst="rect">
                      <a:avLst/>
                    </a:prstGeom>
                    <a:noFill/>
                  </pic:spPr>
                </pic:pic>
              </a:graphicData>
            </a:graphic>
          </wp:anchor>
        </w:drawing>
      </w:r>
    </w:p>
    <w:p>
      <w:pPr>
        <w:spacing w:after="0" w:line="223" w:lineRule="exact"/>
        <w:rPr>
          <w:sz w:val="20"/>
          <w:szCs w:val="20"/>
          <w:color w:val="auto"/>
        </w:rPr>
      </w:pPr>
    </w:p>
    <w:p>
      <w:pPr>
        <w:sectPr>
          <w:pgSz w:w="11900" w:h="16838" w:orient="portrait"/>
          <w:cols w:equalWidth="0" w:num="2">
            <w:col w:w="8520" w:space="220"/>
            <w:col w:w="2680"/>
          </w:cols>
          <w:pgMar w:left="240" w:top="355" w:right="239" w:bottom="1440" w:gutter="0" w:footer="0" w:header="0"/>
          <w:type w:val="continuous"/>
        </w:sectPr>
      </w:pPr>
    </w:p>
    <w:p>
      <w:pPr>
        <w:spacing w:after="0" w:line="15"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We have recognized expense of $14.3, $12.7 and $14.0 related to stock options for the years ended December 31, 2010, 2009 and 2008, respectively. The total fair value of options vested during the same periods were $12.7, $13.3 and $ 12.5, respectively. As of December 31, 2010, total unrecognized compensation cost was approximately $24.9, net of estimated forfeitures, which we expect to recognize over a weighted-average period of approximately 1.8 years.</w:t>
      </w:r>
    </w:p>
    <w:p>
      <w:pPr>
        <w:spacing w:after="0" w:line="202"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We estimated the fair value of each stock option on the date of grant using the Black-Scholes option pricing model and the following assumptions: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040" w:type="dxa"/>
            <w:vAlign w:val="bottom"/>
            <w:gridSpan w:val="2"/>
          </w:tcPr>
          <w:p>
            <w:pPr>
              <w:spacing w:after="0"/>
              <w:rPr>
                <w:sz w:val="20"/>
                <w:szCs w:val="20"/>
                <w:color w:val="auto"/>
              </w:rPr>
            </w:pPr>
            <w:r>
              <w:rPr>
                <w:rFonts w:ascii="Arial" w:cs="Arial" w:eastAsia="Arial" w:hAnsi="Arial"/>
                <w:sz w:val="16"/>
                <w:szCs w:val="16"/>
                <w:b w:val="1"/>
                <w:bCs w:val="1"/>
                <w:color w:val="86B6A5"/>
              </w:rPr>
              <w:t>Year Ended December 31</w:t>
            </w:r>
          </w:p>
        </w:tc>
        <w:tc>
          <w:tcPr>
            <w:tcW w:w="1460" w:type="dxa"/>
            <w:vAlign w:val="bottom"/>
            <w:shd w:val="clear" w:color="auto" w:fill="86B6A5"/>
          </w:tcPr>
          <w:p>
            <w:pPr>
              <w:jc w:val="right"/>
              <w:ind w:right="132"/>
              <w:spacing w:after="0"/>
              <w:rPr>
                <w:sz w:val="20"/>
                <w:szCs w:val="20"/>
                <w:color w:val="auto"/>
              </w:rPr>
            </w:pPr>
            <w:r>
              <w:rPr>
                <w:rFonts w:ascii="Arial" w:cs="Arial" w:eastAsia="Arial" w:hAnsi="Arial"/>
                <w:sz w:val="16"/>
                <w:szCs w:val="16"/>
                <w:b w:val="1"/>
                <w:bCs w:val="1"/>
                <w:color w:val="FFFFFF"/>
              </w:rPr>
              <w:t>2010</w:t>
            </w:r>
          </w:p>
        </w:tc>
        <w:tc>
          <w:tcPr>
            <w:tcW w:w="1720" w:type="dxa"/>
            <w:vAlign w:val="bottom"/>
          </w:tcPr>
          <w:p>
            <w:pPr>
              <w:jc w:val="right"/>
              <w:ind w:right="392"/>
              <w:spacing w:after="0"/>
              <w:rPr>
                <w:sz w:val="20"/>
                <w:szCs w:val="20"/>
                <w:color w:val="auto"/>
              </w:rPr>
            </w:pPr>
            <w:r>
              <w:rPr>
                <w:rFonts w:ascii="Arial" w:cs="Arial" w:eastAsia="Arial" w:hAnsi="Arial"/>
                <w:sz w:val="16"/>
                <w:szCs w:val="16"/>
                <w:b w:val="1"/>
                <w:bCs w:val="1"/>
                <w:color w:val="86B6A5"/>
              </w:rPr>
              <w:t>2009</w:t>
            </w:r>
          </w:p>
        </w:tc>
        <w:tc>
          <w:tcPr>
            <w:tcW w:w="980" w:type="dxa"/>
            <w:vAlign w:val="bottom"/>
          </w:tcPr>
          <w:p>
            <w:pPr>
              <w:jc w:val="right"/>
              <w:spacing w:after="0"/>
              <w:rPr>
                <w:sz w:val="20"/>
                <w:szCs w:val="20"/>
                <w:color w:val="auto"/>
              </w:rPr>
            </w:pPr>
            <w:r>
              <w:rPr>
                <w:rFonts w:ascii="Arial" w:cs="Arial" w:eastAsia="Arial" w:hAnsi="Arial"/>
                <w:sz w:val="16"/>
                <w:szCs w:val="16"/>
                <w:b w:val="1"/>
                <w:bCs w:val="1"/>
                <w:color w:val="86B6A5"/>
              </w:rPr>
              <w:t>2008</w:t>
            </w:r>
          </w:p>
        </w:tc>
        <w:tc>
          <w:tcPr>
            <w:tcW w:w="2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7020" w:type="dxa"/>
            <w:vAlign w:val="bottom"/>
            <w:tcBorders>
              <w:top w:val="single" w:sz="8" w:color="86B6A5"/>
            </w:tcBorders>
          </w:tcPr>
          <w:p>
            <w:pPr>
              <w:spacing w:after="0" w:line="201" w:lineRule="exact"/>
              <w:rPr>
                <w:sz w:val="20"/>
                <w:szCs w:val="20"/>
                <w:color w:val="auto"/>
              </w:rPr>
            </w:pPr>
            <w:r>
              <w:rPr>
                <w:rFonts w:ascii="Arial" w:cs="Arial" w:eastAsia="Arial" w:hAnsi="Arial"/>
                <w:sz w:val="18"/>
                <w:szCs w:val="18"/>
                <w:color w:val="auto"/>
              </w:rPr>
              <w:t>Average risk-free interest rate</w:t>
            </w:r>
          </w:p>
        </w:tc>
        <w:tc>
          <w:tcPr>
            <w:tcW w:w="1460" w:type="dxa"/>
            <w:vAlign w:val="bottom"/>
            <w:tcBorders>
              <w:top w:val="single" w:sz="8" w:color="86B6A5"/>
            </w:tcBorders>
            <w:shd w:val="clear" w:color="auto" w:fill="E3F1DA"/>
          </w:tcPr>
          <w:p>
            <w:pPr>
              <w:jc w:val="right"/>
              <w:ind w:right="132"/>
              <w:spacing w:after="0" w:line="201" w:lineRule="exact"/>
              <w:rPr>
                <w:sz w:val="20"/>
                <w:szCs w:val="20"/>
                <w:color w:val="auto"/>
              </w:rPr>
            </w:pPr>
            <w:r>
              <w:rPr>
                <w:rFonts w:ascii="Arial" w:cs="Arial" w:eastAsia="Arial" w:hAnsi="Arial"/>
                <w:sz w:val="18"/>
                <w:szCs w:val="18"/>
                <w:color w:val="86B6A5"/>
              </w:rPr>
              <w:t>2.6%</w:t>
            </w:r>
          </w:p>
        </w:tc>
        <w:tc>
          <w:tcPr>
            <w:tcW w:w="1720" w:type="dxa"/>
            <w:vAlign w:val="bottom"/>
            <w:tcBorders>
              <w:top w:val="single" w:sz="8" w:color="86B6A5"/>
            </w:tcBorders>
          </w:tcPr>
          <w:p>
            <w:pPr>
              <w:jc w:val="right"/>
              <w:ind w:right="392"/>
              <w:spacing w:after="0" w:line="201" w:lineRule="exact"/>
              <w:rPr>
                <w:sz w:val="20"/>
                <w:szCs w:val="20"/>
                <w:color w:val="auto"/>
              </w:rPr>
            </w:pPr>
            <w:r>
              <w:rPr>
                <w:rFonts w:ascii="Arial" w:cs="Arial" w:eastAsia="Arial" w:hAnsi="Arial"/>
                <w:sz w:val="18"/>
                <w:szCs w:val="18"/>
                <w:color w:val="auto"/>
              </w:rPr>
              <w:t>1.8%</w:t>
            </w:r>
          </w:p>
        </w:tc>
        <w:tc>
          <w:tcPr>
            <w:tcW w:w="980" w:type="dxa"/>
            <w:vAlign w:val="bottom"/>
            <w:tcBorders>
              <w:top w:val="single" w:sz="8" w:color="86B6A5"/>
            </w:tcBorders>
          </w:tcPr>
          <w:p>
            <w:pPr>
              <w:jc w:val="right"/>
              <w:spacing w:after="0" w:line="201" w:lineRule="exact"/>
              <w:rPr>
                <w:sz w:val="20"/>
                <w:szCs w:val="20"/>
                <w:color w:val="auto"/>
              </w:rPr>
            </w:pPr>
            <w:r>
              <w:rPr>
                <w:rFonts w:ascii="Arial" w:cs="Arial" w:eastAsia="Arial" w:hAnsi="Arial"/>
                <w:sz w:val="18"/>
                <w:szCs w:val="18"/>
                <w:color w:val="auto"/>
              </w:rPr>
              <w:t>2.7%</w:t>
            </w:r>
          </w:p>
        </w:tc>
        <w:tc>
          <w:tcPr>
            <w:tcW w:w="20" w:type="dxa"/>
            <w:vAlign w:val="bottom"/>
          </w:tcPr>
          <w:p>
            <w:pPr>
              <w:spacing w:after="0"/>
              <w:rPr>
                <w:sz w:val="17"/>
                <w:szCs w:val="17"/>
                <w:color w:val="auto"/>
              </w:rPr>
            </w:pPr>
          </w:p>
        </w:tc>
      </w:tr>
      <w:tr>
        <w:trPr>
          <w:trHeight w:val="203"/>
        </w:trPr>
        <w:tc>
          <w:tcPr>
            <w:tcW w:w="7040" w:type="dxa"/>
            <w:vAlign w:val="bottom"/>
            <w:gridSpan w:val="2"/>
          </w:tcPr>
          <w:p>
            <w:pPr>
              <w:spacing w:after="0" w:line="202" w:lineRule="exact"/>
              <w:rPr>
                <w:sz w:val="20"/>
                <w:szCs w:val="20"/>
                <w:color w:val="auto"/>
              </w:rPr>
            </w:pPr>
            <w:r>
              <w:rPr>
                <w:rFonts w:ascii="Arial" w:cs="Arial" w:eastAsia="Arial" w:hAnsi="Arial"/>
                <w:sz w:val="18"/>
                <w:szCs w:val="18"/>
                <w:color w:val="auto"/>
              </w:rPr>
              <w:t>Expected dividend yield</w:t>
            </w:r>
          </w:p>
        </w:tc>
        <w:tc>
          <w:tcPr>
            <w:tcW w:w="1460" w:type="dxa"/>
            <w:vAlign w:val="bottom"/>
            <w:shd w:val="clear" w:color="auto" w:fill="E3F1DA"/>
          </w:tcPr>
          <w:p>
            <w:pPr>
              <w:jc w:val="right"/>
              <w:ind w:right="132"/>
              <w:spacing w:after="0" w:line="202" w:lineRule="exact"/>
              <w:rPr>
                <w:sz w:val="20"/>
                <w:szCs w:val="20"/>
                <w:color w:val="auto"/>
              </w:rPr>
            </w:pPr>
            <w:r>
              <w:rPr>
                <w:rFonts w:ascii="Arial" w:cs="Arial" w:eastAsia="Arial" w:hAnsi="Arial"/>
                <w:sz w:val="18"/>
                <w:szCs w:val="18"/>
                <w:color w:val="86B6A5"/>
              </w:rPr>
              <w:t>1.4%</w:t>
            </w:r>
          </w:p>
        </w:tc>
        <w:tc>
          <w:tcPr>
            <w:tcW w:w="1720" w:type="dxa"/>
            <w:vAlign w:val="bottom"/>
          </w:tcPr>
          <w:p>
            <w:pPr>
              <w:jc w:val="right"/>
              <w:ind w:right="392"/>
              <w:spacing w:after="0" w:line="202" w:lineRule="exact"/>
              <w:rPr>
                <w:sz w:val="20"/>
                <w:szCs w:val="20"/>
                <w:color w:val="auto"/>
              </w:rPr>
            </w:pPr>
            <w:r>
              <w:rPr>
                <w:rFonts w:ascii="Arial" w:cs="Arial" w:eastAsia="Arial" w:hAnsi="Arial"/>
                <w:sz w:val="18"/>
                <w:szCs w:val="18"/>
                <w:color w:val="auto"/>
              </w:rPr>
              <w:t>2.5%</w:t>
            </w:r>
          </w:p>
        </w:tc>
        <w:tc>
          <w:tcPr>
            <w:tcW w:w="10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1.2%</w:t>
            </w:r>
          </w:p>
        </w:tc>
      </w:tr>
      <w:tr>
        <w:trPr>
          <w:trHeight w:val="203"/>
        </w:trPr>
        <w:tc>
          <w:tcPr>
            <w:tcW w:w="7040" w:type="dxa"/>
            <w:vAlign w:val="bottom"/>
            <w:gridSpan w:val="2"/>
          </w:tcPr>
          <w:p>
            <w:pPr>
              <w:spacing w:after="0" w:line="202" w:lineRule="exact"/>
              <w:rPr>
                <w:sz w:val="20"/>
                <w:szCs w:val="20"/>
                <w:color w:val="auto"/>
              </w:rPr>
            </w:pPr>
            <w:r>
              <w:rPr>
                <w:rFonts w:ascii="Arial" w:cs="Arial" w:eastAsia="Arial" w:hAnsi="Arial"/>
                <w:sz w:val="18"/>
                <w:szCs w:val="18"/>
                <w:color w:val="auto"/>
              </w:rPr>
              <w:t>Expected volatility</w:t>
            </w:r>
          </w:p>
        </w:tc>
        <w:tc>
          <w:tcPr>
            <w:tcW w:w="1460" w:type="dxa"/>
            <w:vAlign w:val="bottom"/>
            <w:shd w:val="clear" w:color="auto" w:fill="E3F1DA"/>
          </w:tcPr>
          <w:p>
            <w:pPr>
              <w:jc w:val="right"/>
              <w:ind w:right="132"/>
              <w:spacing w:after="0" w:line="202" w:lineRule="exact"/>
              <w:rPr>
                <w:sz w:val="20"/>
                <w:szCs w:val="20"/>
                <w:color w:val="auto"/>
              </w:rPr>
            </w:pPr>
            <w:r>
              <w:rPr>
                <w:rFonts w:ascii="Arial" w:cs="Arial" w:eastAsia="Arial" w:hAnsi="Arial"/>
                <w:sz w:val="18"/>
                <w:szCs w:val="18"/>
                <w:color w:val="86B6A5"/>
              </w:rPr>
              <w:t>41.0%</w:t>
            </w:r>
          </w:p>
        </w:tc>
        <w:tc>
          <w:tcPr>
            <w:tcW w:w="1720" w:type="dxa"/>
            <w:vAlign w:val="bottom"/>
          </w:tcPr>
          <w:p>
            <w:pPr>
              <w:jc w:val="right"/>
              <w:ind w:right="392"/>
              <w:spacing w:after="0" w:line="202" w:lineRule="exact"/>
              <w:rPr>
                <w:sz w:val="20"/>
                <w:szCs w:val="20"/>
                <w:color w:val="auto"/>
              </w:rPr>
            </w:pPr>
            <w:r>
              <w:rPr>
                <w:rFonts w:ascii="Arial" w:cs="Arial" w:eastAsia="Arial" w:hAnsi="Arial"/>
                <w:sz w:val="18"/>
                <w:szCs w:val="18"/>
                <w:color w:val="auto"/>
              </w:rPr>
              <w:t>42.0%</w:t>
            </w:r>
          </w:p>
        </w:tc>
        <w:tc>
          <w:tcPr>
            <w:tcW w:w="10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30.0%</w:t>
            </w:r>
          </w:p>
        </w:tc>
      </w:tr>
      <w:tr>
        <w:trPr>
          <w:trHeight w:val="203"/>
        </w:trPr>
        <w:tc>
          <w:tcPr>
            <w:tcW w:w="7040" w:type="dxa"/>
            <w:vAlign w:val="bottom"/>
            <w:gridSpan w:val="2"/>
          </w:tcPr>
          <w:p>
            <w:pPr>
              <w:spacing w:after="0" w:line="203" w:lineRule="exact"/>
              <w:rPr>
                <w:sz w:val="20"/>
                <w:szCs w:val="20"/>
                <w:color w:val="auto"/>
              </w:rPr>
            </w:pPr>
            <w:r>
              <w:rPr>
                <w:rFonts w:ascii="Arial" w:cs="Arial" w:eastAsia="Arial" w:hAnsi="Arial"/>
                <w:sz w:val="18"/>
                <w:szCs w:val="18"/>
                <w:color w:val="auto"/>
              </w:rPr>
              <w:t>Expected term (years)</w:t>
            </w:r>
          </w:p>
        </w:tc>
        <w:tc>
          <w:tcPr>
            <w:tcW w:w="1460" w:type="dxa"/>
            <w:vAlign w:val="bottom"/>
            <w:shd w:val="clear" w:color="auto" w:fill="E3F1DA"/>
          </w:tcPr>
          <w:p>
            <w:pPr>
              <w:jc w:val="right"/>
              <w:ind w:right="132"/>
              <w:spacing w:after="0" w:line="203" w:lineRule="exact"/>
              <w:rPr>
                <w:sz w:val="20"/>
                <w:szCs w:val="20"/>
                <w:color w:val="auto"/>
              </w:rPr>
            </w:pPr>
            <w:r>
              <w:rPr>
                <w:rFonts w:ascii="Arial" w:cs="Arial" w:eastAsia="Arial" w:hAnsi="Arial"/>
                <w:sz w:val="18"/>
                <w:szCs w:val="18"/>
                <w:color w:val="86B6A5"/>
              </w:rPr>
              <w:t>5.4</w:t>
            </w:r>
          </w:p>
        </w:tc>
        <w:tc>
          <w:tcPr>
            <w:tcW w:w="1720" w:type="dxa"/>
            <w:vAlign w:val="bottom"/>
          </w:tcPr>
          <w:p>
            <w:pPr>
              <w:jc w:val="right"/>
              <w:ind w:right="392"/>
              <w:spacing w:after="0" w:line="203" w:lineRule="exact"/>
              <w:rPr>
                <w:sz w:val="20"/>
                <w:szCs w:val="20"/>
                <w:color w:val="auto"/>
              </w:rPr>
            </w:pPr>
            <w:r>
              <w:rPr>
                <w:rFonts w:ascii="Arial" w:cs="Arial" w:eastAsia="Arial" w:hAnsi="Arial"/>
                <w:sz w:val="18"/>
                <w:szCs w:val="18"/>
                <w:color w:val="auto"/>
              </w:rPr>
              <w:t>5.5</w:t>
            </w:r>
          </w:p>
        </w:tc>
        <w:tc>
          <w:tcPr>
            <w:tcW w:w="1000" w:type="dxa"/>
            <w:vAlign w:val="bottom"/>
            <w:gridSpan w:val="2"/>
          </w:tcPr>
          <w:p>
            <w:pPr>
              <w:jc w:val="right"/>
              <w:ind w:right="20"/>
              <w:spacing w:after="0" w:line="203" w:lineRule="exact"/>
              <w:rPr>
                <w:sz w:val="20"/>
                <w:szCs w:val="20"/>
                <w:color w:val="auto"/>
              </w:rPr>
            </w:pPr>
            <w:r>
              <w:rPr>
                <w:rFonts w:ascii="Arial" w:cs="Arial" w:eastAsia="Arial" w:hAnsi="Arial"/>
                <w:sz w:val="18"/>
                <w:szCs w:val="18"/>
                <w:color w:val="auto"/>
              </w:rPr>
              <w:t>4.9</w:t>
            </w:r>
          </w:p>
        </w:tc>
      </w:tr>
      <w:tr>
        <w:trPr>
          <w:trHeight w:val="27"/>
        </w:trPr>
        <w:tc>
          <w:tcPr>
            <w:tcW w:w="20" w:type="dxa"/>
            <w:vAlign w:val="bottom"/>
          </w:tcPr>
          <w:p>
            <w:pPr>
              <w:spacing w:after="0"/>
              <w:rPr>
                <w:sz w:val="2"/>
                <w:szCs w:val="2"/>
                <w:color w:val="auto"/>
              </w:rPr>
            </w:pPr>
          </w:p>
        </w:tc>
        <w:tc>
          <w:tcPr>
            <w:tcW w:w="7020" w:type="dxa"/>
            <w:vAlign w:val="bottom"/>
            <w:shd w:val="clear" w:color="auto" w:fill="939598"/>
          </w:tcPr>
          <w:p>
            <w:pPr>
              <w:spacing w:after="0"/>
              <w:rPr>
                <w:sz w:val="2"/>
                <w:szCs w:val="2"/>
                <w:color w:val="auto"/>
              </w:rPr>
            </w:pPr>
          </w:p>
        </w:tc>
        <w:tc>
          <w:tcPr>
            <w:tcW w:w="1460" w:type="dxa"/>
            <w:vAlign w:val="bottom"/>
            <w:shd w:val="clear" w:color="auto" w:fill="939598"/>
          </w:tcPr>
          <w:p>
            <w:pPr>
              <w:spacing w:after="0"/>
              <w:rPr>
                <w:sz w:val="2"/>
                <w:szCs w:val="2"/>
                <w:color w:val="auto"/>
              </w:rPr>
            </w:pPr>
          </w:p>
        </w:tc>
        <w:tc>
          <w:tcPr>
            <w:tcW w:w="1720" w:type="dxa"/>
            <w:vAlign w:val="bottom"/>
            <w:shd w:val="clear" w:color="auto" w:fill="939598"/>
          </w:tcPr>
          <w:p>
            <w:pPr>
              <w:spacing w:after="0"/>
              <w:rPr>
                <w:sz w:val="2"/>
                <w:szCs w:val="2"/>
                <w:color w:val="auto"/>
              </w:rPr>
            </w:pPr>
          </w:p>
        </w:tc>
        <w:tc>
          <w:tcPr>
            <w:tcW w:w="980" w:type="dxa"/>
            <w:vAlign w:val="bottom"/>
            <w:shd w:val="clear" w:color="auto" w:fill="939598"/>
          </w:tcPr>
          <w:p>
            <w:pPr>
              <w:spacing w:after="0"/>
              <w:rPr>
                <w:sz w:val="2"/>
                <w:szCs w:val="2"/>
                <w:color w:val="auto"/>
              </w:rPr>
            </w:pPr>
          </w:p>
        </w:tc>
        <w:tc>
          <w:tcPr>
            <w:tcW w:w="20" w:type="dxa"/>
            <w:vAlign w:val="bottom"/>
          </w:tcPr>
          <w:p>
            <w:pPr>
              <w:spacing w:after="0"/>
              <w:rPr>
                <w:sz w:val="2"/>
                <w:szCs w:val="2"/>
                <w:color w:val="auto"/>
              </w:rPr>
            </w:pPr>
          </w:p>
        </w:tc>
      </w:tr>
    </w:tbl>
    <w:p>
      <w:pPr>
        <w:spacing w:after="0" w:line="215"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average risk-free interest rate is based on the five-year U.S. Treasury security rate in effect as of the grant date. The expected dividend yield is based on the expected annual dividend as a percentage of the market value of our common stock as of the grant date. We determined expected volatility using a weighted average of daily historical volatility (weighted 75%) of our stock price over the past five years and implied volatility (weighted 25%) based upon exchange traded options for our common stock. We believe that a blend of historical volatility and implied volatility better reflects future market conditions and better indicates expected volatility than considering purely historical volatility. We determined the expected term of the stock options using historical data. The weighted-average grant-date fair value of options grant ed during the year was $19.26, $9.73 and $15.17 in 2010, 2009 and 2008, respectively.</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b w:val="1"/>
          <w:bCs w:val="1"/>
          <w:color w:val="4D8ABE"/>
        </w:rPr>
        <w:t>DEFERRED STOCK</w:t>
      </w:r>
    </w:p>
    <w:p>
      <w:pPr>
        <w:spacing w:after="0" w:line="23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Our non-employee directors may elect to receive deferred stock in lieu of part or all of their annual cash retainer otherwise payable to them. The number of shares of deferred stock is determined pursuant to a formula set forth in the terms and conditions adopted under the 2003 Plan and the deferred stock is settled in shares of common stock according to the terms and conditions under the 2003 Plan. As of December 31, 2010, 2009 and 2008, there were 18,403, 17,288 and 13,819 respectively, shares of deferred stock awarded under this arrangement, all of which are vested.</w:t>
      </w:r>
    </w:p>
    <w:p>
      <w:pPr>
        <w:spacing w:after="0" w:line="203"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Non-employee directors also receive an annual grant of deferred stock (or restricted stock, if they so elect) as additional compensation for board service. The award vests in one year in equal quarterly installments and the vested portion of the deferred stock is settled in shares of common stock either upon a director’s termination of service or three years after the date of grant (which may in most cases be extended at the directors’ election) in accordance with the terms and conditions under the 2003 Plan. As of December 31, 2010, 2009 and 2008, there were 4,448, 13,378 and 9,663, respectively, shares of deferred stock and 13,341, 14,710 and 7,028, respectively, shares of restricted stock granted under this arrangement, all of which are vested. We recognized expense of $0.3, $0.7 and $0.8 related to deferred stock in 2010, 2009 and 2008, respectively.</w:t>
      </w:r>
    </w:p>
    <w:p>
      <w:pPr>
        <w:spacing w:after="0" w:line="186"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939598"/>
        </w:rPr>
        <w:t xml:space="preserve">Notes to Consolidated Financial Statements </w:t>
      </w:r>
      <w:r>
        <w:rPr>
          <w:rFonts w:ascii="Arial" w:cs="Arial" w:eastAsia="Arial" w:hAnsi="Arial"/>
          <w:sz w:val="16"/>
          <w:szCs w:val="16"/>
          <w:color w:val="4D8ABE"/>
        </w:rPr>
        <w:t>Manpower 2010 Annual Report</w:t>
      </w:r>
      <w:r>
        <w:rPr>
          <w:rFonts w:ascii="Arial" w:cs="Arial" w:eastAsia="Arial" w:hAnsi="Arial"/>
          <w:sz w:val="16"/>
          <w:szCs w:val="16"/>
          <w:b w:val="1"/>
          <w:bCs w:val="1"/>
          <w:color w:val="939598"/>
        </w:rPr>
        <w:t xml:space="preserve"> </w:t>
      </w:r>
      <w:r>
        <w:rPr>
          <w:rFonts w:ascii="Arial" w:cs="Arial" w:eastAsia="Arial" w:hAnsi="Arial"/>
          <w:sz w:val="16"/>
          <w:szCs w:val="16"/>
          <w:b w:val="1"/>
          <w:bCs w:val="1"/>
          <w:color w:val="4D8ABE"/>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wp:posOffset>
            </wp:positionV>
            <wp:extent cx="7267575" cy="469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type w:val="continuous"/>
        </w:sectPr>
      </w:pPr>
    </w:p>
    <w:bookmarkStart w:id="88" w:name="page89"/>
    <w:bookmarkEnd w:id="88"/>
    <w:p>
      <w:pPr>
        <w:spacing w:after="0"/>
        <w:rPr>
          <w:sz w:val="20"/>
          <w:szCs w:val="20"/>
          <w:color w:val="auto"/>
        </w:rPr>
      </w:pPr>
      <w:r>
        <w:rPr>
          <w:rFonts w:ascii="Arial" w:cs="Arial" w:eastAsia="Arial" w:hAnsi="Arial"/>
          <w:sz w:val="22"/>
          <w:szCs w:val="22"/>
          <w:color w:val="4D8ABE"/>
        </w:rPr>
        <w:t>Notes To Consolidated Financial Statements</w:t>
      </w:r>
    </w:p>
    <w:p>
      <w:pPr>
        <w:spacing w:after="0"/>
        <w:rPr>
          <w:sz w:val="20"/>
          <w:szCs w:val="20"/>
          <w:color w:val="auto"/>
        </w:rPr>
      </w:pPr>
      <w:r>
        <w:rPr>
          <w:rFonts w:ascii="Arial" w:cs="Arial" w:eastAsia="Arial" w:hAnsi="Arial"/>
          <w:sz w:val="18"/>
          <w:szCs w:val="18"/>
          <w:color w:val="4D8ABE"/>
        </w:rPr>
        <w:t>in millions, except share and per share data</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4D8ABE"/>
        </w:rPr>
        <w:t>RESTRICTED STOCK</w:t>
      </w:r>
    </w:p>
    <w:p>
      <w:pPr>
        <w:spacing w:after="0" w:line="238"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grant restricted stock and restricted stock unit awards to certain employees and to non-employee directors who may elect to receive restricted stock rather than deferred stock as described above. Restrictions lapse over periods ranging up to six years. We value restricted stock awards at the closing market value of our common stock on the date of grant.</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A summary of restricted stock activity is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414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320" w:type="dxa"/>
            <w:vAlign w:val="bottom"/>
          </w:tcPr>
          <w:p>
            <w:pPr>
              <w:jc w:val="right"/>
              <w:ind w:right="34"/>
              <w:spacing w:after="0"/>
              <w:rPr>
                <w:sz w:val="20"/>
                <w:szCs w:val="20"/>
                <w:color w:val="auto"/>
              </w:rPr>
            </w:pPr>
            <w:r>
              <w:rPr>
                <w:rFonts w:ascii="Arial" w:cs="Arial" w:eastAsia="Arial" w:hAnsi="Arial"/>
                <w:sz w:val="16"/>
                <w:szCs w:val="16"/>
                <w:b w:val="1"/>
                <w:bCs w:val="1"/>
                <w:color w:val="86B6A5"/>
              </w:rPr>
              <w:t>Wtd. Avg.</w:t>
            </w: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14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320" w:type="dxa"/>
            <w:vAlign w:val="bottom"/>
          </w:tcPr>
          <w:p>
            <w:pPr>
              <w:jc w:val="right"/>
              <w:ind w:right="34"/>
              <w:spacing w:after="0"/>
              <w:rPr>
                <w:sz w:val="20"/>
                <w:szCs w:val="20"/>
                <w:color w:val="auto"/>
              </w:rPr>
            </w:pPr>
            <w:r>
              <w:rPr>
                <w:rFonts w:ascii="Arial" w:cs="Arial" w:eastAsia="Arial" w:hAnsi="Arial"/>
                <w:sz w:val="16"/>
                <w:szCs w:val="16"/>
                <w:b w:val="1"/>
                <w:bCs w:val="1"/>
                <w:color w:val="86B6A5"/>
              </w:rPr>
              <w:t>Remaining</w:t>
            </w: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14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tcPr>
          <w:p>
            <w:pPr>
              <w:jc w:val="right"/>
              <w:ind w:right="171"/>
              <w:spacing w:after="0"/>
              <w:rPr>
                <w:sz w:val="20"/>
                <w:szCs w:val="20"/>
                <w:color w:val="auto"/>
              </w:rPr>
            </w:pPr>
            <w:r>
              <w:rPr>
                <w:rFonts w:ascii="Arial" w:cs="Arial" w:eastAsia="Arial" w:hAnsi="Arial"/>
                <w:sz w:val="16"/>
                <w:szCs w:val="16"/>
                <w:b w:val="1"/>
                <w:bCs w:val="1"/>
                <w:color w:val="86B6A5"/>
              </w:rPr>
              <w:t>Wtd. Avg.</w:t>
            </w:r>
          </w:p>
        </w:tc>
        <w:tc>
          <w:tcPr>
            <w:tcW w:w="1320" w:type="dxa"/>
            <w:vAlign w:val="bottom"/>
          </w:tcPr>
          <w:p>
            <w:pPr>
              <w:jc w:val="right"/>
              <w:ind w:right="34"/>
              <w:spacing w:after="0"/>
              <w:rPr>
                <w:sz w:val="20"/>
                <w:szCs w:val="20"/>
                <w:color w:val="auto"/>
              </w:rPr>
            </w:pPr>
            <w:r>
              <w:rPr>
                <w:rFonts w:ascii="Arial" w:cs="Arial" w:eastAsia="Arial" w:hAnsi="Arial"/>
                <w:sz w:val="16"/>
                <w:szCs w:val="16"/>
                <w:b w:val="1"/>
                <w:bCs w:val="1"/>
                <w:color w:val="86B6A5"/>
              </w:rPr>
              <w:t>Contractual</w:t>
            </w:r>
          </w:p>
        </w:tc>
        <w:tc>
          <w:tcPr>
            <w:tcW w:w="220" w:type="dxa"/>
            <w:vAlign w:val="bottom"/>
          </w:tcPr>
          <w:p>
            <w:pPr>
              <w:spacing w:after="0"/>
              <w:rPr>
                <w:sz w:val="17"/>
                <w:szCs w:val="17"/>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6"/>
                <w:szCs w:val="16"/>
                <w:b w:val="1"/>
                <w:bCs w:val="1"/>
                <w:color w:val="86B6A5"/>
              </w:rPr>
              <w:t>Aggregate</w:t>
            </w:r>
          </w:p>
        </w:tc>
      </w:tr>
      <w:tr>
        <w:trPr>
          <w:trHeight w:val="228"/>
        </w:trPr>
        <w:tc>
          <w:tcPr>
            <w:tcW w:w="20" w:type="dxa"/>
            <w:vAlign w:val="bottom"/>
          </w:tcPr>
          <w:p>
            <w:pPr>
              <w:spacing w:after="0"/>
              <w:rPr>
                <w:sz w:val="19"/>
                <w:szCs w:val="19"/>
                <w:color w:val="auto"/>
              </w:rPr>
            </w:pPr>
          </w:p>
        </w:tc>
        <w:tc>
          <w:tcPr>
            <w:tcW w:w="4140" w:type="dxa"/>
            <w:vAlign w:val="bottom"/>
          </w:tcPr>
          <w:p>
            <w:pPr>
              <w:spacing w:after="0"/>
              <w:rPr>
                <w:sz w:val="19"/>
                <w:szCs w:val="19"/>
                <w:color w:val="auto"/>
              </w:rPr>
            </w:pPr>
          </w:p>
        </w:tc>
        <w:tc>
          <w:tcPr>
            <w:tcW w:w="2740" w:type="dxa"/>
            <w:vAlign w:val="bottom"/>
          </w:tcPr>
          <w:p>
            <w:pPr>
              <w:jc w:val="right"/>
              <w:spacing w:after="0"/>
              <w:rPr>
                <w:sz w:val="20"/>
                <w:szCs w:val="20"/>
                <w:color w:val="auto"/>
              </w:rPr>
            </w:pPr>
            <w:r>
              <w:rPr>
                <w:rFonts w:ascii="Arial" w:cs="Arial" w:eastAsia="Arial" w:hAnsi="Arial"/>
                <w:sz w:val="16"/>
                <w:szCs w:val="16"/>
                <w:b w:val="1"/>
                <w:bCs w:val="1"/>
                <w:color w:val="86B6A5"/>
              </w:rPr>
              <w:t>Shares (000)</w:t>
            </w:r>
          </w:p>
        </w:tc>
        <w:tc>
          <w:tcPr>
            <w:tcW w:w="180" w:type="dxa"/>
            <w:vAlign w:val="bottom"/>
          </w:tcPr>
          <w:p>
            <w:pPr>
              <w:spacing w:after="0"/>
              <w:rPr>
                <w:sz w:val="19"/>
                <w:szCs w:val="19"/>
                <w:color w:val="auto"/>
              </w:rPr>
            </w:pPr>
          </w:p>
        </w:tc>
        <w:tc>
          <w:tcPr>
            <w:tcW w:w="1460" w:type="dxa"/>
            <w:vAlign w:val="bottom"/>
          </w:tcPr>
          <w:p>
            <w:pPr>
              <w:jc w:val="right"/>
              <w:ind w:right="171"/>
              <w:spacing w:after="0"/>
              <w:rPr>
                <w:sz w:val="20"/>
                <w:szCs w:val="20"/>
                <w:color w:val="auto"/>
              </w:rPr>
            </w:pPr>
            <w:r>
              <w:rPr>
                <w:rFonts w:ascii="Arial" w:cs="Arial" w:eastAsia="Arial" w:hAnsi="Arial"/>
                <w:sz w:val="16"/>
                <w:szCs w:val="16"/>
                <w:b w:val="1"/>
                <w:bCs w:val="1"/>
                <w:color w:val="86B6A5"/>
                <w:w w:val="99"/>
              </w:rPr>
              <w:t>Price Per Share</w:t>
            </w:r>
          </w:p>
        </w:tc>
        <w:tc>
          <w:tcPr>
            <w:tcW w:w="1320" w:type="dxa"/>
            <w:vAlign w:val="bottom"/>
          </w:tcPr>
          <w:p>
            <w:pPr>
              <w:jc w:val="right"/>
              <w:ind w:right="34"/>
              <w:spacing w:after="0"/>
              <w:rPr>
                <w:sz w:val="20"/>
                <w:szCs w:val="20"/>
                <w:color w:val="auto"/>
              </w:rPr>
            </w:pPr>
            <w:r>
              <w:rPr>
                <w:rFonts w:ascii="Arial" w:cs="Arial" w:eastAsia="Arial" w:hAnsi="Arial"/>
                <w:sz w:val="16"/>
                <w:szCs w:val="16"/>
                <w:b w:val="1"/>
                <w:bCs w:val="1"/>
                <w:color w:val="86B6A5"/>
              </w:rPr>
              <w:t>Term (years)</w:t>
            </w:r>
          </w:p>
        </w:tc>
        <w:tc>
          <w:tcPr>
            <w:tcW w:w="220" w:type="dxa"/>
            <w:vAlign w:val="bottom"/>
          </w:tcPr>
          <w:p>
            <w:pPr>
              <w:spacing w:after="0"/>
              <w:rPr>
                <w:sz w:val="19"/>
                <w:szCs w:val="19"/>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6"/>
                <w:szCs w:val="16"/>
                <w:b w:val="1"/>
                <w:bCs w:val="1"/>
                <w:color w:val="86B6A5"/>
              </w:rPr>
              <w:t>Intrinsic Value</w:t>
            </w:r>
          </w:p>
        </w:tc>
      </w:tr>
      <w:tr>
        <w:trPr>
          <w:trHeight w:val="202"/>
        </w:trPr>
        <w:tc>
          <w:tcPr>
            <w:tcW w:w="20" w:type="dxa"/>
            <w:vAlign w:val="bottom"/>
          </w:tcPr>
          <w:p>
            <w:pPr>
              <w:spacing w:after="0"/>
              <w:rPr>
                <w:sz w:val="17"/>
                <w:szCs w:val="17"/>
                <w:color w:val="auto"/>
              </w:rPr>
            </w:pPr>
          </w:p>
        </w:tc>
        <w:tc>
          <w:tcPr>
            <w:tcW w:w="4140" w:type="dxa"/>
            <w:vAlign w:val="bottom"/>
            <w:tcBorders>
              <w:top w:val="single" w:sz="8" w:color="86B6A5"/>
            </w:tcBorders>
          </w:tcPr>
          <w:p>
            <w:pPr>
              <w:spacing w:after="0" w:line="201" w:lineRule="exact"/>
              <w:rPr>
                <w:sz w:val="20"/>
                <w:szCs w:val="20"/>
                <w:color w:val="auto"/>
              </w:rPr>
            </w:pPr>
            <w:r>
              <w:rPr>
                <w:rFonts w:ascii="Arial" w:cs="Arial" w:eastAsia="Arial" w:hAnsi="Arial"/>
                <w:sz w:val="18"/>
                <w:szCs w:val="18"/>
                <w:color w:val="auto"/>
              </w:rPr>
              <w:t>Unvested, January 1, 2008</w:t>
            </w:r>
          </w:p>
        </w:tc>
        <w:tc>
          <w:tcPr>
            <w:tcW w:w="2740" w:type="dxa"/>
            <w:vAlign w:val="bottom"/>
            <w:tcBorders>
              <w:top w:val="single" w:sz="8" w:color="86B6A5"/>
            </w:tcBorders>
          </w:tcPr>
          <w:p>
            <w:pPr>
              <w:jc w:val="right"/>
              <w:ind w:right="51"/>
              <w:spacing w:after="0" w:line="201" w:lineRule="exact"/>
              <w:rPr>
                <w:sz w:val="20"/>
                <w:szCs w:val="20"/>
                <w:color w:val="auto"/>
              </w:rPr>
            </w:pPr>
            <w:r>
              <w:rPr>
                <w:rFonts w:ascii="Arial" w:cs="Arial" w:eastAsia="Arial" w:hAnsi="Arial"/>
                <w:sz w:val="18"/>
                <w:szCs w:val="18"/>
                <w:color w:val="auto"/>
              </w:rPr>
              <w:t>215</w:t>
            </w:r>
          </w:p>
        </w:tc>
        <w:tc>
          <w:tcPr>
            <w:tcW w:w="180" w:type="dxa"/>
            <w:vAlign w:val="bottom"/>
            <w:tcBorders>
              <w:top w:val="single" w:sz="8" w:color="86B6A5"/>
            </w:tcBorders>
          </w:tcPr>
          <w:p>
            <w:pPr>
              <w:jc w:val="right"/>
              <w:spacing w:after="0" w:line="201" w:lineRule="exact"/>
              <w:rPr>
                <w:sz w:val="20"/>
                <w:szCs w:val="20"/>
                <w:color w:val="auto"/>
              </w:rPr>
            </w:pPr>
            <w:r>
              <w:rPr>
                <w:rFonts w:ascii="Arial" w:cs="Arial" w:eastAsia="Arial" w:hAnsi="Arial"/>
                <w:sz w:val="18"/>
                <w:szCs w:val="18"/>
                <w:color w:val="auto"/>
              </w:rPr>
              <w:t>$</w:t>
            </w:r>
          </w:p>
        </w:tc>
        <w:tc>
          <w:tcPr>
            <w:tcW w:w="1460" w:type="dxa"/>
            <w:vAlign w:val="bottom"/>
            <w:tcBorders>
              <w:top w:val="single" w:sz="8" w:color="86B6A5"/>
            </w:tcBorders>
          </w:tcPr>
          <w:p>
            <w:pPr>
              <w:jc w:val="right"/>
              <w:ind w:right="171"/>
              <w:spacing w:after="0" w:line="201" w:lineRule="exact"/>
              <w:rPr>
                <w:sz w:val="20"/>
                <w:szCs w:val="20"/>
                <w:color w:val="auto"/>
              </w:rPr>
            </w:pPr>
            <w:r>
              <w:rPr>
                <w:rFonts w:ascii="Arial" w:cs="Arial" w:eastAsia="Arial" w:hAnsi="Arial"/>
                <w:sz w:val="18"/>
                <w:szCs w:val="18"/>
                <w:color w:val="auto"/>
              </w:rPr>
              <w:t>49</w:t>
            </w:r>
          </w:p>
        </w:tc>
        <w:tc>
          <w:tcPr>
            <w:tcW w:w="1320" w:type="dxa"/>
            <w:vAlign w:val="bottom"/>
            <w:tcBorders>
              <w:top w:val="single" w:sz="8" w:color="86B6A5"/>
            </w:tcBorders>
          </w:tcPr>
          <w:p>
            <w:pPr>
              <w:jc w:val="right"/>
              <w:ind w:right="34"/>
              <w:spacing w:after="0" w:line="201" w:lineRule="exact"/>
              <w:rPr>
                <w:sz w:val="20"/>
                <w:szCs w:val="20"/>
                <w:color w:val="auto"/>
              </w:rPr>
            </w:pPr>
            <w:r>
              <w:rPr>
                <w:rFonts w:ascii="Arial" w:cs="Arial" w:eastAsia="Arial" w:hAnsi="Arial"/>
                <w:sz w:val="18"/>
                <w:szCs w:val="18"/>
                <w:color w:val="auto"/>
              </w:rPr>
              <w:t>2.2</w:t>
            </w:r>
          </w:p>
        </w:tc>
        <w:tc>
          <w:tcPr>
            <w:tcW w:w="220" w:type="dxa"/>
            <w:vAlign w:val="bottom"/>
            <w:tcBorders>
              <w:top w:val="single" w:sz="8" w:color="86B6A5"/>
            </w:tcBorders>
          </w:tcPr>
          <w:p>
            <w:pPr>
              <w:spacing w:after="0"/>
              <w:rPr>
                <w:sz w:val="17"/>
                <w:szCs w:val="17"/>
                <w:color w:val="auto"/>
              </w:rPr>
            </w:pPr>
          </w:p>
        </w:tc>
        <w:tc>
          <w:tcPr>
            <w:tcW w:w="1120" w:type="dxa"/>
            <w:vAlign w:val="bottom"/>
            <w:tcBorders>
              <w:top w:val="single" w:sz="8" w:color="86B6A5"/>
            </w:tcBorders>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4160" w:type="dxa"/>
            <w:vAlign w:val="bottom"/>
            <w:gridSpan w:val="2"/>
          </w:tcPr>
          <w:p>
            <w:pPr>
              <w:spacing w:after="0" w:line="202" w:lineRule="exact"/>
              <w:rPr>
                <w:sz w:val="20"/>
                <w:szCs w:val="20"/>
                <w:color w:val="auto"/>
              </w:rPr>
            </w:pPr>
            <w:r>
              <w:rPr>
                <w:rFonts w:ascii="Arial" w:cs="Arial" w:eastAsia="Arial" w:hAnsi="Arial"/>
                <w:sz w:val="18"/>
                <w:szCs w:val="18"/>
                <w:color w:val="auto"/>
              </w:rPr>
              <w:t>Granted</w:t>
            </w:r>
          </w:p>
        </w:tc>
        <w:tc>
          <w:tcPr>
            <w:tcW w:w="2740" w:type="dxa"/>
            <w:vAlign w:val="bottom"/>
          </w:tcPr>
          <w:p>
            <w:pPr>
              <w:jc w:val="right"/>
              <w:ind w:right="51"/>
              <w:spacing w:after="0" w:line="202" w:lineRule="exact"/>
              <w:rPr>
                <w:sz w:val="20"/>
                <w:szCs w:val="20"/>
                <w:color w:val="auto"/>
              </w:rPr>
            </w:pPr>
            <w:r>
              <w:rPr>
                <w:rFonts w:ascii="Arial" w:cs="Arial" w:eastAsia="Arial" w:hAnsi="Arial"/>
                <w:sz w:val="18"/>
                <w:szCs w:val="18"/>
                <w:color w:val="auto"/>
              </w:rPr>
              <w:t>66</w:t>
            </w:r>
          </w:p>
        </w:tc>
        <w:tc>
          <w:tcPr>
            <w:tcW w:w="180" w:type="dxa"/>
            <w:vAlign w:val="bottom"/>
          </w:tcPr>
          <w:p>
            <w:pPr>
              <w:spacing w:after="0"/>
              <w:rPr>
                <w:sz w:val="17"/>
                <w:szCs w:val="17"/>
                <w:color w:val="auto"/>
              </w:rPr>
            </w:pPr>
          </w:p>
        </w:tc>
        <w:tc>
          <w:tcPr>
            <w:tcW w:w="1460" w:type="dxa"/>
            <w:vAlign w:val="bottom"/>
          </w:tcPr>
          <w:p>
            <w:pPr>
              <w:jc w:val="right"/>
              <w:ind w:right="171"/>
              <w:spacing w:after="0" w:line="202" w:lineRule="exact"/>
              <w:rPr>
                <w:sz w:val="20"/>
                <w:szCs w:val="20"/>
                <w:color w:val="auto"/>
              </w:rPr>
            </w:pPr>
            <w:r>
              <w:rPr>
                <w:rFonts w:ascii="Arial" w:cs="Arial" w:eastAsia="Arial" w:hAnsi="Arial"/>
                <w:sz w:val="18"/>
                <w:szCs w:val="18"/>
                <w:color w:val="auto"/>
              </w:rPr>
              <w:t>57</w:t>
            </w:r>
          </w:p>
        </w:tc>
        <w:tc>
          <w:tcPr>
            <w:tcW w:w="1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4160" w:type="dxa"/>
            <w:vAlign w:val="bottom"/>
            <w:tcBorders>
              <w:bottom w:val="single" w:sz="8" w:color="939598"/>
            </w:tcBorders>
            <w:gridSpan w:val="2"/>
          </w:tcPr>
          <w:p>
            <w:pPr>
              <w:spacing w:after="0" w:line="203" w:lineRule="exact"/>
              <w:rPr>
                <w:sz w:val="20"/>
                <w:szCs w:val="20"/>
                <w:color w:val="auto"/>
              </w:rPr>
            </w:pPr>
            <w:r>
              <w:rPr>
                <w:rFonts w:ascii="Arial" w:cs="Arial" w:eastAsia="Arial" w:hAnsi="Arial"/>
                <w:sz w:val="18"/>
                <w:szCs w:val="18"/>
                <w:color w:val="auto"/>
              </w:rPr>
              <w:t>Vested</w:t>
            </w:r>
          </w:p>
        </w:tc>
        <w:tc>
          <w:tcPr>
            <w:tcW w:w="2740" w:type="dxa"/>
            <w:vAlign w:val="bottom"/>
            <w:tcBorders>
              <w:bottom w:val="single" w:sz="8" w:color="939598"/>
            </w:tcBorders>
          </w:tcPr>
          <w:p>
            <w:pPr>
              <w:jc w:val="right"/>
              <w:spacing w:after="0" w:line="203" w:lineRule="exact"/>
              <w:rPr>
                <w:sz w:val="20"/>
                <w:szCs w:val="20"/>
                <w:color w:val="auto"/>
              </w:rPr>
            </w:pPr>
            <w:r>
              <w:rPr>
                <w:rFonts w:ascii="Arial" w:cs="Arial" w:eastAsia="Arial" w:hAnsi="Arial"/>
                <w:sz w:val="18"/>
                <w:szCs w:val="18"/>
                <w:color w:val="auto"/>
              </w:rPr>
              <w:t>(89)</w:t>
            </w:r>
          </w:p>
        </w:tc>
        <w:tc>
          <w:tcPr>
            <w:tcW w:w="180" w:type="dxa"/>
            <w:vAlign w:val="bottom"/>
            <w:tcBorders>
              <w:bottom w:val="single" w:sz="8" w:color="939598"/>
            </w:tcBorders>
          </w:tcPr>
          <w:p>
            <w:pPr>
              <w:spacing w:after="0"/>
              <w:rPr>
                <w:sz w:val="17"/>
                <w:szCs w:val="17"/>
                <w:color w:val="auto"/>
              </w:rPr>
            </w:pPr>
          </w:p>
        </w:tc>
        <w:tc>
          <w:tcPr>
            <w:tcW w:w="1460" w:type="dxa"/>
            <w:vAlign w:val="bottom"/>
            <w:tcBorders>
              <w:bottom w:val="single" w:sz="8" w:color="939598"/>
            </w:tcBorders>
          </w:tcPr>
          <w:p>
            <w:pPr>
              <w:jc w:val="right"/>
              <w:ind w:right="171"/>
              <w:spacing w:after="0" w:line="203" w:lineRule="exact"/>
              <w:rPr>
                <w:sz w:val="20"/>
                <w:szCs w:val="20"/>
                <w:color w:val="auto"/>
              </w:rPr>
            </w:pPr>
            <w:r>
              <w:rPr>
                <w:rFonts w:ascii="Arial" w:cs="Arial" w:eastAsia="Arial" w:hAnsi="Arial"/>
                <w:sz w:val="18"/>
                <w:szCs w:val="18"/>
                <w:color w:val="auto"/>
              </w:rPr>
              <w:t>42</w:t>
            </w:r>
          </w:p>
        </w:tc>
        <w:tc>
          <w:tcPr>
            <w:tcW w:w="1320" w:type="dxa"/>
            <w:vAlign w:val="bottom"/>
            <w:tcBorders>
              <w:bottom w:val="single" w:sz="8" w:color="939598"/>
            </w:tcBorders>
          </w:tcPr>
          <w:p>
            <w:pPr>
              <w:spacing w:after="0"/>
              <w:rPr>
                <w:sz w:val="17"/>
                <w:szCs w:val="17"/>
                <w:color w:val="auto"/>
              </w:rPr>
            </w:pPr>
          </w:p>
        </w:tc>
        <w:tc>
          <w:tcPr>
            <w:tcW w:w="220" w:type="dxa"/>
            <w:vAlign w:val="bottom"/>
            <w:tcBorders>
              <w:bottom w:val="single" w:sz="8" w:color="939598"/>
            </w:tcBorders>
          </w:tcPr>
          <w:p>
            <w:pPr>
              <w:spacing w:after="0"/>
              <w:rPr>
                <w:sz w:val="17"/>
                <w:szCs w:val="17"/>
                <w:color w:val="auto"/>
              </w:rPr>
            </w:pPr>
          </w:p>
        </w:tc>
        <w:tc>
          <w:tcPr>
            <w:tcW w:w="1120" w:type="dxa"/>
            <w:vAlign w:val="bottom"/>
            <w:tcBorders>
              <w:bottom w:val="single" w:sz="8" w:color="939598"/>
            </w:tcBorders>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4160" w:type="dxa"/>
            <w:vAlign w:val="bottom"/>
            <w:tcBorders>
              <w:bottom w:val="single" w:sz="8" w:color="939598"/>
            </w:tcBorders>
            <w:gridSpan w:val="2"/>
          </w:tcPr>
          <w:p>
            <w:pPr>
              <w:spacing w:after="0" w:line="196" w:lineRule="exact"/>
              <w:rPr>
                <w:sz w:val="20"/>
                <w:szCs w:val="20"/>
                <w:color w:val="auto"/>
              </w:rPr>
            </w:pPr>
            <w:r>
              <w:rPr>
                <w:rFonts w:ascii="Arial" w:cs="Arial" w:eastAsia="Arial" w:hAnsi="Arial"/>
                <w:sz w:val="18"/>
                <w:szCs w:val="18"/>
                <w:color w:val="auto"/>
              </w:rPr>
              <w:t>Unvested, December 31, 2008</w:t>
            </w:r>
          </w:p>
        </w:tc>
        <w:tc>
          <w:tcPr>
            <w:tcW w:w="2740" w:type="dxa"/>
            <w:vAlign w:val="bottom"/>
            <w:tcBorders>
              <w:bottom w:val="single" w:sz="8" w:color="939598"/>
            </w:tcBorders>
          </w:tcPr>
          <w:p>
            <w:pPr>
              <w:jc w:val="right"/>
              <w:ind w:right="51"/>
              <w:spacing w:after="0" w:line="196" w:lineRule="exact"/>
              <w:rPr>
                <w:sz w:val="20"/>
                <w:szCs w:val="20"/>
                <w:color w:val="auto"/>
              </w:rPr>
            </w:pPr>
            <w:r>
              <w:rPr>
                <w:rFonts w:ascii="Arial" w:cs="Arial" w:eastAsia="Arial" w:hAnsi="Arial"/>
                <w:sz w:val="18"/>
                <w:szCs w:val="18"/>
                <w:color w:val="auto"/>
              </w:rPr>
              <w:t>192</w:t>
            </w:r>
          </w:p>
        </w:tc>
        <w:tc>
          <w:tcPr>
            <w:tcW w:w="180" w:type="dxa"/>
            <w:vAlign w:val="bottom"/>
            <w:tcBorders>
              <w:bottom w:val="single" w:sz="8" w:color="939598"/>
            </w:tcBorders>
          </w:tcPr>
          <w:p>
            <w:pPr>
              <w:jc w:val="right"/>
              <w:spacing w:after="0" w:line="196" w:lineRule="exact"/>
              <w:rPr>
                <w:sz w:val="20"/>
                <w:szCs w:val="20"/>
                <w:color w:val="auto"/>
              </w:rPr>
            </w:pPr>
            <w:r>
              <w:rPr>
                <w:rFonts w:ascii="Arial" w:cs="Arial" w:eastAsia="Arial" w:hAnsi="Arial"/>
                <w:sz w:val="18"/>
                <w:szCs w:val="18"/>
                <w:color w:val="auto"/>
              </w:rPr>
              <w:t>$</w:t>
            </w:r>
          </w:p>
        </w:tc>
        <w:tc>
          <w:tcPr>
            <w:tcW w:w="1460" w:type="dxa"/>
            <w:vAlign w:val="bottom"/>
            <w:tcBorders>
              <w:bottom w:val="single" w:sz="8" w:color="939598"/>
            </w:tcBorders>
          </w:tcPr>
          <w:p>
            <w:pPr>
              <w:jc w:val="right"/>
              <w:ind w:right="171"/>
              <w:spacing w:after="0" w:line="196" w:lineRule="exact"/>
              <w:rPr>
                <w:sz w:val="20"/>
                <w:szCs w:val="20"/>
                <w:color w:val="auto"/>
              </w:rPr>
            </w:pPr>
            <w:r>
              <w:rPr>
                <w:rFonts w:ascii="Arial" w:cs="Arial" w:eastAsia="Arial" w:hAnsi="Arial"/>
                <w:sz w:val="18"/>
                <w:szCs w:val="18"/>
                <w:color w:val="auto"/>
              </w:rPr>
              <w:t>55</w:t>
            </w:r>
          </w:p>
        </w:tc>
        <w:tc>
          <w:tcPr>
            <w:tcW w:w="1320" w:type="dxa"/>
            <w:vAlign w:val="bottom"/>
            <w:tcBorders>
              <w:bottom w:val="single" w:sz="8" w:color="939598"/>
            </w:tcBorders>
          </w:tcPr>
          <w:p>
            <w:pPr>
              <w:jc w:val="right"/>
              <w:ind w:right="34"/>
              <w:spacing w:after="0" w:line="196" w:lineRule="exact"/>
              <w:rPr>
                <w:sz w:val="20"/>
                <w:szCs w:val="20"/>
                <w:color w:val="auto"/>
              </w:rPr>
            </w:pPr>
            <w:r>
              <w:rPr>
                <w:rFonts w:ascii="Arial" w:cs="Arial" w:eastAsia="Arial" w:hAnsi="Arial"/>
                <w:sz w:val="18"/>
                <w:szCs w:val="18"/>
                <w:color w:val="auto"/>
              </w:rPr>
              <w:t>2.7</w:t>
            </w:r>
          </w:p>
        </w:tc>
        <w:tc>
          <w:tcPr>
            <w:tcW w:w="220" w:type="dxa"/>
            <w:vAlign w:val="bottom"/>
            <w:tcBorders>
              <w:bottom w:val="single" w:sz="8" w:color="939598"/>
            </w:tcBorders>
          </w:tcPr>
          <w:p>
            <w:pPr>
              <w:spacing w:after="0"/>
              <w:rPr>
                <w:sz w:val="17"/>
                <w:szCs w:val="17"/>
                <w:color w:val="auto"/>
              </w:rPr>
            </w:pPr>
          </w:p>
        </w:tc>
        <w:tc>
          <w:tcPr>
            <w:tcW w:w="1120" w:type="dxa"/>
            <w:vAlign w:val="bottom"/>
            <w:tcBorders>
              <w:bottom w:val="single" w:sz="8" w:color="939598"/>
            </w:tcBorders>
          </w:tcPr>
          <w:p>
            <w:pPr>
              <w:spacing w:after="0"/>
              <w:rPr>
                <w:sz w:val="17"/>
                <w:szCs w:val="17"/>
                <w:color w:val="auto"/>
              </w:rPr>
            </w:pPr>
          </w:p>
        </w:tc>
        <w:tc>
          <w:tcPr>
            <w:tcW w:w="20" w:type="dxa"/>
            <w:vAlign w:val="bottom"/>
          </w:tcPr>
          <w:p>
            <w:pPr>
              <w:spacing w:after="0"/>
              <w:rPr>
                <w:sz w:val="17"/>
                <w:szCs w:val="17"/>
                <w:color w:val="auto"/>
              </w:rPr>
            </w:pPr>
          </w:p>
        </w:tc>
      </w:tr>
      <w:tr>
        <w:trPr>
          <w:trHeight w:val="195"/>
        </w:trPr>
        <w:tc>
          <w:tcPr>
            <w:tcW w:w="4160" w:type="dxa"/>
            <w:vAlign w:val="bottom"/>
            <w:gridSpan w:val="2"/>
          </w:tcPr>
          <w:p>
            <w:pPr>
              <w:spacing w:after="0" w:line="195" w:lineRule="exact"/>
              <w:rPr>
                <w:sz w:val="20"/>
                <w:szCs w:val="20"/>
                <w:color w:val="auto"/>
              </w:rPr>
            </w:pPr>
            <w:r>
              <w:rPr>
                <w:rFonts w:ascii="Arial" w:cs="Arial" w:eastAsia="Arial" w:hAnsi="Arial"/>
                <w:sz w:val="18"/>
                <w:szCs w:val="18"/>
                <w:color w:val="auto"/>
              </w:rPr>
              <w:t>Granted</w:t>
            </w:r>
          </w:p>
        </w:tc>
        <w:tc>
          <w:tcPr>
            <w:tcW w:w="2740" w:type="dxa"/>
            <w:vAlign w:val="bottom"/>
          </w:tcPr>
          <w:p>
            <w:pPr>
              <w:jc w:val="right"/>
              <w:ind w:right="51"/>
              <w:spacing w:after="0" w:line="195" w:lineRule="exact"/>
              <w:rPr>
                <w:sz w:val="20"/>
                <w:szCs w:val="20"/>
                <w:color w:val="auto"/>
              </w:rPr>
            </w:pPr>
            <w:r>
              <w:rPr>
                <w:rFonts w:ascii="Arial" w:cs="Arial" w:eastAsia="Arial" w:hAnsi="Arial"/>
                <w:sz w:val="18"/>
                <w:szCs w:val="18"/>
                <w:color w:val="auto"/>
              </w:rPr>
              <w:t>197</w:t>
            </w:r>
          </w:p>
        </w:tc>
        <w:tc>
          <w:tcPr>
            <w:tcW w:w="180" w:type="dxa"/>
            <w:vAlign w:val="bottom"/>
          </w:tcPr>
          <w:p>
            <w:pPr>
              <w:jc w:val="right"/>
              <w:spacing w:after="0" w:line="195" w:lineRule="exact"/>
              <w:rPr>
                <w:sz w:val="20"/>
                <w:szCs w:val="20"/>
                <w:color w:val="auto"/>
              </w:rPr>
            </w:pPr>
            <w:r>
              <w:rPr>
                <w:rFonts w:ascii="Arial" w:cs="Arial" w:eastAsia="Arial" w:hAnsi="Arial"/>
                <w:sz w:val="18"/>
                <w:szCs w:val="18"/>
                <w:color w:val="auto"/>
              </w:rPr>
              <w:t>$</w:t>
            </w:r>
          </w:p>
        </w:tc>
        <w:tc>
          <w:tcPr>
            <w:tcW w:w="1460" w:type="dxa"/>
            <w:vAlign w:val="bottom"/>
          </w:tcPr>
          <w:p>
            <w:pPr>
              <w:jc w:val="right"/>
              <w:ind w:right="171"/>
              <w:spacing w:after="0" w:line="195" w:lineRule="exact"/>
              <w:rPr>
                <w:sz w:val="20"/>
                <w:szCs w:val="20"/>
                <w:color w:val="auto"/>
              </w:rPr>
            </w:pPr>
            <w:r>
              <w:rPr>
                <w:rFonts w:ascii="Arial" w:cs="Arial" w:eastAsia="Arial" w:hAnsi="Arial"/>
                <w:sz w:val="18"/>
                <w:szCs w:val="18"/>
                <w:color w:val="auto"/>
              </w:rPr>
              <w:t>31</w:t>
            </w:r>
          </w:p>
        </w:tc>
        <w:tc>
          <w:tcPr>
            <w:tcW w:w="1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3"/>
        </w:trPr>
        <w:tc>
          <w:tcPr>
            <w:tcW w:w="4160" w:type="dxa"/>
            <w:vAlign w:val="bottom"/>
            <w:gridSpan w:val="2"/>
          </w:tcPr>
          <w:p>
            <w:pPr>
              <w:spacing w:after="0" w:line="202" w:lineRule="exact"/>
              <w:rPr>
                <w:sz w:val="20"/>
                <w:szCs w:val="20"/>
                <w:color w:val="auto"/>
              </w:rPr>
            </w:pPr>
            <w:r>
              <w:rPr>
                <w:rFonts w:ascii="Arial" w:cs="Arial" w:eastAsia="Arial" w:hAnsi="Arial"/>
                <w:sz w:val="18"/>
                <w:szCs w:val="18"/>
                <w:color w:val="auto"/>
              </w:rPr>
              <w:t>Vested</w:t>
            </w:r>
          </w:p>
        </w:tc>
        <w:tc>
          <w:tcPr>
            <w:tcW w:w="2740" w:type="dxa"/>
            <w:vAlign w:val="bottom"/>
          </w:tcPr>
          <w:p>
            <w:pPr>
              <w:jc w:val="right"/>
              <w:spacing w:after="0" w:line="202" w:lineRule="exact"/>
              <w:rPr>
                <w:sz w:val="20"/>
                <w:szCs w:val="20"/>
                <w:color w:val="auto"/>
              </w:rPr>
            </w:pPr>
            <w:r>
              <w:rPr>
                <w:rFonts w:ascii="Arial" w:cs="Arial" w:eastAsia="Arial" w:hAnsi="Arial"/>
                <w:sz w:val="18"/>
                <w:szCs w:val="18"/>
                <w:color w:val="auto"/>
              </w:rPr>
              <w:t>(15)</w:t>
            </w:r>
          </w:p>
        </w:tc>
        <w:tc>
          <w:tcPr>
            <w:tcW w:w="180" w:type="dxa"/>
            <w:vAlign w:val="bottom"/>
          </w:tcPr>
          <w:p>
            <w:pPr>
              <w:spacing w:after="0"/>
              <w:rPr>
                <w:sz w:val="17"/>
                <w:szCs w:val="17"/>
                <w:color w:val="auto"/>
              </w:rPr>
            </w:pPr>
          </w:p>
        </w:tc>
        <w:tc>
          <w:tcPr>
            <w:tcW w:w="1460" w:type="dxa"/>
            <w:vAlign w:val="bottom"/>
          </w:tcPr>
          <w:p>
            <w:pPr>
              <w:jc w:val="right"/>
              <w:ind w:right="171"/>
              <w:spacing w:after="0" w:line="202" w:lineRule="exact"/>
              <w:rPr>
                <w:sz w:val="20"/>
                <w:szCs w:val="20"/>
                <w:color w:val="auto"/>
              </w:rPr>
            </w:pPr>
            <w:r>
              <w:rPr>
                <w:rFonts w:ascii="Arial" w:cs="Arial" w:eastAsia="Arial" w:hAnsi="Arial"/>
                <w:sz w:val="18"/>
                <w:szCs w:val="18"/>
                <w:color w:val="auto"/>
              </w:rPr>
              <w:t>34</w:t>
            </w:r>
          </w:p>
        </w:tc>
        <w:tc>
          <w:tcPr>
            <w:tcW w:w="1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4160" w:type="dxa"/>
            <w:vAlign w:val="bottom"/>
            <w:tcBorders>
              <w:bottom w:val="single" w:sz="8" w:color="939598"/>
            </w:tcBorders>
            <w:gridSpan w:val="2"/>
          </w:tcPr>
          <w:p>
            <w:pPr>
              <w:spacing w:after="0" w:line="203" w:lineRule="exact"/>
              <w:rPr>
                <w:sz w:val="20"/>
                <w:szCs w:val="20"/>
                <w:color w:val="auto"/>
              </w:rPr>
            </w:pPr>
            <w:r>
              <w:rPr>
                <w:rFonts w:ascii="Arial" w:cs="Arial" w:eastAsia="Arial" w:hAnsi="Arial"/>
                <w:sz w:val="18"/>
                <w:szCs w:val="18"/>
                <w:color w:val="auto"/>
              </w:rPr>
              <w:t>Forfeited</w:t>
            </w:r>
          </w:p>
        </w:tc>
        <w:tc>
          <w:tcPr>
            <w:tcW w:w="2740" w:type="dxa"/>
            <w:vAlign w:val="bottom"/>
            <w:tcBorders>
              <w:bottom w:val="single" w:sz="8" w:color="939598"/>
            </w:tcBorders>
          </w:tcPr>
          <w:p>
            <w:pPr>
              <w:jc w:val="right"/>
              <w:spacing w:after="0" w:line="203" w:lineRule="exact"/>
              <w:rPr>
                <w:sz w:val="20"/>
                <w:szCs w:val="20"/>
                <w:color w:val="auto"/>
              </w:rPr>
            </w:pPr>
            <w:r>
              <w:rPr>
                <w:rFonts w:ascii="Arial" w:cs="Arial" w:eastAsia="Arial" w:hAnsi="Arial"/>
                <w:sz w:val="18"/>
                <w:szCs w:val="18"/>
                <w:color w:val="auto"/>
              </w:rPr>
              <w:t>(5)</w:t>
            </w:r>
          </w:p>
        </w:tc>
        <w:tc>
          <w:tcPr>
            <w:tcW w:w="180" w:type="dxa"/>
            <w:vAlign w:val="bottom"/>
            <w:tcBorders>
              <w:bottom w:val="single" w:sz="8" w:color="939598"/>
            </w:tcBorders>
          </w:tcPr>
          <w:p>
            <w:pPr>
              <w:spacing w:after="0"/>
              <w:rPr>
                <w:sz w:val="17"/>
                <w:szCs w:val="17"/>
                <w:color w:val="auto"/>
              </w:rPr>
            </w:pPr>
          </w:p>
        </w:tc>
        <w:tc>
          <w:tcPr>
            <w:tcW w:w="1460" w:type="dxa"/>
            <w:vAlign w:val="bottom"/>
            <w:tcBorders>
              <w:bottom w:val="single" w:sz="8" w:color="939598"/>
            </w:tcBorders>
          </w:tcPr>
          <w:p>
            <w:pPr>
              <w:jc w:val="right"/>
              <w:ind w:right="171"/>
              <w:spacing w:after="0" w:line="203" w:lineRule="exact"/>
              <w:rPr>
                <w:sz w:val="20"/>
                <w:szCs w:val="20"/>
                <w:color w:val="auto"/>
              </w:rPr>
            </w:pPr>
            <w:r>
              <w:rPr>
                <w:rFonts w:ascii="Arial" w:cs="Arial" w:eastAsia="Arial" w:hAnsi="Arial"/>
                <w:sz w:val="18"/>
                <w:szCs w:val="18"/>
                <w:color w:val="auto"/>
              </w:rPr>
              <w:t>45</w:t>
            </w:r>
          </w:p>
        </w:tc>
        <w:tc>
          <w:tcPr>
            <w:tcW w:w="1320" w:type="dxa"/>
            <w:vAlign w:val="bottom"/>
            <w:tcBorders>
              <w:bottom w:val="single" w:sz="8" w:color="939598"/>
            </w:tcBorders>
          </w:tcPr>
          <w:p>
            <w:pPr>
              <w:spacing w:after="0"/>
              <w:rPr>
                <w:sz w:val="17"/>
                <w:szCs w:val="17"/>
                <w:color w:val="auto"/>
              </w:rPr>
            </w:pPr>
          </w:p>
        </w:tc>
        <w:tc>
          <w:tcPr>
            <w:tcW w:w="220" w:type="dxa"/>
            <w:vAlign w:val="bottom"/>
            <w:tcBorders>
              <w:bottom w:val="single" w:sz="8" w:color="939598"/>
            </w:tcBorders>
          </w:tcPr>
          <w:p>
            <w:pPr>
              <w:spacing w:after="0"/>
              <w:rPr>
                <w:sz w:val="17"/>
                <w:szCs w:val="17"/>
                <w:color w:val="auto"/>
              </w:rPr>
            </w:pPr>
          </w:p>
        </w:tc>
        <w:tc>
          <w:tcPr>
            <w:tcW w:w="1120" w:type="dxa"/>
            <w:vAlign w:val="bottom"/>
            <w:tcBorders>
              <w:bottom w:val="single" w:sz="8" w:color="939598"/>
            </w:tcBorders>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4160" w:type="dxa"/>
            <w:vAlign w:val="bottom"/>
            <w:tcBorders>
              <w:bottom w:val="single" w:sz="8" w:color="939598"/>
            </w:tcBorders>
            <w:gridSpan w:val="2"/>
          </w:tcPr>
          <w:p>
            <w:pPr>
              <w:spacing w:after="0" w:line="196" w:lineRule="exact"/>
              <w:rPr>
                <w:sz w:val="20"/>
                <w:szCs w:val="20"/>
                <w:color w:val="auto"/>
              </w:rPr>
            </w:pPr>
            <w:r>
              <w:rPr>
                <w:rFonts w:ascii="Arial" w:cs="Arial" w:eastAsia="Arial" w:hAnsi="Arial"/>
                <w:sz w:val="18"/>
                <w:szCs w:val="18"/>
                <w:color w:val="auto"/>
              </w:rPr>
              <w:t>Unvested, December 31, 2009</w:t>
            </w:r>
          </w:p>
        </w:tc>
        <w:tc>
          <w:tcPr>
            <w:tcW w:w="2740" w:type="dxa"/>
            <w:vAlign w:val="bottom"/>
            <w:tcBorders>
              <w:bottom w:val="single" w:sz="8" w:color="939598"/>
            </w:tcBorders>
          </w:tcPr>
          <w:p>
            <w:pPr>
              <w:jc w:val="right"/>
              <w:ind w:right="51"/>
              <w:spacing w:after="0" w:line="196" w:lineRule="exact"/>
              <w:rPr>
                <w:sz w:val="20"/>
                <w:szCs w:val="20"/>
                <w:color w:val="auto"/>
              </w:rPr>
            </w:pPr>
            <w:r>
              <w:rPr>
                <w:rFonts w:ascii="Arial" w:cs="Arial" w:eastAsia="Arial" w:hAnsi="Arial"/>
                <w:sz w:val="18"/>
                <w:szCs w:val="18"/>
                <w:color w:val="auto"/>
              </w:rPr>
              <w:t>369</w:t>
            </w:r>
          </w:p>
        </w:tc>
        <w:tc>
          <w:tcPr>
            <w:tcW w:w="180" w:type="dxa"/>
            <w:vAlign w:val="bottom"/>
            <w:tcBorders>
              <w:bottom w:val="single" w:sz="8" w:color="939598"/>
            </w:tcBorders>
          </w:tcPr>
          <w:p>
            <w:pPr>
              <w:jc w:val="right"/>
              <w:spacing w:after="0" w:line="196" w:lineRule="exact"/>
              <w:rPr>
                <w:sz w:val="20"/>
                <w:szCs w:val="20"/>
                <w:color w:val="auto"/>
              </w:rPr>
            </w:pPr>
            <w:r>
              <w:rPr>
                <w:rFonts w:ascii="Arial" w:cs="Arial" w:eastAsia="Arial" w:hAnsi="Arial"/>
                <w:sz w:val="18"/>
                <w:szCs w:val="18"/>
                <w:color w:val="auto"/>
              </w:rPr>
              <w:t>$</w:t>
            </w:r>
          </w:p>
        </w:tc>
        <w:tc>
          <w:tcPr>
            <w:tcW w:w="1460" w:type="dxa"/>
            <w:vAlign w:val="bottom"/>
            <w:tcBorders>
              <w:bottom w:val="single" w:sz="8" w:color="939598"/>
            </w:tcBorders>
          </w:tcPr>
          <w:p>
            <w:pPr>
              <w:jc w:val="right"/>
              <w:ind w:right="171"/>
              <w:spacing w:after="0" w:line="196" w:lineRule="exact"/>
              <w:rPr>
                <w:sz w:val="20"/>
                <w:szCs w:val="20"/>
                <w:color w:val="auto"/>
              </w:rPr>
            </w:pPr>
            <w:r>
              <w:rPr>
                <w:rFonts w:ascii="Arial" w:cs="Arial" w:eastAsia="Arial" w:hAnsi="Arial"/>
                <w:sz w:val="18"/>
                <w:szCs w:val="18"/>
                <w:color w:val="auto"/>
              </w:rPr>
              <w:t>43</w:t>
            </w:r>
          </w:p>
        </w:tc>
        <w:tc>
          <w:tcPr>
            <w:tcW w:w="1320" w:type="dxa"/>
            <w:vAlign w:val="bottom"/>
            <w:tcBorders>
              <w:bottom w:val="single" w:sz="8" w:color="939598"/>
            </w:tcBorders>
          </w:tcPr>
          <w:p>
            <w:pPr>
              <w:jc w:val="right"/>
              <w:ind w:right="34"/>
              <w:spacing w:after="0" w:line="196" w:lineRule="exact"/>
              <w:rPr>
                <w:sz w:val="20"/>
                <w:szCs w:val="20"/>
                <w:color w:val="auto"/>
              </w:rPr>
            </w:pPr>
            <w:r>
              <w:rPr>
                <w:rFonts w:ascii="Arial" w:cs="Arial" w:eastAsia="Arial" w:hAnsi="Arial"/>
                <w:sz w:val="18"/>
                <w:szCs w:val="18"/>
                <w:color w:val="auto"/>
              </w:rPr>
              <w:t>1.6</w:t>
            </w:r>
          </w:p>
        </w:tc>
        <w:tc>
          <w:tcPr>
            <w:tcW w:w="220" w:type="dxa"/>
            <w:vAlign w:val="bottom"/>
            <w:tcBorders>
              <w:bottom w:val="single" w:sz="8" w:color="939598"/>
            </w:tcBorders>
          </w:tcPr>
          <w:p>
            <w:pPr>
              <w:spacing w:after="0"/>
              <w:rPr>
                <w:sz w:val="17"/>
                <w:szCs w:val="17"/>
                <w:color w:val="auto"/>
              </w:rPr>
            </w:pPr>
          </w:p>
        </w:tc>
        <w:tc>
          <w:tcPr>
            <w:tcW w:w="1120" w:type="dxa"/>
            <w:vAlign w:val="bottom"/>
            <w:tcBorders>
              <w:bottom w:val="single" w:sz="8" w:color="939598"/>
            </w:tcBorders>
          </w:tcPr>
          <w:p>
            <w:pPr>
              <w:spacing w:after="0"/>
              <w:rPr>
                <w:sz w:val="17"/>
                <w:szCs w:val="17"/>
                <w:color w:val="auto"/>
              </w:rPr>
            </w:pPr>
          </w:p>
        </w:tc>
        <w:tc>
          <w:tcPr>
            <w:tcW w:w="20" w:type="dxa"/>
            <w:vAlign w:val="bottom"/>
          </w:tcPr>
          <w:p>
            <w:pPr>
              <w:spacing w:after="0"/>
              <w:rPr>
                <w:sz w:val="17"/>
                <w:szCs w:val="17"/>
                <w:color w:val="auto"/>
              </w:rPr>
            </w:pPr>
          </w:p>
        </w:tc>
      </w:tr>
      <w:tr>
        <w:trPr>
          <w:trHeight w:val="195"/>
        </w:trPr>
        <w:tc>
          <w:tcPr>
            <w:tcW w:w="4160" w:type="dxa"/>
            <w:vAlign w:val="bottom"/>
            <w:gridSpan w:val="2"/>
          </w:tcPr>
          <w:p>
            <w:pPr>
              <w:spacing w:after="0" w:line="195" w:lineRule="exact"/>
              <w:rPr>
                <w:sz w:val="20"/>
                <w:szCs w:val="20"/>
                <w:color w:val="auto"/>
              </w:rPr>
            </w:pPr>
            <w:r>
              <w:rPr>
                <w:rFonts w:ascii="Arial" w:cs="Arial" w:eastAsia="Arial" w:hAnsi="Arial"/>
                <w:sz w:val="18"/>
                <w:szCs w:val="18"/>
                <w:color w:val="auto"/>
              </w:rPr>
              <w:t>Granted</w:t>
            </w:r>
          </w:p>
        </w:tc>
        <w:tc>
          <w:tcPr>
            <w:tcW w:w="2740" w:type="dxa"/>
            <w:vAlign w:val="bottom"/>
          </w:tcPr>
          <w:p>
            <w:pPr>
              <w:jc w:val="right"/>
              <w:ind w:right="51"/>
              <w:spacing w:after="0" w:line="195" w:lineRule="exact"/>
              <w:rPr>
                <w:sz w:val="20"/>
                <w:szCs w:val="20"/>
                <w:color w:val="auto"/>
              </w:rPr>
            </w:pPr>
            <w:r>
              <w:rPr>
                <w:rFonts w:ascii="Arial" w:cs="Arial" w:eastAsia="Arial" w:hAnsi="Arial"/>
                <w:sz w:val="18"/>
                <w:szCs w:val="18"/>
                <w:color w:val="auto"/>
              </w:rPr>
              <w:t>21</w:t>
            </w:r>
          </w:p>
        </w:tc>
        <w:tc>
          <w:tcPr>
            <w:tcW w:w="180" w:type="dxa"/>
            <w:vAlign w:val="bottom"/>
          </w:tcPr>
          <w:p>
            <w:pPr>
              <w:jc w:val="right"/>
              <w:spacing w:after="0" w:line="195" w:lineRule="exact"/>
              <w:rPr>
                <w:sz w:val="20"/>
                <w:szCs w:val="20"/>
                <w:color w:val="auto"/>
              </w:rPr>
            </w:pPr>
            <w:r>
              <w:rPr>
                <w:rFonts w:ascii="Arial" w:cs="Arial" w:eastAsia="Arial" w:hAnsi="Arial"/>
                <w:sz w:val="18"/>
                <w:szCs w:val="18"/>
                <w:color w:val="auto"/>
              </w:rPr>
              <w:t>$</w:t>
            </w:r>
          </w:p>
        </w:tc>
        <w:tc>
          <w:tcPr>
            <w:tcW w:w="1460" w:type="dxa"/>
            <w:vAlign w:val="bottom"/>
          </w:tcPr>
          <w:p>
            <w:pPr>
              <w:jc w:val="right"/>
              <w:ind w:right="171"/>
              <w:spacing w:after="0" w:line="195" w:lineRule="exact"/>
              <w:rPr>
                <w:sz w:val="20"/>
                <w:szCs w:val="20"/>
                <w:color w:val="auto"/>
              </w:rPr>
            </w:pPr>
            <w:r>
              <w:rPr>
                <w:rFonts w:ascii="Arial" w:cs="Arial" w:eastAsia="Arial" w:hAnsi="Arial"/>
                <w:sz w:val="18"/>
                <w:szCs w:val="18"/>
                <w:color w:val="auto"/>
              </w:rPr>
              <w:t>56</w:t>
            </w:r>
          </w:p>
        </w:tc>
        <w:tc>
          <w:tcPr>
            <w:tcW w:w="1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3"/>
        </w:trPr>
        <w:tc>
          <w:tcPr>
            <w:tcW w:w="4160" w:type="dxa"/>
            <w:vAlign w:val="bottom"/>
            <w:gridSpan w:val="2"/>
          </w:tcPr>
          <w:p>
            <w:pPr>
              <w:spacing w:after="0" w:line="202" w:lineRule="exact"/>
              <w:rPr>
                <w:sz w:val="20"/>
                <w:szCs w:val="20"/>
                <w:color w:val="auto"/>
              </w:rPr>
            </w:pPr>
            <w:r>
              <w:rPr>
                <w:rFonts w:ascii="Arial" w:cs="Arial" w:eastAsia="Arial" w:hAnsi="Arial"/>
                <w:sz w:val="18"/>
                <w:szCs w:val="18"/>
                <w:color w:val="auto"/>
              </w:rPr>
              <w:t>Vested</w:t>
            </w:r>
          </w:p>
        </w:tc>
        <w:tc>
          <w:tcPr>
            <w:tcW w:w="2740" w:type="dxa"/>
            <w:vAlign w:val="bottom"/>
          </w:tcPr>
          <w:p>
            <w:pPr>
              <w:jc w:val="right"/>
              <w:spacing w:after="0" w:line="202" w:lineRule="exact"/>
              <w:rPr>
                <w:sz w:val="20"/>
                <w:szCs w:val="20"/>
                <w:color w:val="auto"/>
              </w:rPr>
            </w:pPr>
            <w:r>
              <w:rPr>
                <w:rFonts w:ascii="Arial" w:cs="Arial" w:eastAsia="Arial" w:hAnsi="Arial"/>
                <w:sz w:val="18"/>
                <w:szCs w:val="18"/>
                <w:color w:val="auto"/>
              </w:rPr>
              <w:t>(86)</w:t>
            </w:r>
          </w:p>
        </w:tc>
        <w:tc>
          <w:tcPr>
            <w:tcW w:w="180" w:type="dxa"/>
            <w:vAlign w:val="bottom"/>
          </w:tcPr>
          <w:p>
            <w:pPr>
              <w:spacing w:after="0"/>
              <w:rPr>
                <w:sz w:val="17"/>
                <w:szCs w:val="17"/>
                <w:color w:val="auto"/>
              </w:rPr>
            </w:pPr>
          </w:p>
        </w:tc>
        <w:tc>
          <w:tcPr>
            <w:tcW w:w="1460" w:type="dxa"/>
            <w:vAlign w:val="bottom"/>
          </w:tcPr>
          <w:p>
            <w:pPr>
              <w:jc w:val="right"/>
              <w:ind w:right="171"/>
              <w:spacing w:after="0" w:line="202" w:lineRule="exact"/>
              <w:rPr>
                <w:sz w:val="20"/>
                <w:szCs w:val="20"/>
                <w:color w:val="auto"/>
              </w:rPr>
            </w:pPr>
            <w:r>
              <w:rPr>
                <w:rFonts w:ascii="Arial" w:cs="Arial" w:eastAsia="Arial" w:hAnsi="Arial"/>
                <w:sz w:val="18"/>
                <w:szCs w:val="18"/>
                <w:color w:val="auto"/>
              </w:rPr>
              <w:t>41</w:t>
            </w:r>
          </w:p>
        </w:tc>
        <w:tc>
          <w:tcPr>
            <w:tcW w:w="1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0"/>
        </w:trPr>
        <w:tc>
          <w:tcPr>
            <w:tcW w:w="4160" w:type="dxa"/>
            <w:vAlign w:val="bottom"/>
            <w:tcBorders>
              <w:bottom w:val="single" w:sz="8" w:color="939598"/>
            </w:tcBorders>
            <w:gridSpan w:val="2"/>
          </w:tcPr>
          <w:p>
            <w:pPr>
              <w:spacing w:after="0" w:line="203" w:lineRule="exact"/>
              <w:rPr>
                <w:sz w:val="20"/>
                <w:szCs w:val="20"/>
                <w:color w:val="auto"/>
              </w:rPr>
            </w:pPr>
            <w:r>
              <w:rPr>
                <w:rFonts w:ascii="Arial" w:cs="Arial" w:eastAsia="Arial" w:hAnsi="Arial"/>
                <w:sz w:val="18"/>
                <w:szCs w:val="18"/>
                <w:color w:val="auto"/>
              </w:rPr>
              <w:t>Forfeited</w:t>
            </w:r>
          </w:p>
        </w:tc>
        <w:tc>
          <w:tcPr>
            <w:tcW w:w="2740" w:type="dxa"/>
            <w:vAlign w:val="bottom"/>
            <w:tcBorders>
              <w:bottom w:val="single" w:sz="8" w:color="939598"/>
            </w:tcBorders>
          </w:tcPr>
          <w:p>
            <w:pPr>
              <w:jc w:val="right"/>
              <w:spacing w:after="0" w:line="203" w:lineRule="exact"/>
              <w:rPr>
                <w:sz w:val="20"/>
                <w:szCs w:val="20"/>
                <w:color w:val="auto"/>
              </w:rPr>
            </w:pPr>
            <w:r>
              <w:rPr>
                <w:rFonts w:ascii="Arial" w:cs="Arial" w:eastAsia="Arial" w:hAnsi="Arial"/>
                <w:sz w:val="18"/>
                <w:szCs w:val="18"/>
                <w:color w:val="auto"/>
              </w:rPr>
              <w:t>(9)</w:t>
            </w:r>
          </w:p>
        </w:tc>
        <w:tc>
          <w:tcPr>
            <w:tcW w:w="180" w:type="dxa"/>
            <w:vAlign w:val="bottom"/>
            <w:tcBorders>
              <w:bottom w:val="single" w:sz="8" w:color="939598"/>
            </w:tcBorders>
          </w:tcPr>
          <w:p>
            <w:pPr>
              <w:spacing w:after="0"/>
              <w:rPr>
                <w:sz w:val="18"/>
                <w:szCs w:val="18"/>
                <w:color w:val="auto"/>
              </w:rPr>
            </w:pPr>
          </w:p>
        </w:tc>
        <w:tc>
          <w:tcPr>
            <w:tcW w:w="1460" w:type="dxa"/>
            <w:vAlign w:val="bottom"/>
            <w:tcBorders>
              <w:bottom w:val="single" w:sz="8" w:color="939598"/>
            </w:tcBorders>
          </w:tcPr>
          <w:p>
            <w:pPr>
              <w:jc w:val="right"/>
              <w:ind w:right="171"/>
              <w:spacing w:after="0" w:line="203" w:lineRule="exact"/>
              <w:rPr>
                <w:sz w:val="20"/>
                <w:szCs w:val="20"/>
                <w:color w:val="auto"/>
              </w:rPr>
            </w:pPr>
            <w:r>
              <w:rPr>
                <w:rFonts w:ascii="Arial" w:cs="Arial" w:eastAsia="Arial" w:hAnsi="Arial"/>
                <w:sz w:val="18"/>
                <w:szCs w:val="18"/>
                <w:color w:val="auto"/>
              </w:rPr>
              <w:t>31</w:t>
            </w:r>
          </w:p>
        </w:tc>
        <w:tc>
          <w:tcPr>
            <w:tcW w:w="1320" w:type="dxa"/>
            <w:vAlign w:val="bottom"/>
            <w:tcBorders>
              <w:bottom w:val="single" w:sz="8" w:color="939598"/>
            </w:tcBorders>
          </w:tcPr>
          <w:p>
            <w:pPr>
              <w:spacing w:after="0"/>
              <w:rPr>
                <w:sz w:val="18"/>
                <w:szCs w:val="18"/>
                <w:color w:val="auto"/>
              </w:rPr>
            </w:pPr>
          </w:p>
        </w:tc>
        <w:tc>
          <w:tcPr>
            <w:tcW w:w="220" w:type="dxa"/>
            <w:vAlign w:val="bottom"/>
            <w:tcBorders>
              <w:bottom w:val="single" w:sz="8" w:color="939598"/>
            </w:tcBorders>
          </w:tcPr>
          <w:p>
            <w:pPr>
              <w:spacing w:after="0"/>
              <w:rPr>
                <w:sz w:val="18"/>
                <w:szCs w:val="18"/>
                <w:color w:val="auto"/>
              </w:rPr>
            </w:pPr>
          </w:p>
        </w:tc>
        <w:tc>
          <w:tcPr>
            <w:tcW w:w="1120" w:type="dxa"/>
            <w:vAlign w:val="bottom"/>
            <w:tcBorders>
              <w:bottom w:val="single" w:sz="8" w:color="939598"/>
            </w:tcBorders>
          </w:tcPr>
          <w:p>
            <w:pPr>
              <w:spacing w:after="0"/>
              <w:rPr>
                <w:sz w:val="18"/>
                <w:szCs w:val="18"/>
                <w:color w:val="auto"/>
              </w:rPr>
            </w:pPr>
          </w:p>
        </w:tc>
        <w:tc>
          <w:tcPr>
            <w:tcW w:w="20" w:type="dxa"/>
            <w:vAlign w:val="bottom"/>
          </w:tcPr>
          <w:p>
            <w:pPr>
              <w:spacing w:after="0"/>
              <w:rPr>
                <w:sz w:val="18"/>
                <w:szCs w:val="18"/>
                <w:color w:val="auto"/>
              </w:rPr>
            </w:pPr>
          </w:p>
        </w:tc>
      </w:tr>
      <w:tr>
        <w:trPr>
          <w:trHeight w:val="210"/>
        </w:trPr>
        <w:tc>
          <w:tcPr>
            <w:tcW w:w="4160" w:type="dxa"/>
            <w:vAlign w:val="bottom"/>
            <w:tcBorders>
              <w:bottom w:val="single" w:sz="8" w:color="939598"/>
            </w:tcBorders>
            <w:gridSpan w:val="2"/>
          </w:tcPr>
          <w:p>
            <w:pPr>
              <w:spacing w:after="0" w:line="202" w:lineRule="exact"/>
              <w:rPr>
                <w:sz w:val="20"/>
                <w:szCs w:val="20"/>
                <w:color w:val="auto"/>
              </w:rPr>
            </w:pPr>
            <w:r>
              <w:rPr>
                <w:rFonts w:ascii="Arial" w:cs="Arial" w:eastAsia="Arial" w:hAnsi="Arial"/>
                <w:sz w:val="18"/>
                <w:szCs w:val="18"/>
                <w:color w:val="auto"/>
              </w:rPr>
              <w:t>Unvested, December 31, 2010</w:t>
            </w:r>
          </w:p>
        </w:tc>
        <w:tc>
          <w:tcPr>
            <w:tcW w:w="2740" w:type="dxa"/>
            <w:vAlign w:val="bottom"/>
            <w:tcBorders>
              <w:bottom w:val="single" w:sz="8" w:color="939598"/>
            </w:tcBorders>
          </w:tcPr>
          <w:p>
            <w:pPr>
              <w:jc w:val="right"/>
              <w:ind w:right="51"/>
              <w:spacing w:after="0" w:line="202" w:lineRule="exact"/>
              <w:rPr>
                <w:sz w:val="20"/>
                <w:szCs w:val="20"/>
                <w:color w:val="auto"/>
              </w:rPr>
            </w:pPr>
            <w:r>
              <w:rPr>
                <w:rFonts w:ascii="Arial" w:cs="Arial" w:eastAsia="Arial" w:hAnsi="Arial"/>
                <w:sz w:val="18"/>
                <w:szCs w:val="18"/>
                <w:color w:val="auto"/>
              </w:rPr>
              <w:t>295</w:t>
            </w:r>
          </w:p>
        </w:tc>
        <w:tc>
          <w:tcPr>
            <w:tcW w:w="180" w:type="dxa"/>
            <w:vAlign w:val="bottom"/>
            <w:tcBorders>
              <w:bottom w:val="single" w:sz="8" w:color="939598"/>
            </w:tcBorders>
          </w:tcPr>
          <w:p>
            <w:pPr>
              <w:jc w:val="right"/>
              <w:spacing w:after="0" w:line="202" w:lineRule="exact"/>
              <w:rPr>
                <w:sz w:val="20"/>
                <w:szCs w:val="20"/>
                <w:color w:val="auto"/>
              </w:rPr>
            </w:pPr>
            <w:r>
              <w:rPr>
                <w:rFonts w:ascii="Arial" w:cs="Arial" w:eastAsia="Arial" w:hAnsi="Arial"/>
                <w:sz w:val="18"/>
                <w:szCs w:val="18"/>
                <w:color w:val="auto"/>
              </w:rPr>
              <w:t>$</w:t>
            </w:r>
          </w:p>
        </w:tc>
        <w:tc>
          <w:tcPr>
            <w:tcW w:w="1460" w:type="dxa"/>
            <w:vAlign w:val="bottom"/>
            <w:tcBorders>
              <w:bottom w:val="single" w:sz="8" w:color="939598"/>
            </w:tcBorders>
          </w:tcPr>
          <w:p>
            <w:pPr>
              <w:jc w:val="right"/>
              <w:ind w:right="171"/>
              <w:spacing w:after="0" w:line="202" w:lineRule="exact"/>
              <w:rPr>
                <w:sz w:val="20"/>
                <w:szCs w:val="20"/>
                <w:color w:val="auto"/>
              </w:rPr>
            </w:pPr>
            <w:r>
              <w:rPr>
                <w:rFonts w:ascii="Arial" w:cs="Arial" w:eastAsia="Arial" w:hAnsi="Arial"/>
                <w:sz w:val="18"/>
                <w:szCs w:val="18"/>
                <w:color w:val="auto"/>
              </w:rPr>
              <w:t>45</w:t>
            </w:r>
          </w:p>
        </w:tc>
        <w:tc>
          <w:tcPr>
            <w:tcW w:w="1320" w:type="dxa"/>
            <w:vAlign w:val="bottom"/>
            <w:tcBorders>
              <w:bottom w:val="single" w:sz="8" w:color="939598"/>
            </w:tcBorders>
          </w:tcPr>
          <w:p>
            <w:pPr>
              <w:jc w:val="right"/>
              <w:ind w:right="34"/>
              <w:spacing w:after="0" w:line="202" w:lineRule="exact"/>
              <w:rPr>
                <w:sz w:val="20"/>
                <w:szCs w:val="20"/>
                <w:color w:val="auto"/>
              </w:rPr>
            </w:pPr>
            <w:r>
              <w:rPr>
                <w:rFonts w:ascii="Arial" w:cs="Arial" w:eastAsia="Arial" w:hAnsi="Arial"/>
                <w:sz w:val="18"/>
                <w:szCs w:val="18"/>
                <w:color w:val="auto"/>
              </w:rPr>
              <w:t>0.9</w:t>
            </w:r>
          </w:p>
        </w:tc>
        <w:tc>
          <w:tcPr>
            <w:tcW w:w="220" w:type="dxa"/>
            <w:vAlign w:val="bottom"/>
            <w:tcBorders>
              <w:bottom w:val="single" w:sz="8" w:color="939598"/>
            </w:tcBorders>
          </w:tcPr>
          <w:p>
            <w:pPr>
              <w:jc w:val="right"/>
              <w:spacing w:after="0" w:line="202" w:lineRule="exact"/>
              <w:rPr>
                <w:sz w:val="20"/>
                <w:szCs w:val="20"/>
                <w:color w:val="auto"/>
              </w:rPr>
            </w:pPr>
            <w:r>
              <w:rPr>
                <w:rFonts w:ascii="Arial" w:cs="Arial" w:eastAsia="Arial" w:hAnsi="Arial"/>
                <w:sz w:val="18"/>
                <w:szCs w:val="18"/>
                <w:color w:val="auto"/>
              </w:rPr>
              <w:t>$</w:t>
            </w:r>
          </w:p>
        </w:tc>
        <w:tc>
          <w:tcPr>
            <w:tcW w:w="1120" w:type="dxa"/>
            <w:vAlign w:val="bottom"/>
            <w:tcBorders>
              <w:bottom w:val="single" w:sz="8" w:color="939598"/>
            </w:tcBorders>
          </w:tcPr>
          <w:p>
            <w:pPr>
              <w:jc w:val="right"/>
              <w:spacing w:after="0" w:line="202" w:lineRule="exact"/>
              <w:rPr>
                <w:sz w:val="20"/>
                <w:szCs w:val="20"/>
                <w:color w:val="auto"/>
              </w:rPr>
            </w:pPr>
            <w:r>
              <w:rPr>
                <w:rFonts w:ascii="Arial" w:cs="Arial" w:eastAsia="Arial" w:hAnsi="Arial"/>
                <w:sz w:val="18"/>
                <w:szCs w:val="18"/>
                <w:color w:val="auto"/>
              </w:rPr>
              <w:t>18</w:t>
            </w:r>
          </w:p>
        </w:tc>
        <w:tc>
          <w:tcPr>
            <w:tcW w:w="20" w:type="dxa"/>
            <w:vAlign w:val="bottom"/>
            <w:tcBorders>
              <w:bottom w:val="single" w:sz="8" w:color="939598"/>
            </w:tcBorders>
          </w:tcPr>
          <w:p>
            <w:pPr>
              <w:spacing w:after="0"/>
              <w:rPr>
                <w:sz w:val="18"/>
                <w:szCs w:val="18"/>
                <w:color w:val="auto"/>
              </w:rPr>
            </w:pPr>
          </w:p>
        </w:tc>
      </w:tr>
    </w:tbl>
    <w:p>
      <w:pPr>
        <w:spacing w:after="0" w:line="215" w:lineRule="exact"/>
        <w:rPr>
          <w:sz w:val="20"/>
          <w:szCs w:val="20"/>
          <w:color w:val="auto"/>
        </w:rPr>
      </w:pPr>
    </w:p>
    <w:p>
      <w:pPr>
        <w:jc w:val="both"/>
        <w:spacing w:after="0"/>
        <w:rPr>
          <w:sz w:val="20"/>
          <w:szCs w:val="20"/>
          <w:color w:val="auto"/>
        </w:rPr>
      </w:pPr>
      <w:r>
        <w:rPr>
          <w:rFonts w:ascii="Arial" w:cs="Arial" w:eastAsia="Arial" w:hAnsi="Arial"/>
          <w:sz w:val="18"/>
          <w:szCs w:val="18"/>
          <w:color w:val="auto"/>
        </w:rPr>
        <w:t>During 2010, 2009 and 2008, we recognized $4.4, $5.5 and $2.8, respectively, of expense related to restricted stock awards. As of December 31, 2010, there was approximately $3.0 of total unrecognized compensation cost related to unvested restricted stock, which we expect to recognize over a weighted-average period of approximately 1.4 years.</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b w:val="1"/>
          <w:bCs w:val="1"/>
          <w:color w:val="4D8ABE"/>
        </w:rPr>
        <w:t>PERFORMANCE SHARE UNITS</w:t>
      </w:r>
    </w:p>
    <w:p>
      <w:pPr>
        <w:spacing w:after="0" w:line="23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Our 2003 Plan allows us to grant performance share units. Vesting of units occurs at the end of the performance period, generally two-three years, except in the case of death, disability or termination of employment, and the units are settled in shares of our common stock. A payout multiple is applied to the units awarded based on the performance criteria determined by the Executive Compensation and Human Resources Committee of the Board of Directors at the time of grant.</w:t>
      </w:r>
    </w:p>
    <w:p>
      <w:pPr>
        <w:spacing w:after="0" w:line="202"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In February 2007, 2008 and 2010, we granted performance share units with a performance criteria of average Operating Profit Margin over the performance period of 2007-2009, 2008-2010 and 2010-2011, respectively. We did not grant any performance share units in 2009.</w:t>
      </w:r>
    </w:p>
    <w:p>
      <w:pPr>
        <w:spacing w:after="0" w:line="197"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In the event the performance criteria exceeds the target performance level, an additional number of shares, up to the Outstanding Award level, may be granted. In the event the performance criteria falls below the target performance level, a reduced number of shares, as low as the Threshold Award level, may be granted. If the average Operating Profit Margin falls below the threshold performance level, no shares will be granted.</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Threshold, Target and Outstanding Award levels for each outstanding grant, adjusted for forfeitures, are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20" w:type="dxa"/>
            <w:vAlign w:val="bottom"/>
          </w:tcPr>
          <w:p>
            <w:pPr>
              <w:spacing w:after="0"/>
              <w:rPr>
                <w:sz w:val="22"/>
                <w:szCs w:val="22"/>
                <w:color w:val="auto"/>
              </w:rPr>
            </w:pPr>
          </w:p>
        </w:tc>
        <w:tc>
          <w:tcPr>
            <w:tcW w:w="4500" w:type="dxa"/>
            <w:vAlign w:val="bottom"/>
            <w:tcBorders>
              <w:bottom w:val="single" w:sz="8" w:color="86B6A5"/>
            </w:tcBorders>
          </w:tcPr>
          <w:p>
            <w:pPr>
              <w:spacing w:after="0"/>
              <w:rPr>
                <w:sz w:val="22"/>
                <w:szCs w:val="22"/>
                <w:color w:val="auto"/>
              </w:rPr>
            </w:pPr>
          </w:p>
        </w:tc>
        <w:tc>
          <w:tcPr>
            <w:tcW w:w="4180" w:type="dxa"/>
            <w:vAlign w:val="bottom"/>
            <w:tcBorders>
              <w:bottom w:val="single" w:sz="8" w:color="86B6A5"/>
            </w:tcBorders>
          </w:tcPr>
          <w:p>
            <w:pPr>
              <w:jc w:val="right"/>
              <w:ind w:right="192"/>
              <w:spacing w:after="0"/>
              <w:rPr>
                <w:sz w:val="20"/>
                <w:szCs w:val="20"/>
                <w:color w:val="auto"/>
              </w:rPr>
            </w:pPr>
            <w:r>
              <w:rPr>
                <w:rFonts w:ascii="Arial" w:cs="Arial" w:eastAsia="Arial" w:hAnsi="Arial"/>
                <w:sz w:val="16"/>
                <w:szCs w:val="16"/>
                <w:b w:val="1"/>
                <w:bCs w:val="1"/>
                <w:color w:val="86B6A5"/>
              </w:rPr>
              <w:t>2007-2009</w:t>
            </w:r>
            <w:r>
              <w:rPr>
                <w:rFonts w:ascii="Arial" w:cs="Arial" w:eastAsia="Arial" w:hAnsi="Arial"/>
                <w:sz w:val="22"/>
                <w:szCs w:val="22"/>
                <w:b w:val="1"/>
                <w:bCs w:val="1"/>
                <w:color w:val="86B6A5"/>
                <w:vertAlign w:val="superscript"/>
              </w:rPr>
              <w:t>(a)</w:t>
            </w:r>
          </w:p>
        </w:tc>
        <w:tc>
          <w:tcPr>
            <w:tcW w:w="1460" w:type="dxa"/>
            <w:vAlign w:val="bottom"/>
            <w:tcBorders>
              <w:bottom w:val="single" w:sz="8" w:color="86B6A5"/>
            </w:tcBorders>
          </w:tcPr>
          <w:p>
            <w:pPr>
              <w:jc w:val="right"/>
              <w:ind w:right="192"/>
              <w:spacing w:after="0"/>
              <w:rPr>
                <w:sz w:val="20"/>
                <w:szCs w:val="20"/>
                <w:color w:val="auto"/>
              </w:rPr>
            </w:pPr>
            <w:r>
              <w:rPr>
                <w:rFonts w:ascii="Arial" w:cs="Arial" w:eastAsia="Arial" w:hAnsi="Arial"/>
                <w:sz w:val="16"/>
                <w:szCs w:val="16"/>
                <w:b w:val="1"/>
                <w:bCs w:val="1"/>
                <w:color w:val="86B6A5"/>
              </w:rPr>
              <w:t>2008-2010</w:t>
            </w:r>
            <w:r>
              <w:rPr>
                <w:rFonts w:ascii="Arial" w:cs="Arial" w:eastAsia="Arial" w:hAnsi="Arial"/>
                <w:sz w:val="22"/>
                <w:szCs w:val="22"/>
                <w:b w:val="1"/>
                <w:bCs w:val="1"/>
                <w:color w:val="86B6A5"/>
                <w:vertAlign w:val="superscript"/>
              </w:rPr>
              <w:t>(b)</w:t>
            </w:r>
          </w:p>
        </w:tc>
        <w:tc>
          <w:tcPr>
            <w:tcW w:w="1040" w:type="dxa"/>
            <w:vAlign w:val="bottom"/>
            <w:tcBorders>
              <w:bottom w:val="single" w:sz="8" w:color="86B6A5"/>
            </w:tcBorders>
          </w:tcPr>
          <w:p>
            <w:pPr>
              <w:jc w:val="right"/>
              <w:spacing w:after="0"/>
              <w:rPr>
                <w:sz w:val="20"/>
                <w:szCs w:val="20"/>
                <w:color w:val="auto"/>
              </w:rPr>
            </w:pPr>
            <w:r>
              <w:rPr>
                <w:rFonts w:ascii="Arial" w:cs="Arial" w:eastAsia="Arial" w:hAnsi="Arial"/>
                <w:sz w:val="16"/>
                <w:szCs w:val="16"/>
                <w:b w:val="1"/>
                <w:bCs w:val="1"/>
                <w:color w:val="86B6A5"/>
              </w:rPr>
              <w:t>2010-2011</w:t>
            </w:r>
          </w:p>
        </w:tc>
        <w:tc>
          <w:tcPr>
            <w:tcW w:w="20" w:type="dxa"/>
            <w:vAlign w:val="bottom"/>
          </w:tcPr>
          <w:p>
            <w:pPr>
              <w:spacing w:after="0"/>
              <w:rPr>
                <w:sz w:val="22"/>
                <w:szCs w:val="22"/>
                <w:color w:val="auto"/>
              </w:rPr>
            </w:pPr>
          </w:p>
        </w:tc>
      </w:tr>
      <w:tr>
        <w:trPr>
          <w:trHeight w:val="202"/>
        </w:trPr>
        <w:tc>
          <w:tcPr>
            <w:tcW w:w="20" w:type="dxa"/>
            <w:vAlign w:val="bottom"/>
          </w:tcPr>
          <w:p>
            <w:pPr>
              <w:spacing w:after="0"/>
              <w:rPr>
                <w:sz w:val="17"/>
                <w:szCs w:val="17"/>
                <w:color w:val="auto"/>
              </w:rPr>
            </w:pPr>
          </w:p>
        </w:tc>
        <w:tc>
          <w:tcPr>
            <w:tcW w:w="4500" w:type="dxa"/>
            <w:vAlign w:val="bottom"/>
          </w:tcPr>
          <w:p>
            <w:pPr>
              <w:spacing w:after="0" w:line="201" w:lineRule="exact"/>
              <w:rPr>
                <w:sz w:val="20"/>
                <w:szCs w:val="20"/>
                <w:color w:val="auto"/>
              </w:rPr>
            </w:pPr>
            <w:r>
              <w:rPr>
                <w:rFonts w:ascii="Arial" w:cs="Arial" w:eastAsia="Arial" w:hAnsi="Arial"/>
                <w:sz w:val="18"/>
                <w:szCs w:val="18"/>
                <w:color w:val="auto"/>
              </w:rPr>
              <w:t>Threshold Award</w:t>
            </w:r>
          </w:p>
        </w:tc>
        <w:tc>
          <w:tcPr>
            <w:tcW w:w="4180" w:type="dxa"/>
            <w:vAlign w:val="bottom"/>
          </w:tcPr>
          <w:p>
            <w:pPr>
              <w:jc w:val="right"/>
              <w:ind w:right="332"/>
              <w:spacing w:after="0" w:line="201" w:lineRule="exact"/>
              <w:rPr>
                <w:sz w:val="20"/>
                <w:szCs w:val="20"/>
                <w:color w:val="auto"/>
              </w:rPr>
            </w:pPr>
            <w:r>
              <w:rPr>
                <w:rFonts w:ascii="Arial" w:cs="Arial" w:eastAsia="Arial" w:hAnsi="Arial"/>
                <w:sz w:val="18"/>
                <w:szCs w:val="18"/>
                <w:color w:val="auto"/>
              </w:rPr>
              <w:t>28,250</w:t>
            </w:r>
          </w:p>
        </w:tc>
        <w:tc>
          <w:tcPr>
            <w:tcW w:w="1460" w:type="dxa"/>
            <w:vAlign w:val="bottom"/>
          </w:tcPr>
          <w:p>
            <w:pPr>
              <w:jc w:val="right"/>
              <w:ind w:right="332"/>
              <w:spacing w:after="0" w:line="201" w:lineRule="exact"/>
              <w:rPr>
                <w:sz w:val="20"/>
                <w:szCs w:val="20"/>
                <w:color w:val="auto"/>
              </w:rPr>
            </w:pPr>
            <w:r>
              <w:rPr>
                <w:rFonts w:ascii="Arial" w:cs="Arial" w:eastAsia="Arial" w:hAnsi="Arial"/>
                <w:sz w:val="18"/>
                <w:szCs w:val="18"/>
                <w:color w:val="auto"/>
              </w:rPr>
              <w:t>34,500</w:t>
            </w:r>
          </w:p>
        </w:tc>
        <w:tc>
          <w:tcPr>
            <w:tcW w:w="1040" w:type="dxa"/>
            <w:vAlign w:val="bottom"/>
          </w:tcPr>
          <w:p>
            <w:pPr>
              <w:jc w:val="right"/>
              <w:spacing w:after="0" w:line="201" w:lineRule="exact"/>
              <w:rPr>
                <w:sz w:val="20"/>
                <w:szCs w:val="20"/>
                <w:color w:val="auto"/>
              </w:rPr>
            </w:pPr>
            <w:r>
              <w:rPr>
                <w:rFonts w:ascii="Arial" w:cs="Arial" w:eastAsia="Arial" w:hAnsi="Arial"/>
                <w:sz w:val="18"/>
                <w:szCs w:val="18"/>
                <w:color w:val="auto"/>
              </w:rPr>
              <w:t>54,871</w:t>
            </w:r>
          </w:p>
        </w:tc>
        <w:tc>
          <w:tcPr>
            <w:tcW w:w="20" w:type="dxa"/>
            <w:vAlign w:val="bottom"/>
          </w:tcPr>
          <w:p>
            <w:pPr>
              <w:spacing w:after="0"/>
              <w:rPr>
                <w:sz w:val="17"/>
                <w:szCs w:val="17"/>
                <w:color w:val="auto"/>
              </w:rPr>
            </w:pPr>
          </w:p>
        </w:tc>
      </w:tr>
      <w:tr>
        <w:trPr>
          <w:trHeight w:val="203"/>
        </w:trPr>
        <w:tc>
          <w:tcPr>
            <w:tcW w:w="4520" w:type="dxa"/>
            <w:vAlign w:val="bottom"/>
            <w:gridSpan w:val="2"/>
          </w:tcPr>
          <w:p>
            <w:pPr>
              <w:spacing w:after="0" w:line="202" w:lineRule="exact"/>
              <w:rPr>
                <w:sz w:val="20"/>
                <w:szCs w:val="20"/>
                <w:color w:val="auto"/>
              </w:rPr>
            </w:pPr>
            <w:r>
              <w:rPr>
                <w:rFonts w:ascii="Arial" w:cs="Arial" w:eastAsia="Arial" w:hAnsi="Arial"/>
                <w:sz w:val="18"/>
                <w:szCs w:val="18"/>
                <w:color w:val="auto"/>
              </w:rPr>
              <w:t>Target Award</w:t>
            </w:r>
          </w:p>
        </w:tc>
        <w:tc>
          <w:tcPr>
            <w:tcW w:w="4180" w:type="dxa"/>
            <w:vAlign w:val="bottom"/>
          </w:tcPr>
          <w:p>
            <w:pPr>
              <w:jc w:val="right"/>
              <w:ind w:right="332"/>
              <w:spacing w:after="0" w:line="202" w:lineRule="exact"/>
              <w:rPr>
                <w:sz w:val="20"/>
                <w:szCs w:val="20"/>
                <w:color w:val="auto"/>
              </w:rPr>
            </w:pPr>
            <w:r>
              <w:rPr>
                <w:rFonts w:ascii="Arial" w:cs="Arial" w:eastAsia="Arial" w:hAnsi="Arial"/>
                <w:sz w:val="18"/>
                <w:szCs w:val="18"/>
                <w:color w:val="auto"/>
              </w:rPr>
              <w:t>113,000</w:t>
            </w:r>
          </w:p>
        </w:tc>
        <w:tc>
          <w:tcPr>
            <w:tcW w:w="1460" w:type="dxa"/>
            <w:vAlign w:val="bottom"/>
          </w:tcPr>
          <w:p>
            <w:pPr>
              <w:jc w:val="right"/>
              <w:ind w:right="332"/>
              <w:spacing w:after="0" w:line="202" w:lineRule="exact"/>
              <w:rPr>
                <w:sz w:val="20"/>
                <w:szCs w:val="20"/>
                <w:color w:val="auto"/>
              </w:rPr>
            </w:pPr>
            <w:r>
              <w:rPr>
                <w:rFonts w:ascii="Arial" w:cs="Arial" w:eastAsia="Arial" w:hAnsi="Arial"/>
                <w:sz w:val="18"/>
                <w:szCs w:val="18"/>
                <w:color w:val="auto"/>
              </w:rPr>
              <w:t>138,000</w:t>
            </w:r>
          </w:p>
        </w:tc>
        <w:tc>
          <w:tcPr>
            <w:tcW w:w="10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109,742</w:t>
            </w:r>
          </w:p>
        </w:tc>
      </w:tr>
      <w:tr>
        <w:trPr>
          <w:trHeight w:val="210"/>
        </w:trPr>
        <w:tc>
          <w:tcPr>
            <w:tcW w:w="4520" w:type="dxa"/>
            <w:vAlign w:val="bottom"/>
            <w:tcBorders>
              <w:bottom w:val="single" w:sz="8" w:color="939598"/>
            </w:tcBorders>
            <w:gridSpan w:val="2"/>
          </w:tcPr>
          <w:p>
            <w:pPr>
              <w:spacing w:after="0" w:line="203" w:lineRule="exact"/>
              <w:rPr>
                <w:sz w:val="20"/>
                <w:szCs w:val="20"/>
                <w:color w:val="auto"/>
              </w:rPr>
            </w:pPr>
            <w:r>
              <w:rPr>
                <w:rFonts w:ascii="Arial" w:cs="Arial" w:eastAsia="Arial" w:hAnsi="Arial"/>
                <w:sz w:val="18"/>
                <w:szCs w:val="18"/>
                <w:color w:val="auto"/>
              </w:rPr>
              <w:t>Outstanding Award</w:t>
            </w:r>
          </w:p>
        </w:tc>
        <w:tc>
          <w:tcPr>
            <w:tcW w:w="4180" w:type="dxa"/>
            <w:vAlign w:val="bottom"/>
            <w:tcBorders>
              <w:bottom w:val="single" w:sz="8" w:color="939598"/>
            </w:tcBorders>
          </w:tcPr>
          <w:p>
            <w:pPr>
              <w:jc w:val="right"/>
              <w:ind w:right="332"/>
              <w:spacing w:after="0" w:line="203" w:lineRule="exact"/>
              <w:rPr>
                <w:sz w:val="20"/>
                <w:szCs w:val="20"/>
                <w:color w:val="auto"/>
              </w:rPr>
            </w:pPr>
            <w:r>
              <w:rPr>
                <w:rFonts w:ascii="Arial" w:cs="Arial" w:eastAsia="Arial" w:hAnsi="Arial"/>
                <w:sz w:val="18"/>
                <w:szCs w:val="18"/>
                <w:color w:val="auto"/>
              </w:rPr>
              <w:t>197,750</w:t>
            </w:r>
          </w:p>
        </w:tc>
        <w:tc>
          <w:tcPr>
            <w:tcW w:w="1460" w:type="dxa"/>
            <w:vAlign w:val="bottom"/>
            <w:tcBorders>
              <w:bottom w:val="single" w:sz="8" w:color="939598"/>
            </w:tcBorders>
          </w:tcPr>
          <w:p>
            <w:pPr>
              <w:jc w:val="right"/>
              <w:ind w:right="332"/>
              <w:spacing w:after="0" w:line="203" w:lineRule="exact"/>
              <w:rPr>
                <w:sz w:val="20"/>
                <w:szCs w:val="20"/>
                <w:color w:val="auto"/>
              </w:rPr>
            </w:pPr>
            <w:r>
              <w:rPr>
                <w:rFonts w:ascii="Arial" w:cs="Arial" w:eastAsia="Arial" w:hAnsi="Arial"/>
                <w:sz w:val="18"/>
                <w:szCs w:val="18"/>
                <w:color w:val="auto"/>
              </w:rPr>
              <w:t>241,500</w:t>
            </w:r>
          </w:p>
        </w:tc>
        <w:tc>
          <w:tcPr>
            <w:tcW w:w="1060" w:type="dxa"/>
            <w:vAlign w:val="bottom"/>
            <w:tcBorders>
              <w:bottom w:val="single" w:sz="8" w:color="939598"/>
            </w:tcBorders>
            <w:gridSpan w:val="2"/>
          </w:tcPr>
          <w:p>
            <w:pPr>
              <w:jc w:val="right"/>
              <w:ind w:right="20"/>
              <w:spacing w:after="0" w:line="203" w:lineRule="exact"/>
              <w:rPr>
                <w:sz w:val="20"/>
                <w:szCs w:val="20"/>
                <w:color w:val="auto"/>
              </w:rPr>
            </w:pPr>
            <w:r>
              <w:rPr>
                <w:rFonts w:ascii="Arial" w:cs="Arial" w:eastAsia="Arial" w:hAnsi="Arial"/>
                <w:sz w:val="18"/>
                <w:szCs w:val="18"/>
                <w:color w:val="auto"/>
              </w:rPr>
              <w:t>219,484</w:t>
            </w:r>
          </w:p>
        </w:tc>
      </w:tr>
    </w:tbl>
    <w:p>
      <w:pPr>
        <w:spacing w:after="0" w:line="204" w:lineRule="exact"/>
        <w:rPr>
          <w:sz w:val="20"/>
          <w:szCs w:val="20"/>
          <w:color w:val="auto"/>
        </w:rPr>
      </w:pPr>
    </w:p>
    <w:p>
      <w:pPr>
        <w:ind w:left="580" w:right="360" w:hanging="572"/>
        <w:spacing w:after="0" w:line="246" w:lineRule="auto"/>
        <w:tabs>
          <w:tab w:leader="none" w:pos="580" w:val="left"/>
        </w:tabs>
        <w:numPr>
          <w:ilvl w:val="0"/>
          <w:numId w:val="51"/>
        </w:numPr>
        <w:rPr>
          <w:rFonts w:ascii="Arial" w:cs="Arial" w:eastAsia="Arial" w:hAnsi="Arial"/>
          <w:sz w:val="16"/>
          <w:szCs w:val="16"/>
          <w:color w:val="auto"/>
        </w:rPr>
      </w:pPr>
      <w:r>
        <w:rPr>
          <w:rFonts w:ascii="Arial" w:cs="Arial" w:eastAsia="Arial" w:hAnsi="Arial"/>
          <w:sz w:val="16"/>
          <w:szCs w:val="16"/>
          <w:color w:val="auto"/>
        </w:rPr>
        <w:t>118,000 performance share units were granted in 2007 at the Target Award level for the 2007-2009 performance period, of which 5,000 units were forfeited.</w:t>
      </w:r>
    </w:p>
    <w:p>
      <w:pPr>
        <w:ind w:left="580" w:right="360" w:hanging="572"/>
        <w:spacing w:after="0" w:line="260" w:lineRule="auto"/>
        <w:tabs>
          <w:tab w:leader="none" w:pos="580" w:val="left"/>
        </w:tabs>
        <w:numPr>
          <w:ilvl w:val="0"/>
          <w:numId w:val="51"/>
        </w:numPr>
        <w:rPr>
          <w:rFonts w:ascii="Arial" w:cs="Arial" w:eastAsia="Arial" w:hAnsi="Arial"/>
          <w:sz w:val="16"/>
          <w:szCs w:val="16"/>
          <w:color w:val="auto"/>
        </w:rPr>
      </w:pPr>
      <w:r>
        <w:rPr>
          <w:rFonts w:ascii="Arial" w:cs="Arial" w:eastAsia="Arial" w:hAnsi="Arial"/>
          <w:sz w:val="16"/>
          <w:szCs w:val="16"/>
          <w:color w:val="auto"/>
        </w:rPr>
        <w:t>140,000 performance share units were granted in 2008 at the Target Award level for the 2008-2010 performance period, of which 2,000 units were forfeited.</w:t>
      </w:r>
    </w:p>
    <w:p>
      <w:pPr>
        <w:spacing w:after="0" w:line="193"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recognize and adjust compensation expense based on the likelihood of the performance criteria specified in the award being achieved. The compensation expense is recognized over the performance period and is recorded in Selling and Administrative Expenses. The Average Operating Profit Margin for the 2007-2009 and 2008-2010 performance periods did not meet the threshold performance level, and therefore, no shares were granted. We currently expect that the Average Operating Profit Margin for the 2010-2011 performance period will be between the target and outstanding performance levels. We have recognized total compensation expense of $5.3 and $1.2 in 2010 and 2008, respectively, and a total compensation benefit of $1.5 for 2009 related to the performance share units.</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color w:val="4D8ABE"/>
        </w:rPr>
        <w:t xml:space="preserve">58 </w:t>
      </w:r>
      <w:r>
        <w:rPr>
          <w:rFonts w:ascii="Arial" w:cs="Arial" w:eastAsia="Arial" w:hAnsi="Arial"/>
          <w:sz w:val="16"/>
          <w:szCs w:val="16"/>
          <w:color w:val="4D8ABE"/>
        </w:rPr>
        <w:t>Manpower 2010 Annual Report</w:t>
      </w:r>
      <w:r>
        <w:rPr>
          <w:rFonts w:ascii="Arial" w:cs="Arial" w:eastAsia="Arial" w:hAnsi="Arial"/>
          <w:sz w:val="16"/>
          <w:szCs w:val="16"/>
          <w:b w:val="1"/>
          <w:bCs w:val="1"/>
          <w:color w:val="4D8ABE"/>
        </w:rPr>
        <w:t xml:space="preserve"> </w:t>
      </w:r>
      <w:r>
        <w:rPr>
          <w:rFonts w:ascii="Arial" w:cs="Arial" w:eastAsia="Arial" w:hAnsi="Arial"/>
          <w:sz w:val="16"/>
          <w:szCs w:val="16"/>
          <w:b w:val="1"/>
          <w:bCs w:val="1"/>
          <w:color w:val="939598"/>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wp:posOffset>
            </wp:positionV>
            <wp:extent cx="7267575" cy="469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ectPr>
          <w:pgSz w:w="11900" w:h="16838" w:orient="portrait"/>
          <w:cols w:equalWidth="0" w:num="1">
            <w:col w:w="11420"/>
          </w:cols>
          <w:pgMar w:left="240" w:top="345" w:right="239" w:bottom="1440" w:gutter="0" w:footer="0" w:header="0"/>
        </w:sectPr>
      </w:pPr>
    </w:p>
    <w:bookmarkStart w:id="89" w:name="page90"/>
    <w:bookmarkEnd w:id="89"/>
    <w:p>
      <w:pPr>
        <w:spacing w:after="0"/>
        <w:rPr>
          <w:sz w:val="20"/>
          <w:szCs w:val="20"/>
          <w:color w:val="auto"/>
        </w:rPr>
      </w:pPr>
      <w:r>
        <w:rPr>
          <w:rFonts w:ascii="Arial" w:cs="Arial" w:eastAsia="Arial" w:hAnsi="Arial"/>
          <w:sz w:val="16"/>
          <w:szCs w:val="16"/>
          <w:b w:val="1"/>
          <w:bCs w:val="1"/>
          <w:color w:val="4D8ABE"/>
        </w:rPr>
        <w:t>OTHER STOCK PLANS</w:t>
      </w:r>
    </w:p>
    <w:p>
      <w:pPr>
        <w:spacing w:after="0" w:line="23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Under the 1990 Employee Stock Purchase Plan, designated employees meeting certain service requirements may purchase shares of our common stock through payroll deductions. These shares may be purchased at the lesser of 85% of their fair market value at the beginning or end of each year. The plan was suspended in 2009 and therefore we did not recognize any expense in 2009. In 2010, the plan was started up again with different criteria, which made it non-compensatory according to the accounting guidance on share-based payments. Therefore, we did not recognize any expense in 2010. We recognized expense of $1.8 for shares purchased under the plan in 2008.</w:t>
      </w:r>
    </w:p>
    <w:p>
      <w:pPr>
        <w:spacing w:after="0" w:line="203"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 fair value of each share purchased under the plan is estimated using the Black-Scholes option-pricing model and the following weighted-average assumptions: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540" w:type="dxa"/>
            <w:vAlign w:val="bottom"/>
            <w:tcBorders>
              <w:bottom w:val="single" w:sz="8" w:color="86B6A5"/>
            </w:tcBorders>
          </w:tcPr>
          <w:p>
            <w:pPr>
              <w:spacing w:after="0"/>
              <w:rPr>
                <w:sz w:val="20"/>
                <w:szCs w:val="20"/>
                <w:color w:val="auto"/>
              </w:rPr>
            </w:pPr>
            <w:r>
              <w:rPr>
                <w:rFonts w:ascii="Arial" w:cs="Arial" w:eastAsia="Arial" w:hAnsi="Arial"/>
                <w:sz w:val="16"/>
                <w:szCs w:val="16"/>
                <w:b w:val="1"/>
                <w:bCs w:val="1"/>
                <w:color w:val="86B6A5"/>
              </w:rPr>
              <w:t>Year Ended December 31</w:t>
            </w:r>
          </w:p>
        </w:tc>
        <w:tc>
          <w:tcPr>
            <w:tcW w:w="4660" w:type="dxa"/>
            <w:vAlign w:val="bottom"/>
            <w:tcBorders>
              <w:bottom w:val="single" w:sz="8" w:color="86B6A5"/>
            </w:tcBorders>
          </w:tcPr>
          <w:p>
            <w:pPr>
              <w:jc w:val="right"/>
              <w:spacing w:after="0"/>
              <w:rPr>
                <w:sz w:val="20"/>
                <w:szCs w:val="20"/>
                <w:color w:val="auto"/>
              </w:rPr>
            </w:pPr>
            <w:r>
              <w:rPr>
                <w:rFonts w:ascii="Arial" w:cs="Arial" w:eastAsia="Arial" w:hAnsi="Arial"/>
                <w:sz w:val="16"/>
                <w:szCs w:val="16"/>
                <w:b w:val="1"/>
                <w:bCs w:val="1"/>
                <w:color w:val="86B6A5"/>
              </w:rPr>
              <w:t>2008</w:t>
            </w:r>
          </w:p>
        </w:tc>
        <w:tc>
          <w:tcPr>
            <w:tcW w:w="20" w:type="dxa"/>
            <w:vAlign w:val="bottom"/>
          </w:tcPr>
          <w:p>
            <w:pPr>
              <w:spacing w:after="0"/>
              <w:rPr>
                <w:sz w:val="19"/>
                <w:szCs w:val="19"/>
                <w:color w:val="auto"/>
              </w:rPr>
            </w:pPr>
          </w:p>
        </w:tc>
      </w:tr>
      <w:tr>
        <w:trPr>
          <w:trHeight w:val="202"/>
        </w:trPr>
        <w:tc>
          <w:tcPr>
            <w:tcW w:w="6540" w:type="dxa"/>
            <w:vAlign w:val="bottom"/>
          </w:tcPr>
          <w:p>
            <w:pPr>
              <w:spacing w:after="0" w:line="201" w:lineRule="exact"/>
              <w:rPr>
                <w:sz w:val="20"/>
                <w:szCs w:val="20"/>
                <w:color w:val="auto"/>
              </w:rPr>
            </w:pPr>
            <w:r>
              <w:rPr>
                <w:rFonts w:ascii="Arial" w:cs="Arial" w:eastAsia="Arial" w:hAnsi="Arial"/>
                <w:sz w:val="18"/>
                <w:szCs w:val="18"/>
                <w:color w:val="auto"/>
              </w:rPr>
              <w:t>Average risk-free interest rate</w:t>
            </w:r>
          </w:p>
        </w:tc>
        <w:tc>
          <w:tcPr>
            <w:tcW w:w="4660" w:type="dxa"/>
            <w:vAlign w:val="bottom"/>
          </w:tcPr>
          <w:p>
            <w:pPr>
              <w:jc w:val="right"/>
              <w:spacing w:after="0" w:line="201" w:lineRule="exact"/>
              <w:rPr>
                <w:sz w:val="20"/>
                <w:szCs w:val="20"/>
                <w:color w:val="auto"/>
              </w:rPr>
            </w:pPr>
            <w:r>
              <w:rPr>
                <w:rFonts w:ascii="Arial" w:cs="Arial" w:eastAsia="Arial" w:hAnsi="Arial"/>
                <w:sz w:val="18"/>
                <w:szCs w:val="18"/>
                <w:color w:val="auto"/>
              </w:rPr>
              <w:t>3.2%</w:t>
            </w:r>
          </w:p>
        </w:tc>
        <w:tc>
          <w:tcPr>
            <w:tcW w:w="20" w:type="dxa"/>
            <w:vAlign w:val="bottom"/>
          </w:tcPr>
          <w:p>
            <w:pPr>
              <w:spacing w:after="0"/>
              <w:rPr>
                <w:sz w:val="17"/>
                <w:szCs w:val="17"/>
                <w:color w:val="auto"/>
              </w:rPr>
            </w:pPr>
          </w:p>
        </w:tc>
      </w:tr>
      <w:tr>
        <w:trPr>
          <w:trHeight w:val="203"/>
        </w:trPr>
        <w:tc>
          <w:tcPr>
            <w:tcW w:w="6540" w:type="dxa"/>
            <w:vAlign w:val="bottom"/>
          </w:tcPr>
          <w:p>
            <w:pPr>
              <w:spacing w:after="0" w:line="202" w:lineRule="exact"/>
              <w:rPr>
                <w:sz w:val="20"/>
                <w:szCs w:val="20"/>
                <w:color w:val="auto"/>
              </w:rPr>
            </w:pPr>
            <w:r>
              <w:rPr>
                <w:rFonts w:ascii="Arial" w:cs="Arial" w:eastAsia="Arial" w:hAnsi="Arial"/>
                <w:sz w:val="18"/>
                <w:szCs w:val="18"/>
                <w:color w:val="auto"/>
              </w:rPr>
              <w:t>Expected dividend yield</w:t>
            </w:r>
          </w:p>
        </w:tc>
        <w:tc>
          <w:tcPr>
            <w:tcW w:w="46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1.2%</w:t>
            </w:r>
          </w:p>
        </w:tc>
      </w:tr>
      <w:tr>
        <w:trPr>
          <w:trHeight w:val="203"/>
        </w:trPr>
        <w:tc>
          <w:tcPr>
            <w:tcW w:w="6540" w:type="dxa"/>
            <w:vAlign w:val="bottom"/>
          </w:tcPr>
          <w:p>
            <w:pPr>
              <w:spacing w:after="0" w:line="202" w:lineRule="exact"/>
              <w:rPr>
                <w:sz w:val="20"/>
                <w:szCs w:val="20"/>
                <w:color w:val="auto"/>
              </w:rPr>
            </w:pPr>
            <w:r>
              <w:rPr>
                <w:rFonts w:ascii="Arial" w:cs="Arial" w:eastAsia="Arial" w:hAnsi="Arial"/>
                <w:sz w:val="18"/>
                <w:szCs w:val="18"/>
                <w:color w:val="auto"/>
              </w:rPr>
              <w:t>Expected volatility</w:t>
            </w:r>
          </w:p>
        </w:tc>
        <w:tc>
          <w:tcPr>
            <w:tcW w:w="46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30.0%</w:t>
            </w:r>
          </w:p>
        </w:tc>
      </w:tr>
      <w:tr>
        <w:trPr>
          <w:trHeight w:val="210"/>
        </w:trPr>
        <w:tc>
          <w:tcPr>
            <w:tcW w:w="6540" w:type="dxa"/>
            <w:vAlign w:val="bottom"/>
            <w:tcBorders>
              <w:bottom w:val="single" w:sz="8" w:color="939598"/>
            </w:tcBorders>
          </w:tcPr>
          <w:p>
            <w:pPr>
              <w:spacing w:after="0" w:line="203" w:lineRule="exact"/>
              <w:rPr>
                <w:sz w:val="20"/>
                <w:szCs w:val="20"/>
                <w:color w:val="auto"/>
              </w:rPr>
            </w:pPr>
            <w:r>
              <w:rPr>
                <w:rFonts w:ascii="Arial" w:cs="Arial" w:eastAsia="Arial" w:hAnsi="Arial"/>
                <w:sz w:val="18"/>
                <w:szCs w:val="18"/>
                <w:color w:val="auto"/>
              </w:rPr>
              <w:t>Expected term (years)</w:t>
            </w:r>
          </w:p>
        </w:tc>
        <w:tc>
          <w:tcPr>
            <w:tcW w:w="4680" w:type="dxa"/>
            <w:vAlign w:val="bottom"/>
            <w:tcBorders>
              <w:bottom w:val="single" w:sz="8" w:color="939598"/>
            </w:tcBorders>
            <w:gridSpan w:val="2"/>
          </w:tcPr>
          <w:p>
            <w:pPr>
              <w:jc w:val="right"/>
              <w:ind w:right="20"/>
              <w:spacing w:after="0" w:line="203" w:lineRule="exact"/>
              <w:rPr>
                <w:sz w:val="20"/>
                <w:szCs w:val="20"/>
                <w:color w:val="auto"/>
              </w:rPr>
            </w:pPr>
            <w:r>
              <w:rPr>
                <w:rFonts w:ascii="Arial" w:cs="Arial" w:eastAsia="Arial" w:hAnsi="Arial"/>
                <w:sz w:val="18"/>
                <w:szCs w:val="18"/>
                <w:color w:val="auto"/>
              </w:rPr>
              <w:t>1.0</w:t>
            </w:r>
          </w:p>
        </w:tc>
      </w:tr>
    </w:tbl>
    <w:p>
      <w:pPr>
        <w:spacing w:after="0" w:line="215"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These assumptions are determined using the same methodology applied in determining the assumptions used in calculating the fair value of our stock options.</w:t>
      </w:r>
    </w:p>
    <w:p>
      <w:pPr>
        <w:spacing w:after="0" w:line="197"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also maintain the Savings Related Share Option Scheme for United Kingdom employees with at least one year of service. The employees are offered the opportunity to obtain an option for a specified number of shares of common stock at not less than 85% of its market value on the day prior to the offer to participate in the plan. Options vest after either three, five or seven years, but may lapse earlier. Funds used to purchase the shares are accumulated through specified payroll deductions over a 60 -month period. We recognized a benefit of $0.2 in 2010 (due to forfeitures) and expense of $0.1 and $0.5 for shares purchased under the plan in 2009 and 2008, respectively.</w:t>
      </w:r>
    </w:p>
    <w:p>
      <w:pPr>
        <w:spacing w:after="0" w:line="200" w:lineRule="exact"/>
        <w:rPr>
          <w:sz w:val="20"/>
          <w:szCs w:val="20"/>
          <w:color w:val="auto"/>
        </w:rPr>
      </w:pPr>
    </w:p>
    <w:p>
      <w:pPr>
        <w:spacing w:after="0"/>
        <w:rPr>
          <w:sz w:val="20"/>
          <w:szCs w:val="20"/>
          <w:color w:val="auto"/>
        </w:rPr>
      </w:pPr>
      <w:r>
        <w:rPr>
          <w:rFonts w:ascii="Arial" w:cs="Arial" w:eastAsia="Arial" w:hAnsi="Arial"/>
          <w:sz w:val="24"/>
          <w:szCs w:val="24"/>
          <w:color w:val="86B6A5"/>
        </w:rPr>
        <w:t>04.</w:t>
      </w:r>
    </w:p>
    <w:p>
      <w:pPr>
        <w:spacing w:after="0" w:line="8" w:lineRule="exact"/>
        <w:rPr>
          <w:sz w:val="20"/>
          <w:szCs w:val="20"/>
          <w:color w:val="auto"/>
        </w:rPr>
      </w:pPr>
    </w:p>
    <w:p>
      <w:pPr>
        <w:spacing w:after="0"/>
        <w:rPr>
          <w:sz w:val="20"/>
          <w:szCs w:val="20"/>
          <w:color w:val="auto"/>
        </w:rPr>
      </w:pPr>
      <w:r>
        <w:rPr>
          <w:rFonts w:ascii="Arial" w:cs="Arial" w:eastAsia="Arial" w:hAnsi="Arial"/>
          <w:sz w:val="24"/>
          <w:szCs w:val="24"/>
          <w:color w:val="86B6A5"/>
        </w:rPr>
        <w:t>Net (Loss) Earnings Per Share</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The calculation of Net (Loss) Earnings Per Share – Basic is as follows: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400" w:type="dxa"/>
            <w:vAlign w:val="bottom"/>
            <w:gridSpan w:val="2"/>
          </w:tcPr>
          <w:p>
            <w:pPr>
              <w:spacing w:after="0"/>
              <w:rPr>
                <w:sz w:val="20"/>
                <w:szCs w:val="20"/>
                <w:color w:val="auto"/>
              </w:rPr>
            </w:pPr>
            <w:r>
              <w:rPr>
                <w:rFonts w:ascii="Arial" w:cs="Arial" w:eastAsia="Arial" w:hAnsi="Arial"/>
                <w:sz w:val="16"/>
                <w:szCs w:val="16"/>
                <w:b w:val="1"/>
                <w:bCs w:val="1"/>
                <w:color w:val="86B6A5"/>
              </w:rPr>
              <w:t>Year Ended December 31</w:t>
            </w:r>
          </w:p>
        </w:tc>
        <w:tc>
          <w:tcPr>
            <w:tcW w:w="640" w:type="dxa"/>
            <w:vAlign w:val="bottom"/>
          </w:tcPr>
          <w:p>
            <w:pPr>
              <w:spacing w:after="0"/>
              <w:rPr>
                <w:sz w:val="18"/>
                <w:szCs w:val="18"/>
                <w:color w:val="auto"/>
              </w:rPr>
            </w:pPr>
          </w:p>
        </w:tc>
        <w:tc>
          <w:tcPr>
            <w:tcW w:w="120" w:type="dxa"/>
            <w:vAlign w:val="bottom"/>
            <w:shd w:val="clear" w:color="auto" w:fill="86B6A5"/>
          </w:tcPr>
          <w:p>
            <w:pPr>
              <w:spacing w:after="0"/>
              <w:rPr>
                <w:sz w:val="18"/>
                <w:szCs w:val="18"/>
                <w:color w:val="auto"/>
              </w:rPr>
            </w:pPr>
          </w:p>
        </w:tc>
        <w:tc>
          <w:tcPr>
            <w:tcW w:w="1340" w:type="dxa"/>
            <w:vAlign w:val="bottom"/>
            <w:shd w:val="clear" w:color="auto" w:fill="86B6A5"/>
          </w:tcPr>
          <w:p>
            <w:pPr>
              <w:jc w:val="right"/>
              <w:ind w:right="132"/>
              <w:spacing w:after="0"/>
              <w:rPr>
                <w:sz w:val="20"/>
                <w:szCs w:val="20"/>
                <w:color w:val="auto"/>
              </w:rPr>
            </w:pPr>
            <w:r>
              <w:rPr>
                <w:rFonts w:ascii="Arial" w:cs="Arial" w:eastAsia="Arial" w:hAnsi="Arial"/>
                <w:sz w:val="16"/>
                <w:szCs w:val="16"/>
                <w:b w:val="1"/>
                <w:bCs w:val="1"/>
                <w:color w:val="FFFFFF"/>
              </w:rPr>
              <w:t>2010</w:t>
            </w:r>
          </w:p>
        </w:tc>
        <w:tc>
          <w:tcPr>
            <w:tcW w:w="460" w:type="dxa"/>
            <w:vAlign w:val="bottom"/>
          </w:tcPr>
          <w:p>
            <w:pPr>
              <w:spacing w:after="0"/>
              <w:rPr>
                <w:sz w:val="18"/>
                <w:szCs w:val="18"/>
                <w:color w:val="auto"/>
              </w:rPr>
            </w:pPr>
          </w:p>
        </w:tc>
        <w:tc>
          <w:tcPr>
            <w:tcW w:w="920" w:type="dxa"/>
            <w:vAlign w:val="bottom"/>
          </w:tcPr>
          <w:p>
            <w:pPr>
              <w:jc w:val="right"/>
              <w:ind w:right="52"/>
              <w:spacing w:after="0"/>
              <w:rPr>
                <w:sz w:val="20"/>
                <w:szCs w:val="20"/>
                <w:color w:val="auto"/>
              </w:rPr>
            </w:pPr>
            <w:r>
              <w:rPr>
                <w:rFonts w:ascii="Arial" w:cs="Arial" w:eastAsia="Arial" w:hAnsi="Arial"/>
                <w:sz w:val="16"/>
                <w:szCs w:val="16"/>
                <w:b w:val="1"/>
                <w:bCs w:val="1"/>
                <w:color w:val="86B6A5"/>
              </w:rPr>
              <w:t>2009</w:t>
            </w:r>
          </w:p>
        </w:tc>
        <w:tc>
          <w:tcPr>
            <w:tcW w:w="5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86B6A5"/>
              </w:rPr>
              <w:t>2008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380" w:type="dxa"/>
            <w:vAlign w:val="bottom"/>
            <w:tcBorders>
              <w:top w:val="single" w:sz="8" w:color="86B6A5"/>
            </w:tcBorders>
          </w:tcPr>
          <w:p>
            <w:pPr>
              <w:spacing w:after="0" w:line="201" w:lineRule="exact"/>
              <w:rPr>
                <w:sz w:val="20"/>
                <w:szCs w:val="20"/>
                <w:color w:val="auto"/>
              </w:rPr>
            </w:pPr>
            <w:r>
              <w:rPr>
                <w:rFonts w:ascii="Arial" w:cs="Arial" w:eastAsia="Arial" w:hAnsi="Arial"/>
                <w:sz w:val="18"/>
                <w:szCs w:val="18"/>
                <w:color w:val="auto"/>
              </w:rPr>
              <w:t>Net (loss) earnings available to common shareholders</w:t>
            </w:r>
          </w:p>
        </w:tc>
        <w:tc>
          <w:tcPr>
            <w:tcW w:w="640" w:type="dxa"/>
            <w:vAlign w:val="bottom"/>
            <w:tcBorders>
              <w:top w:val="single" w:sz="8" w:color="86B6A5"/>
            </w:tcBorders>
          </w:tcPr>
          <w:p>
            <w:pPr>
              <w:spacing w:after="0"/>
              <w:rPr>
                <w:sz w:val="17"/>
                <w:szCs w:val="17"/>
                <w:color w:val="auto"/>
              </w:rPr>
            </w:pPr>
          </w:p>
        </w:tc>
        <w:tc>
          <w:tcPr>
            <w:tcW w:w="120" w:type="dxa"/>
            <w:vAlign w:val="bottom"/>
            <w:tcBorders>
              <w:top w:val="single" w:sz="8" w:color="86B6A5"/>
            </w:tcBorders>
            <w:shd w:val="clear" w:color="auto" w:fill="E3F1DA"/>
          </w:tcPr>
          <w:p>
            <w:pPr>
              <w:jc w:val="right"/>
              <w:spacing w:after="0" w:line="201" w:lineRule="exact"/>
              <w:rPr>
                <w:sz w:val="20"/>
                <w:szCs w:val="20"/>
                <w:color w:val="auto"/>
              </w:rPr>
            </w:pPr>
            <w:r>
              <w:rPr>
                <w:rFonts w:ascii="Arial" w:cs="Arial" w:eastAsia="Arial" w:hAnsi="Arial"/>
                <w:sz w:val="18"/>
                <w:szCs w:val="18"/>
                <w:color w:val="86B6A5"/>
                <w:w w:val="79"/>
              </w:rPr>
              <w:t>$</w:t>
            </w:r>
          </w:p>
        </w:tc>
        <w:tc>
          <w:tcPr>
            <w:tcW w:w="1340" w:type="dxa"/>
            <w:vAlign w:val="bottom"/>
            <w:tcBorders>
              <w:top w:val="single" w:sz="8" w:color="86B6A5"/>
            </w:tcBorders>
            <w:shd w:val="clear" w:color="auto" w:fill="E3F1DA"/>
          </w:tcPr>
          <w:p>
            <w:pPr>
              <w:jc w:val="right"/>
              <w:ind w:right="72"/>
              <w:spacing w:after="0" w:line="201" w:lineRule="exact"/>
              <w:rPr>
                <w:sz w:val="20"/>
                <w:szCs w:val="20"/>
                <w:color w:val="auto"/>
              </w:rPr>
            </w:pPr>
            <w:r>
              <w:rPr>
                <w:rFonts w:ascii="Arial" w:cs="Arial" w:eastAsia="Arial" w:hAnsi="Arial"/>
                <w:sz w:val="18"/>
                <w:szCs w:val="18"/>
                <w:color w:val="86B6A5"/>
              </w:rPr>
              <w:t>(263.6)</w:t>
            </w:r>
          </w:p>
        </w:tc>
        <w:tc>
          <w:tcPr>
            <w:tcW w:w="460" w:type="dxa"/>
            <w:vAlign w:val="bottom"/>
            <w:tcBorders>
              <w:top w:val="single" w:sz="8" w:color="86B6A5"/>
            </w:tcBorders>
          </w:tcPr>
          <w:p>
            <w:pPr>
              <w:jc w:val="right"/>
              <w:ind w:right="270"/>
              <w:spacing w:after="0" w:line="201"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86B6A5"/>
            </w:tcBorders>
          </w:tcPr>
          <w:p>
            <w:pPr>
              <w:jc w:val="right"/>
              <w:spacing w:after="0" w:line="201" w:lineRule="exact"/>
              <w:rPr>
                <w:sz w:val="20"/>
                <w:szCs w:val="20"/>
                <w:color w:val="auto"/>
              </w:rPr>
            </w:pPr>
            <w:r>
              <w:rPr>
                <w:rFonts w:ascii="Arial" w:cs="Arial" w:eastAsia="Arial" w:hAnsi="Arial"/>
                <w:sz w:val="18"/>
                <w:szCs w:val="18"/>
                <w:color w:val="auto"/>
              </w:rPr>
              <w:t>(9.2)</w:t>
            </w:r>
          </w:p>
        </w:tc>
        <w:tc>
          <w:tcPr>
            <w:tcW w:w="520" w:type="dxa"/>
            <w:vAlign w:val="bottom"/>
            <w:tcBorders>
              <w:top w:val="single" w:sz="8" w:color="86B6A5"/>
            </w:tcBorders>
          </w:tcPr>
          <w:p>
            <w:pPr>
              <w:jc w:val="right"/>
              <w:ind w:right="250"/>
              <w:spacing w:after="0" w:line="201" w:lineRule="exact"/>
              <w:rPr>
                <w:sz w:val="20"/>
                <w:szCs w:val="20"/>
                <w:color w:val="auto"/>
              </w:rPr>
            </w:pPr>
            <w:r>
              <w:rPr>
                <w:rFonts w:ascii="Arial" w:cs="Arial" w:eastAsia="Arial" w:hAnsi="Arial"/>
                <w:sz w:val="18"/>
                <w:szCs w:val="18"/>
                <w:color w:val="auto"/>
              </w:rPr>
              <w:t>$</w:t>
            </w:r>
          </w:p>
        </w:tc>
        <w:tc>
          <w:tcPr>
            <w:tcW w:w="800" w:type="dxa"/>
            <w:vAlign w:val="bottom"/>
            <w:tcBorders>
              <w:top w:val="single" w:sz="8" w:color="86B6A5"/>
            </w:tcBorders>
          </w:tcPr>
          <w:p>
            <w:pPr>
              <w:jc w:val="right"/>
              <w:spacing w:after="0" w:line="201" w:lineRule="exact"/>
              <w:rPr>
                <w:sz w:val="20"/>
                <w:szCs w:val="20"/>
                <w:color w:val="auto"/>
              </w:rPr>
            </w:pPr>
            <w:r>
              <w:rPr>
                <w:rFonts w:ascii="Arial" w:cs="Arial" w:eastAsia="Arial" w:hAnsi="Arial"/>
                <w:sz w:val="18"/>
                <w:szCs w:val="18"/>
                <w:color w:val="auto"/>
              </w:rPr>
              <w:t>205.5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00" w:type="dxa"/>
            <w:vAlign w:val="bottom"/>
            <w:gridSpan w:val="2"/>
          </w:tcPr>
          <w:p>
            <w:pPr>
              <w:spacing w:after="0" w:line="202" w:lineRule="exact"/>
              <w:rPr>
                <w:sz w:val="20"/>
                <w:szCs w:val="20"/>
                <w:color w:val="auto"/>
              </w:rPr>
            </w:pPr>
            <w:r>
              <w:rPr>
                <w:rFonts w:ascii="Arial" w:cs="Arial" w:eastAsia="Arial" w:hAnsi="Arial"/>
                <w:sz w:val="18"/>
                <w:szCs w:val="18"/>
                <w:color w:val="auto"/>
              </w:rPr>
              <w:t>Weighted-average common shares outstanding (in millions)</w:t>
            </w:r>
          </w:p>
        </w:tc>
        <w:tc>
          <w:tcPr>
            <w:tcW w:w="640" w:type="dxa"/>
            <w:vAlign w:val="bottom"/>
          </w:tcPr>
          <w:p>
            <w:pPr>
              <w:spacing w:after="0"/>
              <w:rPr>
                <w:sz w:val="17"/>
                <w:szCs w:val="17"/>
                <w:color w:val="auto"/>
              </w:rPr>
            </w:pPr>
          </w:p>
        </w:tc>
        <w:tc>
          <w:tcPr>
            <w:tcW w:w="120" w:type="dxa"/>
            <w:vAlign w:val="bottom"/>
            <w:shd w:val="clear" w:color="auto" w:fill="E3F1DA"/>
          </w:tcPr>
          <w:p>
            <w:pPr>
              <w:spacing w:after="0"/>
              <w:rPr>
                <w:sz w:val="17"/>
                <w:szCs w:val="17"/>
                <w:color w:val="auto"/>
              </w:rPr>
            </w:pPr>
          </w:p>
        </w:tc>
        <w:tc>
          <w:tcPr>
            <w:tcW w:w="1340" w:type="dxa"/>
            <w:vAlign w:val="bottom"/>
            <w:shd w:val="clear" w:color="auto" w:fill="E3F1DA"/>
          </w:tcPr>
          <w:p>
            <w:pPr>
              <w:jc w:val="right"/>
              <w:ind w:right="132"/>
              <w:spacing w:after="0" w:line="202" w:lineRule="exact"/>
              <w:rPr>
                <w:sz w:val="20"/>
                <w:szCs w:val="20"/>
                <w:color w:val="auto"/>
              </w:rPr>
            </w:pPr>
            <w:r>
              <w:rPr>
                <w:rFonts w:ascii="Arial" w:cs="Arial" w:eastAsia="Arial" w:hAnsi="Arial"/>
                <w:sz w:val="18"/>
                <w:szCs w:val="18"/>
                <w:color w:val="86B6A5"/>
              </w:rPr>
              <w:t>81.0</w:t>
            </w:r>
          </w:p>
        </w:tc>
        <w:tc>
          <w:tcPr>
            <w:tcW w:w="460" w:type="dxa"/>
            <w:vAlign w:val="bottom"/>
          </w:tcPr>
          <w:p>
            <w:pPr>
              <w:spacing w:after="0"/>
              <w:rPr>
                <w:sz w:val="17"/>
                <w:szCs w:val="17"/>
                <w:color w:val="auto"/>
              </w:rPr>
            </w:pPr>
          </w:p>
        </w:tc>
        <w:tc>
          <w:tcPr>
            <w:tcW w:w="920" w:type="dxa"/>
            <w:vAlign w:val="bottom"/>
          </w:tcPr>
          <w:p>
            <w:pPr>
              <w:jc w:val="right"/>
              <w:ind w:right="52"/>
              <w:spacing w:after="0" w:line="202" w:lineRule="exact"/>
              <w:rPr>
                <w:sz w:val="20"/>
                <w:szCs w:val="20"/>
                <w:color w:val="auto"/>
              </w:rPr>
            </w:pPr>
            <w:r>
              <w:rPr>
                <w:rFonts w:ascii="Arial" w:cs="Arial" w:eastAsia="Arial" w:hAnsi="Arial"/>
                <w:sz w:val="18"/>
                <w:szCs w:val="18"/>
                <w:color w:val="auto"/>
              </w:rPr>
              <w:t>78.3</w:t>
            </w:r>
          </w:p>
        </w:tc>
        <w:tc>
          <w:tcPr>
            <w:tcW w:w="5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78.7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00" w:type="dxa"/>
            <w:vAlign w:val="bottom"/>
            <w:gridSpan w:val="2"/>
          </w:tcPr>
          <w:p>
            <w:pPr>
              <w:spacing w:after="0" w:line="203" w:lineRule="exact"/>
              <w:rPr>
                <w:sz w:val="20"/>
                <w:szCs w:val="20"/>
                <w:color w:val="auto"/>
              </w:rPr>
            </w:pPr>
            <w:r>
              <w:rPr>
                <w:rFonts w:ascii="Arial" w:cs="Arial" w:eastAsia="Arial" w:hAnsi="Arial"/>
                <w:sz w:val="18"/>
                <w:szCs w:val="18"/>
                <w:color w:val="auto"/>
              </w:rPr>
              <w:t>Total</w:t>
            </w:r>
          </w:p>
        </w:tc>
        <w:tc>
          <w:tcPr>
            <w:tcW w:w="640" w:type="dxa"/>
            <w:vAlign w:val="bottom"/>
          </w:tcPr>
          <w:p>
            <w:pPr>
              <w:spacing w:after="0"/>
              <w:rPr>
                <w:sz w:val="17"/>
                <w:szCs w:val="17"/>
                <w:color w:val="auto"/>
              </w:rPr>
            </w:pPr>
          </w:p>
        </w:tc>
        <w:tc>
          <w:tcPr>
            <w:tcW w:w="120" w:type="dxa"/>
            <w:vAlign w:val="bottom"/>
            <w:shd w:val="clear" w:color="auto" w:fill="E3F1DA"/>
          </w:tcPr>
          <w:p>
            <w:pPr>
              <w:jc w:val="right"/>
              <w:spacing w:after="0" w:line="203" w:lineRule="exact"/>
              <w:rPr>
                <w:sz w:val="20"/>
                <w:szCs w:val="20"/>
                <w:color w:val="auto"/>
              </w:rPr>
            </w:pPr>
            <w:r>
              <w:rPr>
                <w:rFonts w:ascii="Arial" w:cs="Arial" w:eastAsia="Arial" w:hAnsi="Arial"/>
                <w:sz w:val="18"/>
                <w:szCs w:val="18"/>
                <w:color w:val="86B6A5"/>
                <w:w w:val="79"/>
              </w:rPr>
              <w:t>$</w:t>
            </w:r>
          </w:p>
        </w:tc>
        <w:tc>
          <w:tcPr>
            <w:tcW w:w="1340" w:type="dxa"/>
            <w:vAlign w:val="bottom"/>
            <w:shd w:val="clear" w:color="auto" w:fill="E3F1DA"/>
          </w:tcPr>
          <w:p>
            <w:pPr>
              <w:jc w:val="right"/>
              <w:ind w:right="132"/>
              <w:spacing w:after="0" w:line="203" w:lineRule="exact"/>
              <w:rPr>
                <w:sz w:val="20"/>
                <w:szCs w:val="20"/>
                <w:color w:val="auto"/>
              </w:rPr>
            </w:pPr>
            <w:r>
              <w:rPr>
                <w:rFonts w:ascii="Arial" w:cs="Arial" w:eastAsia="Arial" w:hAnsi="Arial"/>
                <w:sz w:val="18"/>
                <w:szCs w:val="18"/>
                <w:color w:val="86B6A5"/>
              </w:rPr>
              <w:t>(3.26)</w:t>
            </w:r>
          </w:p>
        </w:tc>
        <w:tc>
          <w:tcPr>
            <w:tcW w:w="460" w:type="dxa"/>
            <w:vAlign w:val="bottom"/>
          </w:tcPr>
          <w:p>
            <w:pPr>
              <w:jc w:val="right"/>
              <w:ind w:right="270"/>
              <w:spacing w:after="0" w:line="203" w:lineRule="exact"/>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line="203" w:lineRule="exact"/>
              <w:rPr>
                <w:sz w:val="20"/>
                <w:szCs w:val="20"/>
                <w:color w:val="auto"/>
              </w:rPr>
            </w:pPr>
            <w:r>
              <w:rPr>
                <w:rFonts w:ascii="Arial" w:cs="Arial" w:eastAsia="Arial" w:hAnsi="Arial"/>
                <w:sz w:val="18"/>
                <w:szCs w:val="18"/>
                <w:color w:val="auto"/>
              </w:rPr>
              <w:t>(0.12)</w:t>
            </w:r>
          </w:p>
        </w:tc>
        <w:tc>
          <w:tcPr>
            <w:tcW w:w="520" w:type="dxa"/>
            <w:vAlign w:val="bottom"/>
          </w:tcPr>
          <w:p>
            <w:pPr>
              <w:jc w:val="right"/>
              <w:ind w:right="250"/>
              <w:spacing w:after="0" w:line="203"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203" w:lineRule="exact"/>
              <w:rPr>
                <w:sz w:val="20"/>
                <w:szCs w:val="20"/>
                <w:color w:val="auto"/>
              </w:rPr>
            </w:pPr>
            <w:r>
              <w:rPr>
                <w:rFonts w:ascii="Arial" w:cs="Arial" w:eastAsia="Arial" w:hAnsi="Arial"/>
                <w:sz w:val="18"/>
                <w:szCs w:val="18"/>
                <w:color w:val="auto"/>
              </w:rPr>
              <w:t>2.61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380" w:type="dxa"/>
            <w:vAlign w:val="bottom"/>
            <w:shd w:val="clear" w:color="auto" w:fill="939598"/>
          </w:tcPr>
          <w:p>
            <w:pPr>
              <w:spacing w:after="0"/>
              <w:rPr>
                <w:sz w:val="2"/>
                <w:szCs w:val="2"/>
                <w:color w:val="auto"/>
              </w:rPr>
            </w:pPr>
          </w:p>
        </w:tc>
        <w:tc>
          <w:tcPr>
            <w:tcW w:w="640" w:type="dxa"/>
            <w:vAlign w:val="bottom"/>
            <w:shd w:val="clear" w:color="auto" w:fill="939598"/>
          </w:tcPr>
          <w:p>
            <w:pPr>
              <w:spacing w:after="0"/>
              <w:rPr>
                <w:sz w:val="2"/>
                <w:szCs w:val="2"/>
                <w:color w:val="auto"/>
              </w:rPr>
            </w:pPr>
          </w:p>
        </w:tc>
        <w:tc>
          <w:tcPr>
            <w:tcW w:w="120" w:type="dxa"/>
            <w:vAlign w:val="bottom"/>
            <w:shd w:val="clear" w:color="auto" w:fill="939598"/>
          </w:tcPr>
          <w:p>
            <w:pPr>
              <w:spacing w:after="0"/>
              <w:rPr>
                <w:sz w:val="2"/>
                <w:szCs w:val="2"/>
                <w:color w:val="auto"/>
              </w:rPr>
            </w:pPr>
          </w:p>
        </w:tc>
        <w:tc>
          <w:tcPr>
            <w:tcW w:w="1340" w:type="dxa"/>
            <w:vAlign w:val="bottom"/>
            <w:shd w:val="clear" w:color="auto" w:fill="939598"/>
          </w:tcPr>
          <w:p>
            <w:pPr>
              <w:spacing w:after="0"/>
              <w:rPr>
                <w:sz w:val="2"/>
                <w:szCs w:val="2"/>
                <w:color w:val="auto"/>
              </w:rPr>
            </w:pPr>
          </w:p>
        </w:tc>
        <w:tc>
          <w:tcPr>
            <w:tcW w:w="460" w:type="dxa"/>
            <w:vAlign w:val="bottom"/>
            <w:shd w:val="clear" w:color="auto" w:fill="939598"/>
          </w:tcPr>
          <w:p>
            <w:pPr>
              <w:spacing w:after="0"/>
              <w:rPr>
                <w:sz w:val="2"/>
                <w:szCs w:val="2"/>
                <w:color w:val="auto"/>
              </w:rPr>
            </w:pPr>
          </w:p>
        </w:tc>
        <w:tc>
          <w:tcPr>
            <w:tcW w:w="920" w:type="dxa"/>
            <w:vAlign w:val="bottom"/>
            <w:shd w:val="clear" w:color="auto" w:fill="939598"/>
          </w:tcPr>
          <w:p>
            <w:pPr>
              <w:spacing w:after="0"/>
              <w:rPr>
                <w:sz w:val="2"/>
                <w:szCs w:val="2"/>
                <w:color w:val="auto"/>
              </w:rPr>
            </w:pPr>
          </w:p>
        </w:tc>
        <w:tc>
          <w:tcPr>
            <w:tcW w:w="520" w:type="dxa"/>
            <w:vAlign w:val="bottom"/>
            <w:shd w:val="clear" w:color="auto" w:fill="939598"/>
          </w:tcPr>
          <w:p>
            <w:pPr>
              <w:spacing w:after="0"/>
              <w:rPr>
                <w:sz w:val="2"/>
                <w:szCs w:val="2"/>
                <w:color w:val="auto"/>
              </w:rPr>
            </w:pPr>
          </w:p>
        </w:tc>
        <w:tc>
          <w:tcPr>
            <w:tcW w:w="800" w:type="dxa"/>
            <w:vAlign w:val="bottom"/>
            <w:shd w:val="clear" w:color="auto" w:fill="939598"/>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32"/>
        </w:trPr>
        <w:tc>
          <w:tcPr>
            <w:tcW w:w="6400" w:type="dxa"/>
            <w:vAlign w:val="bottom"/>
            <w:gridSpan w:val="2"/>
          </w:tcPr>
          <w:p>
            <w:pPr>
              <w:spacing w:after="0"/>
              <w:rPr>
                <w:sz w:val="20"/>
                <w:szCs w:val="20"/>
                <w:color w:val="auto"/>
              </w:rPr>
            </w:pPr>
            <w:r>
              <w:rPr>
                <w:rFonts w:ascii="Arial" w:cs="Arial" w:eastAsia="Arial" w:hAnsi="Arial"/>
                <w:sz w:val="18"/>
                <w:szCs w:val="18"/>
                <w:color w:val="auto"/>
              </w:rPr>
              <w:t>The calculation of Net (Loss) Earnings Per Share – Diluted is as follows:</w:t>
            </w: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6400" w:type="dxa"/>
            <w:vAlign w:val="bottom"/>
            <w:gridSpan w:val="2"/>
            <w:vMerge w:val="restart"/>
          </w:tcPr>
          <w:p>
            <w:pPr>
              <w:spacing w:after="0"/>
              <w:rPr>
                <w:sz w:val="20"/>
                <w:szCs w:val="20"/>
                <w:color w:val="auto"/>
              </w:rPr>
            </w:pPr>
            <w:r>
              <w:rPr>
                <w:rFonts w:ascii="Arial" w:cs="Arial" w:eastAsia="Arial" w:hAnsi="Arial"/>
                <w:sz w:val="16"/>
                <w:szCs w:val="16"/>
                <w:b w:val="1"/>
                <w:bCs w:val="1"/>
                <w:color w:val="86B6A5"/>
              </w:rPr>
              <w:t>Year Ended December 31</w:t>
            </w: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vMerge w:val="restart"/>
          </w:tcPr>
          <w:p>
            <w:pPr>
              <w:jc w:val="right"/>
              <w:ind w:right="52"/>
              <w:spacing w:after="0"/>
              <w:rPr>
                <w:sz w:val="20"/>
                <w:szCs w:val="20"/>
                <w:color w:val="auto"/>
              </w:rPr>
            </w:pPr>
            <w:r>
              <w:rPr>
                <w:rFonts w:ascii="Arial" w:cs="Arial" w:eastAsia="Arial" w:hAnsi="Arial"/>
                <w:sz w:val="16"/>
                <w:szCs w:val="16"/>
                <w:b w:val="1"/>
                <w:bCs w:val="1"/>
                <w:color w:val="86B6A5"/>
              </w:rPr>
              <w:t>2009</w:t>
            </w:r>
          </w:p>
        </w:tc>
        <w:tc>
          <w:tcPr>
            <w:tcW w:w="520" w:type="dxa"/>
            <w:vAlign w:val="bottom"/>
          </w:tcPr>
          <w:p>
            <w:pPr>
              <w:spacing w:after="0"/>
              <w:rPr>
                <w:sz w:val="17"/>
                <w:szCs w:val="17"/>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b w:val="1"/>
                <w:bCs w:val="1"/>
                <w:color w:val="86B6A5"/>
              </w:rPr>
              <w:t>2008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400" w:type="dxa"/>
            <w:vAlign w:val="bottom"/>
            <w:gridSpan w:val="2"/>
            <w:vMerge w:val="continue"/>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shd w:val="clear" w:color="auto" w:fill="86B6A5"/>
          </w:tcPr>
          <w:p>
            <w:pPr>
              <w:spacing w:after="0"/>
              <w:rPr>
                <w:sz w:val="18"/>
                <w:szCs w:val="18"/>
                <w:color w:val="auto"/>
              </w:rPr>
            </w:pPr>
          </w:p>
        </w:tc>
        <w:tc>
          <w:tcPr>
            <w:tcW w:w="1340" w:type="dxa"/>
            <w:vAlign w:val="bottom"/>
            <w:shd w:val="clear" w:color="auto" w:fill="86B6A5"/>
          </w:tcPr>
          <w:p>
            <w:pPr>
              <w:jc w:val="right"/>
              <w:ind w:right="132"/>
              <w:spacing w:after="0"/>
              <w:rPr>
                <w:sz w:val="20"/>
                <w:szCs w:val="20"/>
                <w:color w:val="auto"/>
              </w:rPr>
            </w:pPr>
            <w:r>
              <w:rPr>
                <w:rFonts w:ascii="Arial" w:cs="Arial" w:eastAsia="Arial" w:hAnsi="Arial"/>
                <w:sz w:val="16"/>
                <w:szCs w:val="16"/>
                <w:b w:val="1"/>
                <w:bCs w:val="1"/>
                <w:color w:val="FFFFFF"/>
              </w:rPr>
              <w:t>2010</w:t>
            </w:r>
          </w:p>
        </w:tc>
        <w:tc>
          <w:tcPr>
            <w:tcW w:w="46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52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380" w:type="dxa"/>
            <w:vAlign w:val="bottom"/>
            <w:tcBorders>
              <w:top w:val="single" w:sz="8" w:color="86B6A5"/>
            </w:tcBorders>
          </w:tcPr>
          <w:p>
            <w:pPr>
              <w:spacing w:after="0" w:line="201" w:lineRule="exact"/>
              <w:rPr>
                <w:sz w:val="20"/>
                <w:szCs w:val="20"/>
                <w:color w:val="auto"/>
              </w:rPr>
            </w:pPr>
            <w:r>
              <w:rPr>
                <w:rFonts w:ascii="Arial" w:cs="Arial" w:eastAsia="Arial" w:hAnsi="Arial"/>
                <w:sz w:val="18"/>
                <w:szCs w:val="18"/>
                <w:color w:val="auto"/>
              </w:rPr>
              <w:t>Net (loss) earnings available to common shareholders</w:t>
            </w:r>
          </w:p>
        </w:tc>
        <w:tc>
          <w:tcPr>
            <w:tcW w:w="640" w:type="dxa"/>
            <w:vAlign w:val="bottom"/>
            <w:tcBorders>
              <w:top w:val="single" w:sz="8" w:color="86B6A5"/>
            </w:tcBorders>
          </w:tcPr>
          <w:p>
            <w:pPr>
              <w:spacing w:after="0"/>
              <w:rPr>
                <w:sz w:val="17"/>
                <w:szCs w:val="17"/>
                <w:color w:val="auto"/>
              </w:rPr>
            </w:pPr>
          </w:p>
        </w:tc>
        <w:tc>
          <w:tcPr>
            <w:tcW w:w="120" w:type="dxa"/>
            <w:vAlign w:val="bottom"/>
            <w:tcBorders>
              <w:top w:val="single" w:sz="8" w:color="86B6A5"/>
            </w:tcBorders>
            <w:shd w:val="clear" w:color="auto" w:fill="E3F1DA"/>
          </w:tcPr>
          <w:p>
            <w:pPr>
              <w:jc w:val="right"/>
              <w:spacing w:after="0" w:line="201" w:lineRule="exact"/>
              <w:rPr>
                <w:sz w:val="20"/>
                <w:szCs w:val="20"/>
                <w:color w:val="auto"/>
              </w:rPr>
            </w:pPr>
            <w:r>
              <w:rPr>
                <w:rFonts w:ascii="Arial" w:cs="Arial" w:eastAsia="Arial" w:hAnsi="Arial"/>
                <w:sz w:val="18"/>
                <w:szCs w:val="18"/>
                <w:color w:val="86B6A5"/>
                <w:w w:val="79"/>
              </w:rPr>
              <w:t>$</w:t>
            </w:r>
          </w:p>
        </w:tc>
        <w:tc>
          <w:tcPr>
            <w:tcW w:w="1340" w:type="dxa"/>
            <w:vAlign w:val="bottom"/>
            <w:tcBorders>
              <w:top w:val="single" w:sz="8" w:color="86B6A5"/>
            </w:tcBorders>
            <w:shd w:val="clear" w:color="auto" w:fill="E3F1DA"/>
          </w:tcPr>
          <w:p>
            <w:pPr>
              <w:jc w:val="right"/>
              <w:ind w:right="72"/>
              <w:spacing w:after="0" w:line="201" w:lineRule="exact"/>
              <w:rPr>
                <w:sz w:val="20"/>
                <w:szCs w:val="20"/>
                <w:color w:val="auto"/>
              </w:rPr>
            </w:pPr>
            <w:r>
              <w:rPr>
                <w:rFonts w:ascii="Arial" w:cs="Arial" w:eastAsia="Arial" w:hAnsi="Arial"/>
                <w:sz w:val="18"/>
                <w:szCs w:val="18"/>
                <w:color w:val="86B6A5"/>
              </w:rPr>
              <w:t>(263.6)</w:t>
            </w:r>
          </w:p>
        </w:tc>
        <w:tc>
          <w:tcPr>
            <w:tcW w:w="460" w:type="dxa"/>
            <w:vAlign w:val="bottom"/>
            <w:tcBorders>
              <w:top w:val="single" w:sz="8" w:color="86B6A5"/>
            </w:tcBorders>
          </w:tcPr>
          <w:p>
            <w:pPr>
              <w:jc w:val="right"/>
              <w:ind w:right="270"/>
              <w:spacing w:after="0" w:line="201"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86B6A5"/>
            </w:tcBorders>
          </w:tcPr>
          <w:p>
            <w:pPr>
              <w:jc w:val="right"/>
              <w:spacing w:after="0" w:line="201" w:lineRule="exact"/>
              <w:rPr>
                <w:sz w:val="20"/>
                <w:szCs w:val="20"/>
                <w:color w:val="auto"/>
              </w:rPr>
            </w:pPr>
            <w:r>
              <w:rPr>
                <w:rFonts w:ascii="Arial" w:cs="Arial" w:eastAsia="Arial" w:hAnsi="Arial"/>
                <w:sz w:val="18"/>
                <w:szCs w:val="18"/>
                <w:color w:val="auto"/>
              </w:rPr>
              <w:t>(9.2)</w:t>
            </w:r>
          </w:p>
        </w:tc>
        <w:tc>
          <w:tcPr>
            <w:tcW w:w="520" w:type="dxa"/>
            <w:vAlign w:val="bottom"/>
            <w:tcBorders>
              <w:top w:val="single" w:sz="8" w:color="86B6A5"/>
            </w:tcBorders>
          </w:tcPr>
          <w:p>
            <w:pPr>
              <w:jc w:val="right"/>
              <w:ind w:right="250"/>
              <w:spacing w:after="0" w:line="201" w:lineRule="exact"/>
              <w:rPr>
                <w:sz w:val="20"/>
                <w:szCs w:val="20"/>
                <w:color w:val="auto"/>
              </w:rPr>
            </w:pPr>
            <w:r>
              <w:rPr>
                <w:rFonts w:ascii="Arial" w:cs="Arial" w:eastAsia="Arial" w:hAnsi="Arial"/>
                <w:sz w:val="18"/>
                <w:szCs w:val="18"/>
                <w:color w:val="auto"/>
              </w:rPr>
              <w:t>$</w:t>
            </w:r>
          </w:p>
        </w:tc>
        <w:tc>
          <w:tcPr>
            <w:tcW w:w="800" w:type="dxa"/>
            <w:vAlign w:val="bottom"/>
            <w:tcBorders>
              <w:top w:val="single" w:sz="8" w:color="86B6A5"/>
            </w:tcBorders>
          </w:tcPr>
          <w:p>
            <w:pPr>
              <w:jc w:val="right"/>
              <w:spacing w:after="0" w:line="201" w:lineRule="exact"/>
              <w:rPr>
                <w:sz w:val="20"/>
                <w:szCs w:val="20"/>
                <w:color w:val="auto"/>
              </w:rPr>
            </w:pPr>
            <w:r>
              <w:rPr>
                <w:rFonts w:ascii="Arial" w:cs="Arial" w:eastAsia="Arial" w:hAnsi="Arial"/>
                <w:sz w:val="18"/>
                <w:szCs w:val="18"/>
                <w:color w:val="auto"/>
              </w:rPr>
              <w:t>205.5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00" w:type="dxa"/>
            <w:vAlign w:val="bottom"/>
            <w:gridSpan w:val="2"/>
          </w:tcPr>
          <w:p>
            <w:pPr>
              <w:spacing w:after="0" w:line="202" w:lineRule="exact"/>
              <w:rPr>
                <w:sz w:val="20"/>
                <w:szCs w:val="20"/>
                <w:color w:val="auto"/>
              </w:rPr>
            </w:pPr>
            <w:r>
              <w:rPr>
                <w:rFonts w:ascii="Arial" w:cs="Arial" w:eastAsia="Arial" w:hAnsi="Arial"/>
                <w:sz w:val="18"/>
                <w:szCs w:val="18"/>
                <w:color w:val="auto"/>
              </w:rPr>
              <w:t>Weighted-average common shares outstanding (in millions)</w:t>
            </w:r>
          </w:p>
        </w:tc>
        <w:tc>
          <w:tcPr>
            <w:tcW w:w="640" w:type="dxa"/>
            <w:vAlign w:val="bottom"/>
          </w:tcPr>
          <w:p>
            <w:pPr>
              <w:spacing w:after="0"/>
              <w:rPr>
                <w:sz w:val="17"/>
                <w:szCs w:val="17"/>
                <w:color w:val="auto"/>
              </w:rPr>
            </w:pPr>
          </w:p>
        </w:tc>
        <w:tc>
          <w:tcPr>
            <w:tcW w:w="120" w:type="dxa"/>
            <w:vAlign w:val="bottom"/>
            <w:shd w:val="clear" w:color="auto" w:fill="E3F1DA"/>
          </w:tcPr>
          <w:p>
            <w:pPr>
              <w:spacing w:after="0"/>
              <w:rPr>
                <w:sz w:val="17"/>
                <w:szCs w:val="17"/>
                <w:color w:val="auto"/>
              </w:rPr>
            </w:pPr>
          </w:p>
        </w:tc>
        <w:tc>
          <w:tcPr>
            <w:tcW w:w="1340" w:type="dxa"/>
            <w:vAlign w:val="bottom"/>
            <w:shd w:val="clear" w:color="auto" w:fill="E3F1DA"/>
          </w:tcPr>
          <w:p>
            <w:pPr>
              <w:jc w:val="right"/>
              <w:ind w:right="132"/>
              <w:spacing w:after="0" w:line="202" w:lineRule="exact"/>
              <w:rPr>
                <w:sz w:val="20"/>
                <w:szCs w:val="20"/>
                <w:color w:val="auto"/>
              </w:rPr>
            </w:pPr>
            <w:r>
              <w:rPr>
                <w:rFonts w:ascii="Arial" w:cs="Arial" w:eastAsia="Arial" w:hAnsi="Arial"/>
                <w:sz w:val="18"/>
                <w:szCs w:val="18"/>
                <w:color w:val="86B6A5"/>
              </w:rPr>
              <w:t>81.0</w:t>
            </w:r>
          </w:p>
        </w:tc>
        <w:tc>
          <w:tcPr>
            <w:tcW w:w="460" w:type="dxa"/>
            <w:vAlign w:val="bottom"/>
          </w:tcPr>
          <w:p>
            <w:pPr>
              <w:spacing w:after="0"/>
              <w:rPr>
                <w:sz w:val="17"/>
                <w:szCs w:val="17"/>
                <w:color w:val="auto"/>
              </w:rPr>
            </w:pPr>
          </w:p>
        </w:tc>
        <w:tc>
          <w:tcPr>
            <w:tcW w:w="920" w:type="dxa"/>
            <w:vAlign w:val="bottom"/>
          </w:tcPr>
          <w:p>
            <w:pPr>
              <w:jc w:val="right"/>
              <w:ind w:right="52"/>
              <w:spacing w:after="0" w:line="202" w:lineRule="exact"/>
              <w:rPr>
                <w:sz w:val="20"/>
                <w:szCs w:val="20"/>
                <w:color w:val="auto"/>
              </w:rPr>
            </w:pPr>
            <w:r>
              <w:rPr>
                <w:rFonts w:ascii="Arial" w:cs="Arial" w:eastAsia="Arial" w:hAnsi="Arial"/>
                <w:sz w:val="18"/>
                <w:szCs w:val="18"/>
                <w:color w:val="auto"/>
              </w:rPr>
              <w:t>78.3</w:t>
            </w:r>
          </w:p>
        </w:tc>
        <w:tc>
          <w:tcPr>
            <w:tcW w:w="5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78.7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00" w:type="dxa"/>
            <w:vAlign w:val="bottom"/>
            <w:gridSpan w:val="2"/>
          </w:tcPr>
          <w:p>
            <w:pPr>
              <w:spacing w:after="0" w:line="202" w:lineRule="exact"/>
              <w:rPr>
                <w:sz w:val="20"/>
                <w:szCs w:val="20"/>
                <w:color w:val="auto"/>
              </w:rPr>
            </w:pPr>
            <w:r>
              <w:rPr>
                <w:rFonts w:ascii="Arial" w:cs="Arial" w:eastAsia="Arial" w:hAnsi="Arial"/>
                <w:sz w:val="18"/>
                <w:szCs w:val="18"/>
                <w:color w:val="auto"/>
              </w:rPr>
              <w:t>Effect of restricted stock grants (in millions)</w:t>
            </w:r>
          </w:p>
        </w:tc>
        <w:tc>
          <w:tcPr>
            <w:tcW w:w="640" w:type="dxa"/>
            <w:vAlign w:val="bottom"/>
          </w:tcPr>
          <w:p>
            <w:pPr>
              <w:spacing w:after="0"/>
              <w:rPr>
                <w:sz w:val="17"/>
                <w:szCs w:val="17"/>
                <w:color w:val="auto"/>
              </w:rPr>
            </w:pPr>
          </w:p>
        </w:tc>
        <w:tc>
          <w:tcPr>
            <w:tcW w:w="120" w:type="dxa"/>
            <w:vAlign w:val="bottom"/>
            <w:shd w:val="clear" w:color="auto" w:fill="E3F1DA"/>
          </w:tcPr>
          <w:p>
            <w:pPr>
              <w:spacing w:after="0"/>
              <w:rPr>
                <w:sz w:val="17"/>
                <w:szCs w:val="17"/>
                <w:color w:val="auto"/>
              </w:rPr>
            </w:pPr>
          </w:p>
        </w:tc>
        <w:tc>
          <w:tcPr>
            <w:tcW w:w="1340" w:type="dxa"/>
            <w:vAlign w:val="bottom"/>
            <w:shd w:val="clear" w:color="auto" w:fill="E3F1DA"/>
          </w:tcPr>
          <w:p>
            <w:pPr>
              <w:jc w:val="right"/>
              <w:ind w:right="132"/>
              <w:spacing w:after="0" w:line="202" w:lineRule="exact"/>
              <w:rPr>
                <w:sz w:val="20"/>
                <w:szCs w:val="20"/>
                <w:color w:val="auto"/>
              </w:rPr>
            </w:pPr>
            <w:r>
              <w:rPr>
                <w:rFonts w:ascii="Arial" w:cs="Arial" w:eastAsia="Arial" w:hAnsi="Arial"/>
                <w:sz w:val="18"/>
                <w:szCs w:val="18"/>
                <w:color w:val="86B6A5"/>
              </w:rPr>
              <w:t>–</w:t>
            </w:r>
          </w:p>
        </w:tc>
        <w:tc>
          <w:tcPr>
            <w:tcW w:w="460" w:type="dxa"/>
            <w:vAlign w:val="bottom"/>
          </w:tcPr>
          <w:p>
            <w:pPr>
              <w:spacing w:after="0"/>
              <w:rPr>
                <w:sz w:val="17"/>
                <w:szCs w:val="17"/>
                <w:color w:val="auto"/>
              </w:rPr>
            </w:pPr>
          </w:p>
        </w:tc>
        <w:tc>
          <w:tcPr>
            <w:tcW w:w="920" w:type="dxa"/>
            <w:vAlign w:val="bottom"/>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520" w:type="dxa"/>
            <w:vAlign w:val="bottom"/>
          </w:tcPr>
          <w:p>
            <w:pPr>
              <w:spacing w:after="0"/>
              <w:rPr>
                <w:sz w:val="17"/>
                <w:szCs w:val="17"/>
                <w:color w:val="auto"/>
              </w:rPr>
            </w:pPr>
          </w:p>
        </w:tc>
        <w:tc>
          <w:tcPr>
            <w:tcW w:w="8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03"/>
        </w:trPr>
        <w:tc>
          <w:tcPr>
            <w:tcW w:w="6400" w:type="dxa"/>
            <w:vAlign w:val="bottom"/>
            <w:gridSpan w:val="2"/>
          </w:tcPr>
          <w:p>
            <w:pPr>
              <w:spacing w:after="0" w:line="203" w:lineRule="exact"/>
              <w:rPr>
                <w:sz w:val="20"/>
                <w:szCs w:val="20"/>
                <w:color w:val="auto"/>
              </w:rPr>
            </w:pPr>
            <w:r>
              <w:rPr>
                <w:rFonts w:ascii="Arial" w:cs="Arial" w:eastAsia="Arial" w:hAnsi="Arial"/>
                <w:sz w:val="18"/>
                <w:szCs w:val="18"/>
                <w:color w:val="auto"/>
              </w:rPr>
              <w:t>Effect of dilutive securities – stock options (in millions)</w:t>
            </w:r>
          </w:p>
        </w:tc>
        <w:tc>
          <w:tcPr>
            <w:tcW w:w="640" w:type="dxa"/>
            <w:vAlign w:val="bottom"/>
          </w:tcPr>
          <w:p>
            <w:pPr>
              <w:spacing w:after="0"/>
              <w:rPr>
                <w:sz w:val="17"/>
                <w:szCs w:val="17"/>
                <w:color w:val="auto"/>
              </w:rPr>
            </w:pPr>
          </w:p>
        </w:tc>
        <w:tc>
          <w:tcPr>
            <w:tcW w:w="120" w:type="dxa"/>
            <w:vAlign w:val="bottom"/>
            <w:shd w:val="clear" w:color="auto" w:fill="E3F1DA"/>
          </w:tcPr>
          <w:p>
            <w:pPr>
              <w:spacing w:after="0"/>
              <w:rPr>
                <w:sz w:val="17"/>
                <w:szCs w:val="17"/>
                <w:color w:val="auto"/>
              </w:rPr>
            </w:pPr>
          </w:p>
        </w:tc>
        <w:tc>
          <w:tcPr>
            <w:tcW w:w="1340" w:type="dxa"/>
            <w:vAlign w:val="bottom"/>
            <w:shd w:val="clear" w:color="auto" w:fill="E3F1DA"/>
          </w:tcPr>
          <w:p>
            <w:pPr>
              <w:jc w:val="right"/>
              <w:ind w:right="132"/>
              <w:spacing w:after="0" w:line="203" w:lineRule="exact"/>
              <w:rPr>
                <w:sz w:val="20"/>
                <w:szCs w:val="20"/>
                <w:color w:val="auto"/>
              </w:rPr>
            </w:pPr>
            <w:r>
              <w:rPr>
                <w:rFonts w:ascii="Arial" w:cs="Arial" w:eastAsia="Arial" w:hAnsi="Arial"/>
                <w:sz w:val="18"/>
                <w:szCs w:val="18"/>
                <w:color w:val="86B6A5"/>
              </w:rPr>
              <w:t>–</w:t>
            </w:r>
          </w:p>
        </w:tc>
        <w:tc>
          <w:tcPr>
            <w:tcW w:w="460" w:type="dxa"/>
            <w:vAlign w:val="bottom"/>
          </w:tcPr>
          <w:p>
            <w:pPr>
              <w:spacing w:after="0"/>
              <w:rPr>
                <w:sz w:val="17"/>
                <w:szCs w:val="17"/>
                <w:color w:val="auto"/>
              </w:rPr>
            </w:pPr>
          </w:p>
        </w:tc>
        <w:tc>
          <w:tcPr>
            <w:tcW w:w="920" w:type="dxa"/>
            <w:vAlign w:val="bottom"/>
          </w:tcPr>
          <w:p>
            <w:pPr>
              <w:jc w:val="right"/>
              <w:ind w:right="52"/>
              <w:spacing w:after="0" w:line="203" w:lineRule="exact"/>
              <w:rPr>
                <w:sz w:val="20"/>
                <w:szCs w:val="20"/>
                <w:color w:val="auto"/>
              </w:rPr>
            </w:pPr>
            <w:r>
              <w:rPr>
                <w:rFonts w:ascii="Arial" w:cs="Arial" w:eastAsia="Arial" w:hAnsi="Arial"/>
                <w:sz w:val="18"/>
                <w:szCs w:val="18"/>
                <w:color w:val="auto"/>
              </w:rPr>
              <w:t>–</w:t>
            </w:r>
          </w:p>
        </w:tc>
        <w:tc>
          <w:tcPr>
            <w:tcW w:w="520" w:type="dxa"/>
            <w:vAlign w:val="bottom"/>
          </w:tcPr>
          <w:p>
            <w:pPr>
              <w:spacing w:after="0"/>
              <w:rPr>
                <w:sz w:val="17"/>
                <w:szCs w:val="17"/>
                <w:color w:val="auto"/>
              </w:rPr>
            </w:pPr>
          </w:p>
        </w:tc>
        <w:tc>
          <w:tcPr>
            <w:tcW w:w="820" w:type="dxa"/>
            <w:vAlign w:val="bottom"/>
            <w:gridSpan w:val="2"/>
          </w:tcPr>
          <w:p>
            <w:pPr>
              <w:jc w:val="right"/>
              <w:ind w:right="20"/>
              <w:spacing w:after="0" w:line="203" w:lineRule="exact"/>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380" w:type="dxa"/>
            <w:vAlign w:val="bottom"/>
            <w:tcBorders>
              <w:top w:val="single" w:sz="8" w:color="939598"/>
              <w:bottom w:val="single" w:sz="8" w:color="939598"/>
            </w:tcBorders>
          </w:tcPr>
          <w:p>
            <w:pPr>
              <w:spacing w:after="0"/>
              <w:rPr>
                <w:sz w:val="17"/>
                <w:szCs w:val="17"/>
                <w:color w:val="auto"/>
              </w:rPr>
            </w:pPr>
          </w:p>
        </w:tc>
        <w:tc>
          <w:tcPr>
            <w:tcW w:w="640" w:type="dxa"/>
            <w:vAlign w:val="bottom"/>
            <w:tcBorders>
              <w:top w:val="single" w:sz="8" w:color="939598"/>
              <w:bottom w:val="single" w:sz="8" w:color="939598"/>
            </w:tcBorders>
          </w:tcPr>
          <w:p>
            <w:pPr>
              <w:spacing w:after="0"/>
              <w:rPr>
                <w:sz w:val="17"/>
                <w:szCs w:val="17"/>
                <w:color w:val="auto"/>
              </w:rPr>
            </w:pPr>
          </w:p>
        </w:tc>
        <w:tc>
          <w:tcPr>
            <w:tcW w:w="120" w:type="dxa"/>
            <w:vAlign w:val="bottom"/>
            <w:tcBorders>
              <w:top w:val="single" w:sz="8" w:color="939598"/>
              <w:bottom w:val="single" w:sz="8" w:color="939598"/>
            </w:tcBorders>
            <w:shd w:val="clear" w:color="auto" w:fill="E3F1DA"/>
          </w:tcPr>
          <w:p>
            <w:pPr>
              <w:spacing w:after="0"/>
              <w:rPr>
                <w:sz w:val="17"/>
                <w:szCs w:val="17"/>
                <w:color w:val="auto"/>
              </w:rPr>
            </w:pPr>
          </w:p>
        </w:tc>
        <w:tc>
          <w:tcPr>
            <w:tcW w:w="1340" w:type="dxa"/>
            <w:vAlign w:val="bottom"/>
            <w:tcBorders>
              <w:top w:val="single" w:sz="8" w:color="939598"/>
              <w:bottom w:val="single" w:sz="8" w:color="939598"/>
            </w:tcBorders>
            <w:shd w:val="clear" w:color="auto" w:fill="E3F1DA"/>
          </w:tcPr>
          <w:p>
            <w:pPr>
              <w:jc w:val="right"/>
              <w:ind w:right="132"/>
              <w:spacing w:after="0" w:line="196" w:lineRule="exact"/>
              <w:rPr>
                <w:sz w:val="20"/>
                <w:szCs w:val="20"/>
                <w:color w:val="auto"/>
              </w:rPr>
            </w:pPr>
            <w:r>
              <w:rPr>
                <w:rFonts w:ascii="Arial" w:cs="Arial" w:eastAsia="Arial" w:hAnsi="Arial"/>
                <w:sz w:val="18"/>
                <w:szCs w:val="18"/>
                <w:color w:val="86B6A5"/>
              </w:rPr>
              <w:t>81.0</w:t>
            </w:r>
          </w:p>
        </w:tc>
        <w:tc>
          <w:tcPr>
            <w:tcW w:w="460" w:type="dxa"/>
            <w:vAlign w:val="bottom"/>
            <w:tcBorders>
              <w:top w:val="single" w:sz="8" w:color="939598"/>
              <w:bottom w:val="single" w:sz="8" w:color="939598"/>
            </w:tcBorders>
          </w:tcPr>
          <w:p>
            <w:pPr>
              <w:spacing w:after="0"/>
              <w:rPr>
                <w:sz w:val="17"/>
                <w:szCs w:val="17"/>
                <w:color w:val="auto"/>
              </w:rPr>
            </w:pPr>
          </w:p>
        </w:tc>
        <w:tc>
          <w:tcPr>
            <w:tcW w:w="920" w:type="dxa"/>
            <w:vAlign w:val="bottom"/>
            <w:tcBorders>
              <w:top w:val="single" w:sz="8" w:color="939598"/>
              <w:bottom w:val="single" w:sz="8" w:color="939598"/>
            </w:tcBorders>
          </w:tcPr>
          <w:p>
            <w:pPr>
              <w:jc w:val="right"/>
              <w:ind w:right="52"/>
              <w:spacing w:after="0" w:line="196" w:lineRule="exact"/>
              <w:rPr>
                <w:sz w:val="20"/>
                <w:szCs w:val="20"/>
                <w:color w:val="auto"/>
              </w:rPr>
            </w:pPr>
            <w:r>
              <w:rPr>
                <w:rFonts w:ascii="Arial" w:cs="Arial" w:eastAsia="Arial" w:hAnsi="Arial"/>
                <w:sz w:val="18"/>
                <w:szCs w:val="18"/>
                <w:color w:val="auto"/>
              </w:rPr>
              <w:t>78.3</w:t>
            </w:r>
          </w:p>
        </w:tc>
        <w:tc>
          <w:tcPr>
            <w:tcW w:w="520" w:type="dxa"/>
            <w:vAlign w:val="bottom"/>
            <w:tcBorders>
              <w:top w:val="single" w:sz="8" w:color="939598"/>
              <w:bottom w:val="single" w:sz="8" w:color="939598"/>
            </w:tcBorders>
          </w:tcPr>
          <w:p>
            <w:pPr>
              <w:spacing w:after="0"/>
              <w:rPr>
                <w:sz w:val="17"/>
                <w:szCs w:val="17"/>
                <w:color w:val="auto"/>
              </w:rPr>
            </w:pPr>
          </w:p>
        </w:tc>
        <w:tc>
          <w:tcPr>
            <w:tcW w:w="800" w:type="dxa"/>
            <w:vAlign w:val="bottom"/>
            <w:tcBorders>
              <w:top w:val="single" w:sz="8" w:color="939598"/>
              <w:bottom w:val="single" w:sz="8" w:color="939598"/>
            </w:tcBorders>
          </w:tcPr>
          <w:p>
            <w:pPr>
              <w:jc w:val="right"/>
              <w:spacing w:after="0" w:line="196" w:lineRule="exact"/>
              <w:rPr>
                <w:sz w:val="20"/>
                <w:szCs w:val="20"/>
                <w:color w:val="auto"/>
              </w:rPr>
            </w:pPr>
            <w:r>
              <w:rPr>
                <w:rFonts w:ascii="Arial" w:cs="Arial" w:eastAsia="Arial" w:hAnsi="Arial"/>
                <w:sz w:val="18"/>
                <w:szCs w:val="18"/>
                <w:color w:val="auto"/>
              </w:rPr>
              <w:t>79.7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80" w:type="dxa"/>
            <w:vAlign w:val="bottom"/>
            <w:tcBorders>
              <w:bottom w:val="single" w:sz="8" w:color="939598"/>
            </w:tcBorders>
          </w:tcPr>
          <w:p>
            <w:pPr>
              <w:spacing w:after="0" w:line="196" w:lineRule="exact"/>
              <w:rPr>
                <w:sz w:val="20"/>
                <w:szCs w:val="20"/>
                <w:color w:val="auto"/>
              </w:rPr>
            </w:pPr>
            <w:r>
              <w:rPr>
                <w:rFonts w:ascii="Arial" w:cs="Arial" w:eastAsia="Arial" w:hAnsi="Arial"/>
                <w:sz w:val="18"/>
                <w:szCs w:val="18"/>
                <w:color w:val="auto"/>
              </w:rPr>
              <w:t>Total</w:t>
            </w:r>
          </w:p>
        </w:tc>
        <w:tc>
          <w:tcPr>
            <w:tcW w:w="640" w:type="dxa"/>
            <w:vAlign w:val="bottom"/>
            <w:tcBorders>
              <w:bottom w:val="single" w:sz="8" w:color="939598"/>
            </w:tcBorders>
          </w:tcPr>
          <w:p>
            <w:pPr>
              <w:spacing w:after="0"/>
              <w:rPr>
                <w:sz w:val="17"/>
                <w:szCs w:val="17"/>
                <w:color w:val="auto"/>
              </w:rPr>
            </w:pPr>
          </w:p>
        </w:tc>
        <w:tc>
          <w:tcPr>
            <w:tcW w:w="120" w:type="dxa"/>
            <w:vAlign w:val="bottom"/>
            <w:tcBorders>
              <w:bottom w:val="single" w:sz="8" w:color="939598"/>
            </w:tcBorders>
            <w:shd w:val="clear" w:color="auto" w:fill="E3F1DA"/>
          </w:tcPr>
          <w:p>
            <w:pPr>
              <w:jc w:val="right"/>
              <w:spacing w:after="0" w:line="196" w:lineRule="exact"/>
              <w:rPr>
                <w:sz w:val="20"/>
                <w:szCs w:val="20"/>
                <w:color w:val="auto"/>
              </w:rPr>
            </w:pPr>
            <w:r>
              <w:rPr>
                <w:rFonts w:ascii="Arial" w:cs="Arial" w:eastAsia="Arial" w:hAnsi="Arial"/>
                <w:sz w:val="18"/>
                <w:szCs w:val="18"/>
                <w:color w:val="86B6A5"/>
                <w:w w:val="79"/>
              </w:rPr>
              <w:t>$</w:t>
            </w:r>
          </w:p>
        </w:tc>
        <w:tc>
          <w:tcPr>
            <w:tcW w:w="1340" w:type="dxa"/>
            <w:vAlign w:val="bottom"/>
            <w:tcBorders>
              <w:bottom w:val="single" w:sz="8" w:color="939598"/>
            </w:tcBorders>
            <w:shd w:val="clear" w:color="auto" w:fill="E3F1DA"/>
          </w:tcPr>
          <w:p>
            <w:pPr>
              <w:jc w:val="right"/>
              <w:ind w:right="132"/>
              <w:spacing w:after="0" w:line="196" w:lineRule="exact"/>
              <w:rPr>
                <w:sz w:val="20"/>
                <w:szCs w:val="20"/>
                <w:color w:val="auto"/>
              </w:rPr>
            </w:pPr>
            <w:r>
              <w:rPr>
                <w:rFonts w:ascii="Arial" w:cs="Arial" w:eastAsia="Arial" w:hAnsi="Arial"/>
                <w:sz w:val="18"/>
                <w:szCs w:val="18"/>
                <w:color w:val="86B6A5"/>
              </w:rPr>
              <w:t>(3.26)</w:t>
            </w:r>
          </w:p>
        </w:tc>
        <w:tc>
          <w:tcPr>
            <w:tcW w:w="460" w:type="dxa"/>
            <w:vAlign w:val="bottom"/>
            <w:tcBorders>
              <w:bottom w:val="single" w:sz="8" w:color="939598"/>
            </w:tcBorders>
          </w:tcPr>
          <w:p>
            <w:pPr>
              <w:jc w:val="right"/>
              <w:ind w:right="27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939598"/>
            </w:tcBorders>
          </w:tcPr>
          <w:p>
            <w:pPr>
              <w:jc w:val="right"/>
              <w:spacing w:after="0" w:line="196" w:lineRule="exact"/>
              <w:rPr>
                <w:sz w:val="20"/>
                <w:szCs w:val="20"/>
                <w:color w:val="auto"/>
              </w:rPr>
            </w:pPr>
            <w:r>
              <w:rPr>
                <w:rFonts w:ascii="Arial" w:cs="Arial" w:eastAsia="Arial" w:hAnsi="Arial"/>
                <w:sz w:val="18"/>
                <w:szCs w:val="18"/>
                <w:color w:val="auto"/>
              </w:rPr>
              <w:t>(0.12)</w:t>
            </w:r>
          </w:p>
        </w:tc>
        <w:tc>
          <w:tcPr>
            <w:tcW w:w="520" w:type="dxa"/>
            <w:vAlign w:val="bottom"/>
            <w:tcBorders>
              <w:bottom w:val="single" w:sz="8" w:color="939598"/>
            </w:tcBorders>
          </w:tcPr>
          <w:p>
            <w:pPr>
              <w:jc w:val="right"/>
              <w:ind w:right="250"/>
              <w:spacing w:after="0" w:line="196" w:lineRule="exact"/>
              <w:rPr>
                <w:sz w:val="20"/>
                <w:szCs w:val="20"/>
                <w:color w:val="auto"/>
              </w:rPr>
            </w:pPr>
            <w:r>
              <w:rPr>
                <w:rFonts w:ascii="Arial" w:cs="Arial" w:eastAsia="Arial" w:hAnsi="Arial"/>
                <w:sz w:val="18"/>
                <w:szCs w:val="18"/>
                <w:color w:val="auto"/>
              </w:rPr>
              <w:t>$</w:t>
            </w:r>
          </w:p>
        </w:tc>
        <w:tc>
          <w:tcPr>
            <w:tcW w:w="800" w:type="dxa"/>
            <w:vAlign w:val="bottom"/>
            <w:tcBorders>
              <w:bottom w:val="single" w:sz="8" w:color="939598"/>
            </w:tcBorders>
          </w:tcPr>
          <w:p>
            <w:pPr>
              <w:jc w:val="right"/>
              <w:spacing w:after="0" w:line="196" w:lineRule="exact"/>
              <w:rPr>
                <w:sz w:val="20"/>
                <w:szCs w:val="20"/>
                <w:color w:val="auto"/>
              </w:rPr>
            </w:pPr>
            <w:r>
              <w:rPr>
                <w:rFonts w:ascii="Arial" w:cs="Arial" w:eastAsia="Arial" w:hAnsi="Arial"/>
                <w:sz w:val="18"/>
                <w:szCs w:val="18"/>
                <w:color w:val="auto"/>
              </w:rPr>
              <w:t>2.58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939598"/>
        </w:rPr>
        <w:t xml:space="preserve">Notes to Consolidated Financial Statements </w:t>
      </w:r>
      <w:r>
        <w:rPr>
          <w:rFonts w:ascii="Arial" w:cs="Arial" w:eastAsia="Arial" w:hAnsi="Arial"/>
          <w:sz w:val="16"/>
          <w:szCs w:val="16"/>
          <w:color w:val="4D8ABE"/>
        </w:rPr>
        <w:t>Manpower 2010 Annual Report</w:t>
      </w:r>
      <w:r>
        <w:rPr>
          <w:rFonts w:ascii="Arial" w:cs="Arial" w:eastAsia="Arial" w:hAnsi="Arial"/>
          <w:sz w:val="16"/>
          <w:szCs w:val="16"/>
          <w:b w:val="1"/>
          <w:bCs w:val="1"/>
          <w:color w:val="939598"/>
        </w:rPr>
        <w:t xml:space="preserve"> </w:t>
      </w:r>
      <w:r>
        <w:rPr>
          <w:rFonts w:ascii="Arial" w:cs="Arial" w:eastAsia="Arial" w:hAnsi="Arial"/>
          <w:sz w:val="16"/>
          <w:szCs w:val="16"/>
          <w:b w:val="1"/>
          <w:bCs w:val="1"/>
          <w:color w:val="4D8ABE"/>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wp:posOffset>
            </wp:positionV>
            <wp:extent cx="7267575" cy="469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90" w:name="page91"/>
    <w:bookmarkEnd w:id="90"/>
    <w:p>
      <w:pPr>
        <w:spacing w:after="0"/>
        <w:rPr>
          <w:sz w:val="20"/>
          <w:szCs w:val="20"/>
          <w:color w:val="auto"/>
        </w:rPr>
      </w:pPr>
      <w:r>
        <w:rPr>
          <w:rFonts w:ascii="Arial" w:cs="Arial" w:eastAsia="Arial" w:hAnsi="Arial"/>
          <w:sz w:val="22"/>
          <w:szCs w:val="22"/>
          <w:color w:val="4D8ABE"/>
        </w:rPr>
        <w:t>Notes To Consolidated Financial Statements</w:t>
      </w:r>
    </w:p>
    <w:p>
      <w:pPr>
        <w:spacing w:after="0"/>
        <w:rPr>
          <w:sz w:val="20"/>
          <w:szCs w:val="20"/>
          <w:color w:val="auto"/>
        </w:rPr>
      </w:pPr>
      <w:r>
        <w:rPr>
          <w:rFonts w:ascii="Arial" w:cs="Arial" w:eastAsia="Arial" w:hAnsi="Arial"/>
          <w:sz w:val="18"/>
          <w:szCs w:val="18"/>
          <w:color w:val="4D8ABE"/>
        </w:rPr>
        <w:t>in millions, except share and per share data</w:t>
      </w:r>
    </w:p>
    <w:p>
      <w:pPr>
        <w:spacing w:after="0" w:line="21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Due to the net loss for the years ended December 31, 2010 and 2009, the assumed exercise of stock-based awards had an antidilutive effect and therefore was not included in the calculation of Net Loss Per Share – Diluted. The calculations of Net Earnings Per Share – Diluted for the year ended December 31, 2008 does not include certain stock-based awards because the exercise price for these awards was greater than the average market price of the common shares during that year. The number, exercise prices and weighted-average remaining life of these antidilutive awards were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7020" w:type="dxa"/>
            <w:vAlign w:val="bottom"/>
            <w:tcBorders>
              <w:bottom w:val="single" w:sz="8" w:color="86B6A5"/>
            </w:tcBorders>
          </w:tcPr>
          <w:p>
            <w:pPr>
              <w:spacing w:after="0"/>
              <w:rPr>
                <w:sz w:val="18"/>
                <w:szCs w:val="18"/>
                <w:color w:val="auto"/>
              </w:rPr>
            </w:pPr>
          </w:p>
        </w:tc>
        <w:tc>
          <w:tcPr>
            <w:tcW w:w="1460" w:type="dxa"/>
            <w:vAlign w:val="bottom"/>
            <w:tcBorders>
              <w:bottom w:val="single" w:sz="8" w:color="86B6A5"/>
            </w:tcBorders>
            <w:shd w:val="clear" w:color="auto" w:fill="86B6A5"/>
          </w:tcPr>
          <w:p>
            <w:pPr>
              <w:jc w:val="right"/>
              <w:ind w:right="132"/>
              <w:spacing w:after="0"/>
              <w:rPr>
                <w:sz w:val="20"/>
                <w:szCs w:val="20"/>
                <w:color w:val="auto"/>
              </w:rPr>
            </w:pPr>
            <w:r>
              <w:rPr>
                <w:rFonts w:ascii="Arial" w:cs="Arial" w:eastAsia="Arial" w:hAnsi="Arial"/>
                <w:sz w:val="16"/>
                <w:szCs w:val="16"/>
                <w:b w:val="1"/>
                <w:bCs w:val="1"/>
                <w:color w:val="FFFFFF"/>
              </w:rPr>
              <w:t>2010</w:t>
            </w:r>
          </w:p>
        </w:tc>
        <w:tc>
          <w:tcPr>
            <w:tcW w:w="1600" w:type="dxa"/>
            <w:vAlign w:val="bottom"/>
            <w:tcBorders>
              <w:bottom w:val="single" w:sz="8" w:color="86B6A5"/>
            </w:tcBorders>
          </w:tcPr>
          <w:p>
            <w:pPr>
              <w:jc w:val="right"/>
              <w:ind w:right="272"/>
              <w:spacing w:after="0"/>
              <w:rPr>
                <w:sz w:val="20"/>
                <w:szCs w:val="20"/>
                <w:color w:val="auto"/>
              </w:rPr>
            </w:pPr>
            <w:r>
              <w:rPr>
                <w:rFonts w:ascii="Arial" w:cs="Arial" w:eastAsia="Arial" w:hAnsi="Arial"/>
                <w:sz w:val="16"/>
                <w:szCs w:val="16"/>
                <w:b w:val="1"/>
                <w:bCs w:val="1"/>
                <w:color w:val="86B6A5"/>
              </w:rPr>
              <w:t>2009</w:t>
            </w:r>
          </w:p>
        </w:tc>
        <w:tc>
          <w:tcPr>
            <w:tcW w:w="1100" w:type="dxa"/>
            <w:vAlign w:val="bottom"/>
            <w:tcBorders>
              <w:bottom w:val="single" w:sz="8" w:color="86B6A5"/>
            </w:tcBorders>
          </w:tcPr>
          <w:p>
            <w:pPr>
              <w:jc w:val="right"/>
              <w:spacing w:after="0"/>
              <w:rPr>
                <w:sz w:val="20"/>
                <w:szCs w:val="20"/>
                <w:color w:val="auto"/>
              </w:rPr>
            </w:pPr>
            <w:r>
              <w:rPr>
                <w:rFonts w:ascii="Arial" w:cs="Arial" w:eastAsia="Arial" w:hAnsi="Arial"/>
                <w:sz w:val="16"/>
                <w:szCs w:val="16"/>
                <w:b w:val="1"/>
                <w:bCs w:val="1"/>
                <w:color w:val="86B6A5"/>
              </w:rPr>
              <w:t>2008</w:t>
            </w:r>
          </w:p>
        </w:tc>
        <w:tc>
          <w:tcPr>
            <w:tcW w:w="2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7020" w:type="dxa"/>
            <w:vAlign w:val="bottom"/>
          </w:tcPr>
          <w:p>
            <w:pPr>
              <w:spacing w:after="0" w:line="201" w:lineRule="exact"/>
              <w:rPr>
                <w:sz w:val="20"/>
                <w:szCs w:val="20"/>
                <w:color w:val="auto"/>
              </w:rPr>
            </w:pPr>
            <w:r>
              <w:rPr>
                <w:rFonts w:ascii="Arial" w:cs="Arial" w:eastAsia="Arial" w:hAnsi="Arial"/>
                <w:sz w:val="18"/>
                <w:szCs w:val="18"/>
                <w:color w:val="auto"/>
              </w:rPr>
              <w:t>Shares (in thousands)</w:t>
            </w:r>
          </w:p>
        </w:tc>
        <w:tc>
          <w:tcPr>
            <w:tcW w:w="1460" w:type="dxa"/>
            <w:vAlign w:val="bottom"/>
            <w:shd w:val="clear" w:color="auto" w:fill="E3F1DA"/>
          </w:tcPr>
          <w:p>
            <w:pPr>
              <w:jc w:val="right"/>
              <w:ind w:right="132"/>
              <w:spacing w:after="0" w:line="201" w:lineRule="exact"/>
              <w:rPr>
                <w:sz w:val="20"/>
                <w:szCs w:val="20"/>
                <w:color w:val="auto"/>
              </w:rPr>
            </w:pPr>
            <w:r>
              <w:rPr>
                <w:rFonts w:ascii="Arial" w:cs="Arial" w:eastAsia="Arial" w:hAnsi="Arial"/>
                <w:sz w:val="18"/>
                <w:szCs w:val="18"/>
                <w:color w:val="86B6A5"/>
              </w:rPr>
              <w:t>6,583</w:t>
            </w:r>
          </w:p>
        </w:tc>
        <w:tc>
          <w:tcPr>
            <w:tcW w:w="1600" w:type="dxa"/>
            <w:vAlign w:val="bottom"/>
          </w:tcPr>
          <w:p>
            <w:pPr>
              <w:jc w:val="right"/>
              <w:ind w:right="272"/>
              <w:spacing w:after="0" w:line="201" w:lineRule="exact"/>
              <w:rPr>
                <w:sz w:val="20"/>
                <w:szCs w:val="20"/>
                <w:color w:val="auto"/>
              </w:rPr>
            </w:pPr>
            <w:r>
              <w:rPr>
                <w:rFonts w:ascii="Arial" w:cs="Arial" w:eastAsia="Arial" w:hAnsi="Arial"/>
                <w:sz w:val="18"/>
                <w:szCs w:val="18"/>
                <w:color w:val="auto"/>
              </w:rPr>
              <w:t>6,231</w:t>
            </w:r>
          </w:p>
        </w:tc>
        <w:tc>
          <w:tcPr>
            <w:tcW w:w="1100" w:type="dxa"/>
            <w:vAlign w:val="bottom"/>
          </w:tcPr>
          <w:p>
            <w:pPr>
              <w:jc w:val="right"/>
              <w:spacing w:after="0" w:line="201" w:lineRule="exact"/>
              <w:rPr>
                <w:sz w:val="20"/>
                <w:szCs w:val="20"/>
                <w:color w:val="auto"/>
              </w:rPr>
            </w:pPr>
            <w:r>
              <w:rPr>
                <w:rFonts w:ascii="Arial" w:cs="Arial" w:eastAsia="Arial" w:hAnsi="Arial"/>
                <w:sz w:val="18"/>
                <w:szCs w:val="18"/>
                <w:color w:val="auto"/>
              </w:rPr>
              <w:t>2,452</w:t>
            </w:r>
          </w:p>
        </w:tc>
        <w:tc>
          <w:tcPr>
            <w:tcW w:w="20" w:type="dxa"/>
            <w:vAlign w:val="bottom"/>
          </w:tcPr>
          <w:p>
            <w:pPr>
              <w:spacing w:after="0"/>
              <w:rPr>
                <w:sz w:val="17"/>
                <w:szCs w:val="17"/>
                <w:color w:val="auto"/>
              </w:rPr>
            </w:pPr>
          </w:p>
        </w:tc>
      </w:tr>
      <w:tr>
        <w:trPr>
          <w:trHeight w:val="203"/>
        </w:trPr>
        <w:tc>
          <w:tcPr>
            <w:tcW w:w="7040" w:type="dxa"/>
            <w:vAlign w:val="bottom"/>
            <w:gridSpan w:val="2"/>
          </w:tcPr>
          <w:p>
            <w:pPr>
              <w:spacing w:after="0" w:line="202" w:lineRule="exact"/>
              <w:rPr>
                <w:sz w:val="20"/>
                <w:szCs w:val="20"/>
                <w:color w:val="auto"/>
              </w:rPr>
            </w:pPr>
            <w:r>
              <w:rPr>
                <w:rFonts w:ascii="Arial" w:cs="Arial" w:eastAsia="Arial" w:hAnsi="Arial"/>
                <w:sz w:val="18"/>
                <w:szCs w:val="18"/>
                <w:color w:val="auto"/>
              </w:rPr>
              <w:t>Exercise price ranges</w:t>
            </w:r>
          </w:p>
        </w:tc>
        <w:tc>
          <w:tcPr>
            <w:tcW w:w="1460" w:type="dxa"/>
            <w:vAlign w:val="bottom"/>
            <w:shd w:val="clear" w:color="auto" w:fill="E3F1DA"/>
          </w:tcPr>
          <w:p>
            <w:pPr>
              <w:jc w:val="right"/>
              <w:ind w:right="132"/>
              <w:spacing w:after="0" w:line="202" w:lineRule="exact"/>
              <w:rPr>
                <w:sz w:val="20"/>
                <w:szCs w:val="20"/>
                <w:color w:val="auto"/>
              </w:rPr>
            </w:pPr>
            <w:r>
              <w:rPr>
                <w:rFonts w:ascii="Arial" w:cs="Arial" w:eastAsia="Arial" w:hAnsi="Arial"/>
                <w:sz w:val="18"/>
                <w:szCs w:val="18"/>
                <w:color w:val="86B6A5"/>
              </w:rPr>
              <w:t>$11-$93</w:t>
            </w:r>
          </w:p>
        </w:tc>
        <w:tc>
          <w:tcPr>
            <w:tcW w:w="1600" w:type="dxa"/>
            <w:vAlign w:val="bottom"/>
          </w:tcPr>
          <w:p>
            <w:pPr>
              <w:jc w:val="right"/>
              <w:ind w:right="272"/>
              <w:spacing w:after="0" w:line="202" w:lineRule="exact"/>
              <w:rPr>
                <w:sz w:val="20"/>
                <w:szCs w:val="20"/>
                <w:color w:val="auto"/>
              </w:rPr>
            </w:pPr>
            <w:r>
              <w:rPr>
                <w:rFonts w:ascii="Arial" w:cs="Arial" w:eastAsia="Arial" w:hAnsi="Arial"/>
                <w:sz w:val="18"/>
                <w:szCs w:val="18"/>
                <w:color w:val="auto"/>
              </w:rPr>
              <w:t>$9-$93</w:t>
            </w:r>
          </w:p>
        </w:tc>
        <w:tc>
          <w:tcPr>
            <w:tcW w:w="11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$52-$93</w:t>
            </w:r>
          </w:p>
        </w:tc>
      </w:tr>
      <w:tr>
        <w:trPr>
          <w:trHeight w:val="203"/>
        </w:trPr>
        <w:tc>
          <w:tcPr>
            <w:tcW w:w="7040" w:type="dxa"/>
            <w:vAlign w:val="bottom"/>
            <w:gridSpan w:val="2"/>
          </w:tcPr>
          <w:p>
            <w:pPr>
              <w:spacing w:after="0" w:line="203" w:lineRule="exact"/>
              <w:rPr>
                <w:sz w:val="20"/>
                <w:szCs w:val="20"/>
                <w:color w:val="auto"/>
              </w:rPr>
            </w:pPr>
            <w:r>
              <w:rPr>
                <w:rFonts w:ascii="Arial" w:cs="Arial" w:eastAsia="Arial" w:hAnsi="Arial"/>
                <w:sz w:val="18"/>
                <w:szCs w:val="18"/>
                <w:color w:val="auto"/>
              </w:rPr>
              <w:t>Weighted-average remaining life</w:t>
            </w:r>
          </w:p>
        </w:tc>
        <w:tc>
          <w:tcPr>
            <w:tcW w:w="1460" w:type="dxa"/>
            <w:vAlign w:val="bottom"/>
            <w:shd w:val="clear" w:color="auto" w:fill="E3F1DA"/>
          </w:tcPr>
          <w:p>
            <w:pPr>
              <w:jc w:val="right"/>
              <w:ind w:right="132"/>
              <w:spacing w:after="0" w:line="203" w:lineRule="exact"/>
              <w:rPr>
                <w:sz w:val="20"/>
                <w:szCs w:val="20"/>
                <w:color w:val="auto"/>
              </w:rPr>
            </w:pPr>
            <w:r>
              <w:rPr>
                <w:rFonts w:ascii="Arial" w:cs="Arial" w:eastAsia="Arial" w:hAnsi="Arial"/>
                <w:sz w:val="18"/>
                <w:szCs w:val="18"/>
                <w:color w:val="86B6A5"/>
              </w:rPr>
              <w:t>5.8 years</w:t>
            </w:r>
          </w:p>
        </w:tc>
        <w:tc>
          <w:tcPr>
            <w:tcW w:w="1600" w:type="dxa"/>
            <w:vAlign w:val="bottom"/>
          </w:tcPr>
          <w:p>
            <w:pPr>
              <w:jc w:val="right"/>
              <w:ind w:right="272"/>
              <w:spacing w:after="0" w:line="203" w:lineRule="exact"/>
              <w:rPr>
                <w:sz w:val="20"/>
                <w:szCs w:val="20"/>
                <w:color w:val="auto"/>
              </w:rPr>
            </w:pPr>
            <w:r>
              <w:rPr>
                <w:rFonts w:ascii="Arial" w:cs="Arial" w:eastAsia="Arial" w:hAnsi="Arial"/>
                <w:sz w:val="18"/>
                <w:szCs w:val="18"/>
                <w:color w:val="auto"/>
              </w:rPr>
              <w:t>6.2 years</w:t>
            </w:r>
          </w:p>
        </w:tc>
        <w:tc>
          <w:tcPr>
            <w:tcW w:w="1120" w:type="dxa"/>
            <w:vAlign w:val="bottom"/>
            <w:gridSpan w:val="2"/>
          </w:tcPr>
          <w:p>
            <w:pPr>
              <w:jc w:val="right"/>
              <w:ind w:right="20"/>
              <w:spacing w:after="0" w:line="203" w:lineRule="exact"/>
              <w:rPr>
                <w:sz w:val="20"/>
                <w:szCs w:val="20"/>
                <w:color w:val="auto"/>
              </w:rPr>
            </w:pPr>
            <w:r>
              <w:rPr>
                <w:rFonts w:ascii="Arial" w:cs="Arial" w:eastAsia="Arial" w:hAnsi="Arial"/>
                <w:sz w:val="18"/>
                <w:szCs w:val="18"/>
                <w:color w:val="auto"/>
              </w:rPr>
              <w:t>8.3 years</w:t>
            </w:r>
          </w:p>
        </w:tc>
      </w:tr>
      <w:tr>
        <w:trPr>
          <w:trHeight w:val="27"/>
        </w:trPr>
        <w:tc>
          <w:tcPr>
            <w:tcW w:w="20" w:type="dxa"/>
            <w:vAlign w:val="bottom"/>
          </w:tcPr>
          <w:p>
            <w:pPr>
              <w:spacing w:after="0"/>
              <w:rPr>
                <w:sz w:val="2"/>
                <w:szCs w:val="2"/>
                <w:color w:val="auto"/>
              </w:rPr>
            </w:pPr>
          </w:p>
        </w:tc>
        <w:tc>
          <w:tcPr>
            <w:tcW w:w="7020" w:type="dxa"/>
            <w:vAlign w:val="bottom"/>
            <w:shd w:val="clear" w:color="auto" w:fill="939598"/>
          </w:tcPr>
          <w:p>
            <w:pPr>
              <w:spacing w:after="0"/>
              <w:rPr>
                <w:sz w:val="2"/>
                <w:szCs w:val="2"/>
                <w:color w:val="auto"/>
              </w:rPr>
            </w:pPr>
          </w:p>
        </w:tc>
        <w:tc>
          <w:tcPr>
            <w:tcW w:w="1460" w:type="dxa"/>
            <w:vAlign w:val="bottom"/>
            <w:shd w:val="clear" w:color="auto" w:fill="939598"/>
          </w:tcPr>
          <w:p>
            <w:pPr>
              <w:spacing w:after="0"/>
              <w:rPr>
                <w:sz w:val="2"/>
                <w:szCs w:val="2"/>
                <w:color w:val="auto"/>
              </w:rPr>
            </w:pPr>
          </w:p>
        </w:tc>
        <w:tc>
          <w:tcPr>
            <w:tcW w:w="1600" w:type="dxa"/>
            <w:vAlign w:val="bottom"/>
            <w:shd w:val="clear" w:color="auto" w:fill="939598"/>
          </w:tcPr>
          <w:p>
            <w:pPr>
              <w:spacing w:after="0"/>
              <w:rPr>
                <w:sz w:val="2"/>
                <w:szCs w:val="2"/>
                <w:color w:val="auto"/>
              </w:rPr>
            </w:pPr>
          </w:p>
        </w:tc>
        <w:tc>
          <w:tcPr>
            <w:tcW w:w="1100" w:type="dxa"/>
            <w:vAlign w:val="bottom"/>
            <w:shd w:val="clear" w:color="auto" w:fill="939598"/>
          </w:tcPr>
          <w:p>
            <w:pPr>
              <w:spacing w:after="0"/>
              <w:rPr>
                <w:sz w:val="2"/>
                <w:szCs w:val="2"/>
                <w:color w:val="auto"/>
              </w:rPr>
            </w:pPr>
          </w:p>
        </w:tc>
        <w:tc>
          <w:tcPr>
            <w:tcW w:w="20" w:type="dxa"/>
            <w:vAlign w:val="bottom"/>
          </w:tcPr>
          <w:p>
            <w:pPr>
              <w:spacing w:after="0"/>
              <w:rPr>
                <w:sz w:val="2"/>
                <w:szCs w:val="2"/>
                <w:color w:val="auto"/>
              </w:rPr>
            </w:pPr>
          </w:p>
        </w:tc>
      </w:tr>
    </w:tbl>
    <w:p>
      <w:pPr>
        <w:spacing w:after="0" w:line="212" w:lineRule="exact"/>
        <w:rPr>
          <w:sz w:val="20"/>
          <w:szCs w:val="20"/>
          <w:color w:val="auto"/>
        </w:rPr>
      </w:pPr>
    </w:p>
    <w:p>
      <w:pPr>
        <w:spacing w:after="0"/>
        <w:rPr>
          <w:sz w:val="20"/>
          <w:szCs w:val="20"/>
          <w:color w:val="auto"/>
        </w:rPr>
      </w:pPr>
      <w:r>
        <w:rPr>
          <w:rFonts w:ascii="Arial" w:cs="Arial" w:eastAsia="Arial" w:hAnsi="Arial"/>
          <w:sz w:val="24"/>
          <w:szCs w:val="24"/>
          <w:color w:val="86B6A5"/>
        </w:rPr>
        <w:t>05.</w:t>
      </w:r>
    </w:p>
    <w:p>
      <w:pPr>
        <w:spacing w:after="0" w:line="8" w:lineRule="exact"/>
        <w:rPr>
          <w:sz w:val="20"/>
          <w:szCs w:val="20"/>
          <w:color w:val="auto"/>
        </w:rPr>
      </w:pPr>
    </w:p>
    <w:p>
      <w:pPr>
        <w:spacing w:after="0"/>
        <w:rPr>
          <w:sz w:val="20"/>
          <w:szCs w:val="20"/>
          <w:color w:val="auto"/>
        </w:rPr>
      </w:pPr>
      <w:r>
        <w:rPr>
          <w:rFonts w:ascii="Arial" w:cs="Arial" w:eastAsia="Arial" w:hAnsi="Arial"/>
          <w:sz w:val="24"/>
          <w:szCs w:val="24"/>
          <w:color w:val="86B6A5"/>
        </w:rPr>
        <w:t>Income Taxes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The provision for income taxes was as follows: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040" w:type="dxa"/>
            <w:vAlign w:val="bottom"/>
            <w:gridSpan w:val="2"/>
          </w:tcPr>
          <w:p>
            <w:pPr>
              <w:spacing w:after="0"/>
              <w:rPr>
                <w:sz w:val="20"/>
                <w:szCs w:val="20"/>
                <w:color w:val="auto"/>
              </w:rPr>
            </w:pPr>
            <w:r>
              <w:rPr>
                <w:rFonts w:ascii="Arial" w:cs="Arial" w:eastAsia="Arial" w:hAnsi="Arial"/>
                <w:sz w:val="16"/>
                <w:szCs w:val="16"/>
                <w:b w:val="1"/>
                <w:bCs w:val="1"/>
                <w:color w:val="86B6A5"/>
              </w:rPr>
              <w:t>Year Ended December 31</w:t>
            </w:r>
          </w:p>
        </w:tc>
        <w:tc>
          <w:tcPr>
            <w:tcW w:w="120" w:type="dxa"/>
            <w:vAlign w:val="bottom"/>
            <w:shd w:val="clear" w:color="auto" w:fill="86B6A5"/>
          </w:tcPr>
          <w:p>
            <w:pPr>
              <w:spacing w:after="0"/>
              <w:rPr>
                <w:sz w:val="18"/>
                <w:szCs w:val="18"/>
                <w:color w:val="auto"/>
              </w:rPr>
            </w:pPr>
          </w:p>
        </w:tc>
        <w:tc>
          <w:tcPr>
            <w:tcW w:w="1340" w:type="dxa"/>
            <w:vAlign w:val="bottom"/>
            <w:shd w:val="clear" w:color="auto" w:fill="86B6A5"/>
          </w:tcPr>
          <w:p>
            <w:pPr>
              <w:jc w:val="right"/>
              <w:ind w:right="131"/>
              <w:spacing w:after="0"/>
              <w:rPr>
                <w:sz w:val="20"/>
                <w:szCs w:val="20"/>
                <w:color w:val="auto"/>
              </w:rPr>
            </w:pPr>
            <w:r>
              <w:rPr>
                <w:rFonts w:ascii="Arial" w:cs="Arial" w:eastAsia="Arial" w:hAnsi="Arial"/>
                <w:sz w:val="16"/>
                <w:szCs w:val="16"/>
                <w:b w:val="1"/>
                <w:bCs w:val="1"/>
                <w:color w:val="FFFFFF"/>
              </w:rPr>
              <w:t>2010</w:t>
            </w:r>
          </w:p>
        </w:tc>
        <w:tc>
          <w:tcPr>
            <w:tcW w:w="460" w:type="dxa"/>
            <w:vAlign w:val="bottom"/>
          </w:tcPr>
          <w:p>
            <w:pPr>
              <w:spacing w:after="0"/>
              <w:rPr>
                <w:sz w:val="18"/>
                <w:szCs w:val="18"/>
                <w:color w:val="auto"/>
              </w:rPr>
            </w:pPr>
          </w:p>
        </w:tc>
        <w:tc>
          <w:tcPr>
            <w:tcW w:w="920" w:type="dxa"/>
            <w:vAlign w:val="bottom"/>
          </w:tcPr>
          <w:p>
            <w:pPr>
              <w:jc w:val="right"/>
              <w:ind w:right="51"/>
              <w:spacing w:after="0"/>
              <w:rPr>
                <w:sz w:val="20"/>
                <w:szCs w:val="20"/>
                <w:color w:val="auto"/>
              </w:rPr>
            </w:pPr>
            <w:r>
              <w:rPr>
                <w:rFonts w:ascii="Arial" w:cs="Arial" w:eastAsia="Arial" w:hAnsi="Arial"/>
                <w:sz w:val="16"/>
                <w:szCs w:val="16"/>
                <w:b w:val="1"/>
                <w:bCs w:val="1"/>
                <w:color w:val="86B6A5"/>
              </w:rPr>
              <w:t>2009</w:t>
            </w:r>
          </w:p>
        </w:tc>
        <w:tc>
          <w:tcPr>
            <w:tcW w:w="5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86B6A5"/>
              </w:rPr>
              <w:t>2008</w:t>
            </w:r>
          </w:p>
        </w:tc>
        <w:tc>
          <w:tcPr>
            <w:tcW w:w="6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7020" w:type="dxa"/>
            <w:vAlign w:val="bottom"/>
            <w:tcBorders>
              <w:top w:val="single" w:sz="8" w:color="86B6A5"/>
            </w:tcBorders>
          </w:tcPr>
          <w:p>
            <w:pPr>
              <w:spacing w:after="0" w:line="201" w:lineRule="exact"/>
              <w:rPr>
                <w:sz w:val="20"/>
                <w:szCs w:val="20"/>
                <w:color w:val="auto"/>
              </w:rPr>
            </w:pPr>
            <w:r>
              <w:rPr>
                <w:rFonts w:ascii="Arial" w:cs="Arial" w:eastAsia="Arial" w:hAnsi="Arial"/>
                <w:sz w:val="18"/>
                <w:szCs w:val="18"/>
                <w:b w:val="1"/>
                <w:bCs w:val="1"/>
                <w:color w:val="939598"/>
              </w:rPr>
              <w:t>Current</w:t>
            </w:r>
          </w:p>
        </w:tc>
        <w:tc>
          <w:tcPr>
            <w:tcW w:w="120" w:type="dxa"/>
            <w:vAlign w:val="bottom"/>
            <w:tcBorders>
              <w:top w:val="single" w:sz="8" w:color="86B6A5"/>
            </w:tcBorders>
            <w:shd w:val="clear" w:color="auto" w:fill="E3F1DA"/>
          </w:tcPr>
          <w:p>
            <w:pPr>
              <w:spacing w:after="0"/>
              <w:rPr>
                <w:sz w:val="17"/>
                <w:szCs w:val="17"/>
                <w:color w:val="auto"/>
              </w:rPr>
            </w:pPr>
          </w:p>
        </w:tc>
        <w:tc>
          <w:tcPr>
            <w:tcW w:w="1340" w:type="dxa"/>
            <w:vAlign w:val="bottom"/>
            <w:tcBorders>
              <w:top w:val="single" w:sz="8" w:color="86B6A5"/>
            </w:tcBorders>
            <w:shd w:val="clear" w:color="auto" w:fill="E3F1DA"/>
          </w:tcPr>
          <w:p>
            <w:pPr>
              <w:spacing w:after="0"/>
              <w:rPr>
                <w:sz w:val="17"/>
                <w:szCs w:val="17"/>
                <w:color w:val="auto"/>
              </w:rPr>
            </w:pPr>
          </w:p>
        </w:tc>
        <w:tc>
          <w:tcPr>
            <w:tcW w:w="460" w:type="dxa"/>
            <w:vAlign w:val="bottom"/>
            <w:tcBorders>
              <w:top w:val="single" w:sz="8" w:color="86B6A5"/>
            </w:tcBorders>
          </w:tcPr>
          <w:p>
            <w:pPr>
              <w:spacing w:after="0"/>
              <w:rPr>
                <w:sz w:val="17"/>
                <w:szCs w:val="17"/>
                <w:color w:val="auto"/>
              </w:rPr>
            </w:pPr>
          </w:p>
        </w:tc>
        <w:tc>
          <w:tcPr>
            <w:tcW w:w="920" w:type="dxa"/>
            <w:vAlign w:val="bottom"/>
            <w:tcBorders>
              <w:top w:val="single" w:sz="8" w:color="86B6A5"/>
            </w:tcBorders>
          </w:tcPr>
          <w:p>
            <w:pPr>
              <w:spacing w:after="0"/>
              <w:rPr>
                <w:sz w:val="17"/>
                <w:szCs w:val="17"/>
                <w:color w:val="auto"/>
              </w:rPr>
            </w:pPr>
          </w:p>
        </w:tc>
        <w:tc>
          <w:tcPr>
            <w:tcW w:w="520" w:type="dxa"/>
            <w:vAlign w:val="bottom"/>
            <w:tcBorders>
              <w:top w:val="single" w:sz="8" w:color="86B6A5"/>
            </w:tcBorders>
          </w:tcPr>
          <w:p>
            <w:pPr>
              <w:spacing w:after="0"/>
              <w:rPr>
                <w:sz w:val="17"/>
                <w:szCs w:val="17"/>
                <w:color w:val="auto"/>
              </w:rPr>
            </w:pPr>
          </w:p>
        </w:tc>
        <w:tc>
          <w:tcPr>
            <w:tcW w:w="800" w:type="dxa"/>
            <w:vAlign w:val="bottom"/>
            <w:tcBorders>
              <w:top w:val="single" w:sz="8" w:color="86B6A5"/>
            </w:tcBorders>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7040" w:type="dxa"/>
            <w:vAlign w:val="bottom"/>
            <w:gridSpan w:val="2"/>
          </w:tcPr>
          <w:p>
            <w:pPr>
              <w:spacing w:after="0" w:line="202" w:lineRule="exact"/>
              <w:rPr>
                <w:sz w:val="20"/>
                <w:szCs w:val="20"/>
                <w:color w:val="auto"/>
              </w:rPr>
            </w:pPr>
            <w:r>
              <w:rPr>
                <w:rFonts w:ascii="Arial" w:cs="Arial" w:eastAsia="Arial" w:hAnsi="Arial"/>
                <w:sz w:val="18"/>
                <w:szCs w:val="18"/>
                <w:color w:val="auto"/>
              </w:rPr>
              <w:t>United States</w:t>
            </w:r>
          </w:p>
        </w:tc>
        <w:tc>
          <w:tcPr>
            <w:tcW w:w="120" w:type="dxa"/>
            <w:vAlign w:val="bottom"/>
            <w:shd w:val="clear" w:color="auto" w:fill="E3F1DA"/>
          </w:tcPr>
          <w:p>
            <w:pPr>
              <w:spacing w:after="0"/>
              <w:rPr>
                <w:sz w:val="17"/>
                <w:szCs w:val="17"/>
                <w:color w:val="auto"/>
              </w:rPr>
            </w:pPr>
          </w:p>
        </w:tc>
        <w:tc>
          <w:tcPr>
            <w:tcW w:w="1340" w:type="dxa"/>
            <w:vAlign w:val="bottom"/>
            <w:shd w:val="clear" w:color="auto" w:fill="E3F1DA"/>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7020" w:type="dxa"/>
            <w:vAlign w:val="bottom"/>
          </w:tcPr>
          <w:p>
            <w:pPr>
              <w:ind w:left="260"/>
              <w:spacing w:after="0" w:line="201" w:lineRule="exact"/>
              <w:rPr>
                <w:sz w:val="20"/>
                <w:szCs w:val="20"/>
                <w:color w:val="auto"/>
              </w:rPr>
            </w:pPr>
            <w:r>
              <w:rPr>
                <w:rFonts w:ascii="Arial" w:cs="Arial" w:eastAsia="Arial" w:hAnsi="Arial"/>
                <w:sz w:val="18"/>
                <w:szCs w:val="18"/>
                <w:color w:val="auto"/>
              </w:rPr>
              <w:t>Federal</w:t>
            </w:r>
          </w:p>
        </w:tc>
        <w:tc>
          <w:tcPr>
            <w:tcW w:w="120" w:type="dxa"/>
            <w:vAlign w:val="bottom"/>
            <w:shd w:val="clear" w:color="auto" w:fill="E3F1DA"/>
          </w:tcPr>
          <w:p>
            <w:pPr>
              <w:jc w:val="right"/>
              <w:spacing w:after="0" w:line="201" w:lineRule="exact"/>
              <w:rPr>
                <w:sz w:val="20"/>
                <w:szCs w:val="20"/>
                <w:color w:val="auto"/>
              </w:rPr>
            </w:pPr>
            <w:r>
              <w:rPr>
                <w:rFonts w:ascii="Arial" w:cs="Arial" w:eastAsia="Arial" w:hAnsi="Arial"/>
                <w:sz w:val="18"/>
                <w:szCs w:val="18"/>
                <w:color w:val="86B6A5"/>
                <w:w w:val="79"/>
              </w:rPr>
              <w:t>$</w:t>
            </w:r>
          </w:p>
        </w:tc>
        <w:tc>
          <w:tcPr>
            <w:tcW w:w="1340" w:type="dxa"/>
            <w:vAlign w:val="bottom"/>
          </w:tcPr>
          <w:p>
            <w:pPr>
              <w:jc w:val="right"/>
              <w:ind w:right="131"/>
              <w:spacing w:after="0" w:line="201" w:lineRule="exact"/>
              <w:rPr>
                <w:sz w:val="20"/>
                <w:szCs w:val="20"/>
                <w:color w:val="auto"/>
              </w:rPr>
            </w:pPr>
            <w:r>
              <w:rPr>
                <w:rFonts w:ascii="Arial" w:cs="Arial" w:eastAsia="Arial" w:hAnsi="Arial"/>
                <w:sz w:val="18"/>
                <w:szCs w:val="18"/>
                <w:color w:val="86B6A5"/>
              </w:rPr>
              <w:t>37.4</w:t>
            </w:r>
          </w:p>
        </w:tc>
        <w:tc>
          <w:tcPr>
            <w:tcW w:w="460" w:type="dxa"/>
            <w:vAlign w:val="bottom"/>
          </w:tcPr>
          <w:p>
            <w:pPr>
              <w:jc w:val="right"/>
              <w:ind w:right="270"/>
              <w:spacing w:after="0" w:line="201" w:lineRule="exact"/>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line="201" w:lineRule="exact"/>
              <w:rPr>
                <w:sz w:val="20"/>
                <w:szCs w:val="20"/>
                <w:color w:val="auto"/>
              </w:rPr>
            </w:pPr>
            <w:r>
              <w:rPr>
                <w:rFonts w:ascii="Arial" w:cs="Arial" w:eastAsia="Arial" w:hAnsi="Arial"/>
                <w:sz w:val="18"/>
                <w:szCs w:val="18"/>
                <w:color w:val="auto"/>
              </w:rPr>
              <w:t>(31.8)</w:t>
            </w:r>
          </w:p>
        </w:tc>
        <w:tc>
          <w:tcPr>
            <w:tcW w:w="520" w:type="dxa"/>
            <w:vAlign w:val="bottom"/>
          </w:tcPr>
          <w:p>
            <w:pPr>
              <w:jc w:val="right"/>
              <w:ind w:right="250"/>
              <w:spacing w:after="0" w:line="201"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201" w:lineRule="exact"/>
              <w:rPr>
                <w:sz w:val="20"/>
                <w:szCs w:val="20"/>
                <w:color w:val="auto"/>
              </w:rPr>
            </w:pPr>
            <w:r>
              <w:rPr>
                <w:rFonts w:ascii="Arial" w:cs="Arial" w:eastAsia="Arial" w:hAnsi="Arial"/>
                <w:sz w:val="18"/>
                <w:szCs w:val="18"/>
                <w:color w:val="auto"/>
              </w:rPr>
              <w:t>46.1</w:t>
            </w: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020" w:type="dxa"/>
            <w:vAlign w:val="bottom"/>
          </w:tcPr>
          <w:p>
            <w:pPr>
              <w:ind w:left="260"/>
              <w:spacing w:after="0" w:line="202" w:lineRule="exact"/>
              <w:rPr>
                <w:sz w:val="20"/>
                <w:szCs w:val="20"/>
                <w:color w:val="auto"/>
              </w:rPr>
            </w:pPr>
            <w:r>
              <w:rPr>
                <w:rFonts w:ascii="Arial" w:cs="Arial" w:eastAsia="Arial" w:hAnsi="Arial"/>
                <w:sz w:val="18"/>
                <w:szCs w:val="18"/>
                <w:color w:val="auto"/>
              </w:rPr>
              <w:t>State</w:t>
            </w:r>
          </w:p>
        </w:tc>
        <w:tc>
          <w:tcPr>
            <w:tcW w:w="120" w:type="dxa"/>
            <w:vAlign w:val="bottom"/>
            <w:shd w:val="clear" w:color="auto" w:fill="E3F1DA"/>
          </w:tcPr>
          <w:p>
            <w:pPr>
              <w:spacing w:after="0"/>
              <w:rPr>
                <w:sz w:val="17"/>
                <w:szCs w:val="17"/>
                <w:color w:val="auto"/>
              </w:rPr>
            </w:pPr>
          </w:p>
        </w:tc>
        <w:tc>
          <w:tcPr>
            <w:tcW w:w="1340" w:type="dxa"/>
            <w:vAlign w:val="bottom"/>
          </w:tcPr>
          <w:p>
            <w:pPr>
              <w:jc w:val="right"/>
              <w:ind w:right="131"/>
              <w:spacing w:after="0" w:line="202" w:lineRule="exact"/>
              <w:rPr>
                <w:sz w:val="20"/>
                <w:szCs w:val="20"/>
                <w:color w:val="auto"/>
              </w:rPr>
            </w:pPr>
            <w:r>
              <w:rPr>
                <w:rFonts w:ascii="Arial" w:cs="Arial" w:eastAsia="Arial" w:hAnsi="Arial"/>
                <w:sz w:val="18"/>
                <w:szCs w:val="18"/>
                <w:color w:val="86B6A5"/>
              </w:rPr>
              <w:t>3.2</w:t>
            </w:r>
          </w:p>
        </w:tc>
        <w:tc>
          <w:tcPr>
            <w:tcW w:w="460" w:type="dxa"/>
            <w:vAlign w:val="bottom"/>
          </w:tcPr>
          <w:p>
            <w:pPr>
              <w:spacing w:after="0"/>
              <w:rPr>
                <w:sz w:val="17"/>
                <w:szCs w:val="17"/>
                <w:color w:val="auto"/>
              </w:rPr>
            </w:pPr>
          </w:p>
        </w:tc>
        <w:tc>
          <w:tcPr>
            <w:tcW w:w="920" w:type="dxa"/>
            <w:vAlign w:val="bottom"/>
          </w:tcPr>
          <w:p>
            <w:pPr>
              <w:jc w:val="right"/>
              <w:ind w:right="51"/>
              <w:spacing w:after="0" w:line="202" w:lineRule="exact"/>
              <w:rPr>
                <w:sz w:val="20"/>
                <w:szCs w:val="20"/>
                <w:color w:val="auto"/>
              </w:rPr>
            </w:pPr>
            <w:r>
              <w:rPr>
                <w:rFonts w:ascii="Arial" w:cs="Arial" w:eastAsia="Arial" w:hAnsi="Arial"/>
                <w:sz w:val="18"/>
                <w:szCs w:val="18"/>
                <w:color w:val="auto"/>
              </w:rPr>
              <w:t>6.8</w:t>
            </w:r>
          </w:p>
        </w:tc>
        <w:tc>
          <w:tcPr>
            <w:tcW w:w="5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3.6</w:t>
            </w:r>
          </w:p>
        </w:tc>
        <w:tc>
          <w:tcPr>
            <w:tcW w:w="60" w:type="dxa"/>
            <w:vAlign w:val="bottom"/>
          </w:tcPr>
          <w:p>
            <w:pPr>
              <w:spacing w:after="0"/>
              <w:rPr>
                <w:sz w:val="17"/>
                <w:szCs w:val="17"/>
                <w:color w:val="auto"/>
              </w:rPr>
            </w:pPr>
          </w:p>
        </w:tc>
      </w:tr>
      <w:tr>
        <w:trPr>
          <w:trHeight w:val="203"/>
        </w:trPr>
        <w:tc>
          <w:tcPr>
            <w:tcW w:w="7040" w:type="dxa"/>
            <w:vAlign w:val="bottom"/>
            <w:tcBorders>
              <w:bottom w:val="single" w:sz="8" w:color="939598"/>
            </w:tcBorders>
            <w:gridSpan w:val="2"/>
          </w:tcPr>
          <w:p>
            <w:pPr>
              <w:spacing w:after="0" w:line="203" w:lineRule="exact"/>
              <w:rPr>
                <w:sz w:val="20"/>
                <w:szCs w:val="20"/>
                <w:color w:val="auto"/>
              </w:rPr>
            </w:pPr>
            <w:r>
              <w:rPr>
                <w:rFonts w:ascii="Arial" w:cs="Arial" w:eastAsia="Arial" w:hAnsi="Arial"/>
                <w:sz w:val="18"/>
                <w:szCs w:val="18"/>
                <w:color w:val="auto"/>
              </w:rPr>
              <w:t>Non-U.S.</w:t>
            </w:r>
          </w:p>
        </w:tc>
        <w:tc>
          <w:tcPr>
            <w:tcW w:w="120" w:type="dxa"/>
            <w:vAlign w:val="bottom"/>
            <w:tcBorders>
              <w:bottom w:val="single" w:sz="8" w:color="939598"/>
            </w:tcBorders>
            <w:shd w:val="clear" w:color="auto" w:fill="E3F1DA"/>
          </w:tcPr>
          <w:p>
            <w:pPr>
              <w:spacing w:after="0"/>
              <w:rPr>
                <w:sz w:val="17"/>
                <w:szCs w:val="17"/>
                <w:color w:val="auto"/>
              </w:rPr>
            </w:pPr>
          </w:p>
        </w:tc>
        <w:tc>
          <w:tcPr>
            <w:tcW w:w="1340" w:type="dxa"/>
            <w:vAlign w:val="bottom"/>
            <w:tcBorders>
              <w:bottom w:val="single" w:sz="8" w:color="939598"/>
            </w:tcBorders>
          </w:tcPr>
          <w:p>
            <w:pPr>
              <w:jc w:val="right"/>
              <w:ind w:right="131"/>
              <w:spacing w:after="0" w:line="203" w:lineRule="exact"/>
              <w:rPr>
                <w:sz w:val="20"/>
                <w:szCs w:val="20"/>
                <w:color w:val="auto"/>
              </w:rPr>
            </w:pPr>
            <w:r>
              <w:rPr>
                <w:rFonts w:ascii="Arial" w:cs="Arial" w:eastAsia="Arial" w:hAnsi="Arial"/>
                <w:sz w:val="18"/>
                <w:szCs w:val="18"/>
                <w:color w:val="86B6A5"/>
              </w:rPr>
              <w:t>126.3</w:t>
            </w:r>
          </w:p>
        </w:tc>
        <w:tc>
          <w:tcPr>
            <w:tcW w:w="460" w:type="dxa"/>
            <w:vAlign w:val="bottom"/>
            <w:tcBorders>
              <w:bottom w:val="single" w:sz="8" w:color="939598"/>
            </w:tcBorders>
          </w:tcPr>
          <w:p>
            <w:pPr>
              <w:spacing w:after="0"/>
              <w:rPr>
                <w:sz w:val="17"/>
                <w:szCs w:val="17"/>
                <w:color w:val="auto"/>
              </w:rPr>
            </w:pPr>
          </w:p>
        </w:tc>
        <w:tc>
          <w:tcPr>
            <w:tcW w:w="920" w:type="dxa"/>
            <w:vAlign w:val="bottom"/>
            <w:tcBorders>
              <w:bottom w:val="single" w:sz="8" w:color="939598"/>
            </w:tcBorders>
          </w:tcPr>
          <w:p>
            <w:pPr>
              <w:jc w:val="right"/>
              <w:ind w:right="51"/>
              <w:spacing w:after="0" w:line="203" w:lineRule="exact"/>
              <w:rPr>
                <w:sz w:val="20"/>
                <w:szCs w:val="20"/>
                <w:color w:val="auto"/>
              </w:rPr>
            </w:pPr>
            <w:r>
              <w:rPr>
                <w:rFonts w:ascii="Arial" w:cs="Arial" w:eastAsia="Arial" w:hAnsi="Arial"/>
                <w:sz w:val="18"/>
                <w:szCs w:val="18"/>
                <w:color w:val="auto"/>
              </w:rPr>
              <w:t>40.5</w:t>
            </w:r>
          </w:p>
        </w:tc>
        <w:tc>
          <w:tcPr>
            <w:tcW w:w="520" w:type="dxa"/>
            <w:vAlign w:val="bottom"/>
            <w:tcBorders>
              <w:bottom w:val="single" w:sz="8" w:color="939598"/>
            </w:tcBorders>
          </w:tcPr>
          <w:p>
            <w:pPr>
              <w:spacing w:after="0"/>
              <w:rPr>
                <w:sz w:val="17"/>
                <w:szCs w:val="17"/>
                <w:color w:val="auto"/>
              </w:rPr>
            </w:pPr>
          </w:p>
        </w:tc>
        <w:tc>
          <w:tcPr>
            <w:tcW w:w="800" w:type="dxa"/>
            <w:vAlign w:val="bottom"/>
            <w:tcBorders>
              <w:bottom w:val="single" w:sz="8" w:color="939598"/>
            </w:tcBorders>
          </w:tcPr>
          <w:p>
            <w:pPr>
              <w:jc w:val="right"/>
              <w:spacing w:after="0" w:line="203" w:lineRule="exact"/>
              <w:rPr>
                <w:sz w:val="20"/>
                <w:szCs w:val="20"/>
                <w:color w:val="auto"/>
              </w:rPr>
            </w:pPr>
            <w:r>
              <w:rPr>
                <w:rFonts w:ascii="Arial" w:cs="Arial" w:eastAsia="Arial" w:hAnsi="Arial"/>
                <w:sz w:val="18"/>
                <w:szCs w:val="18"/>
                <w:color w:val="auto"/>
              </w:rPr>
              <w:t>220.2</w:t>
            </w:r>
          </w:p>
        </w:tc>
        <w:tc>
          <w:tcPr>
            <w:tcW w:w="60" w:type="dxa"/>
            <w:vAlign w:val="bottom"/>
          </w:tcPr>
          <w:p>
            <w:pPr>
              <w:spacing w:after="0"/>
              <w:rPr>
                <w:sz w:val="17"/>
                <w:szCs w:val="17"/>
                <w:color w:val="auto"/>
              </w:rPr>
            </w:pPr>
          </w:p>
        </w:tc>
      </w:tr>
      <w:tr>
        <w:trPr>
          <w:trHeight w:val="196"/>
        </w:trPr>
        <w:tc>
          <w:tcPr>
            <w:tcW w:w="7040" w:type="dxa"/>
            <w:vAlign w:val="bottom"/>
            <w:tcBorders>
              <w:bottom w:val="single" w:sz="8" w:color="939598"/>
            </w:tcBorders>
            <w:gridSpan w:val="2"/>
          </w:tcPr>
          <w:p>
            <w:pPr>
              <w:spacing w:after="0" w:line="196" w:lineRule="exact"/>
              <w:rPr>
                <w:sz w:val="20"/>
                <w:szCs w:val="20"/>
                <w:color w:val="auto"/>
              </w:rPr>
            </w:pPr>
            <w:r>
              <w:rPr>
                <w:rFonts w:ascii="Arial" w:cs="Arial" w:eastAsia="Arial" w:hAnsi="Arial"/>
                <w:sz w:val="18"/>
                <w:szCs w:val="18"/>
                <w:color w:val="auto"/>
              </w:rPr>
              <w:t>Total current</w:t>
            </w:r>
          </w:p>
        </w:tc>
        <w:tc>
          <w:tcPr>
            <w:tcW w:w="120" w:type="dxa"/>
            <w:vAlign w:val="bottom"/>
            <w:tcBorders>
              <w:bottom w:val="single" w:sz="8" w:color="939598"/>
            </w:tcBorders>
            <w:shd w:val="clear" w:color="auto" w:fill="E3F1DA"/>
          </w:tcPr>
          <w:p>
            <w:pPr>
              <w:spacing w:after="0"/>
              <w:rPr>
                <w:sz w:val="17"/>
                <w:szCs w:val="17"/>
                <w:color w:val="auto"/>
              </w:rPr>
            </w:pPr>
          </w:p>
        </w:tc>
        <w:tc>
          <w:tcPr>
            <w:tcW w:w="1340" w:type="dxa"/>
            <w:vAlign w:val="bottom"/>
            <w:tcBorders>
              <w:bottom w:val="single" w:sz="8" w:color="939598"/>
            </w:tcBorders>
          </w:tcPr>
          <w:p>
            <w:pPr>
              <w:jc w:val="right"/>
              <w:ind w:right="131"/>
              <w:spacing w:after="0" w:line="196" w:lineRule="exact"/>
              <w:rPr>
                <w:sz w:val="20"/>
                <w:szCs w:val="20"/>
                <w:color w:val="auto"/>
              </w:rPr>
            </w:pPr>
            <w:r>
              <w:rPr>
                <w:rFonts w:ascii="Arial" w:cs="Arial" w:eastAsia="Arial" w:hAnsi="Arial"/>
                <w:sz w:val="18"/>
                <w:szCs w:val="18"/>
                <w:color w:val="86B6A5"/>
              </w:rPr>
              <w:t>166.9</w:t>
            </w:r>
          </w:p>
        </w:tc>
        <w:tc>
          <w:tcPr>
            <w:tcW w:w="460" w:type="dxa"/>
            <w:vAlign w:val="bottom"/>
            <w:tcBorders>
              <w:bottom w:val="single" w:sz="8" w:color="939598"/>
            </w:tcBorders>
          </w:tcPr>
          <w:p>
            <w:pPr>
              <w:spacing w:after="0"/>
              <w:rPr>
                <w:sz w:val="17"/>
                <w:szCs w:val="17"/>
                <w:color w:val="auto"/>
              </w:rPr>
            </w:pPr>
          </w:p>
        </w:tc>
        <w:tc>
          <w:tcPr>
            <w:tcW w:w="920" w:type="dxa"/>
            <w:vAlign w:val="bottom"/>
            <w:tcBorders>
              <w:bottom w:val="single" w:sz="8" w:color="939598"/>
            </w:tcBorders>
          </w:tcPr>
          <w:p>
            <w:pPr>
              <w:jc w:val="right"/>
              <w:ind w:right="51"/>
              <w:spacing w:after="0" w:line="196" w:lineRule="exact"/>
              <w:rPr>
                <w:sz w:val="20"/>
                <w:szCs w:val="20"/>
                <w:color w:val="auto"/>
              </w:rPr>
            </w:pPr>
            <w:r>
              <w:rPr>
                <w:rFonts w:ascii="Arial" w:cs="Arial" w:eastAsia="Arial" w:hAnsi="Arial"/>
                <w:sz w:val="18"/>
                <w:szCs w:val="18"/>
                <w:color w:val="auto"/>
              </w:rPr>
              <w:t>15.5</w:t>
            </w:r>
          </w:p>
        </w:tc>
        <w:tc>
          <w:tcPr>
            <w:tcW w:w="520" w:type="dxa"/>
            <w:vAlign w:val="bottom"/>
            <w:tcBorders>
              <w:bottom w:val="single" w:sz="8" w:color="939598"/>
            </w:tcBorders>
          </w:tcPr>
          <w:p>
            <w:pPr>
              <w:spacing w:after="0"/>
              <w:rPr>
                <w:sz w:val="17"/>
                <w:szCs w:val="17"/>
                <w:color w:val="auto"/>
              </w:rPr>
            </w:pPr>
          </w:p>
        </w:tc>
        <w:tc>
          <w:tcPr>
            <w:tcW w:w="800" w:type="dxa"/>
            <w:vAlign w:val="bottom"/>
            <w:tcBorders>
              <w:bottom w:val="single" w:sz="8" w:color="939598"/>
            </w:tcBorders>
          </w:tcPr>
          <w:p>
            <w:pPr>
              <w:jc w:val="right"/>
              <w:spacing w:after="0" w:line="196" w:lineRule="exact"/>
              <w:rPr>
                <w:sz w:val="20"/>
                <w:szCs w:val="20"/>
                <w:color w:val="auto"/>
              </w:rPr>
            </w:pPr>
            <w:r>
              <w:rPr>
                <w:rFonts w:ascii="Arial" w:cs="Arial" w:eastAsia="Arial" w:hAnsi="Arial"/>
                <w:sz w:val="18"/>
                <w:szCs w:val="18"/>
                <w:color w:val="auto"/>
              </w:rPr>
              <w:t>269.9</w:t>
            </w:r>
          </w:p>
        </w:tc>
        <w:tc>
          <w:tcPr>
            <w:tcW w:w="60" w:type="dxa"/>
            <w:vAlign w:val="bottom"/>
          </w:tcPr>
          <w:p>
            <w:pPr>
              <w:spacing w:after="0"/>
              <w:rPr>
                <w:sz w:val="17"/>
                <w:szCs w:val="17"/>
                <w:color w:val="auto"/>
              </w:rPr>
            </w:pPr>
          </w:p>
        </w:tc>
      </w:tr>
      <w:tr>
        <w:trPr>
          <w:trHeight w:val="195"/>
        </w:trPr>
        <w:tc>
          <w:tcPr>
            <w:tcW w:w="7040" w:type="dxa"/>
            <w:vAlign w:val="bottom"/>
            <w:gridSpan w:val="2"/>
          </w:tcPr>
          <w:p>
            <w:pPr>
              <w:spacing w:after="0" w:line="195" w:lineRule="exact"/>
              <w:rPr>
                <w:sz w:val="20"/>
                <w:szCs w:val="20"/>
                <w:color w:val="auto"/>
              </w:rPr>
            </w:pPr>
            <w:r>
              <w:rPr>
                <w:rFonts w:ascii="Arial" w:cs="Arial" w:eastAsia="Arial" w:hAnsi="Arial"/>
                <w:sz w:val="18"/>
                <w:szCs w:val="18"/>
                <w:b w:val="1"/>
                <w:bCs w:val="1"/>
                <w:color w:val="939598"/>
              </w:rPr>
              <w:t>Deferred</w:t>
            </w:r>
          </w:p>
        </w:tc>
        <w:tc>
          <w:tcPr>
            <w:tcW w:w="120" w:type="dxa"/>
            <w:vAlign w:val="bottom"/>
            <w:shd w:val="clear" w:color="auto" w:fill="E3F1DA"/>
          </w:tcPr>
          <w:p>
            <w:pPr>
              <w:spacing w:after="0"/>
              <w:rPr>
                <w:sz w:val="16"/>
                <w:szCs w:val="16"/>
                <w:color w:val="auto"/>
              </w:rPr>
            </w:pPr>
          </w:p>
        </w:tc>
        <w:tc>
          <w:tcPr>
            <w:tcW w:w="13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03"/>
        </w:trPr>
        <w:tc>
          <w:tcPr>
            <w:tcW w:w="7040" w:type="dxa"/>
            <w:vAlign w:val="bottom"/>
            <w:gridSpan w:val="2"/>
          </w:tcPr>
          <w:p>
            <w:pPr>
              <w:spacing w:after="0" w:line="202" w:lineRule="exact"/>
              <w:rPr>
                <w:sz w:val="20"/>
                <w:szCs w:val="20"/>
                <w:color w:val="auto"/>
              </w:rPr>
            </w:pPr>
            <w:r>
              <w:rPr>
                <w:rFonts w:ascii="Arial" w:cs="Arial" w:eastAsia="Arial" w:hAnsi="Arial"/>
                <w:sz w:val="18"/>
                <w:szCs w:val="18"/>
                <w:color w:val="auto"/>
              </w:rPr>
              <w:t>United States</w:t>
            </w:r>
          </w:p>
        </w:tc>
        <w:tc>
          <w:tcPr>
            <w:tcW w:w="120" w:type="dxa"/>
            <w:vAlign w:val="bottom"/>
            <w:shd w:val="clear" w:color="auto" w:fill="E3F1DA"/>
          </w:tcPr>
          <w:p>
            <w:pPr>
              <w:spacing w:after="0"/>
              <w:rPr>
                <w:sz w:val="17"/>
                <w:szCs w:val="17"/>
                <w:color w:val="auto"/>
              </w:rPr>
            </w:pPr>
          </w:p>
        </w:tc>
        <w:tc>
          <w:tcPr>
            <w:tcW w:w="13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020" w:type="dxa"/>
            <w:vAlign w:val="bottom"/>
          </w:tcPr>
          <w:p>
            <w:pPr>
              <w:ind w:left="260"/>
              <w:spacing w:after="0" w:line="202" w:lineRule="exact"/>
              <w:rPr>
                <w:sz w:val="20"/>
                <w:szCs w:val="20"/>
                <w:color w:val="auto"/>
              </w:rPr>
            </w:pPr>
            <w:r>
              <w:rPr>
                <w:rFonts w:ascii="Arial" w:cs="Arial" w:eastAsia="Arial" w:hAnsi="Arial"/>
                <w:sz w:val="18"/>
                <w:szCs w:val="18"/>
                <w:color w:val="auto"/>
              </w:rPr>
              <w:t>Federal</w:t>
            </w:r>
          </w:p>
        </w:tc>
        <w:tc>
          <w:tcPr>
            <w:tcW w:w="120" w:type="dxa"/>
            <w:vAlign w:val="bottom"/>
            <w:shd w:val="clear" w:color="auto" w:fill="E3F1DA"/>
          </w:tcPr>
          <w:p>
            <w:pPr>
              <w:spacing w:after="0"/>
              <w:rPr>
                <w:sz w:val="17"/>
                <w:szCs w:val="17"/>
                <w:color w:val="auto"/>
              </w:rPr>
            </w:pPr>
          </w:p>
        </w:tc>
        <w:tc>
          <w:tcPr>
            <w:tcW w:w="1340" w:type="dxa"/>
            <w:vAlign w:val="bottom"/>
          </w:tcPr>
          <w:p>
            <w:pPr>
              <w:jc w:val="right"/>
              <w:ind w:right="71"/>
              <w:spacing w:after="0" w:line="202" w:lineRule="exact"/>
              <w:rPr>
                <w:sz w:val="20"/>
                <w:szCs w:val="20"/>
                <w:color w:val="auto"/>
              </w:rPr>
            </w:pPr>
            <w:r>
              <w:rPr>
                <w:rFonts w:ascii="Arial" w:cs="Arial" w:eastAsia="Arial" w:hAnsi="Arial"/>
                <w:sz w:val="18"/>
                <w:szCs w:val="18"/>
                <w:color w:val="86B6A5"/>
              </w:rPr>
              <w:t>(81.1)</w:t>
            </w:r>
          </w:p>
        </w:tc>
        <w:tc>
          <w:tcPr>
            <w:tcW w:w="46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(3.5)</w:t>
            </w:r>
          </w:p>
        </w:tc>
        <w:tc>
          <w:tcPr>
            <w:tcW w:w="520" w:type="dxa"/>
            <w:vAlign w:val="bottom"/>
          </w:tcPr>
          <w:p>
            <w:pPr>
              <w:spacing w:after="0"/>
              <w:rPr>
                <w:sz w:val="17"/>
                <w:szCs w:val="17"/>
                <w:color w:val="auto"/>
              </w:rPr>
            </w:pPr>
          </w:p>
        </w:tc>
        <w:tc>
          <w:tcPr>
            <w:tcW w:w="8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(27.3)</w:t>
            </w:r>
          </w:p>
        </w:tc>
      </w:tr>
      <w:tr>
        <w:trPr>
          <w:trHeight w:val="203"/>
        </w:trPr>
        <w:tc>
          <w:tcPr>
            <w:tcW w:w="20" w:type="dxa"/>
            <w:vAlign w:val="bottom"/>
          </w:tcPr>
          <w:p>
            <w:pPr>
              <w:spacing w:after="0"/>
              <w:rPr>
                <w:sz w:val="17"/>
                <w:szCs w:val="17"/>
                <w:color w:val="auto"/>
              </w:rPr>
            </w:pPr>
          </w:p>
        </w:tc>
        <w:tc>
          <w:tcPr>
            <w:tcW w:w="7020" w:type="dxa"/>
            <w:vAlign w:val="bottom"/>
          </w:tcPr>
          <w:p>
            <w:pPr>
              <w:ind w:left="260"/>
              <w:spacing w:after="0" w:line="202" w:lineRule="exact"/>
              <w:rPr>
                <w:sz w:val="20"/>
                <w:szCs w:val="20"/>
                <w:color w:val="auto"/>
              </w:rPr>
            </w:pPr>
            <w:r>
              <w:rPr>
                <w:rFonts w:ascii="Arial" w:cs="Arial" w:eastAsia="Arial" w:hAnsi="Arial"/>
                <w:sz w:val="18"/>
                <w:szCs w:val="18"/>
                <w:color w:val="auto"/>
              </w:rPr>
              <w:t>State</w:t>
            </w:r>
          </w:p>
        </w:tc>
        <w:tc>
          <w:tcPr>
            <w:tcW w:w="120" w:type="dxa"/>
            <w:vAlign w:val="bottom"/>
            <w:shd w:val="clear" w:color="auto" w:fill="E3F1DA"/>
          </w:tcPr>
          <w:p>
            <w:pPr>
              <w:spacing w:after="0"/>
              <w:rPr>
                <w:sz w:val="17"/>
                <w:szCs w:val="17"/>
                <w:color w:val="auto"/>
              </w:rPr>
            </w:pPr>
          </w:p>
        </w:tc>
        <w:tc>
          <w:tcPr>
            <w:tcW w:w="1340" w:type="dxa"/>
            <w:vAlign w:val="bottom"/>
          </w:tcPr>
          <w:p>
            <w:pPr>
              <w:jc w:val="right"/>
              <w:ind w:right="71"/>
              <w:spacing w:after="0" w:line="202" w:lineRule="exact"/>
              <w:rPr>
                <w:sz w:val="20"/>
                <w:szCs w:val="20"/>
                <w:color w:val="auto"/>
              </w:rPr>
            </w:pPr>
            <w:r>
              <w:rPr>
                <w:rFonts w:ascii="Arial" w:cs="Arial" w:eastAsia="Arial" w:hAnsi="Arial"/>
                <w:sz w:val="18"/>
                <w:szCs w:val="18"/>
                <w:color w:val="86B6A5"/>
              </w:rPr>
              <w:t>(2.9)</w:t>
            </w:r>
          </w:p>
        </w:tc>
        <w:tc>
          <w:tcPr>
            <w:tcW w:w="46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(4.6)</w:t>
            </w:r>
          </w:p>
        </w:tc>
        <w:tc>
          <w:tcPr>
            <w:tcW w:w="520" w:type="dxa"/>
            <w:vAlign w:val="bottom"/>
          </w:tcPr>
          <w:p>
            <w:pPr>
              <w:spacing w:after="0"/>
              <w:rPr>
                <w:sz w:val="17"/>
                <w:szCs w:val="17"/>
                <w:color w:val="auto"/>
              </w:rPr>
            </w:pPr>
          </w:p>
        </w:tc>
        <w:tc>
          <w:tcPr>
            <w:tcW w:w="8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(1.0)</w:t>
            </w:r>
          </w:p>
        </w:tc>
      </w:tr>
      <w:tr>
        <w:trPr>
          <w:trHeight w:val="203"/>
        </w:trPr>
        <w:tc>
          <w:tcPr>
            <w:tcW w:w="7040" w:type="dxa"/>
            <w:vAlign w:val="bottom"/>
            <w:gridSpan w:val="2"/>
          </w:tcPr>
          <w:p>
            <w:pPr>
              <w:spacing w:after="0" w:line="202" w:lineRule="exact"/>
              <w:rPr>
                <w:sz w:val="20"/>
                <w:szCs w:val="20"/>
                <w:color w:val="auto"/>
              </w:rPr>
            </w:pPr>
            <w:r>
              <w:rPr>
                <w:rFonts w:ascii="Arial" w:cs="Arial" w:eastAsia="Arial" w:hAnsi="Arial"/>
                <w:sz w:val="18"/>
                <w:szCs w:val="18"/>
                <w:color w:val="auto"/>
              </w:rPr>
              <w:t>Non-U.S.</w:t>
            </w:r>
          </w:p>
        </w:tc>
        <w:tc>
          <w:tcPr>
            <w:tcW w:w="120" w:type="dxa"/>
            <w:vAlign w:val="bottom"/>
            <w:shd w:val="clear" w:color="auto" w:fill="E3F1DA"/>
          </w:tcPr>
          <w:p>
            <w:pPr>
              <w:spacing w:after="0"/>
              <w:rPr>
                <w:sz w:val="17"/>
                <w:szCs w:val="17"/>
                <w:color w:val="auto"/>
              </w:rPr>
            </w:pPr>
          </w:p>
        </w:tc>
        <w:tc>
          <w:tcPr>
            <w:tcW w:w="1340" w:type="dxa"/>
            <w:vAlign w:val="bottom"/>
          </w:tcPr>
          <w:p>
            <w:pPr>
              <w:jc w:val="right"/>
              <w:ind w:right="131"/>
              <w:spacing w:after="0" w:line="202" w:lineRule="exact"/>
              <w:rPr>
                <w:sz w:val="20"/>
                <w:szCs w:val="20"/>
                <w:color w:val="auto"/>
              </w:rPr>
            </w:pPr>
            <w:r>
              <w:rPr>
                <w:rFonts w:ascii="Arial" w:cs="Arial" w:eastAsia="Arial" w:hAnsi="Arial"/>
                <w:sz w:val="18"/>
                <w:szCs w:val="18"/>
                <w:color w:val="86B6A5"/>
              </w:rPr>
              <w:t>15.5</w:t>
            </w:r>
          </w:p>
        </w:tc>
        <w:tc>
          <w:tcPr>
            <w:tcW w:w="46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(21.1)</w:t>
            </w:r>
          </w:p>
        </w:tc>
        <w:tc>
          <w:tcPr>
            <w:tcW w:w="520" w:type="dxa"/>
            <w:vAlign w:val="bottom"/>
          </w:tcPr>
          <w:p>
            <w:pPr>
              <w:spacing w:after="0"/>
              <w:rPr>
                <w:sz w:val="17"/>
                <w:szCs w:val="17"/>
                <w:color w:val="auto"/>
              </w:rPr>
            </w:pPr>
          </w:p>
        </w:tc>
        <w:tc>
          <w:tcPr>
            <w:tcW w:w="8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(4.5)</w:t>
            </w:r>
          </w:p>
        </w:tc>
      </w:tr>
      <w:tr>
        <w:trPr>
          <w:trHeight w:val="197"/>
        </w:trPr>
        <w:tc>
          <w:tcPr>
            <w:tcW w:w="7040" w:type="dxa"/>
            <w:vAlign w:val="bottom"/>
            <w:tcBorders>
              <w:top w:val="single" w:sz="8" w:color="939598"/>
              <w:bottom w:val="single" w:sz="8" w:color="939598"/>
            </w:tcBorders>
            <w:gridSpan w:val="2"/>
          </w:tcPr>
          <w:p>
            <w:pPr>
              <w:spacing w:after="0" w:line="197" w:lineRule="exact"/>
              <w:rPr>
                <w:sz w:val="20"/>
                <w:szCs w:val="20"/>
                <w:color w:val="auto"/>
              </w:rPr>
            </w:pPr>
            <w:r>
              <w:rPr>
                <w:rFonts w:ascii="Arial" w:cs="Arial" w:eastAsia="Arial" w:hAnsi="Arial"/>
                <w:sz w:val="18"/>
                <w:szCs w:val="18"/>
                <w:color w:val="auto"/>
              </w:rPr>
              <w:t>Total deferred</w:t>
            </w:r>
          </w:p>
        </w:tc>
        <w:tc>
          <w:tcPr>
            <w:tcW w:w="120" w:type="dxa"/>
            <w:vAlign w:val="bottom"/>
            <w:tcBorders>
              <w:top w:val="single" w:sz="8" w:color="939598"/>
              <w:bottom w:val="single" w:sz="8" w:color="939598"/>
            </w:tcBorders>
            <w:shd w:val="clear" w:color="auto" w:fill="E3F1DA"/>
          </w:tcPr>
          <w:p>
            <w:pPr>
              <w:spacing w:after="0"/>
              <w:rPr>
                <w:sz w:val="17"/>
                <w:szCs w:val="17"/>
                <w:color w:val="auto"/>
              </w:rPr>
            </w:pPr>
          </w:p>
        </w:tc>
        <w:tc>
          <w:tcPr>
            <w:tcW w:w="1340" w:type="dxa"/>
            <w:vAlign w:val="bottom"/>
            <w:tcBorders>
              <w:top w:val="single" w:sz="8" w:color="939598"/>
              <w:bottom w:val="single" w:sz="8" w:color="939598"/>
            </w:tcBorders>
          </w:tcPr>
          <w:p>
            <w:pPr>
              <w:jc w:val="right"/>
              <w:ind w:right="71"/>
              <w:spacing w:after="0" w:line="197" w:lineRule="exact"/>
              <w:rPr>
                <w:sz w:val="20"/>
                <w:szCs w:val="20"/>
                <w:color w:val="auto"/>
              </w:rPr>
            </w:pPr>
            <w:r>
              <w:rPr>
                <w:rFonts w:ascii="Arial" w:cs="Arial" w:eastAsia="Arial" w:hAnsi="Arial"/>
                <w:sz w:val="18"/>
                <w:szCs w:val="18"/>
                <w:color w:val="86B6A5"/>
              </w:rPr>
              <w:t>(68.5)</w:t>
            </w:r>
          </w:p>
        </w:tc>
        <w:tc>
          <w:tcPr>
            <w:tcW w:w="460" w:type="dxa"/>
            <w:vAlign w:val="bottom"/>
            <w:tcBorders>
              <w:top w:val="single" w:sz="8" w:color="939598"/>
              <w:bottom w:val="single" w:sz="8" w:color="939598"/>
            </w:tcBorders>
          </w:tcPr>
          <w:p>
            <w:pPr>
              <w:spacing w:after="0"/>
              <w:rPr>
                <w:sz w:val="17"/>
                <w:szCs w:val="17"/>
                <w:color w:val="auto"/>
              </w:rPr>
            </w:pPr>
          </w:p>
        </w:tc>
        <w:tc>
          <w:tcPr>
            <w:tcW w:w="920" w:type="dxa"/>
            <w:vAlign w:val="bottom"/>
            <w:tcBorders>
              <w:top w:val="single" w:sz="8" w:color="939598"/>
              <w:bottom w:val="single" w:sz="8" w:color="939598"/>
            </w:tcBorders>
          </w:tcPr>
          <w:p>
            <w:pPr>
              <w:jc w:val="right"/>
              <w:spacing w:after="0" w:line="197" w:lineRule="exact"/>
              <w:rPr>
                <w:sz w:val="20"/>
                <w:szCs w:val="20"/>
                <w:color w:val="auto"/>
              </w:rPr>
            </w:pPr>
            <w:r>
              <w:rPr>
                <w:rFonts w:ascii="Arial" w:cs="Arial" w:eastAsia="Arial" w:hAnsi="Arial"/>
                <w:sz w:val="18"/>
                <w:szCs w:val="18"/>
                <w:color w:val="auto"/>
              </w:rPr>
              <w:t>(29.2)</w:t>
            </w:r>
          </w:p>
        </w:tc>
        <w:tc>
          <w:tcPr>
            <w:tcW w:w="520" w:type="dxa"/>
            <w:vAlign w:val="bottom"/>
            <w:tcBorders>
              <w:top w:val="single" w:sz="8" w:color="939598"/>
              <w:bottom w:val="single" w:sz="8" w:color="939598"/>
            </w:tcBorders>
          </w:tcPr>
          <w:p>
            <w:pPr>
              <w:spacing w:after="0"/>
              <w:rPr>
                <w:sz w:val="17"/>
                <w:szCs w:val="17"/>
                <w:color w:val="auto"/>
              </w:rPr>
            </w:pPr>
          </w:p>
        </w:tc>
        <w:tc>
          <w:tcPr>
            <w:tcW w:w="800" w:type="dxa"/>
            <w:vAlign w:val="bottom"/>
            <w:tcBorders>
              <w:top w:val="single" w:sz="8" w:color="939598"/>
              <w:bottom w:val="single" w:sz="8" w:color="939598"/>
            </w:tcBorders>
          </w:tcPr>
          <w:p>
            <w:pPr>
              <w:jc w:val="right"/>
              <w:spacing w:after="0" w:line="197" w:lineRule="exact"/>
              <w:rPr>
                <w:sz w:val="20"/>
                <w:szCs w:val="20"/>
                <w:color w:val="auto"/>
              </w:rPr>
            </w:pPr>
            <w:r>
              <w:rPr>
                <w:rFonts w:ascii="Arial" w:cs="Arial" w:eastAsia="Arial" w:hAnsi="Arial"/>
                <w:sz w:val="18"/>
                <w:szCs w:val="18"/>
                <w:color w:val="auto"/>
              </w:rPr>
              <w:t>(32.8</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196"/>
        </w:trPr>
        <w:tc>
          <w:tcPr>
            <w:tcW w:w="7040" w:type="dxa"/>
            <w:vAlign w:val="bottom"/>
            <w:gridSpan w:val="2"/>
          </w:tcPr>
          <w:p>
            <w:pPr>
              <w:spacing w:after="0" w:line="196" w:lineRule="exact"/>
              <w:rPr>
                <w:sz w:val="20"/>
                <w:szCs w:val="20"/>
                <w:color w:val="auto"/>
              </w:rPr>
            </w:pPr>
            <w:r>
              <w:rPr>
                <w:rFonts w:ascii="Arial" w:cs="Arial" w:eastAsia="Arial" w:hAnsi="Arial"/>
                <w:sz w:val="18"/>
                <w:szCs w:val="18"/>
                <w:color w:val="auto"/>
              </w:rPr>
              <w:t>Total provision</w:t>
            </w:r>
          </w:p>
        </w:tc>
        <w:tc>
          <w:tcPr>
            <w:tcW w:w="120" w:type="dxa"/>
            <w:vAlign w:val="bottom"/>
            <w:shd w:val="clear" w:color="auto" w:fill="E3F1DA"/>
          </w:tcPr>
          <w:p>
            <w:pPr>
              <w:jc w:val="right"/>
              <w:spacing w:after="0" w:line="196" w:lineRule="exact"/>
              <w:rPr>
                <w:sz w:val="20"/>
                <w:szCs w:val="20"/>
                <w:color w:val="auto"/>
              </w:rPr>
            </w:pPr>
            <w:r>
              <w:rPr>
                <w:rFonts w:ascii="Arial" w:cs="Arial" w:eastAsia="Arial" w:hAnsi="Arial"/>
                <w:sz w:val="18"/>
                <w:szCs w:val="18"/>
                <w:color w:val="86B6A5"/>
                <w:w w:val="79"/>
              </w:rPr>
              <w:t>$</w:t>
            </w:r>
          </w:p>
        </w:tc>
        <w:tc>
          <w:tcPr>
            <w:tcW w:w="1340" w:type="dxa"/>
            <w:vAlign w:val="bottom"/>
          </w:tcPr>
          <w:p>
            <w:pPr>
              <w:jc w:val="right"/>
              <w:ind w:right="131"/>
              <w:spacing w:after="0" w:line="196" w:lineRule="exact"/>
              <w:rPr>
                <w:sz w:val="20"/>
                <w:szCs w:val="20"/>
                <w:color w:val="auto"/>
              </w:rPr>
            </w:pPr>
            <w:r>
              <w:rPr>
                <w:rFonts w:ascii="Arial" w:cs="Arial" w:eastAsia="Arial" w:hAnsi="Arial"/>
                <w:sz w:val="18"/>
                <w:szCs w:val="18"/>
                <w:color w:val="86B6A5"/>
              </w:rPr>
              <w:t>98.4</w:t>
            </w:r>
          </w:p>
        </w:tc>
        <w:tc>
          <w:tcPr>
            <w:tcW w:w="460" w:type="dxa"/>
            <w:vAlign w:val="bottom"/>
          </w:tcPr>
          <w:p>
            <w:pPr>
              <w:jc w:val="right"/>
              <w:ind w:right="27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(13.7)</w:t>
            </w:r>
          </w:p>
        </w:tc>
        <w:tc>
          <w:tcPr>
            <w:tcW w:w="520" w:type="dxa"/>
            <w:vAlign w:val="bottom"/>
          </w:tcPr>
          <w:p>
            <w:pPr>
              <w:jc w:val="right"/>
              <w:ind w:right="250"/>
              <w:spacing w:after="0" w:line="196"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237.1</w:t>
            </w:r>
          </w:p>
        </w:tc>
        <w:tc>
          <w:tcPr>
            <w:tcW w:w="60" w:type="dxa"/>
            <w:vAlign w:val="bottom"/>
          </w:tcPr>
          <w:p>
            <w:pPr>
              <w:spacing w:after="0"/>
              <w:rPr>
                <w:sz w:val="17"/>
                <w:szCs w:val="17"/>
                <w:color w:val="auto"/>
              </w:rPr>
            </w:pPr>
          </w:p>
        </w:tc>
      </w:tr>
      <w:tr>
        <w:trPr>
          <w:trHeight w:val="27"/>
        </w:trPr>
        <w:tc>
          <w:tcPr>
            <w:tcW w:w="20" w:type="dxa"/>
            <w:vAlign w:val="bottom"/>
          </w:tcPr>
          <w:p>
            <w:pPr>
              <w:spacing w:after="0"/>
              <w:rPr>
                <w:sz w:val="2"/>
                <w:szCs w:val="2"/>
                <w:color w:val="auto"/>
              </w:rPr>
            </w:pPr>
          </w:p>
        </w:tc>
        <w:tc>
          <w:tcPr>
            <w:tcW w:w="7020" w:type="dxa"/>
            <w:vAlign w:val="bottom"/>
            <w:shd w:val="clear" w:color="auto" w:fill="939598"/>
          </w:tcPr>
          <w:p>
            <w:pPr>
              <w:spacing w:after="0"/>
              <w:rPr>
                <w:sz w:val="2"/>
                <w:szCs w:val="2"/>
                <w:color w:val="auto"/>
              </w:rPr>
            </w:pPr>
          </w:p>
        </w:tc>
        <w:tc>
          <w:tcPr>
            <w:tcW w:w="120" w:type="dxa"/>
            <w:vAlign w:val="bottom"/>
            <w:shd w:val="clear" w:color="auto" w:fill="939598"/>
          </w:tcPr>
          <w:p>
            <w:pPr>
              <w:spacing w:after="0"/>
              <w:rPr>
                <w:sz w:val="2"/>
                <w:szCs w:val="2"/>
                <w:color w:val="auto"/>
              </w:rPr>
            </w:pPr>
          </w:p>
        </w:tc>
        <w:tc>
          <w:tcPr>
            <w:tcW w:w="1340" w:type="dxa"/>
            <w:vAlign w:val="bottom"/>
            <w:shd w:val="clear" w:color="auto" w:fill="939598"/>
          </w:tcPr>
          <w:p>
            <w:pPr>
              <w:spacing w:after="0"/>
              <w:rPr>
                <w:sz w:val="2"/>
                <w:szCs w:val="2"/>
                <w:color w:val="auto"/>
              </w:rPr>
            </w:pPr>
          </w:p>
        </w:tc>
        <w:tc>
          <w:tcPr>
            <w:tcW w:w="460" w:type="dxa"/>
            <w:vAlign w:val="bottom"/>
            <w:shd w:val="clear" w:color="auto" w:fill="939598"/>
          </w:tcPr>
          <w:p>
            <w:pPr>
              <w:spacing w:after="0"/>
              <w:rPr>
                <w:sz w:val="2"/>
                <w:szCs w:val="2"/>
                <w:color w:val="auto"/>
              </w:rPr>
            </w:pPr>
          </w:p>
        </w:tc>
        <w:tc>
          <w:tcPr>
            <w:tcW w:w="920" w:type="dxa"/>
            <w:vAlign w:val="bottom"/>
            <w:shd w:val="clear" w:color="auto" w:fill="939598"/>
          </w:tcPr>
          <w:p>
            <w:pPr>
              <w:spacing w:after="0"/>
              <w:rPr>
                <w:sz w:val="2"/>
                <w:szCs w:val="2"/>
                <w:color w:val="auto"/>
              </w:rPr>
            </w:pPr>
          </w:p>
        </w:tc>
        <w:tc>
          <w:tcPr>
            <w:tcW w:w="520" w:type="dxa"/>
            <w:vAlign w:val="bottom"/>
            <w:shd w:val="clear" w:color="auto" w:fill="939598"/>
          </w:tcPr>
          <w:p>
            <w:pPr>
              <w:spacing w:after="0"/>
              <w:rPr>
                <w:sz w:val="2"/>
                <w:szCs w:val="2"/>
                <w:color w:val="auto"/>
              </w:rPr>
            </w:pPr>
          </w:p>
        </w:tc>
        <w:tc>
          <w:tcPr>
            <w:tcW w:w="800" w:type="dxa"/>
            <w:vAlign w:val="bottom"/>
            <w:shd w:val="clear" w:color="auto" w:fill="939598"/>
          </w:tcPr>
          <w:p>
            <w:pPr>
              <w:spacing w:after="0"/>
              <w:rPr>
                <w:sz w:val="2"/>
                <w:szCs w:val="2"/>
                <w:color w:val="auto"/>
              </w:rPr>
            </w:pPr>
          </w:p>
        </w:tc>
        <w:tc>
          <w:tcPr>
            <w:tcW w:w="6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4541520</wp:posOffset>
            </wp:positionH>
            <wp:positionV relativeFrom="paragraph">
              <wp:posOffset>-1594485</wp:posOffset>
            </wp:positionV>
            <wp:extent cx="857885" cy="158623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857885" cy="158623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between taxes computed at the U.S. Federal statutory rate of 35% and the consolidated effective tax rate is as follows: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040" w:type="dxa"/>
            <w:vAlign w:val="bottom"/>
            <w:gridSpan w:val="2"/>
          </w:tcPr>
          <w:p>
            <w:pPr>
              <w:spacing w:after="0"/>
              <w:rPr>
                <w:sz w:val="20"/>
                <w:szCs w:val="20"/>
                <w:color w:val="auto"/>
              </w:rPr>
            </w:pPr>
            <w:r>
              <w:rPr>
                <w:rFonts w:ascii="Arial" w:cs="Arial" w:eastAsia="Arial" w:hAnsi="Arial"/>
                <w:sz w:val="16"/>
                <w:szCs w:val="16"/>
                <w:b w:val="1"/>
                <w:bCs w:val="1"/>
                <w:color w:val="86B6A5"/>
              </w:rPr>
              <w:t>Year Ended December 31</w:t>
            </w:r>
          </w:p>
        </w:tc>
        <w:tc>
          <w:tcPr>
            <w:tcW w:w="120" w:type="dxa"/>
            <w:vAlign w:val="bottom"/>
            <w:shd w:val="clear" w:color="auto" w:fill="86B6A5"/>
          </w:tcPr>
          <w:p>
            <w:pPr>
              <w:spacing w:after="0"/>
              <w:rPr>
                <w:sz w:val="18"/>
                <w:szCs w:val="18"/>
                <w:color w:val="auto"/>
              </w:rPr>
            </w:pPr>
          </w:p>
        </w:tc>
        <w:tc>
          <w:tcPr>
            <w:tcW w:w="1340" w:type="dxa"/>
            <w:vAlign w:val="bottom"/>
            <w:shd w:val="clear" w:color="auto" w:fill="86B6A5"/>
          </w:tcPr>
          <w:p>
            <w:pPr>
              <w:jc w:val="right"/>
              <w:ind w:right="131"/>
              <w:spacing w:after="0"/>
              <w:rPr>
                <w:sz w:val="20"/>
                <w:szCs w:val="20"/>
                <w:color w:val="auto"/>
              </w:rPr>
            </w:pPr>
            <w:r>
              <w:rPr>
                <w:rFonts w:ascii="Arial" w:cs="Arial" w:eastAsia="Arial" w:hAnsi="Arial"/>
                <w:sz w:val="16"/>
                <w:szCs w:val="16"/>
                <w:b w:val="1"/>
                <w:bCs w:val="1"/>
                <w:color w:val="FFFFFF"/>
              </w:rPr>
              <w:t>2010</w:t>
            </w:r>
          </w:p>
        </w:tc>
        <w:tc>
          <w:tcPr>
            <w:tcW w:w="460" w:type="dxa"/>
            <w:vAlign w:val="bottom"/>
          </w:tcPr>
          <w:p>
            <w:pPr>
              <w:spacing w:after="0"/>
              <w:rPr>
                <w:sz w:val="18"/>
                <w:szCs w:val="18"/>
                <w:color w:val="auto"/>
              </w:rPr>
            </w:pPr>
          </w:p>
        </w:tc>
        <w:tc>
          <w:tcPr>
            <w:tcW w:w="920" w:type="dxa"/>
            <w:vAlign w:val="bottom"/>
          </w:tcPr>
          <w:p>
            <w:pPr>
              <w:jc w:val="right"/>
              <w:ind w:right="51"/>
              <w:spacing w:after="0"/>
              <w:rPr>
                <w:sz w:val="20"/>
                <w:szCs w:val="20"/>
                <w:color w:val="auto"/>
              </w:rPr>
            </w:pPr>
            <w:r>
              <w:rPr>
                <w:rFonts w:ascii="Arial" w:cs="Arial" w:eastAsia="Arial" w:hAnsi="Arial"/>
                <w:sz w:val="16"/>
                <w:szCs w:val="16"/>
                <w:b w:val="1"/>
                <w:bCs w:val="1"/>
                <w:color w:val="86B6A5"/>
              </w:rPr>
              <w:t>2009</w:t>
            </w:r>
          </w:p>
        </w:tc>
        <w:tc>
          <w:tcPr>
            <w:tcW w:w="5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86B6A5"/>
              </w:rPr>
              <w:t>2008</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7020" w:type="dxa"/>
            <w:vAlign w:val="bottom"/>
            <w:tcBorders>
              <w:top w:val="single" w:sz="8" w:color="86B6A5"/>
            </w:tcBorders>
          </w:tcPr>
          <w:p>
            <w:pPr>
              <w:spacing w:after="0" w:line="201" w:lineRule="exact"/>
              <w:rPr>
                <w:sz w:val="20"/>
                <w:szCs w:val="20"/>
                <w:color w:val="auto"/>
              </w:rPr>
            </w:pPr>
            <w:r>
              <w:rPr>
                <w:rFonts w:ascii="Arial" w:cs="Arial" w:eastAsia="Arial" w:hAnsi="Arial"/>
                <w:sz w:val="18"/>
                <w:szCs w:val="18"/>
                <w:color w:val="auto"/>
              </w:rPr>
              <w:t>Income tax based on statutory rate</w:t>
            </w:r>
          </w:p>
        </w:tc>
        <w:tc>
          <w:tcPr>
            <w:tcW w:w="120" w:type="dxa"/>
            <w:vAlign w:val="bottom"/>
            <w:tcBorders>
              <w:top w:val="single" w:sz="8" w:color="86B6A5"/>
            </w:tcBorders>
            <w:shd w:val="clear" w:color="auto" w:fill="E3F1DA"/>
          </w:tcPr>
          <w:p>
            <w:pPr>
              <w:jc w:val="right"/>
              <w:spacing w:after="0" w:line="201" w:lineRule="exact"/>
              <w:rPr>
                <w:sz w:val="20"/>
                <w:szCs w:val="20"/>
                <w:color w:val="auto"/>
              </w:rPr>
            </w:pPr>
            <w:r>
              <w:rPr>
                <w:rFonts w:ascii="Arial" w:cs="Arial" w:eastAsia="Arial" w:hAnsi="Arial"/>
                <w:sz w:val="18"/>
                <w:szCs w:val="18"/>
                <w:color w:val="86B6A5"/>
                <w:w w:val="79"/>
              </w:rPr>
              <w:t>$</w:t>
            </w:r>
          </w:p>
        </w:tc>
        <w:tc>
          <w:tcPr>
            <w:tcW w:w="1340" w:type="dxa"/>
            <w:vAlign w:val="bottom"/>
            <w:tcBorders>
              <w:top w:val="single" w:sz="8" w:color="86B6A5"/>
            </w:tcBorders>
            <w:shd w:val="clear" w:color="auto" w:fill="E3F1DA"/>
          </w:tcPr>
          <w:p>
            <w:pPr>
              <w:jc w:val="right"/>
              <w:ind w:right="71"/>
              <w:spacing w:after="0" w:line="201" w:lineRule="exact"/>
              <w:rPr>
                <w:sz w:val="20"/>
                <w:szCs w:val="20"/>
                <w:color w:val="auto"/>
              </w:rPr>
            </w:pPr>
            <w:r>
              <w:rPr>
                <w:rFonts w:ascii="Arial" w:cs="Arial" w:eastAsia="Arial" w:hAnsi="Arial"/>
                <w:sz w:val="18"/>
                <w:szCs w:val="18"/>
                <w:color w:val="86B6A5"/>
              </w:rPr>
              <w:t>(57.8)</w:t>
            </w:r>
          </w:p>
        </w:tc>
        <w:tc>
          <w:tcPr>
            <w:tcW w:w="460" w:type="dxa"/>
            <w:vAlign w:val="bottom"/>
            <w:tcBorders>
              <w:top w:val="single" w:sz="8" w:color="86B6A5"/>
            </w:tcBorders>
          </w:tcPr>
          <w:p>
            <w:pPr>
              <w:jc w:val="right"/>
              <w:ind w:right="270"/>
              <w:spacing w:after="0" w:line="201"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86B6A5"/>
            </w:tcBorders>
          </w:tcPr>
          <w:p>
            <w:pPr>
              <w:jc w:val="right"/>
              <w:spacing w:after="0" w:line="201" w:lineRule="exact"/>
              <w:rPr>
                <w:sz w:val="20"/>
                <w:szCs w:val="20"/>
                <w:color w:val="auto"/>
              </w:rPr>
            </w:pPr>
            <w:r>
              <w:rPr>
                <w:rFonts w:ascii="Arial" w:cs="Arial" w:eastAsia="Arial" w:hAnsi="Arial"/>
                <w:sz w:val="18"/>
                <w:szCs w:val="18"/>
                <w:color w:val="auto"/>
              </w:rPr>
              <w:t>(8.0)</w:t>
            </w:r>
          </w:p>
        </w:tc>
        <w:tc>
          <w:tcPr>
            <w:tcW w:w="520" w:type="dxa"/>
            <w:vAlign w:val="bottom"/>
            <w:tcBorders>
              <w:top w:val="single" w:sz="8" w:color="86B6A5"/>
            </w:tcBorders>
          </w:tcPr>
          <w:p>
            <w:pPr>
              <w:jc w:val="right"/>
              <w:ind w:right="250"/>
              <w:spacing w:after="0" w:line="201" w:lineRule="exact"/>
              <w:rPr>
                <w:sz w:val="20"/>
                <w:szCs w:val="20"/>
                <w:color w:val="auto"/>
              </w:rPr>
            </w:pPr>
            <w:r>
              <w:rPr>
                <w:rFonts w:ascii="Arial" w:cs="Arial" w:eastAsia="Arial" w:hAnsi="Arial"/>
                <w:sz w:val="18"/>
                <w:szCs w:val="18"/>
                <w:color w:val="auto"/>
              </w:rPr>
              <w:t>$</w:t>
            </w:r>
          </w:p>
        </w:tc>
        <w:tc>
          <w:tcPr>
            <w:tcW w:w="800" w:type="dxa"/>
            <w:vAlign w:val="bottom"/>
            <w:tcBorders>
              <w:top w:val="single" w:sz="8" w:color="86B6A5"/>
            </w:tcBorders>
          </w:tcPr>
          <w:p>
            <w:pPr>
              <w:jc w:val="right"/>
              <w:spacing w:after="0" w:line="201" w:lineRule="exact"/>
              <w:rPr>
                <w:sz w:val="20"/>
                <w:szCs w:val="20"/>
                <w:color w:val="auto"/>
              </w:rPr>
            </w:pPr>
            <w:r>
              <w:rPr>
                <w:rFonts w:ascii="Arial" w:cs="Arial" w:eastAsia="Arial" w:hAnsi="Arial"/>
                <w:sz w:val="18"/>
                <w:szCs w:val="18"/>
                <w:color w:val="auto"/>
              </w:rPr>
              <w:t>154.9</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3"/>
        </w:trPr>
        <w:tc>
          <w:tcPr>
            <w:tcW w:w="7040" w:type="dxa"/>
            <w:vAlign w:val="bottom"/>
            <w:gridSpan w:val="2"/>
          </w:tcPr>
          <w:p>
            <w:pPr>
              <w:spacing w:after="0" w:line="202" w:lineRule="exact"/>
              <w:rPr>
                <w:sz w:val="20"/>
                <w:szCs w:val="20"/>
                <w:color w:val="auto"/>
              </w:rPr>
            </w:pPr>
            <w:r>
              <w:rPr>
                <w:rFonts w:ascii="Arial" w:cs="Arial" w:eastAsia="Arial" w:hAnsi="Arial"/>
                <w:sz w:val="18"/>
                <w:szCs w:val="18"/>
                <w:color w:val="auto"/>
              </w:rPr>
              <w:t>Increase (decrease) resulting from:</w:t>
            </w:r>
          </w:p>
        </w:tc>
        <w:tc>
          <w:tcPr>
            <w:tcW w:w="120" w:type="dxa"/>
            <w:vAlign w:val="bottom"/>
            <w:shd w:val="clear" w:color="auto" w:fill="E3F1DA"/>
          </w:tcPr>
          <w:p>
            <w:pPr>
              <w:spacing w:after="0"/>
              <w:rPr>
                <w:sz w:val="17"/>
                <w:szCs w:val="17"/>
                <w:color w:val="auto"/>
              </w:rPr>
            </w:pPr>
          </w:p>
        </w:tc>
        <w:tc>
          <w:tcPr>
            <w:tcW w:w="1340" w:type="dxa"/>
            <w:vAlign w:val="bottom"/>
            <w:shd w:val="clear" w:color="auto" w:fill="E3F1DA"/>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97"/>
        </w:trPr>
        <w:tc>
          <w:tcPr>
            <w:tcW w:w="20" w:type="dxa"/>
            <w:vAlign w:val="bottom"/>
          </w:tcPr>
          <w:p>
            <w:pPr>
              <w:spacing w:after="0"/>
              <w:rPr>
                <w:sz w:val="17"/>
                <w:szCs w:val="17"/>
                <w:color w:val="auto"/>
              </w:rPr>
            </w:pPr>
          </w:p>
        </w:tc>
        <w:tc>
          <w:tcPr>
            <w:tcW w:w="7020" w:type="dxa"/>
            <w:vAlign w:val="bottom"/>
          </w:tcPr>
          <w:p>
            <w:pPr>
              <w:ind w:left="260"/>
              <w:spacing w:after="0" w:line="196" w:lineRule="exact"/>
              <w:rPr>
                <w:sz w:val="20"/>
                <w:szCs w:val="20"/>
                <w:color w:val="auto"/>
              </w:rPr>
            </w:pPr>
            <w:r>
              <w:rPr>
                <w:rFonts w:ascii="Arial" w:cs="Arial" w:eastAsia="Arial" w:hAnsi="Arial"/>
                <w:sz w:val="18"/>
                <w:szCs w:val="18"/>
                <w:color w:val="auto"/>
              </w:rPr>
              <w:t>State income taxes, net of Federal benefit</w:t>
            </w:r>
          </w:p>
        </w:tc>
        <w:tc>
          <w:tcPr>
            <w:tcW w:w="120" w:type="dxa"/>
            <w:vAlign w:val="bottom"/>
            <w:shd w:val="clear" w:color="auto" w:fill="E3F1DA"/>
          </w:tcPr>
          <w:p>
            <w:pPr>
              <w:spacing w:after="0"/>
              <w:rPr>
                <w:sz w:val="17"/>
                <w:szCs w:val="17"/>
                <w:color w:val="auto"/>
              </w:rPr>
            </w:pPr>
          </w:p>
        </w:tc>
        <w:tc>
          <w:tcPr>
            <w:tcW w:w="1340" w:type="dxa"/>
            <w:vAlign w:val="bottom"/>
          </w:tcPr>
          <w:p>
            <w:pPr>
              <w:jc w:val="right"/>
              <w:ind w:right="71"/>
              <w:spacing w:after="0" w:line="196" w:lineRule="exact"/>
              <w:rPr>
                <w:sz w:val="20"/>
                <w:szCs w:val="20"/>
                <w:color w:val="auto"/>
              </w:rPr>
            </w:pPr>
            <w:r>
              <w:rPr>
                <w:rFonts w:ascii="Arial" w:cs="Arial" w:eastAsia="Arial" w:hAnsi="Arial"/>
                <w:sz w:val="18"/>
                <w:szCs w:val="18"/>
                <w:color w:val="86B6A5"/>
              </w:rPr>
              <w:t>(0.6)</w:t>
            </w:r>
          </w:p>
        </w:tc>
        <w:tc>
          <w:tcPr>
            <w:tcW w:w="460" w:type="dxa"/>
            <w:vAlign w:val="bottom"/>
          </w:tcPr>
          <w:p>
            <w:pPr>
              <w:spacing w:after="0"/>
              <w:rPr>
                <w:sz w:val="17"/>
                <w:szCs w:val="17"/>
                <w:color w:val="auto"/>
              </w:rPr>
            </w:pPr>
          </w:p>
        </w:tc>
        <w:tc>
          <w:tcPr>
            <w:tcW w:w="920" w:type="dxa"/>
            <w:vAlign w:val="bottom"/>
          </w:tcPr>
          <w:p>
            <w:pPr>
              <w:jc w:val="right"/>
              <w:ind w:right="51"/>
              <w:spacing w:after="0" w:line="196" w:lineRule="exact"/>
              <w:rPr>
                <w:sz w:val="20"/>
                <w:szCs w:val="20"/>
                <w:color w:val="auto"/>
              </w:rPr>
            </w:pPr>
            <w:r>
              <w:rPr>
                <w:rFonts w:ascii="Arial" w:cs="Arial" w:eastAsia="Arial" w:hAnsi="Arial"/>
                <w:sz w:val="18"/>
                <w:szCs w:val="18"/>
                <w:color w:val="auto"/>
              </w:rPr>
              <w:t>2.9</w:t>
            </w:r>
          </w:p>
        </w:tc>
        <w:tc>
          <w:tcPr>
            <w:tcW w:w="520" w:type="dxa"/>
            <w:vAlign w:val="bottom"/>
          </w:tcPr>
          <w:p>
            <w:pPr>
              <w:spacing w:after="0"/>
              <w:rPr>
                <w:sz w:val="17"/>
                <w:szCs w:val="17"/>
                <w:color w:val="auto"/>
              </w:rPr>
            </w:pPr>
          </w:p>
        </w:tc>
        <w:tc>
          <w:tcPr>
            <w:tcW w:w="8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2.8</w:t>
            </w:r>
          </w:p>
        </w:tc>
        <w:tc>
          <w:tcPr>
            <w:tcW w:w="40" w:type="dxa"/>
            <w:vAlign w:val="bottom"/>
          </w:tcPr>
          <w:p>
            <w:pPr>
              <w:spacing w:after="0"/>
              <w:rPr>
                <w:sz w:val="17"/>
                <w:szCs w:val="17"/>
                <w:color w:val="auto"/>
              </w:rPr>
            </w:pPr>
          </w:p>
        </w:tc>
      </w:tr>
      <w:tr>
        <w:trPr>
          <w:trHeight w:val="208"/>
        </w:trPr>
        <w:tc>
          <w:tcPr>
            <w:tcW w:w="20" w:type="dxa"/>
            <w:vAlign w:val="bottom"/>
          </w:tcPr>
          <w:p>
            <w:pPr>
              <w:spacing w:after="0"/>
              <w:rPr>
                <w:sz w:val="18"/>
                <w:szCs w:val="18"/>
                <w:color w:val="auto"/>
              </w:rPr>
            </w:pPr>
          </w:p>
        </w:tc>
        <w:tc>
          <w:tcPr>
            <w:tcW w:w="7020" w:type="dxa"/>
            <w:vAlign w:val="bottom"/>
          </w:tcPr>
          <w:p>
            <w:pPr>
              <w:ind w:left="260"/>
              <w:spacing w:after="0" w:line="207" w:lineRule="exact"/>
              <w:rPr>
                <w:sz w:val="20"/>
                <w:szCs w:val="20"/>
                <w:color w:val="auto"/>
              </w:rPr>
            </w:pPr>
            <w:r>
              <w:rPr>
                <w:rFonts w:ascii="Arial" w:cs="Arial" w:eastAsia="Arial" w:hAnsi="Arial"/>
                <w:sz w:val="17"/>
                <w:szCs w:val="17"/>
                <w:color w:val="auto"/>
              </w:rPr>
              <w:t xml:space="preserve">Non-U.S. tax rate difference </w:t>
            </w:r>
            <w:r>
              <w:rPr>
                <w:rFonts w:ascii="Arial" w:cs="Arial" w:eastAsia="Arial" w:hAnsi="Arial"/>
                <w:sz w:val="24"/>
                <w:szCs w:val="24"/>
                <w:color w:val="auto"/>
                <w:vertAlign w:val="superscript"/>
              </w:rPr>
              <w:t>(1)</w:t>
            </w:r>
          </w:p>
        </w:tc>
        <w:tc>
          <w:tcPr>
            <w:tcW w:w="120" w:type="dxa"/>
            <w:vAlign w:val="bottom"/>
            <w:shd w:val="clear" w:color="auto" w:fill="E3F1DA"/>
          </w:tcPr>
          <w:p>
            <w:pPr>
              <w:spacing w:after="0"/>
              <w:rPr>
                <w:sz w:val="18"/>
                <w:szCs w:val="18"/>
                <w:color w:val="auto"/>
              </w:rPr>
            </w:pPr>
          </w:p>
        </w:tc>
        <w:tc>
          <w:tcPr>
            <w:tcW w:w="1340" w:type="dxa"/>
            <w:vAlign w:val="bottom"/>
          </w:tcPr>
          <w:p>
            <w:pPr>
              <w:jc w:val="right"/>
              <w:ind w:right="131"/>
              <w:spacing w:after="0"/>
              <w:rPr>
                <w:sz w:val="20"/>
                <w:szCs w:val="20"/>
                <w:color w:val="auto"/>
              </w:rPr>
            </w:pPr>
            <w:r>
              <w:rPr>
                <w:rFonts w:ascii="Arial" w:cs="Arial" w:eastAsia="Arial" w:hAnsi="Arial"/>
                <w:sz w:val="18"/>
                <w:szCs w:val="18"/>
                <w:color w:val="86B6A5"/>
              </w:rPr>
              <w:t>38.7</w:t>
            </w:r>
          </w:p>
        </w:tc>
        <w:tc>
          <w:tcPr>
            <w:tcW w:w="460" w:type="dxa"/>
            <w:vAlign w:val="bottom"/>
          </w:tcPr>
          <w:p>
            <w:pPr>
              <w:spacing w:after="0"/>
              <w:rPr>
                <w:sz w:val="18"/>
                <w:szCs w:val="18"/>
                <w:color w:val="auto"/>
              </w:rPr>
            </w:pPr>
          </w:p>
        </w:tc>
        <w:tc>
          <w:tcPr>
            <w:tcW w:w="920" w:type="dxa"/>
            <w:vAlign w:val="bottom"/>
          </w:tcPr>
          <w:p>
            <w:pPr>
              <w:jc w:val="right"/>
              <w:ind w:right="51"/>
              <w:spacing w:after="0"/>
              <w:rPr>
                <w:sz w:val="20"/>
                <w:szCs w:val="20"/>
                <w:color w:val="auto"/>
              </w:rPr>
            </w:pPr>
            <w:r>
              <w:rPr>
                <w:rFonts w:ascii="Arial" w:cs="Arial" w:eastAsia="Arial" w:hAnsi="Arial"/>
                <w:sz w:val="18"/>
                <w:szCs w:val="18"/>
                <w:color w:val="auto"/>
              </w:rPr>
              <w:t>3.3</w:t>
            </w:r>
          </w:p>
        </w:tc>
        <w:tc>
          <w:tcPr>
            <w:tcW w:w="520" w:type="dxa"/>
            <w:vAlign w:val="bottom"/>
          </w:tcPr>
          <w:p>
            <w:pPr>
              <w:spacing w:after="0"/>
              <w:rPr>
                <w:sz w:val="18"/>
                <w:szCs w:val="18"/>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(3.7)</w:t>
            </w:r>
          </w:p>
        </w:tc>
      </w:tr>
      <w:tr>
        <w:trPr>
          <w:trHeight w:val="203"/>
        </w:trPr>
        <w:tc>
          <w:tcPr>
            <w:tcW w:w="20" w:type="dxa"/>
            <w:vAlign w:val="bottom"/>
          </w:tcPr>
          <w:p>
            <w:pPr>
              <w:spacing w:after="0"/>
              <w:rPr>
                <w:sz w:val="17"/>
                <w:szCs w:val="17"/>
                <w:color w:val="auto"/>
              </w:rPr>
            </w:pPr>
          </w:p>
        </w:tc>
        <w:tc>
          <w:tcPr>
            <w:tcW w:w="7020" w:type="dxa"/>
            <w:vAlign w:val="bottom"/>
          </w:tcPr>
          <w:p>
            <w:pPr>
              <w:ind w:left="260"/>
              <w:spacing w:after="0" w:line="202" w:lineRule="exact"/>
              <w:rPr>
                <w:sz w:val="20"/>
                <w:szCs w:val="20"/>
                <w:color w:val="auto"/>
              </w:rPr>
            </w:pPr>
            <w:r>
              <w:rPr>
                <w:rFonts w:ascii="Arial" w:cs="Arial" w:eastAsia="Arial" w:hAnsi="Arial"/>
                <w:sz w:val="18"/>
                <w:szCs w:val="18"/>
                <w:color w:val="auto"/>
              </w:rPr>
              <w:t>Repatriation of non-U.S. earnings</w:t>
            </w:r>
          </w:p>
        </w:tc>
        <w:tc>
          <w:tcPr>
            <w:tcW w:w="120" w:type="dxa"/>
            <w:vAlign w:val="bottom"/>
            <w:shd w:val="clear" w:color="auto" w:fill="E3F1DA"/>
          </w:tcPr>
          <w:p>
            <w:pPr>
              <w:spacing w:after="0"/>
              <w:rPr>
                <w:sz w:val="17"/>
                <w:szCs w:val="17"/>
                <w:color w:val="auto"/>
              </w:rPr>
            </w:pPr>
          </w:p>
        </w:tc>
        <w:tc>
          <w:tcPr>
            <w:tcW w:w="1340" w:type="dxa"/>
            <w:vAlign w:val="bottom"/>
          </w:tcPr>
          <w:p>
            <w:pPr>
              <w:jc w:val="right"/>
              <w:ind w:right="71"/>
              <w:spacing w:after="0" w:line="202" w:lineRule="exact"/>
              <w:rPr>
                <w:sz w:val="20"/>
                <w:szCs w:val="20"/>
                <w:color w:val="auto"/>
              </w:rPr>
            </w:pPr>
            <w:r>
              <w:rPr>
                <w:rFonts w:ascii="Arial" w:cs="Arial" w:eastAsia="Arial" w:hAnsi="Arial"/>
                <w:sz w:val="18"/>
                <w:szCs w:val="18"/>
                <w:color w:val="86B6A5"/>
              </w:rPr>
              <w:t>(4.8)</w:t>
            </w:r>
          </w:p>
        </w:tc>
        <w:tc>
          <w:tcPr>
            <w:tcW w:w="46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(37.2)</w:t>
            </w:r>
          </w:p>
        </w:tc>
        <w:tc>
          <w:tcPr>
            <w:tcW w:w="5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16.7</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020" w:type="dxa"/>
            <w:vAlign w:val="bottom"/>
          </w:tcPr>
          <w:p>
            <w:pPr>
              <w:ind w:left="260"/>
              <w:spacing w:after="0" w:line="202" w:lineRule="exact"/>
              <w:rPr>
                <w:sz w:val="20"/>
                <w:szCs w:val="20"/>
                <w:color w:val="auto"/>
              </w:rPr>
            </w:pPr>
            <w:r>
              <w:rPr>
                <w:rFonts w:ascii="Arial" w:cs="Arial" w:eastAsia="Arial" w:hAnsi="Arial"/>
                <w:sz w:val="18"/>
                <w:szCs w:val="18"/>
                <w:color w:val="auto"/>
              </w:rPr>
              <w:t>Change in valuation reserve</w:t>
            </w:r>
          </w:p>
        </w:tc>
        <w:tc>
          <w:tcPr>
            <w:tcW w:w="120" w:type="dxa"/>
            <w:vAlign w:val="bottom"/>
            <w:shd w:val="clear" w:color="auto" w:fill="E3F1DA"/>
          </w:tcPr>
          <w:p>
            <w:pPr>
              <w:spacing w:after="0"/>
              <w:rPr>
                <w:sz w:val="17"/>
                <w:szCs w:val="17"/>
                <w:color w:val="auto"/>
              </w:rPr>
            </w:pPr>
          </w:p>
        </w:tc>
        <w:tc>
          <w:tcPr>
            <w:tcW w:w="1340" w:type="dxa"/>
            <w:vAlign w:val="bottom"/>
          </w:tcPr>
          <w:p>
            <w:pPr>
              <w:jc w:val="right"/>
              <w:ind w:right="131"/>
              <w:spacing w:after="0" w:line="202" w:lineRule="exact"/>
              <w:rPr>
                <w:sz w:val="20"/>
                <w:szCs w:val="20"/>
                <w:color w:val="auto"/>
              </w:rPr>
            </w:pPr>
            <w:r>
              <w:rPr>
                <w:rFonts w:ascii="Arial" w:cs="Arial" w:eastAsia="Arial" w:hAnsi="Arial"/>
                <w:sz w:val="18"/>
                <w:szCs w:val="18"/>
                <w:color w:val="86B6A5"/>
              </w:rPr>
              <w:t>11.7</w:t>
            </w:r>
          </w:p>
        </w:tc>
        <w:tc>
          <w:tcPr>
            <w:tcW w:w="460" w:type="dxa"/>
            <w:vAlign w:val="bottom"/>
          </w:tcPr>
          <w:p>
            <w:pPr>
              <w:spacing w:after="0"/>
              <w:rPr>
                <w:sz w:val="17"/>
                <w:szCs w:val="17"/>
                <w:color w:val="auto"/>
              </w:rPr>
            </w:pPr>
          </w:p>
        </w:tc>
        <w:tc>
          <w:tcPr>
            <w:tcW w:w="920" w:type="dxa"/>
            <w:vAlign w:val="bottom"/>
          </w:tcPr>
          <w:p>
            <w:pPr>
              <w:jc w:val="right"/>
              <w:ind w:right="51"/>
              <w:spacing w:after="0" w:line="202" w:lineRule="exact"/>
              <w:rPr>
                <w:sz w:val="20"/>
                <w:szCs w:val="20"/>
                <w:color w:val="auto"/>
              </w:rPr>
            </w:pPr>
            <w:r>
              <w:rPr>
                <w:rFonts w:ascii="Arial" w:cs="Arial" w:eastAsia="Arial" w:hAnsi="Arial"/>
                <w:sz w:val="18"/>
                <w:szCs w:val="18"/>
                <w:color w:val="auto"/>
              </w:rPr>
              <w:t>10.6</w:t>
            </w:r>
          </w:p>
        </w:tc>
        <w:tc>
          <w:tcPr>
            <w:tcW w:w="520" w:type="dxa"/>
            <w:vAlign w:val="bottom"/>
          </w:tcPr>
          <w:p>
            <w:pPr>
              <w:spacing w:after="0"/>
              <w:rPr>
                <w:sz w:val="17"/>
                <w:szCs w:val="17"/>
                <w:color w:val="auto"/>
              </w:rPr>
            </w:pPr>
          </w:p>
        </w:tc>
        <w:tc>
          <w:tcPr>
            <w:tcW w:w="8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8.5</w:t>
            </w:r>
          </w:p>
        </w:tc>
        <w:tc>
          <w:tcPr>
            <w:tcW w:w="4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020" w:type="dxa"/>
            <w:vAlign w:val="bottom"/>
          </w:tcPr>
          <w:p>
            <w:pPr>
              <w:ind w:left="260"/>
              <w:spacing w:after="0" w:line="202" w:lineRule="exact"/>
              <w:rPr>
                <w:sz w:val="20"/>
                <w:szCs w:val="20"/>
                <w:color w:val="auto"/>
              </w:rPr>
            </w:pPr>
            <w:r>
              <w:rPr>
                <w:rFonts w:ascii="Arial" w:cs="Arial" w:eastAsia="Arial" w:hAnsi="Arial"/>
                <w:sz w:val="18"/>
                <w:szCs w:val="18"/>
                <w:color w:val="auto"/>
              </w:rPr>
              <w:t>Non-deductible goodwill impairment charge</w:t>
            </w:r>
          </w:p>
        </w:tc>
        <w:tc>
          <w:tcPr>
            <w:tcW w:w="120" w:type="dxa"/>
            <w:vAlign w:val="bottom"/>
            <w:shd w:val="clear" w:color="auto" w:fill="E3F1DA"/>
          </w:tcPr>
          <w:p>
            <w:pPr>
              <w:spacing w:after="0"/>
              <w:rPr>
                <w:sz w:val="17"/>
                <w:szCs w:val="17"/>
                <w:color w:val="auto"/>
              </w:rPr>
            </w:pPr>
          </w:p>
        </w:tc>
        <w:tc>
          <w:tcPr>
            <w:tcW w:w="1340" w:type="dxa"/>
            <w:vAlign w:val="bottom"/>
          </w:tcPr>
          <w:p>
            <w:pPr>
              <w:jc w:val="right"/>
              <w:ind w:right="131"/>
              <w:spacing w:after="0" w:line="202" w:lineRule="exact"/>
              <w:rPr>
                <w:sz w:val="20"/>
                <w:szCs w:val="20"/>
                <w:color w:val="auto"/>
              </w:rPr>
            </w:pPr>
            <w:r>
              <w:rPr>
                <w:rFonts w:ascii="Arial" w:cs="Arial" w:eastAsia="Arial" w:hAnsi="Arial"/>
                <w:sz w:val="18"/>
                <w:szCs w:val="18"/>
                <w:color w:val="86B6A5"/>
              </w:rPr>
              <w:t>109.1</w:t>
            </w:r>
          </w:p>
        </w:tc>
        <w:tc>
          <w:tcPr>
            <w:tcW w:w="460" w:type="dxa"/>
            <w:vAlign w:val="bottom"/>
          </w:tcPr>
          <w:p>
            <w:pPr>
              <w:spacing w:after="0"/>
              <w:rPr>
                <w:sz w:val="17"/>
                <w:szCs w:val="17"/>
                <w:color w:val="auto"/>
              </w:rPr>
            </w:pPr>
          </w:p>
        </w:tc>
        <w:tc>
          <w:tcPr>
            <w:tcW w:w="920" w:type="dxa"/>
            <w:vAlign w:val="bottom"/>
          </w:tcPr>
          <w:p>
            <w:pPr>
              <w:jc w:val="right"/>
              <w:ind w:right="51"/>
              <w:spacing w:after="0" w:line="202" w:lineRule="exact"/>
              <w:rPr>
                <w:sz w:val="20"/>
                <w:szCs w:val="20"/>
                <w:color w:val="auto"/>
              </w:rPr>
            </w:pPr>
            <w:r>
              <w:rPr>
                <w:rFonts w:ascii="Arial" w:cs="Arial" w:eastAsia="Arial" w:hAnsi="Arial"/>
                <w:sz w:val="18"/>
                <w:szCs w:val="18"/>
                <w:color w:val="auto"/>
              </w:rPr>
              <w:t>21.4</w:t>
            </w:r>
          </w:p>
        </w:tc>
        <w:tc>
          <w:tcPr>
            <w:tcW w:w="5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49.3</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020" w:type="dxa"/>
            <w:vAlign w:val="bottom"/>
          </w:tcPr>
          <w:p>
            <w:pPr>
              <w:ind w:left="260"/>
              <w:spacing w:after="0" w:line="202" w:lineRule="exact"/>
              <w:rPr>
                <w:sz w:val="20"/>
                <w:szCs w:val="20"/>
                <w:color w:val="auto"/>
              </w:rPr>
            </w:pPr>
            <w:r>
              <w:rPr>
                <w:rFonts w:ascii="Arial" w:cs="Arial" w:eastAsia="Arial" w:hAnsi="Arial"/>
                <w:sz w:val="18"/>
                <w:szCs w:val="18"/>
                <w:color w:val="auto"/>
              </w:rPr>
              <w:t>Non-deductible competition investigation in France</w:t>
            </w:r>
          </w:p>
        </w:tc>
        <w:tc>
          <w:tcPr>
            <w:tcW w:w="120" w:type="dxa"/>
            <w:vAlign w:val="bottom"/>
            <w:shd w:val="clear" w:color="auto" w:fill="E3F1DA"/>
          </w:tcPr>
          <w:p>
            <w:pPr>
              <w:spacing w:after="0"/>
              <w:rPr>
                <w:sz w:val="17"/>
                <w:szCs w:val="17"/>
                <w:color w:val="auto"/>
              </w:rPr>
            </w:pPr>
          </w:p>
        </w:tc>
        <w:tc>
          <w:tcPr>
            <w:tcW w:w="1340" w:type="dxa"/>
            <w:vAlign w:val="bottom"/>
          </w:tcPr>
          <w:p>
            <w:pPr>
              <w:jc w:val="right"/>
              <w:ind w:right="131"/>
              <w:spacing w:after="0" w:line="202" w:lineRule="exact"/>
              <w:rPr>
                <w:sz w:val="20"/>
                <w:szCs w:val="20"/>
                <w:color w:val="auto"/>
              </w:rPr>
            </w:pPr>
            <w:r>
              <w:rPr>
                <w:rFonts w:ascii="Arial" w:cs="Arial" w:eastAsia="Arial" w:hAnsi="Arial"/>
                <w:sz w:val="18"/>
                <w:szCs w:val="18"/>
                <w:color w:val="86B6A5"/>
              </w:rPr>
              <w:t>–</w:t>
            </w:r>
          </w:p>
        </w:tc>
        <w:tc>
          <w:tcPr>
            <w:tcW w:w="46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(1.8)</w:t>
            </w:r>
          </w:p>
        </w:tc>
        <w:tc>
          <w:tcPr>
            <w:tcW w:w="5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17.6</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020" w:type="dxa"/>
            <w:vAlign w:val="bottom"/>
          </w:tcPr>
          <w:p>
            <w:pPr>
              <w:ind w:left="260"/>
              <w:spacing w:after="0" w:line="203" w:lineRule="exact"/>
              <w:rPr>
                <w:sz w:val="20"/>
                <w:szCs w:val="20"/>
                <w:color w:val="auto"/>
              </w:rPr>
            </w:pPr>
            <w:r>
              <w:rPr>
                <w:rFonts w:ascii="Arial" w:cs="Arial" w:eastAsia="Arial" w:hAnsi="Arial"/>
                <w:sz w:val="18"/>
                <w:szCs w:val="18"/>
                <w:color w:val="auto"/>
              </w:rPr>
              <w:t>Other, net</w:t>
            </w:r>
          </w:p>
        </w:tc>
        <w:tc>
          <w:tcPr>
            <w:tcW w:w="120" w:type="dxa"/>
            <w:vAlign w:val="bottom"/>
            <w:shd w:val="clear" w:color="auto" w:fill="E3F1DA"/>
          </w:tcPr>
          <w:p>
            <w:pPr>
              <w:spacing w:after="0"/>
              <w:rPr>
                <w:sz w:val="17"/>
                <w:szCs w:val="17"/>
                <w:color w:val="auto"/>
              </w:rPr>
            </w:pPr>
          </w:p>
        </w:tc>
        <w:tc>
          <w:tcPr>
            <w:tcW w:w="1340" w:type="dxa"/>
            <w:vAlign w:val="bottom"/>
          </w:tcPr>
          <w:p>
            <w:pPr>
              <w:jc w:val="right"/>
              <w:ind w:right="131"/>
              <w:spacing w:after="0" w:line="203" w:lineRule="exact"/>
              <w:rPr>
                <w:sz w:val="20"/>
                <w:szCs w:val="20"/>
                <w:color w:val="auto"/>
              </w:rPr>
            </w:pPr>
            <w:r>
              <w:rPr>
                <w:rFonts w:ascii="Arial" w:cs="Arial" w:eastAsia="Arial" w:hAnsi="Arial"/>
                <w:sz w:val="18"/>
                <w:szCs w:val="18"/>
                <w:color w:val="86B6A5"/>
              </w:rPr>
              <w:t>2.1</w:t>
            </w:r>
          </w:p>
        </w:tc>
        <w:tc>
          <w:tcPr>
            <w:tcW w:w="460" w:type="dxa"/>
            <w:vAlign w:val="bottom"/>
          </w:tcPr>
          <w:p>
            <w:pPr>
              <w:spacing w:after="0"/>
              <w:rPr>
                <w:sz w:val="17"/>
                <w:szCs w:val="17"/>
                <w:color w:val="auto"/>
              </w:rPr>
            </w:pPr>
          </w:p>
        </w:tc>
        <w:tc>
          <w:tcPr>
            <w:tcW w:w="920" w:type="dxa"/>
            <w:vAlign w:val="bottom"/>
          </w:tcPr>
          <w:p>
            <w:pPr>
              <w:jc w:val="right"/>
              <w:spacing w:after="0" w:line="203" w:lineRule="exact"/>
              <w:rPr>
                <w:sz w:val="20"/>
                <w:szCs w:val="20"/>
                <w:color w:val="auto"/>
              </w:rPr>
            </w:pPr>
            <w:r>
              <w:rPr>
                <w:rFonts w:ascii="Arial" w:cs="Arial" w:eastAsia="Arial" w:hAnsi="Arial"/>
                <w:sz w:val="18"/>
                <w:szCs w:val="18"/>
                <w:color w:val="auto"/>
              </w:rPr>
              <w:t>(4.9)</w:t>
            </w:r>
          </w:p>
        </w:tc>
        <w:tc>
          <w:tcPr>
            <w:tcW w:w="520" w:type="dxa"/>
            <w:vAlign w:val="bottom"/>
          </w:tcPr>
          <w:p>
            <w:pPr>
              <w:spacing w:after="0"/>
              <w:rPr>
                <w:sz w:val="17"/>
                <w:szCs w:val="17"/>
                <w:color w:val="auto"/>
              </w:rPr>
            </w:pPr>
          </w:p>
        </w:tc>
        <w:tc>
          <w:tcPr>
            <w:tcW w:w="860" w:type="dxa"/>
            <w:vAlign w:val="bottom"/>
            <w:gridSpan w:val="3"/>
          </w:tcPr>
          <w:p>
            <w:pPr>
              <w:jc w:val="right"/>
              <w:spacing w:after="0" w:line="203" w:lineRule="exact"/>
              <w:rPr>
                <w:sz w:val="20"/>
                <w:szCs w:val="20"/>
                <w:color w:val="auto"/>
              </w:rPr>
            </w:pPr>
            <w:r>
              <w:rPr>
                <w:rFonts w:ascii="Arial" w:cs="Arial" w:eastAsia="Arial" w:hAnsi="Arial"/>
                <w:sz w:val="18"/>
                <w:szCs w:val="18"/>
                <w:color w:val="auto"/>
              </w:rPr>
              <w:t>(9.0)</w:t>
            </w:r>
          </w:p>
        </w:tc>
      </w:tr>
      <w:tr>
        <w:trPr>
          <w:trHeight w:val="203"/>
        </w:trPr>
        <w:tc>
          <w:tcPr>
            <w:tcW w:w="20" w:type="dxa"/>
            <w:vAlign w:val="bottom"/>
          </w:tcPr>
          <w:p>
            <w:pPr>
              <w:spacing w:after="0"/>
              <w:rPr>
                <w:sz w:val="17"/>
                <w:szCs w:val="17"/>
                <w:color w:val="auto"/>
              </w:rPr>
            </w:pPr>
          </w:p>
        </w:tc>
        <w:tc>
          <w:tcPr>
            <w:tcW w:w="7020" w:type="dxa"/>
            <w:vAlign w:val="bottom"/>
            <w:tcBorders>
              <w:top w:val="single" w:sz="8" w:color="939598"/>
              <w:bottom w:val="single" w:sz="8" w:color="939598"/>
            </w:tcBorders>
          </w:tcPr>
          <w:p>
            <w:pPr>
              <w:spacing w:after="0" w:line="196" w:lineRule="exact"/>
              <w:rPr>
                <w:sz w:val="20"/>
                <w:szCs w:val="20"/>
                <w:color w:val="auto"/>
              </w:rPr>
            </w:pPr>
            <w:r>
              <w:rPr>
                <w:rFonts w:ascii="Arial" w:cs="Arial" w:eastAsia="Arial" w:hAnsi="Arial"/>
                <w:sz w:val="18"/>
                <w:szCs w:val="18"/>
                <w:color w:val="auto"/>
              </w:rPr>
              <w:t>Tax provision</w:t>
            </w:r>
          </w:p>
        </w:tc>
        <w:tc>
          <w:tcPr>
            <w:tcW w:w="120" w:type="dxa"/>
            <w:vAlign w:val="bottom"/>
            <w:tcBorders>
              <w:top w:val="single" w:sz="8" w:color="939598"/>
              <w:bottom w:val="single" w:sz="8" w:color="939598"/>
            </w:tcBorders>
            <w:shd w:val="clear" w:color="auto" w:fill="E3F1DA"/>
          </w:tcPr>
          <w:p>
            <w:pPr>
              <w:jc w:val="right"/>
              <w:spacing w:after="0" w:line="196" w:lineRule="exact"/>
              <w:rPr>
                <w:sz w:val="20"/>
                <w:szCs w:val="20"/>
                <w:color w:val="auto"/>
              </w:rPr>
            </w:pPr>
            <w:r>
              <w:rPr>
                <w:rFonts w:ascii="Arial" w:cs="Arial" w:eastAsia="Arial" w:hAnsi="Arial"/>
                <w:sz w:val="18"/>
                <w:szCs w:val="18"/>
                <w:color w:val="86B6A5"/>
                <w:w w:val="79"/>
              </w:rPr>
              <w:t>$</w:t>
            </w:r>
          </w:p>
        </w:tc>
        <w:tc>
          <w:tcPr>
            <w:tcW w:w="1340" w:type="dxa"/>
            <w:vAlign w:val="bottom"/>
            <w:tcBorders>
              <w:top w:val="single" w:sz="8" w:color="939598"/>
              <w:bottom w:val="single" w:sz="8" w:color="939598"/>
            </w:tcBorders>
          </w:tcPr>
          <w:p>
            <w:pPr>
              <w:jc w:val="right"/>
              <w:ind w:right="131"/>
              <w:spacing w:after="0" w:line="196" w:lineRule="exact"/>
              <w:rPr>
                <w:sz w:val="20"/>
                <w:szCs w:val="20"/>
                <w:color w:val="auto"/>
              </w:rPr>
            </w:pPr>
            <w:r>
              <w:rPr>
                <w:rFonts w:ascii="Arial" w:cs="Arial" w:eastAsia="Arial" w:hAnsi="Arial"/>
                <w:sz w:val="18"/>
                <w:szCs w:val="18"/>
                <w:color w:val="86B6A5"/>
              </w:rPr>
              <w:t>98.4</w:t>
            </w:r>
          </w:p>
        </w:tc>
        <w:tc>
          <w:tcPr>
            <w:tcW w:w="460" w:type="dxa"/>
            <w:vAlign w:val="bottom"/>
            <w:tcBorders>
              <w:top w:val="single" w:sz="8" w:color="939598"/>
              <w:bottom w:val="single" w:sz="8" w:color="939598"/>
            </w:tcBorders>
          </w:tcPr>
          <w:p>
            <w:pPr>
              <w:jc w:val="right"/>
              <w:ind w:right="27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939598"/>
              <w:bottom w:val="single" w:sz="8" w:color="939598"/>
            </w:tcBorders>
          </w:tcPr>
          <w:p>
            <w:pPr>
              <w:jc w:val="right"/>
              <w:spacing w:after="0" w:line="196" w:lineRule="exact"/>
              <w:rPr>
                <w:sz w:val="20"/>
                <w:szCs w:val="20"/>
                <w:color w:val="auto"/>
              </w:rPr>
            </w:pPr>
            <w:r>
              <w:rPr>
                <w:rFonts w:ascii="Arial" w:cs="Arial" w:eastAsia="Arial" w:hAnsi="Arial"/>
                <w:sz w:val="18"/>
                <w:szCs w:val="18"/>
                <w:color w:val="auto"/>
              </w:rPr>
              <w:t>(13.7)</w:t>
            </w:r>
          </w:p>
        </w:tc>
        <w:tc>
          <w:tcPr>
            <w:tcW w:w="520" w:type="dxa"/>
            <w:vAlign w:val="bottom"/>
            <w:tcBorders>
              <w:top w:val="single" w:sz="8" w:color="939598"/>
              <w:bottom w:val="single" w:sz="8" w:color="939598"/>
            </w:tcBorders>
          </w:tcPr>
          <w:p>
            <w:pPr>
              <w:jc w:val="right"/>
              <w:ind w:right="250"/>
              <w:spacing w:after="0" w:line="196" w:lineRule="exact"/>
              <w:rPr>
                <w:sz w:val="20"/>
                <w:szCs w:val="20"/>
                <w:color w:val="auto"/>
              </w:rPr>
            </w:pPr>
            <w:r>
              <w:rPr>
                <w:rFonts w:ascii="Arial" w:cs="Arial" w:eastAsia="Arial" w:hAnsi="Arial"/>
                <w:sz w:val="18"/>
                <w:szCs w:val="18"/>
                <w:color w:val="auto"/>
              </w:rPr>
              <w:t>$</w:t>
            </w:r>
          </w:p>
        </w:tc>
        <w:tc>
          <w:tcPr>
            <w:tcW w:w="800" w:type="dxa"/>
            <w:vAlign w:val="bottom"/>
            <w:tcBorders>
              <w:top w:val="single" w:sz="8" w:color="939598"/>
              <w:bottom w:val="single" w:sz="8" w:color="939598"/>
            </w:tcBorders>
          </w:tcPr>
          <w:p>
            <w:pPr>
              <w:jc w:val="right"/>
              <w:spacing w:after="0" w:line="196" w:lineRule="exact"/>
              <w:rPr>
                <w:sz w:val="20"/>
                <w:szCs w:val="20"/>
                <w:color w:val="auto"/>
              </w:rPr>
            </w:pPr>
            <w:r>
              <w:rPr>
                <w:rFonts w:ascii="Arial" w:cs="Arial" w:eastAsia="Arial" w:hAnsi="Arial"/>
                <w:sz w:val="18"/>
                <w:szCs w:val="18"/>
                <w:color w:val="auto"/>
              </w:rPr>
              <w:t>237.1</w:t>
            </w:r>
          </w:p>
        </w:tc>
        <w:tc>
          <w:tcPr>
            <w:tcW w:w="20" w:type="dxa"/>
            <w:vAlign w:val="bottom"/>
            <w:tcBorders>
              <w:top w:val="single" w:sz="8" w:color="939598"/>
            </w:tcBorders>
          </w:tcPr>
          <w:p>
            <w:pPr>
              <w:spacing w:after="0"/>
              <w:rPr>
                <w:sz w:val="17"/>
                <w:szCs w:val="17"/>
                <w:color w:val="auto"/>
              </w:rPr>
            </w:pPr>
          </w:p>
        </w:tc>
        <w:tc>
          <w:tcPr>
            <w:tcW w:w="4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4541520</wp:posOffset>
            </wp:positionH>
            <wp:positionV relativeFrom="paragraph">
              <wp:posOffset>-1183005</wp:posOffset>
            </wp:positionV>
            <wp:extent cx="857885" cy="117475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857885" cy="1174750"/>
                    </a:xfrm>
                    <a:prstGeom prst="rect">
                      <a:avLst/>
                    </a:prstGeom>
                    <a:noFill/>
                  </pic:spPr>
                </pic:pic>
              </a:graphicData>
            </a:graphic>
          </wp:anchor>
        </w:drawing>
      </w:r>
    </w:p>
    <w:p>
      <w:pPr>
        <w:spacing w:after="0" w:line="198" w:lineRule="exact"/>
        <w:rPr>
          <w:sz w:val="20"/>
          <w:szCs w:val="20"/>
          <w:color w:val="auto"/>
        </w:rPr>
      </w:pPr>
    </w:p>
    <w:p>
      <w:pPr>
        <w:jc w:val="both"/>
        <w:ind w:left="580" w:hanging="572"/>
        <w:spacing w:after="0" w:line="251" w:lineRule="auto"/>
        <w:tabs>
          <w:tab w:leader="none" w:pos="580" w:val="left"/>
        </w:tabs>
        <w:numPr>
          <w:ilvl w:val="0"/>
          <w:numId w:val="52"/>
        </w:numPr>
        <w:rPr>
          <w:rFonts w:ascii="Arial" w:cs="Arial" w:eastAsia="Arial" w:hAnsi="Arial"/>
          <w:sz w:val="16"/>
          <w:szCs w:val="16"/>
          <w:color w:val="auto"/>
        </w:rPr>
      </w:pPr>
      <w:r>
        <w:rPr>
          <w:rFonts w:ascii="Arial" w:cs="Arial" w:eastAsia="Arial" w:hAnsi="Arial"/>
          <w:sz w:val="16"/>
          <w:szCs w:val="16"/>
          <w:color w:val="auto"/>
        </w:rPr>
        <w:t>Included above in the impact of the non-U.S. tax rate difference was the French Business Tax, which has been classified as a component of income tax beginning in January 2010, in accordance with the current accounting guidance on income taxes. Prior to January 2010, the French Business Tax had been presented as non-income tax and included as a component of Cost of Services. The French Government changed the business tax from an asset-based tax to an income-based tax, thereby requiring the classification of this tax as income tax effective January 1, 2010.</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4D8ABE"/>
        </w:rPr>
        <w:t xml:space="preserve">60 </w:t>
      </w:r>
      <w:r>
        <w:rPr>
          <w:rFonts w:ascii="Arial" w:cs="Arial" w:eastAsia="Arial" w:hAnsi="Arial"/>
          <w:sz w:val="16"/>
          <w:szCs w:val="16"/>
          <w:color w:val="4D8ABE"/>
        </w:rPr>
        <w:t>Manpower 2010 Annual Report</w:t>
      </w:r>
      <w:r>
        <w:rPr>
          <w:rFonts w:ascii="Arial" w:cs="Arial" w:eastAsia="Arial" w:hAnsi="Arial"/>
          <w:sz w:val="16"/>
          <w:szCs w:val="16"/>
          <w:b w:val="1"/>
          <w:bCs w:val="1"/>
          <w:color w:val="4D8ABE"/>
        </w:rPr>
        <w:t xml:space="preserve"> </w:t>
      </w:r>
      <w:r>
        <w:rPr>
          <w:rFonts w:ascii="Arial" w:cs="Arial" w:eastAsia="Arial" w:hAnsi="Arial"/>
          <w:sz w:val="16"/>
          <w:szCs w:val="16"/>
          <w:b w:val="1"/>
          <w:bCs w:val="1"/>
          <w:color w:val="939598"/>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wp:posOffset>
            </wp:positionV>
            <wp:extent cx="7267575" cy="469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ectPr>
          <w:pgSz w:w="11900" w:h="16838" w:orient="portrait"/>
          <w:cols w:equalWidth="0" w:num="1">
            <w:col w:w="11420"/>
          </w:cols>
          <w:pgMar w:left="240" w:top="345" w:right="239" w:bottom="1440" w:gutter="0" w:footer="0" w:header="0"/>
        </w:sectPr>
      </w:pPr>
    </w:p>
    <w:bookmarkStart w:id="91" w:name="page92"/>
    <w:bookmarkEnd w:id="91"/>
    <w:p>
      <w:pPr>
        <w:spacing w:after="0"/>
        <w:rPr>
          <w:sz w:val="20"/>
          <w:szCs w:val="20"/>
          <w:color w:val="auto"/>
        </w:rPr>
      </w:pPr>
      <w:r>
        <w:rPr>
          <w:rFonts w:ascii="Arial" w:cs="Arial" w:eastAsia="Arial" w:hAnsi="Arial"/>
          <w:sz w:val="18"/>
          <w:szCs w:val="18"/>
          <w:color w:val="auto"/>
        </w:rPr>
        <w:t>Deferred income taxes are recorded on temporary differences at the tax rate expected to be in effect when the temporary differences reverse.</w:t>
      </w:r>
    </w:p>
    <w:p>
      <w:pPr>
        <w:spacing w:after="0"/>
        <w:rPr>
          <w:sz w:val="20"/>
          <w:szCs w:val="20"/>
          <w:color w:val="auto"/>
        </w:rPr>
      </w:pPr>
      <w:r>
        <w:rPr>
          <w:rFonts w:ascii="Arial" w:cs="Arial" w:eastAsia="Arial" w:hAnsi="Arial"/>
          <w:sz w:val="18"/>
          <w:szCs w:val="18"/>
          <w:color w:val="auto"/>
        </w:rPr>
        <w:t>Temporary differences, which gave rise to the deferred taxes are as follows: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040" w:type="dxa"/>
            <w:vAlign w:val="bottom"/>
            <w:gridSpan w:val="2"/>
          </w:tcPr>
          <w:p>
            <w:pPr>
              <w:spacing w:after="0"/>
              <w:rPr>
                <w:sz w:val="20"/>
                <w:szCs w:val="20"/>
                <w:color w:val="auto"/>
              </w:rPr>
            </w:pPr>
            <w:r>
              <w:rPr>
                <w:rFonts w:ascii="Arial" w:cs="Arial" w:eastAsia="Arial" w:hAnsi="Arial"/>
                <w:sz w:val="16"/>
                <w:szCs w:val="16"/>
                <w:b w:val="1"/>
                <w:bCs w:val="1"/>
                <w:color w:val="86B6A5"/>
              </w:rPr>
              <w:t>Year Ended December 31</w:t>
            </w:r>
          </w:p>
        </w:tc>
        <w:tc>
          <w:tcPr>
            <w:tcW w:w="120" w:type="dxa"/>
            <w:vAlign w:val="bottom"/>
            <w:shd w:val="clear" w:color="auto" w:fill="86B6A5"/>
          </w:tcPr>
          <w:p>
            <w:pPr>
              <w:spacing w:after="0"/>
              <w:rPr>
                <w:sz w:val="18"/>
                <w:szCs w:val="18"/>
                <w:color w:val="auto"/>
              </w:rPr>
            </w:pPr>
          </w:p>
        </w:tc>
        <w:tc>
          <w:tcPr>
            <w:tcW w:w="1580" w:type="dxa"/>
            <w:vAlign w:val="bottom"/>
            <w:shd w:val="clear" w:color="auto" w:fill="86B6A5"/>
          </w:tcPr>
          <w:p>
            <w:pPr>
              <w:jc w:val="right"/>
              <w:ind w:right="130"/>
              <w:spacing w:after="0"/>
              <w:rPr>
                <w:sz w:val="20"/>
                <w:szCs w:val="20"/>
                <w:color w:val="auto"/>
              </w:rPr>
            </w:pPr>
            <w:r>
              <w:rPr>
                <w:rFonts w:ascii="Arial" w:cs="Arial" w:eastAsia="Arial" w:hAnsi="Arial"/>
                <w:sz w:val="16"/>
                <w:szCs w:val="16"/>
                <w:b w:val="1"/>
                <w:bCs w:val="1"/>
                <w:color w:val="FFFFFF"/>
              </w:rPr>
              <w:t>2010</w:t>
            </w:r>
          </w:p>
        </w:tc>
        <w:tc>
          <w:tcPr>
            <w:tcW w:w="5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86B6A5"/>
              </w:rPr>
              <w:t>2009</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8020" w:type="dxa"/>
            <w:vAlign w:val="bottom"/>
            <w:tcBorders>
              <w:top w:val="single" w:sz="8" w:color="86B6A5"/>
            </w:tcBorders>
          </w:tcPr>
          <w:p>
            <w:pPr>
              <w:spacing w:after="0" w:line="201" w:lineRule="exact"/>
              <w:rPr>
                <w:sz w:val="20"/>
                <w:szCs w:val="20"/>
                <w:color w:val="auto"/>
              </w:rPr>
            </w:pPr>
            <w:r>
              <w:rPr>
                <w:rFonts w:ascii="Arial" w:cs="Arial" w:eastAsia="Arial" w:hAnsi="Arial"/>
                <w:sz w:val="18"/>
                <w:szCs w:val="18"/>
                <w:b w:val="1"/>
                <w:bCs w:val="1"/>
                <w:color w:val="auto"/>
              </w:rPr>
              <w:t>Current Future Income Tax Benefits (Expense)</w:t>
            </w:r>
          </w:p>
        </w:tc>
        <w:tc>
          <w:tcPr>
            <w:tcW w:w="120" w:type="dxa"/>
            <w:vAlign w:val="bottom"/>
            <w:tcBorders>
              <w:top w:val="single" w:sz="8" w:color="86B6A5"/>
            </w:tcBorders>
            <w:shd w:val="clear" w:color="auto" w:fill="E3F1DA"/>
          </w:tcPr>
          <w:p>
            <w:pPr>
              <w:spacing w:after="0"/>
              <w:rPr>
                <w:sz w:val="17"/>
                <w:szCs w:val="17"/>
                <w:color w:val="auto"/>
              </w:rPr>
            </w:pPr>
          </w:p>
        </w:tc>
        <w:tc>
          <w:tcPr>
            <w:tcW w:w="1580" w:type="dxa"/>
            <w:vAlign w:val="bottom"/>
            <w:tcBorders>
              <w:top w:val="single" w:sz="8" w:color="86B6A5"/>
            </w:tcBorders>
            <w:shd w:val="clear" w:color="auto" w:fill="E3F1DA"/>
          </w:tcPr>
          <w:p>
            <w:pPr>
              <w:spacing w:after="0"/>
              <w:rPr>
                <w:sz w:val="17"/>
                <w:szCs w:val="17"/>
                <w:color w:val="auto"/>
              </w:rPr>
            </w:pPr>
          </w:p>
        </w:tc>
        <w:tc>
          <w:tcPr>
            <w:tcW w:w="520" w:type="dxa"/>
            <w:vAlign w:val="bottom"/>
            <w:tcBorders>
              <w:top w:val="single" w:sz="8" w:color="86B6A5"/>
            </w:tcBorders>
          </w:tcPr>
          <w:p>
            <w:pPr>
              <w:spacing w:after="0"/>
              <w:rPr>
                <w:sz w:val="17"/>
                <w:szCs w:val="17"/>
                <w:color w:val="auto"/>
              </w:rPr>
            </w:pPr>
          </w:p>
        </w:tc>
        <w:tc>
          <w:tcPr>
            <w:tcW w:w="940" w:type="dxa"/>
            <w:vAlign w:val="bottom"/>
            <w:tcBorders>
              <w:top w:val="single" w:sz="8" w:color="86B6A5"/>
            </w:tcBorders>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3"/>
        </w:trPr>
        <w:tc>
          <w:tcPr>
            <w:tcW w:w="8040" w:type="dxa"/>
            <w:vAlign w:val="bottom"/>
            <w:gridSpan w:val="2"/>
          </w:tcPr>
          <w:p>
            <w:pPr>
              <w:spacing w:after="0" w:line="202" w:lineRule="exact"/>
              <w:rPr>
                <w:sz w:val="20"/>
                <w:szCs w:val="20"/>
                <w:color w:val="auto"/>
              </w:rPr>
            </w:pPr>
            <w:r>
              <w:rPr>
                <w:rFonts w:ascii="Arial" w:cs="Arial" w:eastAsia="Arial" w:hAnsi="Arial"/>
                <w:sz w:val="18"/>
                <w:szCs w:val="18"/>
                <w:color w:val="auto"/>
              </w:rPr>
              <w:t>Accrued payroll taxes and insurance</w:t>
            </w:r>
          </w:p>
        </w:tc>
        <w:tc>
          <w:tcPr>
            <w:tcW w:w="120" w:type="dxa"/>
            <w:vAlign w:val="bottom"/>
            <w:shd w:val="clear" w:color="auto" w:fill="E3F1DA"/>
          </w:tcPr>
          <w:p>
            <w:pPr>
              <w:jc w:val="right"/>
              <w:spacing w:after="0" w:line="202" w:lineRule="exact"/>
              <w:rPr>
                <w:sz w:val="20"/>
                <w:szCs w:val="20"/>
                <w:color w:val="auto"/>
              </w:rPr>
            </w:pPr>
            <w:r>
              <w:rPr>
                <w:rFonts w:ascii="Arial" w:cs="Arial" w:eastAsia="Arial" w:hAnsi="Arial"/>
                <w:sz w:val="18"/>
                <w:szCs w:val="18"/>
                <w:color w:val="86B6A5"/>
                <w:w w:val="79"/>
              </w:rPr>
              <w:t>$</w:t>
            </w:r>
          </w:p>
        </w:tc>
        <w:tc>
          <w:tcPr>
            <w:tcW w:w="1580" w:type="dxa"/>
            <w:vAlign w:val="bottom"/>
            <w:shd w:val="clear" w:color="auto" w:fill="E3F1DA"/>
          </w:tcPr>
          <w:p>
            <w:pPr>
              <w:jc w:val="right"/>
              <w:ind w:right="130"/>
              <w:spacing w:after="0" w:line="202" w:lineRule="exact"/>
              <w:rPr>
                <w:sz w:val="20"/>
                <w:szCs w:val="20"/>
                <w:color w:val="auto"/>
              </w:rPr>
            </w:pPr>
            <w:r>
              <w:rPr>
                <w:rFonts w:ascii="Arial" w:cs="Arial" w:eastAsia="Arial" w:hAnsi="Arial"/>
                <w:sz w:val="18"/>
                <w:szCs w:val="18"/>
                <w:color w:val="86B6A5"/>
              </w:rPr>
              <w:t>9.7</w:t>
            </w:r>
          </w:p>
        </w:tc>
        <w:tc>
          <w:tcPr>
            <w:tcW w:w="520" w:type="dxa"/>
            <w:vAlign w:val="bottom"/>
          </w:tcPr>
          <w:p>
            <w:pPr>
              <w:jc w:val="right"/>
              <w:ind w:right="330"/>
              <w:spacing w:after="0" w:line="202" w:lineRule="exact"/>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10.1</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2"/>
        </w:trPr>
        <w:tc>
          <w:tcPr>
            <w:tcW w:w="8040" w:type="dxa"/>
            <w:vAlign w:val="bottom"/>
            <w:gridSpan w:val="2"/>
          </w:tcPr>
          <w:p>
            <w:pPr>
              <w:spacing w:after="0" w:line="201" w:lineRule="exact"/>
              <w:rPr>
                <w:sz w:val="20"/>
                <w:szCs w:val="20"/>
                <w:color w:val="auto"/>
              </w:rPr>
            </w:pPr>
            <w:r>
              <w:rPr>
                <w:rFonts w:ascii="Arial" w:cs="Arial" w:eastAsia="Arial" w:hAnsi="Arial"/>
                <w:sz w:val="18"/>
                <w:szCs w:val="18"/>
                <w:color w:val="auto"/>
              </w:rPr>
              <w:t>Employee compensation payable</w:t>
            </w:r>
          </w:p>
        </w:tc>
        <w:tc>
          <w:tcPr>
            <w:tcW w:w="120" w:type="dxa"/>
            <w:vAlign w:val="bottom"/>
            <w:shd w:val="clear" w:color="auto" w:fill="E3F1DA"/>
          </w:tcPr>
          <w:p>
            <w:pPr>
              <w:spacing w:after="0"/>
              <w:rPr>
                <w:sz w:val="17"/>
                <w:szCs w:val="17"/>
                <w:color w:val="auto"/>
              </w:rPr>
            </w:pPr>
          </w:p>
        </w:tc>
        <w:tc>
          <w:tcPr>
            <w:tcW w:w="1580" w:type="dxa"/>
            <w:vAlign w:val="bottom"/>
          </w:tcPr>
          <w:p>
            <w:pPr>
              <w:jc w:val="right"/>
              <w:ind w:right="130"/>
              <w:spacing w:after="0" w:line="201" w:lineRule="exact"/>
              <w:rPr>
                <w:sz w:val="20"/>
                <w:szCs w:val="20"/>
                <w:color w:val="auto"/>
              </w:rPr>
            </w:pPr>
            <w:r>
              <w:rPr>
                <w:rFonts w:ascii="Arial" w:cs="Arial" w:eastAsia="Arial" w:hAnsi="Arial"/>
                <w:sz w:val="18"/>
                <w:szCs w:val="18"/>
                <w:color w:val="86B6A5"/>
              </w:rPr>
              <w:t>22.3</w:t>
            </w:r>
          </w:p>
        </w:tc>
        <w:tc>
          <w:tcPr>
            <w:tcW w:w="520" w:type="dxa"/>
            <w:vAlign w:val="bottom"/>
          </w:tcPr>
          <w:p>
            <w:pPr>
              <w:spacing w:after="0"/>
              <w:rPr>
                <w:sz w:val="17"/>
                <w:szCs w:val="17"/>
                <w:color w:val="auto"/>
              </w:rPr>
            </w:pPr>
          </w:p>
        </w:tc>
        <w:tc>
          <w:tcPr>
            <w:tcW w:w="940" w:type="dxa"/>
            <w:vAlign w:val="bottom"/>
          </w:tcPr>
          <w:p>
            <w:pPr>
              <w:jc w:val="right"/>
              <w:spacing w:after="0" w:line="201" w:lineRule="exact"/>
              <w:rPr>
                <w:sz w:val="20"/>
                <w:szCs w:val="20"/>
                <w:color w:val="auto"/>
              </w:rPr>
            </w:pPr>
            <w:r>
              <w:rPr>
                <w:rFonts w:ascii="Arial" w:cs="Arial" w:eastAsia="Arial" w:hAnsi="Arial"/>
                <w:sz w:val="18"/>
                <w:szCs w:val="18"/>
                <w:color w:val="auto"/>
              </w:rPr>
              <w:t>23.3</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3"/>
        </w:trPr>
        <w:tc>
          <w:tcPr>
            <w:tcW w:w="8040" w:type="dxa"/>
            <w:vAlign w:val="bottom"/>
            <w:gridSpan w:val="2"/>
          </w:tcPr>
          <w:p>
            <w:pPr>
              <w:spacing w:after="0" w:line="202" w:lineRule="exact"/>
              <w:rPr>
                <w:sz w:val="20"/>
                <w:szCs w:val="20"/>
                <w:color w:val="auto"/>
              </w:rPr>
            </w:pPr>
            <w:r>
              <w:rPr>
                <w:rFonts w:ascii="Arial" w:cs="Arial" w:eastAsia="Arial" w:hAnsi="Arial"/>
                <w:sz w:val="18"/>
                <w:szCs w:val="18"/>
                <w:color w:val="auto"/>
              </w:rPr>
              <w:t>Pension and postretirement benefits</w:t>
            </w:r>
          </w:p>
        </w:tc>
        <w:tc>
          <w:tcPr>
            <w:tcW w:w="120" w:type="dxa"/>
            <w:vAlign w:val="bottom"/>
            <w:shd w:val="clear" w:color="auto" w:fill="E3F1DA"/>
          </w:tcPr>
          <w:p>
            <w:pPr>
              <w:spacing w:after="0"/>
              <w:rPr>
                <w:sz w:val="17"/>
                <w:szCs w:val="17"/>
                <w:color w:val="auto"/>
              </w:rPr>
            </w:pPr>
          </w:p>
        </w:tc>
        <w:tc>
          <w:tcPr>
            <w:tcW w:w="1580" w:type="dxa"/>
            <w:vAlign w:val="bottom"/>
          </w:tcPr>
          <w:p>
            <w:pPr>
              <w:jc w:val="right"/>
              <w:ind w:right="70"/>
              <w:spacing w:after="0" w:line="202" w:lineRule="exact"/>
              <w:rPr>
                <w:sz w:val="20"/>
                <w:szCs w:val="20"/>
                <w:color w:val="auto"/>
              </w:rPr>
            </w:pPr>
            <w:r>
              <w:rPr>
                <w:rFonts w:ascii="Arial" w:cs="Arial" w:eastAsia="Arial" w:hAnsi="Arial"/>
                <w:sz w:val="18"/>
                <w:szCs w:val="18"/>
                <w:color w:val="86B6A5"/>
              </w:rPr>
              <w:t>(1.8)</w:t>
            </w:r>
          </w:p>
        </w:tc>
        <w:tc>
          <w:tcPr>
            <w:tcW w:w="520" w:type="dxa"/>
            <w:vAlign w:val="bottom"/>
          </w:tcPr>
          <w:p>
            <w:pPr>
              <w:spacing w:after="0"/>
              <w:rPr>
                <w:sz w:val="17"/>
                <w:szCs w:val="17"/>
                <w:color w:val="auto"/>
              </w:rPr>
            </w:pPr>
          </w:p>
        </w:tc>
        <w:tc>
          <w:tcPr>
            <w:tcW w:w="100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(1.3)</w:t>
            </w:r>
          </w:p>
        </w:tc>
      </w:tr>
      <w:tr>
        <w:trPr>
          <w:trHeight w:val="203"/>
        </w:trPr>
        <w:tc>
          <w:tcPr>
            <w:tcW w:w="8040" w:type="dxa"/>
            <w:vAlign w:val="bottom"/>
            <w:gridSpan w:val="2"/>
          </w:tcPr>
          <w:p>
            <w:pPr>
              <w:spacing w:after="0" w:line="202" w:lineRule="exact"/>
              <w:rPr>
                <w:sz w:val="20"/>
                <w:szCs w:val="20"/>
                <w:color w:val="auto"/>
              </w:rPr>
            </w:pPr>
            <w:r>
              <w:rPr>
                <w:rFonts w:ascii="Arial" w:cs="Arial" w:eastAsia="Arial" w:hAnsi="Arial"/>
                <w:sz w:val="18"/>
                <w:szCs w:val="18"/>
                <w:color w:val="auto"/>
              </w:rPr>
              <w:t>Other</w:t>
            </w:r>
          </w:p>
        </w:tc>
        <w:tc>
          <w:tcPr>
            <w:tcW w:w="120" w:type="dxa"/>
            <w:vAlign w:val="bottom"/>
            <w:shd w:val="clear" w:color="auto" w:fill="E3F1DA"/>
          </w:tcPr>
          <w:p>
            <w:pPr>
              <w:spacing w:after="0"/>
              <w:rPr>
                <w:sz w:val="17"/>
                <w:szCs w:val="17"/>
                <w:color w:val="auto"/>
              </w:rPr>
            </w:pPr>
          </w:p>
        </w:tc>
        <w:tc>
          <w:tcPr>
            <w:tcW w:w="1580" w:type="dxa"/>
            <w:vAlign w:val="bottom"/>
          </w:tcPr>
          <w:p>
            <w:pPr>
              <w:jc w:val="right"/>
              <w:ind w:right="130"/>
              <w:spacing w:after="0" w:line="202" w:lineRule="exact"/>
              <w:rPr>
                <w:sz w:val="20"/>
                <w:szCs w:val="20"/>
                <w:color w:val="auto"/>
              </w:rPr>
            </w:pPr>
            <w:r>
              <w:rPr>
                <w:rFonts w:ascii="Arial" w:cs="Arial" w:eastAsia="Arial" w:hAnsi="Arial"/>
                <w:sz w:val="18"/>
                <w:szCs w:val="18"/>
                <w:color w:val="86B6A5"/>
              </w:rPr>
              <w:t>29.5</w:t>
            </w:r>
          </w:p>
        </w:tc>
        <w:tc>
          <w:tcPr>
            <w:tcW w:w="52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32.0</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3"/>
        </w:trPr>
        <w:tc>
          <w:tcPr>
            <w:tcW w:w="8040" w:type="dxa"/>
            <w:vAlign w:val="bottom"/>
            <w:gridSpan w:val="2"/>
          </w:tcPr>
          <w:p>
            <w:pPr>
              <w:spacing w:after="0" w:line="203" w:lineRule="exact"/>
              <w:rPr>
                <w:sz w:val="20"/>
                <w:szCs w:val="20"/>
                <w:color w:val="auto"/>
              </w:rPr>
            </w:pPr>
            <w:r>
              <w:rPr>
                <w:rFonts w:ascii="Arial" w:cs="Arial" w:eastAsia="Arial" w:hAnsi="Arial"/>
                <w:sz w:val="18"/>
                <w:szCs w:val="18"/>
                <w:color w:val="auto"/>
              </w:rPr>
              <w:t>Valuation allowance</w:t>
            </w:r>
          </w:p>
        </w:tc>
        <w:tc>
          <w:tcPr>
            <w:tcW w:w="120" w:type="dxa"/>
            <w:vAlign w:val="bottom"/>
            <w:shd w:val="clear" w:color="auto" w:fill="E3F1DA"/>
          </w:tcPr>
          <w:p>
            <w:pPr>
              <w:spacing w:after="0"/>
              <w:rPr>
                <w:sz w:val="17"/>
                <w:szCs w:val="17"/>
                <w:color w:val="auto"/>
              </w:rPr>
            </w:pPr>
          </w:p>
        </w:tc>
        <w:tc>
          <w:tcPr>
            <w:tcW w:w="1580" w:type="dxa"/>
            <w:vAlign w:val="bottom"/>
          </w:tcPr>
          <w:p>
            <w:pPr>
              <w:jc w:val="right"/>
              <w:ind w:right="130"/>
              <w:spacing w:after="0" w:line="203" w:lineRule="exact"/>
              <w:rPr>
                <w:sz w:val="20"/>
                <w:szCs w:val="20"/>
                <w:color w:val="auto"/>
              </w:rPr>
            </w:pPr>
            <w:r>
              <w:rPr>
                <w:rFonts w:ascii="Arial" w:cs="Arial" w:eastAsia="Arial" w:hAnsi="Arial"/>
                <w:sz w:val="18"/>
                <w:szCs w:val="18"/>
                <w:color w:val="86B6A5"/>
              </w:rPr>
              <w:t>–</w:t>
            </w:r>
          </w:p>
        </w:tc>
        <w:tc>
          <w:tcPr>
            <w:tcW w:w="520" w:type="dxa"/>
            <w:vAlign w:val="bottom"/>
          </w:tcPr>
          <w:p>
            <w:pPr>
              <w:spacing w:after="0"/>
              <w:rPr>
                <w:sz w:val="17"/>
                <w:szCs w:val="17"/>
                <w:color w:val="auto"/>
              </w:rPr>
            </w:pPr>
          </w:p>
        </w:tc>
        <w:tc>
          <w:tcPr>
            <w:tcW w:w="1000" w:type="dxa"/>
            <w:vAlign w:val="bottom"/>
            <w:gridSpan w:val="3"/>
          </w:tcPr>
          <w:p>
            <w:pPr>
              <w:jc w:val="right"/>
              <w:spacing w:after="0" w:line="203" w:lineRule="exact"/>
              <w:rPr>
                <w:sz w:val="20"/>
                <w:szCs w:val="20"/>
                <w:color w:val="auto"/>
              </w:rPr>
            </w:pPr>
            <w:r>
              <w:rPr>
                <w:rFonts w:ascii="Arial" w:cs="Arial" w:eastAsia="Arial" w:hAnsi="Arial"/>
                <w:sz w:val="18"/>
                <w:szCs w:val="18"/>
                <w:color w:val="auto"/>
              </w:rPr>
              <w:t>(0.1)</w:t>
            </w:r>
          </w:p>
        </w:tc>
      </w:tr>
      <w:tr>
        <w:trPr>
          <w:trHeight w:val="196"/>
        </w:trPr>
        <w:tc>
          <w:tcPr>
            <w:tcW w:w="20" w:type="dxa"/>
            <w:vAlign w:val="bottom"/>
          </w:tcPr>
          <w:p>
            <w:pPr>
              <w:spacing w:after="0"/>
              <w:rPr>
                <w:sz w:val="17"/>
                <w:szCs w:val="17"/>
                <w:color w:val="auto"/>
              </w:rPr>
            </w:pPr>
          </w:p>
        </w:tc>
        <w:tc>
          <w:tcPr>
            <w:tcW w:w="8020" w:type="dxa"/>
            <w:vAlign w:val="bottom"/>
            <w:tcBorders>
              <w:top w:val="single" w:sz="8" w:color="939598"/>
              <w:bottom w:val="single" w:sz="8" w:color="939598"/>
            </w:tcBorders>
          </w:tcPr>
          <w:p>
            <w:pPr>
              <w:spacing w:after="0"/>
              <w:rPr>
                <w:sz w:val="17"/>
                <w:szCs w:val="17"/>
                <w:color w:val="auto"/>
              </w:rPr>
            </w:pPr>
          </w:p>
        </w:tc>
        <w:tc>
          <w:tcPr>
            <w:tcW w:w="120" w:type="dxa"/>
            <w:vAlign w:val="bottom"/>
            <w:tcBorders>
              <w:top w:val="single" w:sz="8" w:color="939598"/>
              <w:bottom w:val="single" w:sz="8" w:color="939598"/>
            </w:tcBorders>
            <w:shd w:val="clear" w:color="auto" w:fill="E3F1DA"/>
          </w:tcPr>
          <w:p>
            <w:pPr>
              <w:spacing w:after="0"/>
              <w:rPr>
                <w:sz w:val="17"/>
                <w:szCs w:val="17"/>
                <w:color w:val="auto"/>
              </w:rPr>
            </w:pPr>
          </w:p>
        </w:tc>
        <w:tc>
          <w:tcPr>
            <w:tcW w:w="1580" w:type="dxa"/>
            <w:vAlign w:val="bottom"/>
            <w:tcBorders>
              <w:top w:val="single" w:sz="8" w:color="939598"/>
              <w:bottom w:val="single" w:sz="8" w:color="939598"/>
            </w:tcBorders>
          </w:tcPr>
          <w:p>
            <w:pPr>
              <w:jc w:val="right"/>
              <w:ind w:right="130"/>
              <w:spacing w:after="0" w:line="196" w:lineRule="exact"/>
              <w:rPr>
                <w:sz w:val="20"/>
                <w:szCs w:val="20"/>
                <w:color w:val="auto"/>
              </w:rPr>
            </w:pPr>
            <w:r>
              <w:rPr>
                <w:rFonts w:ascii="Arial" w:cs="Arial" w:eastAsia="Arial" w:hAnsi="Arial"/>
                <w:sz w:val="18"/>
                <w:szCs w:val="18"/>
                <w:color w:val="86B6A5"/>
              </w:rPr>
              <w:t>59.7</w:t>
            </w:r>
          </w:p>
        </w:tc>
        <w:tc>
          <w:tcPr>
            <w:tcW w:w="520" w:type="dxa"/>
            <w:vAlign w:val="bottom"/>
            <w:tcBorders>
              <w:top w:val="single" w:sz="8" w:color="939598"/>
              <w:bottom w:val="single" w:sz="8" w:color="939598"/>
            </w:tcBorders>
          </w:tcPr>
          <w:p>
            <w:pPr>
              <w:spacing w:after="0"/>
              <w:rPr>
                <w:sz w:val="17"/>
                <w:szCs w:val="17"/>
                <w:color w:val="auto"/>
              </w:rPr>
            </w:pPr>
          </w:p>
        </w:tc>
        <w:tc>
          <w:tcPr>
            <w:tcW w:w="940" w:type="dxa"/>
            <w:vAlign w:val="bottom"/>
            <w:tcBorders>
              <w:top w:val="single" w:sz="8" w:color="939598"/>
              <w:bottom w:val="single" w:sz="8" w:color="939598"/>
            </w:tcBorders>
          </w:tcPr>
          <w:p>
            <w:pPr>
              <w:jc w:val="right"/>
              <w:spacing w:after="0" w:line="196" w:lineRule="exact"/>
              <w:rPr>
                <w:sz w:val="20"/>
                <w:szCs w:val="20"/>
                <w:color w:val="auto"/>
              </w:rPr>
            </w:pPr>
            <w:r>
              <w:rPr>
                <w:rFonts w:ascii="Arial" w:cs="Arial" w:eastAsia="Arial" w:hAnsi="Arial"/>
                <w:sz w:val="18"/>
                <w:szCs w:val="18"/>
                <w:color w:val="auto"/>
              </w:rPr>
              <w:t>64.0</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95"/>
        </w:trPr>
        <w:tc>
          <w:tcPr>
            <w:tcW w:w="20" w:type="dxa"/>
            <w:vAlign w:val="bottom"/>
          </w:tcPr>
          <w:p>
            <w:pPr>
              <w:spacing w:after="0"/>
              <w:rPr>
                <w:sz w:val="16"/>
                <w:szCs w:val="16"/>
                <w:color w:val="auto"/>
              </w:rPr>
            </w:pPr>
          </w:p>
        </w:tc>
        <w:tc>
          <w:tcPr>
            <w:tcW w:w="8020" w:type="dxa"/>
            <w:vAlign w:val="bottom"/>
          </w:tcPr>
          <w:p>
            <w:pPr>
              <w:spacing w:after="0" w:line="195" w:lineRule="exact"/>
              <w:rPr>
                <w:sz w:val="20"/>
                <w:szCs w:val="20"/>
                <w:color w:val="auto"/>
              </w:rPr>
            </w:pPr>
            <w:r>
              <w:rPr>
                <w:rFonts w:ascii="Arial" w:cs="Arial" w:eastAsia="Arial" w:hAnsi="Arial"/>
                <w:sz w:val="18"/>
                <w:szCs w:val="18"/>
                <w:b w:val="1"/>
                <w:bCs w:val="1"/>
                <w:color w:val="auto"/>
              </w:rPr>
              <w:t>Noncurrent Future Income Tax Benefits (Expense)</w:t>
            </w:r>
          </w:p>
        </w:tc>
        <w:tc>
          <w:tcPr>
            <w:tcW w:w="120" w:type="dxa"/>
            <w:vAlign w:val="bottom"/>
            <w:shd w:val="clear" w:color="auto" w:fill="E3F1DA"/>
          </w:tcPr>
          <w:p>
            <w:pPr>
              <w:spacing w:after="0"/>
              <w:rPr>
                <w:sz w:val="16"/>
                <w:szCs w:val="16"/>
                <w:color w:val="auto"/>
              </w:rPr>
            </w:pPr>
          </w:p>
        </w:tc>
        <w:tc>
          <w:tcPr>
            <w:tcW w:w="15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03"/>
        </w:trPr>
        <w:tc>
          <w:tcPr>
            <w:tcW w:w="8040" w:type="dxa"/>
            <w:vAlign w:val="bottom"/>
            <w:gridSpan w:val="2"/>
          </w:tcPr>
          <w:p>
            <w:pPr>
              <w:spacing w:after="0" w:line="202" w:lineRule="exact"/>
              <w:rPr>
                <w:sz w:val="20"/>
                <w:szCs w:val="20"/>
                <w:color w:val="auto"/>
              </w:rPr>
            </w:pPr>
            <w:r>
              <w:rPr>
                <w:rFonts w:ascii="Arial" w:cs="Arial" w:eastAsia="Arial" w:hAnsi="Arial"/>
                <w:sz w:val="18"/>
                <w:szCs w:val="18"/>
                <w:color w:val="auto"/>
              </w:rPr>
              <w:t>Accrued payroll taxes and insurance</w:t>
            </w:r>
          </w:p>
        </w:tc>
        <w:tc>
          <w:tcPr>
            <w:tcW w:w="120" w:type="dxa"/>
            <w:vAlign w:val="bottom"/>
            <w:shd w:val="clear" w:color="auto" w:fill="E3F1DA"/>
          </w:tcPr>
          <w:p>
            <w:pPr>
              <w:spacing w:after="0"/>
              <w:rPr>
                <w:sz w:val="17"/>
                <w:szCs w:val="17"/>
                <w:color w:val="auto"/>
              </w:rPr>
            </w:pPr>
          </w:p>
        </w:tc>
        <w:tc>
          <w:tcPr>
            <w:tcW w:w="1580" w:type="dxa"/>
            <w:vAlign w:val="bottom"/>
          </w:tcPr>
          <w:p>
            <w:pPr>
              <w:jc w:val="right"/>
              <w:ind w:right="130"/>
              <w:spacing w:after="0" w:line="202" w:lineRule="exact"/>
              <w:rPr>
                <w:sz w:val="20"/>
                <w:szCs w:val="20"/>
                <w:color w:val="auto"/>
              </w:rPr>
            </w:pPr>
            <w:r>
              <w:rPr>
                <w:rFonts w:ascii="Arial" w:cs="Arial" w:eastAsia="Arial" w:hAnsi="Arial"/>
                <w:sz w:val="18"/>
                <w:szCs w:val="18"/>
                <w:color w:val="86B6A5"/>
              </w:rPr>
              <w:t>20.4</w:t>
            </w:r>
          </w:p>
        </w:tc>
        <w:tc>
          <w:tcPr>
            <w:tcW w:w="52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19.5</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3"/>
        </w:trPr>
        <w:tc>
          <w:tcPr>
            <w:tcW w:w="8040" w:type="dxa"/>
            <w:vAlign w:val="bottom"/>
            <w:gridSpan w:val="2"/>
          </w:tcPr>
          <w:p>
            <w:pPr>
              <w:spacing w:after="0" w:line="202" w:lineRule="exact"/>
              <w:rPr>
                <w:sz w:val="20"/>
                <w:szCs w:val="20"/>
                <w:color w:val="auto"/>
              </w:rPr>
            </w:pPr>
            <w:r>
              <w:rPr>
                <w:rFonts w:ascii="Arial" w:cs="Arial" w:eastAsia="Arial" w:hAnsi="Arial"/>
                <w:sz w:val="18"/>
                <w:szCs w:val="18"/>
                <w:color w:val="auto"/>
              </w:rPr>
              <w:t>Pension and postretirement benefits</w:t>
            </w:r>
          </w:p>
        </w:tc>
        <w:tc>
          <w:tcPr>
            <w:tcW w:w="120" w:type="dxa"/>
            <w:vAlign w:val="bottom"/>
            <w:shd w:val="clear" w:color="auto" w:fill="E3F1DA"/>
          </w:tcPr>
          <w:p>
            <w:pPr>
              <w:spacing w:after="0"/>
              <w:rPr>
                <w:sz w:val="17"/>
                <w:szCs w:val="17"/>
                <w:color w:val="auto"/>
              </w:rPr>
            </w:pPr>
          </w:p>
        </w:tc>
        <w:tc>
          <w:tcPr>
            <w:tcW w:w="1580" w:type="dxa"/>
            <w:vAlign w:val="bottom"/>
          </w:tcPr>
          <w:p>
            <w:pPr>
              <w:jc w:val="right"/>
              <w:ind w:right="130"/>
              <w:spacing w:after="0" w:line="202" w:lineRule="exact"/>
              <w:rPr>
                <w:sz w:val="20"/>
                <w:szCs w:val="20"/>
                <w:color w:val="auto"/>
              </w:rPr>
            </w:pPr>
            <w:r>
              <w:rPr>
                <w:rFonts w:ascii="Arial" w:cs="Arial" w:eastAsia="Arial" w:hAnsi="Arial"/>
                <w:sz w:val="18"/>
                <w:szCs w:val="18"/>
                <w:color w:val="86B6A5"/>
              </w:rPr>
              <w:t>50.4</w:t>
            </w:r>
          </w:p>
        </w:tc>
        <w:tc>
          <w:tcPr>
            <w:tcW w:w="52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53.4</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3"/>
        </w:trPr>
        <w:tc>
          <w:tcPr>
            <w:tcW w:w="8040" w:type="dxa"/>
            <w:vAlign w:val="bottom"/>
            <w:gridSpan w:val="2"/>
          </w:tcPr>
          <w:p>
            <w:pPr>
              <w:spacing w:after="0" w:line="202" w:lineRule="exact"/>
              <w:rPr>
                <w:sz w:val="20"/>
                <w:szCs w:val="20"/>
                <w:color w:val="auto"/>
              </w:rPr>
            </w:pPr>
            <w:r>
              <w:rPr>
                <w:rFonts w:ascii="Arial" w:cs="Arial" w:eastAsia="Arial" w:hAnsi="Arial"/>
                <w:sz w:val="18"/>
                <w:szCs w:val="18"/>
                <w:color w:val="auto"/>
              </w:rPr>
              <w:t>Intangible assets</w:t>
            </w:r>
          </w:p>
        </w:tc>
        <w:tc>
          <w:tcPr>
            <w:tcW w:w="120" w:type="dxa"/>
            <w:vAlign w:val="bottom"/>
            <w:shd w:val="clear" w:color="auto" w:fill="E3F1DA"/>
          </w:tcPr>
          <w:p>
            <w:pPr>
              <w:spacing w:after="0"/>
              <w:rPr>
                <w:sz w:val="17"/>
                <w:szCs w:val="17"/>
                <w:color w:val="auto"/>
              </w:rPr>
            </w:pPr>
          </w:p>
        </w:tc>
        <w:tc>
          <w:tcPr>
            <w:tcW w:w="1580" w:type="dxa"/>
            <w:vAlign w:val="bottom"/>
          </w:tcPr>
          <w:p>
            <w:pPr>
              <w:jc w:val="right"/>
              <w:ind w:right="70"/>
              <w:spacing w:after="0" w:line="202" w:lineRule="exact"/>
              <w:rPr>
                <w:sz w:val="20"/>
                <w:szCs w:val="20"/>
                <w:color w:val="auto"/>
              </w:rPr>
            </w:pPr>
            <w:r>
              <w:rPr>
                <w:rFonts w:ascii="Arial" w:cs="Arial" w:eastAsia="Arial" w:hAnsi="Arial"/>
                <w:sz w:val="18"/>
                <w:szCs w:val="18"/>
                <w:color w:val="86B6A5"/>
              </w:rPr>
              <w:t>(34.4)</w:t>
            </w:r>
          </w:p>
        </w:tc>
        <w:tc>
          <w:tcPr>
            <w:tcW w:w="520" w:type="dxa"/>
            <w:vAlign w:val="bottom"/>
          </w:tcPr>
          <w:p>
            <w:pPr>
              <w:spacing w:after="0"/>
              <w:rPr>
                <w:sz w:val="17"/>
                <w:szCs w:val="17"/>
                <w:color w:val="auto"/>
              </w:rPr>
            </w:pPr>
          </w:p>
        </w:tc>
        <w:tc>
          <w:tcPr>
            <w:tcW w:w="100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(47.5)</w:t>
            </w:r>
          </w:p>
        </w:tc>
      </w:tr>
      <w:tr>
        <w:trPr>
          <w:trHeight w:val="203"/>
        </w:trPr>
        <w:tc>
          <w:tcPr>
            <w:tcW w:w="8040" w:type="dxa"/>
            <w:vAlign w:val="bottom"/>
            <w:gridSpan w:val="2"/>
          </w:tcPr>
          <w:p>
            <w:pPr>
              <w:spacing w:after="0" w:line="202" w:lineRule="exact"/>
              <w:rPr>
                <w:sz w:val="20"/>
                <w:szCs w:val="20"/>
                <w:color w:val="auto"/>
              </w:rPr>
            </w:pPr>
            <w:r>
              <w:rPr>
                <w:rFonts w:ascii="Arial" w:cs="Arial" w:eastAsia="Arial" w:hAnsi="Arial"/>
                <w:sz w:val="18"/>
                <w:szCs w:val="18"/>
                <w:color w:val="auto"/>
              </w:rPr>
              <w:t>Net operating losses and other</w:t>
            </w:r>
          </w:p>
        </w:tc>
        <w:tc>
          <w:tcPr>
            <w:tcW w:w="120" w:type="dxa"/>
            <w:vAlign w:val="bottom"/>
            <w:shd w:val="clear" w:color="auto" w:fill="E3F1DA"/>
          </w:tcPr>
          <w:p>
            <w:pPr>
              <w:spacing w:after="0"/>
              <w:rPr>
                <w:sz w:val="17"/>
                <w:szCs w:val="17"/>
                <w:color w:val="auto"/>
              </w:rPr>
            </w:pPr>
          </w:p>
        </w:tc>
        <w:tc>
          <w:tcPr>
            <w:tcW w:w="1580" w:type="dxa"/>
            <w:vAlign w:val="bottom"/>
          </w:tcPr>
          <w:p>
            <w:pPr>
              <w:jc w:val="right"/>
              <w:ind w:right="130"/>
              <w:spacing w:after="0" w:line="202" w:lineRule="exact"/>
              <w:rPr>
                <w:sz w:val="20"/>
                <w:szCs w:val="20"/>
                <w:color w:val="auto"/>
              </w:rPr>
            </w:pPr>
            <w:r>
              <w:rPr>
                <w:rFonts w:ascii="Arial" w:cs="Arial" w:eastAsia="Arial" w:hAnsi="Arial"/>
                <w:sz w:val="18"/>
                <w:szCs w:val="18"/>
                <w:color w:val="86B6A5"/>
              </w:rPr>
              <w:t>197.3</w:t>
            </w:r>
          </w:p>
        </w:tc>
        <w:tc>
          <w:tcPr>
            <w:tcW w:w="520" w:type="dxa"/>
            <w:vAlign w:val="bottom"/>
          </w:tcPr>
          <w:p>
            <w:pPr>
              <w:spacing w:after="0"/>
              <w:rPr>
                <w:sz w:val="17"/>
                <w:szCs w:val="17"/>
                <w:color w:val="auto"/>
              </w:rPr>
            </w:pPr>
          </w:p>
        </w:tc>
        <w:tc>
          <w:tcPr>
            <w:tcW w:w="9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189.9</w:t>
            </w:r>
          </w:p>
        </w:tc>
        <w:tc>
          <w:tcPr>
            <w:tcW w:w="40" w:type="dxa"/>
            <w:vAlign w:val="bottom"/>
          </w:tcPr>
          <w:p>
            <w:pPr>
              <w:spacing w:after="0"/>
              <w:rPr>
                <w:sz w:val="17"/>
                <w:szCs w:val="17"/>
                <w:color w:val="auto"/>
              </w:rPr>
            </w:pPr>
          </w:p>
        </w:tc>
      </w:tr>
      <w:tr>
        <w:trPr>
          <w:trHeight w:val="203"/>
        </w:trPr>
        <w:tc>
          <w:tcPr>
            <w:tcW w:w="8040" w:type="dxa"/>
            <w:vAlign w:val="bottom"/>
            <w:gridSpan w:val="2"/>
          </w:tcPr>
          <w:p>
            <w:pPr>
              <w:spacing w:after="0" w:line="203" w:lineRule="exact"/>
              <w:rPr>
                <w:sz w:val="20"/>
                <w:szCs w:val="20"/>
                <w:color w:val="auto"/>
              </w:rPr>
            </w:pPr>
            <w:r>
              <w:rPr>
                <w:rFonts w:ascii="Arial" w:cs="Arial" w:eastAsia="Arial" w:hAnsi="Arial"/>
                <w:sz w:val="18"/>
                <w:szCs w:val="18"/>
                <w:color w:val="auto"/>
              </w:rPr>
              <w:t>Valuation allowance</w:t>
            </w:r>
          </w:p>
        </w:tc>
        <w:tc>
          <w:tcPr>
            <w:tcW w:w="120" w:type="dxa"/>
            <w:vAlign w:val="bottom"/>
            <w:shd w:val="clear" w:color="auto" w:fill="E3F1DA"/>
          </w:tcPr>
          <w:p>
            <w:pPr>
              <w:spacing w:after="0"/>
              <w:rPr>
                <w:sz w:val="17"/>
                <w:szCs w:val="17"/>
                <w:color w:val="auto"/>
              </w:rPr>
            </w:pPr>
          </w:p>
        </w:tc>
        <w:tc>
          <w:tcPr>
            <w:tcW w:w="1580" w:type="dxa"/>
            <w:vAlign w:val="bottom"/>
          </w:tcPr>
          <w:p>
            <w:pPr>
              <w:jc w:val="right"/>
              <w:ind w:right="70"/>
              <w:spacing w:after="0" w:line="203" w:lineRule="exact"/>
              <w:rPr>
                <w:sz w:val="20"/>
                <w:szCs w:val="20"/>
                <w:color w:val="auto"/>
              </w:rPr>
            </w:pPr>
            <w:r>
              <w:rPr>
                <w:rFonts w:ascii="Arial" w:cs="Arial" w:eastAsia="Arial" w:hAnsi="Arial"/>
                <w:sz w:val="18"/>
                <w:szCs w:val="18"/>
                <w:color w:val="86B6A5"/>
              </w:rPr>
              <w:t>(123.2)</w:t>
            </w:r>
          </w:p>
        </w:tc>
        <w:tc>
          <w:tcPr>
            <w:tcW w:w="520" w:type="dxa"/>
            <w:vAlign w:val="bottom"/>
          </w:tcPr>
          <w:p>
            <w:pPr>
              <w:spacing w:after="0"/>
              <w:rPr>
                <w:sz w:val="17"/>
                <w:szCs w:val="17"/>
                <w:color w:val="auto"/>
              </w:rPr>
            </w:pPr>
          </w:p>
        </w:tc>
        <w:tc>
          <w:tcPr>
            <w:tcW w:w="1000" w:type="dxa"/>
            <w:vAlign w:val="bottom"/>
            <w:gridSpan w:val="3"/>
          </w:tcPr>
          <w:p>
            <w:pPr>
              <w:jc w:val="right"/>
              <w:spacing w:after="0" w:line="203" w:lineRule="exact"/>
              <w:rPr>
                <w:sz w:val="20"/>
                <w:szCs w:val="20"/>
                <w:color w:val="auto"/>
              </w:rPr>
            </w:pPr>
            <w:r>
              <w:rPr>
                <w:rFonts w:ascii="Arial" w:cs="Arial" w:eastAsia="Arial" w:hAnsi="Arial"/>
                <w:sz w:val="18"/>
                <w:szCs w:val="18"/>
                <w:color w:val="auto"/>
              </w:rPr>
              <w:t>(116.6)</w:t>
            </w:r>
          </w:p>
        </w:tc>
      </w:tr>
      <w:tr>
        <w:trPr>
          <w:trHeight w:val="196"/>
        </w:trPr>
        <w:tc>
          <w:tcPr>
            <w:tcW w:w="20" w:type="dxa"/>
            <w:vAlign w:val="bottom"/>
          </w:tcPr>
          <w:p>
            <w:pPr>
              <w:spacing w:after="0"/>
              <w:rPr>
                <w:sz w:val="17"/>
                <w:szCs w:val="17"/>
                <w:color w:val="auto"/>
              </w:rPr>
            </w:pPr>
          </w:p>
        </w:tc>
        <w:tc>
          <w:tcPr>
            <w:tcW w:w="8020" w:type="dxa"/>
            <w:vAlign w:val="bottom"/>
            <w:tcBorders>
              <w:top w:val="single" w:sz="8" w:color="939598"/>
              <w:bottom w:val="single" w:sz="8" w:color="939598"/>
            </w:tcBorders>
          </w:tcPr>
          <w:p>
            <w:pPr>
              <w:spacing w:after="0"/>
              <w:rPr>
                <w:sz w:val="17"/>
                <w:szCs w:val="17"/>
                <w:color w:val="auto"/>
              </w:rPr>
            </w:pPr>
          </w:p>
        </w:tc>
        <w:tc>
          <w:tcPr>
            <w:tcW w:w="120" w:type="dxa"/>
            <w:vAlign w:val="bottom"/>
            <w:tcBorders>
              <w:top w:val="single" w:sz="8" w:color="939598"/>
              <w:bottom w:val="single" w:sz="8" w:color="939598"/>
            </w:tcBorders>
            <w:shd w:val="clear" w:color="auto" w:fill="E3F1DA"/>
          </w:tcPr>
          <w:p>
            <w:pPr>
              <w:spacing w:after="0"/>
              <w:rPr>
                <w:sz w:val="17"/>
                <w:szCs w:val="17"/>
                <w:color w:val="auto"/>
              </w:rPr>
            </w:pPr>
          </w:p>
        </w:tc>
        <w:tc>
          <w:tcPr>
            <w:tcW w:w="1580" w:type="dxa"/>
            <w:vAlign w:val="bottom"/>
            <w:tcBorders>
              <w:top w:val="single" w:sz="8" w:color="939598"/>
              <w:bottom w:val="single" w:sz="8" w:color="939598"/>
            </w:tcBorders>
          </w:tcPr>
          <w:p>
            <w:pPr>
              <w:jc w:val="right"/>
              <w:ind w:right="130"/>
              <w:spacing w:after="0" w:line="196" w:lineRule="exact"/>
              <w:rPr>
                <w:sz w:val="20"/>
                <w:szCs w:val="20"/>
                <w:color w:val="auto"/>
              </w:rPr>
            </w:pPr>
            <w:r>
              <w:rPr>
                <w:rFonts w:ascii="Arial" w:cs="Arial" w:eastAsia="Arial" w:hAnsi="Arial"/>
                <w:sz w:val="18"/>
                <w:szCs w:val="18"/>
                <w:color w:val="86B6A5"/>
              </w:rPr>
              <w:t>110.5</w:t>
            </w:r>
          </w:p>
        </w:tc>
        <w:tc>
          <w:tcPr>
            <w:tcW w:w="520" w:type="dxa"/>
            <w:vAlign w:val="bottom"/>
            <w:tcBorders>
              <w:top w:val="single" w:sz="8" w:color="939598"/>
              <w:bottom w:val="single" w:sz="8" w:color="939598"/>
            </w:tcBorders>
          </w:tcPr>
          <w:p>
            <w:pPr>
              <w:spacing w:after="0"/>
              <w:rPr>
                <w:sz w:val="17"/>
                <w:szCs w:val="17"/>
                <w:color w:val="auto"/>
              </w:rPr>
            </w:pPr>
          </w:p>
        </w:tc>
        <w:tc>
          <w:tcPr>
            <w:tcW w:w="940" w:type="dxa"/>
            <w:vAlign w:val="bottom"/>
            <w:tcBorders>
              <w:top w:val="single" w:sz="8" w:color="939598"/>
              <w:bottom w:val="single" w:sz="8" w:color="939598"/>
            </w:tcBorders>
          </w:tcPr>
          <w:p>
            <w:pPr>
              <w:jc w:val="right"/>
              <w:spacing w:after="0" w:line="196" w:lineRule="exact"/>
              <w:rPr>
                <w:sz w:val="20"/>
                <w:szCs w:val="20"/>
                <w:color w:val="auto"/>
              </w:rPr>
            </w:pPr>
            <w:r>
              <w:rPr>
                <w:rFonts w:ascii="Arial" w:cs="Arial" w:eastAsia="Arial" w:hAnsi="Arial"/>
                <w:sz w:val="18"/>
                <w:szCs w:val="18"/>
                <w:color w:val="auto"/>
              </w:rPr>
              <w:t>98.7</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20" w:type="dxa"/>
            <w:vAlign w:val="bottom"/>
            <w:tcBorders>
              <w:bottom w:val="single" w:sz="8" w:color="939598"/>
            </w:tcBorders>
          </w:tcPr>
          <w:p>
            <w:pPr>
              <w:spacing w:after="0"/>
              <w:rPr>
                <w:sz w:val="17"/>
                <w:szCs w:val="17"/>
                <w:color w:val="auto"/>
              </w:rPr>
            </w:pPr>
          </w:p>
        </w:tc>
        <w:tc>
          <w:tcPr>
            <w:tcW w:w="8020" w:type="dxa"/>
            <w:vAlign w:val="bottom"/>
            <w:tcBorders>
              <w:bottom w:val="single" w:sz="8" w:color="939598"/>
            </w:tcBorders>
          </w:tcPr>
          <w:p>
            <w:pPr>
              <w:spacing w:after="0" w:line="196" w:lineRule="exact"/>
              <w:rPr>
                <w:sz w:val="20"/>
                <w:szCs w:val="20"/>
                <w:color w:val="auto"/>
              </w:rPr>
            </w:pPr>
            <w:r>
              <w:rPr>
                <w:rFonts w:ascii="Arial" w:cs="Arial" w:eastAsia="Arial" w:hAnsi="Arial"/>
                <w:sz w:val="18"/>
                <w:szCs w:val="18"/>
                <w:color w:val="auto"/>
              </w:rPr>
              <w:t>Total future tax benefits</w:t>
            </w:r>
          </w:p>
        </w:tc>
        <w:tc>
          <w:tcPr>
            <w:tcW w:w="120" w:type="dxa"/>
            <w:vAlign w:val="bottom"/>
            <w:tcBorders>
              <w:bottom w:val="single" w:sz="8" w:color="939598"/>
            </w:tcBorders>
            <w:shd w:val="clear" w:color="auto" w:fill="E3F1DA"/>
          </w:tcPr>
          <w:p>
            <w:pPr>
              <w:jc w:val="right"/>
              <w:spacing w:after="0" w:line="196" w:lineRule="exact"/>
              <w:rPr>
                <w:sz w:val="20"/>
                <w:szCs w:val="20"/>
                <w:color w:val="auto"/>
              </w:rPr>
            </w:pPr>
            <w:r>
              <w:rPr>
                <w:rFonts w:ascii="Arial" w:cs="Arial" w:eastAsia="Arial" w:hAnsi="Arial"/>
                <w:sz w:val="18"/>
                <w:szCs w:val="18"/>
                <w:color w:val="86B6A5"/>
                <w:w w:val="79"/>
              </w:rPr>
              <w:t>$</w:t>
            </w:r>
          </w:p>
        </w:tc>
        <w:tc>
          <w:tcPr>
            <w:tcW w:w="1580" w:type="dxa"/>
            <w:vAlign w:val="bottom"/>
            <w:tcBorders>
              <w:bottom w:val="single" w:sz="8" w:color="939598"/>
            </w:tcBorders>
          </w:tcPr>
          <w:p>
            <w:pPr>
              <w:jc w:val="right"/>
              <w:ind w:right="130"/>
              <w:spacing w:after="0" w:line="196" w:lineRule="exact"/>
              <w:rPr>
                <w:sz w:val="20"/>
                <w:szCs w:val="20"/>
                <w:color w:val="auto"/>
              </w:rPr>
            </w:pPr>
            <w:r>
              <w:rPr>
                <w:rFonts w:ascii="Arial" w:cs="Arial" w:eastAsia="Arial" w:hAnsi="Arial"/>
                <w:sz w:val="18"/>
                <w:szCs w:val="18"/>
                <w:color w:val="86B6A5"/>
              </w:rPr>
              <w:t>170.2</w:t>
            </w:r>
          </w:p>
        </w:tc>
        <w:tc>
          <w:tcPr>
            <w:tcW w:w="520" w:type="dxa"/>
            <w:vAlign w:val="bottom"/>
            <w:tcBorders>
              <w:bottom w:val="single" w:sz="8" w:color="939598"/>
            </w:tcBorders>
          </w:tcPr>
          <w:p>
            <w:pPr>
              <w:jc w:val="right"/>
              <w:ind w:right="33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939598"/>
            </w:tcBorders>
          </w:tcPr>
          <w:p>
            <w:pPr>
              <w:jc w:val="right"/>
              <w:spacing w:after="0" w:line="196" w:lineRule="exact"/>
              <w:rPr>
                <w:sz w:val="20"/>
                <w:szCs w:val="20"/>
                <w:color w:val="auto"/>
              </w:rPr>
            </w:pPr>
            <w:r>
              <w:rPr>
                <w:rFonts w:ascii="Arial" w:cs="Arial" w:eastAsia="Arial" w:hAnsi="Arial"/>
                <w:sz w:val="18"/>
                <w:szCs w:val="18"/>
                <w:color w:val="auto"/>
              </w:rPr>
              <w:t>162.7</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95"/>
        </w:trPr>
        <w:tc>
          <w:tcPr>
            <w:tcW w:w="8040" w:type="dxa"/>
            <w:vAlign w:val="bottom"/>
            <w:gridSpan w:val="2"/>
          </w:tcPr>
          <w:p>
            <w:pPr>
              <w:spacing w:after="0" w:line="195" w:lineRule="exact"/>
              <w:rPr>
                <w:sz w:val="20"/>
                <w:szCs w:val="20"/>
                <w:color w:val="auto"/>
              </w:rPr>
            </w:pPr>
            <w:r>
              <w:rPr>
                <w:rFonts w:ascii="Arial" w:cs="Arial" w:eastAsia="Arial" w:hAnsi="Arial"/>
                <w:sz w:val="18"/>
                <w:szCs w:val="18"/>
                <w:color w:val="auto"/>
              </w:rPr>
              <w:t>Current tax asset</w:t>
            </w:r>
          </w:p>
        </w:tc>
        <w:tc>
          <w:tcPr>
            <w:tcW w:w="120" w:type="dxa"/>
            <w:vAlign w:val="bottom"/>
            <w:shd w:val="clear" w:color="auto" w:fill="E3F1DA"/>
          </w:tcPr>
          <w:p>
            <w:pPr>
              <w:jc w:val="right"/>
              <w:spacing w:after="0" w:line="195" w:lineRule="exact"/>
              <w:rPr>
                <w:sz w:val="20"/>
                <w:szCs w:val="20"/>
                <w:color w:val="auto"/>
              </w:rPr>
            </w:pPr>
            <w:r>
              <w:rPr>
                <w:rFonts w:ascii="Arial" w:cs="Arial" w:eastAsia="Arial" w:hAnsi="Arial"/>
                <w:sz w:val="18"/>
                <w:szCs w:val="18"/>
                <w:color w:val="86B6A5"/>
                <w:w w:val="79"/>
              </w:rPr>
              <w:t>$</w:t>
            </w:r>
          </w:p>
        </w:tc>
        <w:tc>
          <w:tcPr>
            <w:tcW w:w="1580" w:type="dxa"/>
            <w:vAlign w:val="bottom"/>
          </w:tcPr>
          <w:p>
            <w:pPr>
              <w:jc w:val="right"/>
              <w:ind w:right="130"/>
              <w:spacing w:after="0" w:line="195" w:lineRule="exact"/>
              <w:rPr>
                <w:sz w:val="20"/>
                <w:szCs w:val="20"/>
                <w:color w:val="auto"/>
              </w:rPr>
            </w:pPr>
            <w:r>
              <w:rPr>
                <w:rFonts w:ascii="Arial" w:cs="Arial" w:eastAsia="Arial" w:hAnsi="Arial"/>
                <w:sz w:val="18"/>
                <w:szCs w:val="18"/>
                <w:color w:val="86B6A5"/>
              </w:rPr>
              <w:t>59.7</w:t>
            </w:r>
          </w:p>
        </w:tc>
        <w:tc>
          <w:tcPr>
            <w:tcW w:w="520" w:type="dxa"/>
            <w:vAlign w:val="bottom"/>
          </w:tcPr>
          <w:p>
            <w:pPr>
              <w:jc w:val="right"/>
              <w:ind w:right="330"/>
              <w:spacing w:after="0" w:line="195" w:lineRule="exact"/>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line="195" w:lineRule="exact"/>
              <w:rPr>
                <w:sz w:val="20"/>
                <w:szCs w:val="20"/>
                <w:color w:val="auto"/>
              </w:rPr>
            </w:pPr>
            <w:r>
              <w:rPr>
                <w:rFonts w:ascii="Arial" w:cs="Arial" w:eastAsia="Arial" w:hAnsi="Arial"/>
                <w:sz w:val="18"/>
                <w:szCs w:val="18"/>
                <w:color w:val="auto"/>
              </w:rPr>
              <w:t>67.4</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03"/>
        </w:trPr>
        <w:tc>
          <w:tcPr>
            <w:tcW w:w="8040" w:type="dxa"/>
            <w:vAlign w:val="bottom"/>
            <w:gridSpan w:val="2"/>
          </w:tcPr>
          <w:p>
            <w:pPr>
              <w:spacing w:after="0" w:line="202" w:lineRule="exact"/>
              <w:rPr>
                <w:sz w:val="20"/>
                <w:szCs w:val="20"/>
                <w:color w:val="auto"/>
              </w:rPr>
            </w:pPr>
            <w:r>
              <w:rPr>
                <w:rFonts w:ascii="Arial" w:cs="Arial" w:eastAsia="Arial" w:hAnsi="Arial"/>
                <w:sz w:val="18"/>
                <w:szCs w:val="18"/>
                <w:color w:val="auto"/>
              </w:rPr>
              <w:t>Current tax liability</w:t>
            </w:r>
          </w:p>
        </w:tc>
        <w:tc>
          <w:tcPr>
            <w:tcW w:w="120" w:type="dxa"/>
            <w:vAlign w:val="bottom"/>
            <w:shd w:val="clear" w:color="auto" w:fill="E3F1DA"/>
          </w:tcPr>
          <w:p>
            <w:pPr>
              <w:spacing w:after="0"/>
              <w:rPr>
                <w:sz w:val="17"/>
                <w:szCs w:val="17"/>
                <w:color w:val="auto"/>
              </w:rPr>
            </w:pPr>
          </w:p>
        </w:tc>
        <w:tc>
          <w:tcPr>
            <w:tcW w:w="1580" w:type="dxa"/>
            <w:vAlign w:val="bottom"/>
          </w:tcPr>
          <w:p>
            <w:pPr>
              <w:jc w:val="right"/>
              <w:ind w:right="130"/>
              <w:spacing w:after="0" w:line="202" w:lineRule="exact"/>
              <w:rPr>
                <w:sz w:val="20"/>
                <w:szCs w:val="20"/>
                <w:color w:val="auto"/>
              </w:rPr>
            </w:pPr>
            <w:r>
              <w:rPr>
                <w:rFonts w:ascii="Arial" w:cs="Arial" w:eastAsia="Arial" w:hAnsi="Arial"/>
                <w:sz w:val="18"/>
                <w:szCs w:val="18"/>
                <w:color w:val="86B6A5"/>
              </w:rPr>
              <w:t>–</w:t>
            </w:r>
          </w:p>
        </w:tc>
        <w:tc>
          <w:tcPr>
            <w:tcW w:w="520" w:type="dxa"/>
            <w:vAlign w:val="bottom"/>
          </w:tcPr>
          <w:p>
            <w:pPr>
              <w:spacing w:after="0"/>
              <w:rPr>
                <w:sz w:val="17"/>
                <w:szCs w:val="17"/>
                <w:color w:val="auto"/>
              </w:rPr>
            </w:pPr>
          </w:p>
        </w:tc>
        <w:tc>
          <w:tcPr>
            <w:tcW w:w="100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(3.4)</w:t>
            </w:r>
          </w:p>
        </w:tc>
      </w:tr>
      <w:tr>
        <w:trPr>
          <w:trHeight w:val="203"/>
        </w:trPr>
        <w:tc>
          <w:tcPr>
            <w:tcW w:w="8040" w:type="dxa"/>
            <w:vAlign w:val="bottom"/>
            <w:gridSpan w:val="2"/>
          </w:tcPr>
          <w:p>
            <w:pPr>
              <w:spacing w:after="0" w:line="202" w:lineRule="exact"/>
              <w:rPr>
                <w:sz w:val="20"/>
                <w:szCs w:val="20"/>
                <w:color w:val="auto"/>
              </w:rPr>
            </w:pPr>
            <w:r>
              <w:rPr>
                <w:rFonts w:ascii="Arial" w:cs="Arial" w:eastAsia="Arial" w:hAnsi="Arial"/>
                <w:sz w:val="18"/>
                <w:szCs w:val="18"/>
                <w:color w:val="auto"/>
              </w:rPr>
              <w:t>Noncurrent tax asset</w:t>
            </w:r>
          </w:p>
        </w:tc>
        <w:tc>
          <w:tcPr>
            <w:tcW w:w="120" w:type="dxa"/>
            <w:vAlign w:val="bottom"/>
            <w:shd w:val="clear" w:color="auto" w:fill="E3F1DA"/>
          </w:tcPr>
          <w:p>
            <w:pPr>
              <w:spacing w:after="0"/>
              <w:rPr>
                <w:sz w:val="17"/>
                <w:szCs w:val="17"/>
                <w:color w:val="auto"/>
              </w:rPr>
            </w:pPr>
          </w:p>
        </w:tc>
        <w:tc>
          <w:tcPr>
            <w:tcW w:w="1580" w:type="dxa"/>
            <w:vAlign w:val="bottom"/>
          </w:tcPr>
          <w:p>
            <w:pPr>
              <w:jc w:val="right"/>
              <w:ind w:right="130"/>
              <w:spacing w:after="0" w:line="202" w:lineRule="exact"/>
              <w:rPr>
                <w:sz w:val="20"/>
                <w:szCs w:val="20"/>
                <w:color w:val="auto"/>
              </w:rPr>
            </w:pPr>
            <w:r>
              <w:rPr>
                <w:rFonts w:ascii="Arial" w:cs="Arial" w:eastAsia="Arial" w:hAnsi="Arial"/>
                <w:sz w:val="18"/>
                <w:szCs w:val="18"/>
                <w:color w:val="86B6A5"/>
              </w:rPr>
              <w:t>128.1</w:t>
            </w:r>
          </w:p>
        </w:tc>
        <w:tc>
          <w:tcPr>
            <w:tcW w:w="520" w:type="dxa"/>
            <w:vAlign w:val="bottom"/>
          </w:tcPr>
          <w:p>
            <w:pPr>
              <w:spacing w:after="0"/>
              <w:rPr>
                <w:sz w:val="17"/>
                <w:szCs w:val="17"/>
                <w:color w:val="auto"/>
              </w:rPr>
            </w:pPr>
          </w:p>
        </w:tc>
        <w:tc>
          <w:tcPr>
            <w:tcW w:w="9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112.0</w:t>
            </w:r>
          </w:p>
        </w:tc>
        <w:tc>
          <w:tcPr>
            <w:tcW w:w="40" w:type="dxa"/>
            <w:vAlign w:val="bottom"/>
          </w:tcPr>
          <w:p>
            <w:pPr>
              <w:spacing w:after="0"/>
              <w:rPr>
                <w:sz w:val="17"/>
                <w:szCs w:val="17"/>
                <w:color w:val="auto"/>
              </w:rPr>
            </w:pPr>
          </w:p>
        </w:tc>
      </w:tr>
      <w:tr>
        <w:trPr>
          <w:trHeight w:val="203"/>
        </w:trPr>
        <w:tc>
          <w:tcPr>
            <w:tcW w:w="8040" w:type="dxa"/>
            <w:vAlign w:val="bottom"/>
            <w:gridSpan w:val="2"/>
          </w:tcPr>
          <w:p>
            <w:pPr>
              <w:spacing w:after="0" w:line="203" w:lineRule="exact"/>
              <w:rPr>
                <w:sz w:val="20"/>
                <w:szCs w:val="20"/>
                <w:color w:val="auto"/>
              </w:rPr>
            </w:pPr>
            <w:r>
              <w:rPr>
                <w:rFonts w:ascii="Arial" w:cs="Arial" w:eastAsia="Arial" w:hAnsi="Arial"/>
                <w:sz w:val="18"/>
                <w:szCs w:val="18"/>
                <w:color w:val="auto"/>
              </w:rPr>
              <w:t>Noncurrent tax liability</w:t>
            </w:r>
          </w:p>
        </w:tc>
        <w:tc>
          <w:tcPr>
            <w:tcW w:w="120" w:type="dxa"/>
            <w:vAlign w:val="bottom"/>
            <w:shd w:val="clear" w:color="auto" w:fill="E3F1DA"/>
          </w:tcPr>
          <w:p>
            <w:pPr>
              <w:spacing w:after="0"/>
              <w:rPr>
                <w:sz w:val="17"/>
                <w:szCs w:val="17"/>
                <w:color w:val="auto"/>
              </w:rPr>
            </w:pPr>
          </w:p>
        </w:tc>
        <w:tc>
          <w:tcPr>
            <w:tcW w:w="1580" w:type="dxa"/>
            <w:vAlign w:val="bottom"/>
          </w:tcPr>
          <w:p>
            <w:pPr>
              <w:jc w:val="right"/>
              <w:ind w:right="70"/>
              <w:spacing w:after="0" w:line="203" w:lineRule="exact"/>
              <w:rPr>
                <w:sz w:val="20"/>
                <w:szCs w:val="20"/>
                <w:color w:val="auto"/>
              </w:rPr>
            </w:pPr>
            <w:r>
              <w:rPr>
                <w:rFonts w:ascii="Arial" w:cs="Arial" w:eastAsia="Arial" w:hAnsi="Arial"/>
                <w:sz w:val="18"/>
                <w:szCs w:val="18"/>
                <w:color w:val="86B6A5"/>
              </w:rPr>
              <w:t>(17.6)</w:t>
            </w:r>
          </w:p>
        </w:tc>
        <w:tc>
          <w:tcPr>
            <w:tcW w:w="520" w:type="dxa"/>
            <w:vAlign w:val="bottom"/>
          </w:tcPr>
          <w:p>
            <w:pPr>
              <w:spacing w:after="0"/>
              <w:rPr>
                <w:sz w:val="17"/>
                <w:szCs w:val="17"/>
                <w:color w:val="auto"/>
              </w:rPr>
            </w:pPr>
          </w:p>
        </w:tc>
        <w:tc>
          <w:tcPr>
            <w:tcW w:w="1000" w:type="dxa"/>
            <w:vAlign w:val="bottom"/>
            <w:gridSpan w:val="3"/>
          </w:tcPr>
          <w:p>
            <w:pPr>
              <w:jc w:val="right"/>
              <w:spacing w:after="0" w:line="203" w:lineRule="exact"/>
              <w:rPr>
                <w:sz w:val="20"/>
                <w:szCs w:val="20"/>
                <w:color w:val="auto"/>
              </w:rPr>
            </w:pPr>
            <w:r>
              <w:rPr>
                <w:rFonts w:ascii="Arial" w:cs="Arial" w:eastAsia="Arial" w:hAnsi="Arial"/>
                <w:sz w:val="18"/>
                <w:szCs w:val="18"/>
                <w:color w:val="auto"/>
              </w:rPr>
              <w:t>(13.3)</w:t>
            </w:r>
          </w:p>
        </w:tc>
      </w:tr>
      <w:tr>
        <w:trPr>
          <w:trHeight w:val="196"/>
        </w:trPr>
        <w:tc>
          <w:tcPr>
            <w:tcW w:w="8040" w:type="dxa"/>
            <w:vAlign w:val="bottom"/>
            <w:tcBorders>
              <w:top w:val="single" w:sz="8" w:color="939598"/>
            </w:tcBorders>
            <w:gridSpan w:val="2"/>
          </w:tcPr>
          <w:p>
            <w:pPr>
              <w:spacing w:after="0" w:line="196" w:lineRule="exact"/>
              <w:rPr>
                <w:sz w:val="20"/>
                <w:szCs w:val="20"/>
                <w:color w:val="auto"/>
              </w:rPr>
            </w:pPr>
            <w:r>
              <w:rPr>
                <w:rFonts w:ascii="Arial" w:cs="Arial" w:eastAsia="Arial" w:hAnsi="Arial"/>
                <w:sz w:val="18"/>
                <w:szCs w:val="18"/>
                <w:color w:val="auto"/>
              </w:rPr>
              <w:t>Total future tax benefits</w:t>
            </w:r>
          </w:p>
        </w:tc>
        <w:tc>
          <w:tcPr>
            <w:tcW w:w="120" w:type="dxa"/>
            <w:vAlign w:val="bottom"/>
            <w:tcBorders>
              <w:top w:val="single" w:sz="8" w:color="939598"/>
            </w:tcBorders>
            <w:shd w:val="clear" w:color="auto" w:fill="E3F1DA"/>
          </w:tcPr>
          <w:p>
            <w:pPr>
              <w:jc w:val="right"/>
              <w:spacing w:after="0" w:line="196" w:lineRule="exact"/>
              <w:rPr>
                <w:sz w:val="20"/>
                <w:szCs w:val="20"/>
                <w:color w:val="auto"/>
              </w:rPr>
            </w:pPr>
            <w:r>
              <w:rPr>
                <w:rFonts w:ascii="Arial" w:cs="Arial" w:eastAsia="Arial" w:hAnsi="Arial"/>
                <w:sz w:val="18"/>
                <w:szCs w:val="18"/>
                <w:color w:val="86B6A5"/>
                <w:w w:val="79"/>
              </w:rPr>
              <w:t>$</w:t>
            </w:r>
          </w:p>
        </w:tc>
        <w:tc>
          <w:tcPr>
            <w:tcW w:w="1580" w:type="dxa"/>
            <w:vAlign w:val="bottom"/>
            <w:tcBorders>
              <w:top w:val="single" w:sz="8" w:color="939598"/>
            </w:tcBorders>
          </w:tcPr>
          <w:p>
            <w:pPr>
              <w:jc w:val="right"/>
              <w:ind w:right="130"/>
              <w:spacing w:after="0" w:line="196" w:lineRule="exact"/>
              <w:rPr>
                <w:sz w:val="20"/>
                <w:szCs w:val="20"/>
                <w:color w:val="auto"/>
              </w:rPr>
            </w:pPr>
            <w:r>
              <w:rPr>
                <w:rFonts w:ascii="Arial" w:cs="Arial" w:eastAsia="Arial" w:hAnsi="Arial"/>
                <w:sz w:val="18"/>
                <w:szCs w:val="18"/>
                <w:color w:val="86B6A5"/>
              </w:rPr>
              <w:t>170.2</w:t>
            </w:r>
          </w:p>
        </w:tc>
        <w:tc>
          <w:tcPr>
            <w:tcW w:w="520" w:type="dxa"/>
            <w:vAlign w:val="bottom"/>
            <w:tcBorders>
              <w:top w:val="single" w:sz="8" w:color="939598"/>
            </w:tcBorders>
          </w:tcPr>
          <w:p>
            <w:pPr>
              <w:jc w:val="right"/>
              <w:ind w:right="330"/>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939598"/>
            </w:tcBorders>
            <w:gridSpan w:val="2"/>
          </w:tcPr>
          <w:p>
            <w:pPr>
              <w:jc w:val="right"/>
              <w:ind w:right="20"/>
              <w:spacing w:after="0" w:line="196" w:lineRule="exact"/>
              <w:rPr>
                <w:sz w:val="20"/>
                <w:szCs w:val="20"/>
                <w:color w:val="auto"/>
              </w:rPr>
            </w:pPr>
            <w:r>
              <w:rPr>
                <w:rFonts w:ascii="Arial" w:cs="Arial" w:eastAsia="Arial" w:hAnsi="Arial"/>
                <w:sz w:val="18"/>
                <w:szCs w:val="18"/>
                <w:color w:val="auto"/>
              </w:rPr>
              <w:t>162.7</w:t>
            </w:r>
          </w:p>
        </w:tc>
        <w:tc>
          <w:tcPr>
            <w:tcW w:w="40" w:type="dxa"/>
            <w:vAlign w:val="bottom"/>
          </w:tcPr>
          <w:p>
            <w:pPr>
              <w:spacing w:after="0"/>
              <w:rPr>
                <w:sz w:val="17"/>
                <w:szCs w:val="17"/>
                <w:color w:val="auto"/>
              </w:rPr>
            </w:pPr>
          </w:p>
        </w:tc>
      </w:tr>
      <w:tr>
        <w:trPr>
          <w:trHeight w:val="27"/>
        </w:trPr>
        <w:tc>
          <w:tcPr>
            <w:tcW w:w="20" w:type="dxa"/>
            <w:vAlign w:val="bottom"/>
          </w:tcPr>
          <w:p>
            <w:pPr>
              <w:spacing w:after="0"/>
              <w:rPr>
                <w:sz w:val="2"/>
                <w:szCs w:val="2"/>
                <w:color w:val="auto"/>
              </w:rPr>
            </w:pPr>
          </w:p>
        </w:tc>
        <w:tc>
          <w:tcPr>
            <w:tcW w:w="8020" w:type="dxa"/>
            <w:vAlign w:val="bottom"/>
            <w:shd w:val="clear" w:color="auto" w:fill="939598"/>
          </w:tcPr>
          <w:p>
            <w:pPr>
              <w:spacing w:after="0"/>
              <w:rPr>
                <w:sz w:val="2"/>
                <w:szCs w:val="2"/>
                <w:color w:val="auto"/>
              </w:rPr>
            </w:pPr>
          </w:p>
        </w:tc>
        <w:tc>
          <w:tcPr>
            <w:tcW w:w="120" w:type="dxa"/>
            <w:vAlign w:val="bottom"/>
            <w:shd w:val="clear" w:color="auto" w:fill="939598"/>
          </w:tcPr>
          <w:p>
            <w:pPr>
              <w:spacing w:after="0"/>
              <w:rPr>
                <w:sz w:val="2"/>
                <w:szCs w:val="2"/>
                <w:color w:val="auto"/>
              </w:rPr>
            </w:pPr>
          </w:p>
        </w:tc>
        <w:tc>
          <w:tcPr>
            <w:tcW w:w="1580" w:type="dxa"/>
            <w:vAlign w:val="bottom"/>
            <w:shd w:val="clear" w:color="auto" w:fill="939598"/>
          </w:tcPr>
          <w:p>
            <w:pPr>
              <w:spacing w:after="0"/>
              <w:rPr>
                <w:sz w:val="2"/>
                <w:szCs w:val="2"/>
                <w:color w:val="auto"/>
              </w:rPr>
            </w:pPr>
          </w:p>
        </w:tc>
        <w:tc>
          <w:tcPr>
            <w:tcW w:w="520" w:type="dxa"/>
            <w:vAlign w:val="bottom"/>
            <w:shd w:val="clear" w:color="auto" w:fill="939598"/>
          </w:tcPr>
          <w:p>
            <w:pPr>
              <w:spacing w:after="0"/>
              <w:rPr>
                <w:sz w:val="2"/>
                <w:szCs w:val="2"/>
                <w:color w:val="auto"/>
              </w:rPr>
            </w:pPr>
          </w:p>
        </w:tc>
        <w:tc>
          <w:tcPr>
            <w:tcW w:w="940" w:type="dxa"/>
            <w:vAlign w:val="bottom"/>
            <w:shd w:val="clear" w:color="auto" w:fill="939598"/>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5176520</wp:posOffset>
            </wp:positionH>
            <wp:positionV relativeFrom="paragraph">
              <wp:posOffset>-2512060</wp:posOffset>
            </wp:positionV>
            <wp:extent cx="1003300" cy="250444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003300" cy="2504440"/>
                    </a:xfrm>
                    <a:prstGeom prst="rect">
                      <a:avLst/>
                    </a:prstGeom>
                    <a:noFill/>
                  </pic:spPr>
                </pic:pic>
              </a:graphicData>
            </a:graphic>
          </wp:anchor>
        </w:drawing>
      </w:r>
    </w:p>
    <w:p>
      <w:pPr>
        <w:spacing w:after="0" w:line="195"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The current tax liability is recorded in Accrued Liabilities, the noncurrent tax asset is recorded in Other Assets and the noncurrent tax liability is recorded in Other Long-Term Liabilities in the Consolidated Balance Sheets.</w:t>
      </w:r>
    </w:p>
    <w:p>
      <w:pPr>
        <w:spacing w:after="0" w:line="197"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We have U.S. Federal and non-U.S. net operating loss carryforwards and U.S. state net operating loss carryforwards totaling $564.4 and $252.7, respectively, as of December 31, 2010. The net operating loss carryforwards expire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5240" w:type="dxa"/>
            <w:vAlign w:val="bottom"/>
          </w:tcPr>
          <w:p>
            <w:pPr>
              <w:spacing w:after="0"/>
              <w:rPr>
                <w:sz w:val="19"/>
                <w:szCs w:val="19"/>
                <w:color w:val="auto"/>
              </w:rPr>
            </w:pPr>
          </w:p>
        </w:tc>
        <w:tc>
          <w:tcPr>
            <w:tcW w:w="4360" w:type="dxa"/>
            <w:vAlign w:val="bottom"/>
            <w:gridSpan w:val="2"/>
          </w:tcPr>
          <w:p>
            <w:pPr>
              <w:ind w:left="2260"/>
              <w:spacing w:after="0"/>
              <w:rPr>
                <w:sz w:val="20"/>
                <w:szCs w:val="20"/>
                <w:color w:val="auto"/>
              </w:rPr>
            </w:pPr>
            <w:r>
              <w:rPr>
                <w:rFonts w:ascii="Arial" w:cs="Arial" w:eastAsia="Arial" w:hAnsi="Arial"/>
                <w:sz w:val="16"/>
                <w:szCs w:val="16"/>
                <w:b w:val="1"/>
                <w:bCs w:val="1"/>
                <w:color w:val="86B6A5"/>
              </w:rPr>
              <w:t>U.S. Federal and Non-U.S.</w:t>
            </w:r>
          </w:p>
        </w:tc>
        <w:tc>
          <w:tcPr>
            <w:tcW w:w="52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6"/>
                <w:szCs w:val="16"/>
                <w:b w:val="1"/>
                <w:bCs w:val="1"/>
                <w:color w:val="86B6A5"/>
              </w:rPr>
              <w:t>U.S. State</w:t>
            </w:r>
          </w:p>
        </w:tc>
      </w:tr>
      <w:tr>
        <w:trPr>
          <w:trHeight w:val="202"/>
        </w:trPr>
        <w:tc>
          <w:tcPr>
            <w:tcW w:w="20" w:type="dxa"/>
            <w:vAlign w:val="bottom"/>
          </w:tcPr>
          <w:p>
            <w:pPr>
              <w:spacing w:after="0"/>
              <w:rPr>
                <w:sz w:val="17"/>
                <w:szCs w:val="17"/>
                <w:color w:val="auto"/>
              </w:rPr>
            </w:pPr>
          </w:p>
        </w:tc>
        <w:tc>
          <w:tcPr>
            <w:tcW w:w="5240" w:type="dxa"/>
            <w:vAlign w:val="bottom"/>
            <w:tcBorders>
              <w:top w:val="single" w:sz="8" w:color="86B6A5"/>
            </w:tcBorders>
          </w:tcPr>
          <w:p>
            <w:pPr>
              <w:spacing w:after="0" w:line="201" w:lineRule="exact"/>
              <w:rPr>
                <w:sz w:val="20"/>
                <w:szCs w:val="20"/>
                <w:color w:val="auto"/>
              </w:rPr>
            </w:pPr>
            <w:r>
              <w:rPr>
                <w:rFonts w:ascii="Arial" w:cs="Arial" w:eastAsia="Arial" w:hAnsi="Arial"/>
                <w:sz w:val="18"/>
                <w:szCs w:val="18"/>
                <w:color w:val="auto"/>
              </w:rPr>
              <w:t>2011</w:t>
            </w:r>
          </w:p>
        </w:tc>
        <w:tc>
          <w:tcPr>
            <w:tcW w:w="3080" w:type="dxa"/>
            <w:vAlign w:val="bottom"/>
            <w:tcBorders>
              <w:top w:val="single" w:sz="8" w:color="86B6A5"/>
            </w:tcBorders>
          </w:tcPr>
          <w:p>
            <w:pPr>
              <w:ind w:left="2260"/>
              <w:spacing w:after="0" w:line="201" w:lineRule="exact"/>
              <w:rPr>
                <w:sz w:val="20"/>
                <w:szCs w:val="20"/>
                <w:color w:val="auto"/>
              </w:rPr>
            </w:pPr>
            <w:r>
              <w:rPr>
                <w:rFonts w:ascii="Arial" w:cs="Arial" w:eastAsia="Arial" w:hAnsi="Arial"/>
                <w:sz w:val="18"/>
                <w:szCs w:val="18"/>
                <w:color w:val="auto"/>
              </w:rPr>
              <w:t>$</w:t>
            </w:r>
          </w:p>
        </w:tc>
        <w:tc>
          <w:tcPr>
            <w:tcW w:w="1280" w:type="dxa"/>
            <w:vAlign w:val="bottom"/>
            <w:tcBorders>
              <w:top w:val="single" w:sz="8" w:color="86B6A5"/>
            </w:tcBorders>
          </w:tcPr>
          <w:p>
            <w:pPr>
              <w:jc w:val="right"/>
              <w:ind w:right="10"/>
              <w:spacing w:after="0" w:line="201" w:lineRule="exact"/>
              <w:rPr>
                <w:sz w:val="20"/>
                <w:szCs w:val="20"/>
                <w:color w:val="auto"/>
              </w:rPr>
            </w:pPr>
            <w:r>
              <w:rPr>
                <w:rFonts w:ascii="Arial" w:cs="Arial" w:eastAsia="Arial" w:hAnsi="Arial"/>
                <w:sz w:val="18"/>
                <w:szCs w:val="18"/>
                <w:color w:val="auto"/>
              </w:rPr>
              <w:t>3.5</w:t>
            </w:r>
          </w:p>
        </w:tc>
        <w:tc>
          <w:tcPr>
            <w:tcW w:w="520" w:type="dxa"/>
            <w:vAlign w:val="bottom"/>
            <w:tcBorders>
              <w:top w:val="single" w:sz="8" w:color="86B6A5"/>
            </w:tcBorders>
          </w:tcPr>
          <w:p>
            <w:pPr>
              <w:jc w:val="right"/>
              <w:ind w:right="210"/>
              <w:spacing w:after="0" w:line="201" w:lineRule="exact"/>
              <w:rPr>
                <w:sz w:val="20"/>
                <w:szCs w:val="20"/>
                <w:color w:val="auto"/>
              </w:rPr>
            </w:pPr>
            <w:r>
              <w:rPr>
                <w:rFonts w:ascii="Arial" w:cs="Arial" w:eastAsia="Arial" w:hAnsi="Arial"/>
                <w:sz w:val="18"/>
                <w:szCs w:val="18"/>
                <w:color w:val="auto"/>
              </w:rPr>
              <w:t>$</w:t>
            </w:r>
          </w:p>
        </w:tc>
        <w:tc>
          <w:tcPr>
            <w:tcW w:w="1060" w:type="dxa"/>
            <w:vAlign w:val="bottom"/>
            <w:tcBorders>
              <w:top w:val="single" w:sz="8" w:color="86B6A5"/>
            </w:tcBorders>
          </w:tcPr>
          <w:p>
            <w:pPr>
              <w:jc w:val="right"/>
              <w:spacing w:after="0" w:line="201" w:lineRule="exact"/>
              <w:rPr>
                <w:sz w:val="20"/>
                <w:szCs w:val="20"/>
                <w:color w:val="auto"/>
              </w:rPr>
            </w:pPr>
            <w:r>
              <w:rPr>
                <w:rFonts w:ascii="Arial" w:cs="Arial" w:eastAsia="Arial" w:hAnsi="Arial"/>
                <w:sz w:val="18"/>
                <w:szCs w:val="18"/>
                <w:color w:val="auto"/>
              </w:rPr>
              <w:t>3.1</w:t>
            </w:r>
          </w:p>
        </w:tc>
        <w:tc>
          <w:tcPr>
            <w:tcW w:w="20" w:type="dxa"/>
            <w:vAlign w:val="bottom"/>
          </w:tcPr>
          <w:p>
            <w:pPr>
              <w:spacing w:after="0"/>
              <w:rPr>
                <w:sz w:val="17"/>
                <w:szCs w:val="17"/>
                <w:color w:val="auto"/>
              </w:rPr>
            </w:pPr>
          </w:p>
        </w:tc>
      </w:tr>
      <w:tr>
        <w:trPr>
          <w:trHeight w:val="203"/>
        </w:trPr>
        <w:tc>
          <w:tcPr>
            <w:tcW w:w="5260" w:type="dxa"/>
            <w:vAlign w:val="bottom"/>
            <w:gridSpan w:val="2"/>
          </w:tcPr>
          <w:p>
            <w:pPr>
              <w:spacing w:after="0" w:line="202" w:lineRule="exact"/>
              <w:rPr>
                <w:sz w:val="20"/>
                <w:szCs w:val="20"/>
                <w:color w:val="auto"/>
              </w:rPr>
            </w:pPr>
            <w:r>
              <w:rPr>
                <w:rFonts w:ascii="Arial" w:cs="Arial" w:eastAsia="Arial" w:hAnsi="Arial"/>
                <w:sz w:val="18"/>
                <w:szCs w:val="18"/>
                <w:color w:val="auto"/>
              </w:rPr>
              <w:t>2012</w:t>
            </w:r>
          </w:p>
        </w:tc>
        <w:tc>
          <w:tcPr>
            <w:tcW w:w="3080" w:type="dxa"/>
            <w:vAlign w:val="bottom"/>
          </w:tcPr>
          <w:p>
            <w:pPr>
              <w:spacing w:after="0"/>
              <w:rPr>
                <w:sz w:val="17"/>
                <w:szCs w:val="17"/>
                <w:color w:val="auto"/>
              </w:rPr>
            </w:pPr>
          </w:p>
        </w:tc>
        <w:tc>
          <w:tcPr>
            <w:tcW w:w="12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5.1</w:t>
            </w:r>
          </w:p>
        </w:tc>
        <w:tc>
          <w:tcPr>
            <w:tcW w:w="520" w:type="dxa"/>
            <w:vAlign w:val="bottom"/>
          </w:tcPr>
          <w:p>
            <w:pPr>
              <w:spacing w:after="0"/>
              <w:rPr>
                <w:sz w:val="17"/>
                <w:szCs w:val="17"/>
                <w:color w:val="auto"/>
              </w:rPr>
            </w:pPr>
          </w:p>
        </w:tc>
        <w:tc>
          <w:tcPr>
            <w:tcW w:w="10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1.1</w:t>
            </w:r>
          </w:p>
        </w:tc>
      </w:tr>
      <w:tr>
        <w:trPr>
          <w:trHeight w:val="203"/>
        </w:trPr>
        <w:tc>
          <w:tcPr>
            <w:tcW w:w="5260" w:type="dxa"/>
            <w:vAlign w:val="bottom"/>
            <w:gridSpan w:val="2"/>
          </w:tcPr>
          <w:p>
            <w:pPr>
              <w:spacing w:after="0" w:line="202" w:lineRule="exact"/>
              <w:rPr>
                <w:sz w:val="20"/>
                <w:szCs w:val="20"/>
                <w:color w:val="auto"/>
              </w:rPr>
            </w:pPr>
            <w:r>
              <w:rPr>
                <w:rFonts w:ascii="Arial" w:cs="Arial" w:eastAsia="Arial" w:hAnsi="Arial"/>
                <w:sz w:val="18"/>
                <w:szCs w:val="18"/>
                <w:color w:val="auto"/>
              </w:rPr>
              <w:t>2013</w:t>
            </w:r>
          </w:p>
        </w:tc>
        <w:tc>
          <w:tcPr>
            <w:tcW w:w="3080" w:type="dxa"/>
            <w:vAlign w:val="bottom"/>
          </w:tcPr>
          <w:p>
            <w:pPr>
              <w:spacing w:after="0"/>
              <w:rPr>
                <w:sz w:val="17"/>
                <w:szCs w:val="17"/>
                <w:color w:val="auto"/>
              </w:rPr>
            </w:pPr>
          </w:p>
        </w:tc>
        <w:tc>
          <w:tcPr>
            <w:tcW w:w="12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11.5</w:t>
            </w:r>
          </w:p>
        </w:tc>
        <w:tc>
          <w:tcPr>
            <w:tcW w:w="52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19.1</w:t>
            </w:r>
          </w:p>
        </w:tc>
        <w:tc>
          <w:tcPr>
            <w:tcW w:w="20" w:type="dxa"/>
            <w:vAlign w:val="bottom"/>
          </w:tcPr>
          <w:p>
            <w:pPr>
              <w:spacing w:after="0"/>
              <w:rPr>
                <w:sz w:val="17"/>
                <w:szCs w:val="17"/>
                <w:color w:val="auto"/>
              </w:rPr>
            </w:pPr>
          </w:p>
        </w:tc>
      </w:tr>
      <w:tr>
        <w:trPr>
          <w:trHeight w:val="203"/>
        </w:trPr>
        <w:tc>
          <w:tcPr>
            <w:tcW w:w="5260" w:type="dxa"/>
            <w:vAlign w:val="bottom"/>
            <w:gridSpan w:val="2"/>
          </w:tcPr>
          <w:p>
            <w:pPr>
              <w:spacing w:after="0" w:line="202" w:lineRule="exact"/>
              <w:rPr>
                <w:sz w:val="20"/>
                <w:szCs w:val="20"/>
                <w:color w:val="auto"/>
              </w:rPr>
            </w:pPr>
            <w:r>
              <w:rPr>
                <w:rFonts w:ascii="Arial" w:cs="Arial" w:eastAsia="Arial" w:hAnsi="Arial"/>
                <w:sz w:val="18"/>
                <w:szCs w:val="18"/>
                <w:color w:val="auto"/>
              </w:rPr>
              <w:t>2014</w:t>
            </w:r>
          </w:p>
        </w:tc>
        <w:tc>
          <w:tcPr>
            <w:tcW w:w="3080" w:type="dxa"/>
            <w:vAlign w:val="bottom"/>
          </w:tcPr>
          <w:p>
            <w:pPr>
              <w:spacing w:after="0"/>
              <w:rPr>
                <w:sz w:val="17"/>
                <w:szCs w:val="17"/>
                <w:color w:val="auto"/>
              </w:rPr>
            </w:pPr>
          </w:p>
        </w:tc>
        <w:tc>
          <w:tcPr>
            <w:tcW w:w="12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22.2</w:t>
            </w:r>
          </w:p>
        </w:tc>
        <w:tc>
          <w:tcPr>
            <w:tcW w:w="520" w:type="dxa"/>
            <w:vAlign w:val="bottom"/>
          </w:tcPr>
          <w:p>
            <w:pPr>
              <w:spacing w:after="0"/>
              <w:rPr>
                <w:sz w:val="17"/>
                <w:szCs w:val="17"/>
                <w:color w:val="auto"/>
              </w:rPr>
            </w:pPr>
          </w:p>
        </w:tc>
        <w:tc>
          <w:tcPr>
            <w:tcW w:w="10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2.4</w:t>
            </w:r>
          </w:p>
        </w:tc>
      </w:tr>
      <w:tr>
        <w:trPr>
          <w:trHeight w:val="203"/>
        </w:trPr>
        <w:tc>
          <w:tcPr>
            <w:tcW w:w="5260" w:type="dxa"/>
            <w:vAlign w:val="bottom"/>
            <w:gridSpan w:val="2"/>
          </w:tcPr>
          <w:p>
            <w:pPr>
              <w:spacing w:after="0" w:line="202" w:lineRule="exact"/>
              <w:rPr>
                <w:sz w:val="20"/>
                <w:szCs w:val="20"/>
                <w:color w:val="auto"/>
              </w:rPr>
            </w:pPr>
            <w:r>
              <w:rPr>
                <w:rFonts w:ascii="Arial" w:cs="Arial" w:eastAsia="Arial" w:hAnsi="Arial"/>
                <w:sz w:val="18"/>
                <w:szCs w:val="18"/>
                <w:color w:val="auto"/>
              </w:rPr>
              <w:t>2015</w:t>
            </w:r>
          </w:p>
        </w:tc>
        <w:tc>
          <w:tcPr>
            <w:tcW w:w="3080" w:type="dxa"/>
            <w:vAlign w:val="bottom"/>
          </w:tcPr>
          <w:p>
            <w:pPr>
              <w:spacing w:after="0"/>
              <w:rPr>
                <w:sz w:val="17"/>
                <w:szCs w:val="17"/>
                <w:color w:val="auto"/>
              </w:rPr>
            </w:pPr>
          </w:p>
        </w:tc>
        <w:tc>
          <w:tcPr>
            <w:tcW w:w="12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19.4</w:t>
            </w:r>
          </w:p>
        </w:tc>
        <w:tc>
          <w:tcPr>
            <w:tcW w:w="520" w:type="dxa"/>
            <w:vAlign w:val="bottom"/>
          </w:tcPr>
          <w:p>
            <w:pPr>
              <w:spacing w:after="0"/>
              <w:rPr>
                <w:sz w:val="17"/>
                <w:szCs w:val="17"/>
                <w:color w:val="auto"/>
              </w:rPr>
            </w:pPr>
          </w:p>
        </w:tc>
        <w:tc>
          <w:tcPr>
            <w:tcW w:w="10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3.0</w:t>
            </w:r>
          </w:p>
        </w:tc>
      </w:tr>
      <w:tr>
        <w:trPr>
          <w:trHeight w:val="203"/>
        </w:trPr>
        <w:tc>
          <w:tcPr>
            <w:tcW w:w="5260" w:type="dxa"/>
            <w:vAlign w:val="bottom"/>
            <w:gridSpan w:val="2"/>
          </w:tcPr>
          <w:p>
            <w:pPr>
              <w:spacing w:after="0" w:line="202" w:lineRule="exact"/>
              <w:rPr>
                <w:sz w:val="20"/>
                <w:szCs w:val="20"/>
                <w:color w:val="auto"/>
              </w:rPr>
            </w:pPr>
            <w:r>
              <w:rPr>
                <w:rFonts w:ascii="Arial" w:cs="Arial" w:eastAsia="Arial" w:hAnsi="Arial"/>
                <w:sz w:val="18"/>
                <w:szCs w:val="18"/>
                <w:color w:val="auto"/>
              </w:rPr>
              <w:t>Thereafter</w:t>
            </w:r>
          </w:p>
        </w:tc>
        <w:tc>
          <w:tcPr>
            <w:tcW w:w="3080" w:type="dxa"/>
            <w:vAlign w:val="bottom"/>
          </w:tcPr>
          <w:p>
            <w:pPr>
              <w:spacing w:after="0"/>
              <w:rPr>
                <w:sz w:val="17"/>
                <w:szCs w:val="17"/>
                <w:color w:val="auto"/>
              </w:rPr>
            </w:pPr>
          </w:p>
        </w:tc>
        <w:tc>
          <w:tcPr>
            <w:tcW w:w="12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198.0</w:t>
            </w:r>
          </w:p>
        </w:tc>
        <w:tc>
          <w:tcPr>
            <w:tcW w:w="520" w:type="dxa"/>
            <w:vAlign w:val="bottom"/>
          </w:tcPr>
          <w:p>
            <w:pPr>
              <w:spacing w:after="0"/>
              <w:rPr>
                <w:sz w:val="17"/>
                <w:szCs w:val="17"/>
                <w:color w:val="auto"/>
              </w:rPr>
            </w:pPr>
          </w:p>
        </w:tc>
        <w:tc>
          <w:tcPr>
            <w:tcW w:w="10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224.0</w:t>
            </w:r>
          </w:p>
        </w:tc>
      </w:tr>
      <w:tr>
        <w:trPr>
          <w:trHeight w:val="203"/>
        </w:trPr>
        <w:tc>
          <w:tcPr>
            <w:tcW w:w="5260" w:type="dxa"/>
            <w:vAlign w:val="bottom"/>
            <w:tcBorders>
              <w:bottom w:val="single" w:sz="8" w:color="939598"/>
            </w:tcBorders>
            <w:gridSpan w:val="2"/>
          </w:tcPr>
          <w:p>
            <w:pPr>
              <w:spacing w:after="0" w:line="203" w:lineRule="exact"/>
              <w:rPr>
                <w:sz w:val="20"/>
                <w:szCs w:val="20"/>
                <w:color w:val="auto"/>
              </w:rPr>
            </w:pPr>
            <w:r>
              <w:rPr>
                <w:rFonts w:ascii="Arial" w:cs="Arial" w:eastAsia="Arial" w:hAnsi="Arial"/>
                <w:sz w:val="18"/>
                <w:szCs w:val="18"/>
                <w:color w:val="auto"/>
              </w:rPr>
              <w:t>No expirations</w:t>
            </w:r>
          </w:p>
        </w:tc>
        <w:tc>
          <w:tcPr>
            <w:tcW w:w="3080" w:type="dxa"/>
            <w:vAlign w:val="bottom"/>
            <w:tcBorders>
              <w:bottom w:val="single" w:sz="8" w:color="939598"/>
            </w:tcBorders>
          </w:tcPr>
          <w:p>
            <w:pPr>
              <w:spacing w:after="0"/>
              <w:rPr>
                <w:sz w:val="17"/>
                <w:szCs w:val="17"/>
                <w:color w:val="auto"/>
              </w:rPr>
            </w:pPr>
          </w:p>
        </w:tc>
        <w:tc>
          <w:tcPr>
            <w:tcW w:w="1280" w:type="dxa"/>
            <w:vAlign w:val="bottom"/>
            <w:tcBorders>
              <w:bottom w:val="single" w:sz="8" w:color="939598"/>
            </w:tcBorders>
          </w:tcPr>
          <w:p>
            <w:pPr>
              <w:jc w:val="right"/>
              <w:ind w:right="10"/>
              <w:spacing w:after="0" w:line="203" w:lineRule="exact"/>
              <w:rPr>
                <w:sz w:val="20"/>
                <w:szCs w:val="20"/>
                <w:color w:val="auto"/>
              </w:rPr>
            </w:pPr>
            <w:r>
              <w:rPr>
                <w:rFonts w:ascii="Arial" w:cs="Arial" w:eastAsia="Arial" w:hAnsi="Arial"/>
                <w:sz w:val="18"/>
                <w:szCs w:val="18"/>
                <w:color w:val="auto"/>
              </w:rPr>
              <w:t>304.7</w:t>
            </w:r>
          </w:p>
        </w:tc>
        <w:tc>
          <w:tcPr>
            <w:tcW w:w="520" w:type="dxa"/>
            <w:vAlign w:val="bottom"/>
            <w:tcBorders>
              <w:bottom w:val="single" w:sz="8" w:color="939598"/>
            </w:tcBorders>
          </w:tcPr>
          <w:p>
            <w:pPr>
              <w:spacing w:after="0"/>
              <w:rPr>
                <w:sz w:val="17"/>
                <w:szCs w:val="17"/>
                <w:color w:val="auto"/>
              </w:rPr>
            </w:pPr>
          </w:p>
        </w:tc>
        <w:tc>
          <w:tcPr>
            <w:tcW w:w="1080" w:type="dxa"/>
            <w:vAlign w:val="bottom"/>
            <w:tcBorders>
              <w:bottom w:val="single" w:sz="8" w:color="939598"/>
            </w:tcBorders>
            <w:gridSpan w:val="2"/>
          </w:tcPr>
          <w:p>
            <w:pPr>
              <w:jc w:val="right"/>
              <w:ind w:right="20"/>
              <w:spacing w:after="0" w:line="203" w:lineRule="exact"/>
              <w:rPr>
                <w:sz w:val="20"/>
                <w:szCs w:val="20"/>
                <w:color w:val="auto"/>
              </w:rPr>
            </w:pPr>
            <w:r>
              <w:rPr>
                <w:rFonts w:ascii="Arial" w:cs="Arial" w:eastAsia="Arial" w:hAnsi="Arial"/>
                <w:sz w:val="18"/>
                <w:szCs w:val="18"/>
                <w:color w:val="auto"/>
              </w:rPr>
              <w:t>–</w:t>
            </w:r>
          </w:p>
        </w:tc>
      </w:tr>
      <w:tr>
        <w:trPr>
          <w:trHeight w:val="203"/>
        </w:trPr>
        <w:tc>
          <w:tcPr>
            <w:tcW w:w="5260" w:type="dxa"/>
            <w:vAlign w:val="bottom"/>
            <w:tcBorders>
              <w:bottom w:val="single" w:sz="8" w:color="939598"/>
            </w:tcBorders>
            <w:gridSpan w:val="2"/>
          </w:tcPr>
          <w:p>
            <w:pPr>
              <w:spacing w:after="0" w:line="196" w:lineRule="exact"/>
              <w:rPr>
                <w:sz w:val="20"/>
                <w:szCs w:val="20"/>
                <w:color w:val="auto"/>
              </w:rPr>
            </w:pPr>
            <w:r>
              <w:rPr>
                <w:rFonts w:ascii="Arial" w:cs="Arial" w:eastAsia="Arial" w:hAnsi="Arial"/>
                <w:sz w:val="18"/>
                <w:szCs w:val="18"/>
                <w:color w:val="auto"/>
              </w:rPr>
              <w:t>Total net operating loss carryforwards</w:t>
            </w:r>
          </w:p>
        </w:tc>
        <w:tc>
          <w:tcPr>
            <w:tcW w:w="3080" w:type="dxa"/>
            <w:vAlign w:val="bottom"/>
            <w:tcBorders>
              <w:bottom w:val="single" w:sz="8" w:color="939598"/>
            </w:tcBorders>
          </w:tcPr>
          <w:p>
            <w:pPr>
              <w:ind w:left="2260"/>
              <w:spacing w:after="0" w:line="196" w:lineRule="exact"/>
              <w:rPr>
                <w:sz w:val="20"/>
                <w:szCs w:val="20"/>
                <w:color w:val="auto"/>
              </w:rPr>
            </w:pPr>
            <w:r>
              <w:rPr>
                <w:rFonts w:ascii="Arial" w:cs="Arial" w:eastAsia="Arial" w:hAnsi="Arial"/>
                <w:sz w:val="18"/>
                <w:szCs w:val="18"/>
                <w:color w:val="auto"/>
              </w:rPr>
              <w:t>$</w:t>
            </w:r>
          </w:p>
        </w:tc>
        <w:tc>
          <w:tcPr>
            <w:tcW w:w="1280" w:type="dxa"/>
            <w:vAlign w:val="bottom"/>
            <w:tcBorders>
              <w:bottom w:val="single" w:sz="8" w:color="939598"/>
            </w:tcBorders>
          </w:tcPr>
          <w:p>
            <w:pPr>
              <w:jc w:val="right"/>
              <w:ind w:right="10"/>
              <w:spacing w:after="0" w:line="196" w:lineRule="exact"/>
              <w:rPr>
                <w:sz w:val="20"/>
                <w:szCs w:val="20"/>
                <w:color w:val="auto"/>
              </w:rPr>
            </w:pPr>
            <w:r>
              <w:rPr>
                <w:rFonts w:ascii="Arial" w:cs="Arial" w:eastAsia="Arial" w:hAnsi="Arial"/>
                <w:sz w:val="18"/>
                <w:szCs w:val="18"/>
                <w:color w:val="auto"/>
              </w:rPr>
              <w:t>564.4</w:t>
            </w:r>
          </w:p>
        </w:tc>
        <w:tc>
          <w:tcPr>
            <w:tcW w:w="520" w:type="dxa"/>
            <w:vAlign w:val="bottom"/>
            <w:tcBorders>
              <w:bottom w:val="single" w:sz="8" w:color="939598"/>
            </w:tcBorders>
          </w:tcPr>
          <w:p>
            <w:pPr>
              <w:jc w:val="right"/>
              <w:ind w:right="210"/>
              <w:spacing w:after="0" w:line="196" w:lineRule="exact"/>
              <w:rPr>
                <w:sz w:val="20"/>
                <w:szCs w:val="20"/>
                <w:color w:val="auto"/>
              </w:rPr>
            </w:pPr>
            <w:r>
              <w:rPr>
                <w:rFonts w:ascii="Arial" w:cs="Arial" w:eastAsia="Arial" w:hAnsi="Arial"/>
                <w:sz w:val="18"/>
                <w:szCs w:val="18"/>
                <w:color w:val="auto"/>
              </w:rPr>
              <w:t>$</w:t>
            </w:r>
          </w:p>
        </w:tc>
        <w:tc>
          <w:tcPr>
            <w:tcW w:w="1080" w:type="dxa"/>
            <w:vAlign w:val="bottom"/>
            <w:tcBorders>
              <w:bottom w:val="single" w:sz="8" w:color="939598"/>
            </w:tcBorders>
            <w:gridSpan w:val="2"/>
          </w:tcPr>
          <w:p>
            <w:pPr>
              <w:jc w:val="right"/>
              <w:ind w:right="20"/>
              <w:spacing w:after="0" w:line="196" w:lineRule="exact"/>
              <w:rPr>
                <w:sz w:val="20"/>
                <w:szCs w:val="20"/>
                <w:color w:val="auto"/>
              </w:rPr>
            </w:pPr>
            <w:r>
              <w:rPr>
                <w:rFonts w:ascii="Arial" w:cs="Arial" w:eastAsia="Arial" w:hAnsi="Arial"/>
                <w:sz w:val="18"/>
                <w:szCs w:val="18"/>
                <w:color w:val="auto"/>
              </w:rPr>
              <w:t>252.7</w:t>
            </w:r>
          </w:p>
        </w:tc>
      </w:tr>
    </w:tbl>
    <w:p>
      <w:pPr>
        <w:spacing w:after="0" w:line="215"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We have recorded a deferred tax asset of $182.9 as of December 31, 2010, for the benefit of these net operating losses. Realization of this asset is dependent on generating sufficient taxable income prior to the expiration of the loss carryforwards. A related valuation allowance of $117.0 has been recorded as of December 31, 2010, as management believes that realization of certain net operating loss carryforwards is unlikely.</w:t>
      </w:r>
    </w:p>
    <w:p>
      <w:pPr>
        <w:spacing w:after="0" w:line="202"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Pretax income of non-U.S operations was $191.1, $3.4 and $454.7 in 2010, 2009 and 2008, respectively. We have not provided U.S. income taxes and non-U.S. withholding taxes on $468.0 of unremitted earnings of non-U.S. subsidiaries that are considered to be reinvested indefinitely. Deferred taxes are provided on the earnings of non-U.S. subsidiaries that will likely be remitted to the U.S. As of December 31, 2010 and 2009, we have recorded a deferred tax liability of $23.6 and $31.7, respectively, related to non-U.S. earnings that we plan to remit.</w:t>
      </w:r>
    </w:p>
    <w:p>
      <w:pPr>
        <w:spacing w:after="0" w:line="202"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As of December 31, 2010, we have gross unrecognized tax benefits related to various tax jurisdictions, including interest and penalties, of $26.4. We have related tax benefits of $4.3, and the net amount of $ 22.1 would favorably affect the effective tax rate if recognized. During 2010, the IRS audit of 2006 and 2007 was closed. We do not expect our unrecognized tax benefits to change significantly over the next 12 months.</w:t>
      </w:r>
    </w:p>
    <w:p>
      <w:pPr>
        <w:spacing w:after="0" w:line="185"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939598"/>
        </w:rPr>
        <w:t xml:space="preserve">Notes to Consolidated Financial Statements </w:t>
      </w:r>
      <w:r>
        <w:rPr>
          <w:rFonts w:ascii="Arial" w:cs="Arial" w:eastAsia="Arial" w:hAnsi="Arial"/>
          <w:sz w:val="16"/>
          <w:szCs w:val="16"/>
          <w:color w:val="4D8ABE"/>
        </w:rPr>
        <w:t>Manpower 2010 Annual Report</w:t>
      </w:r>
      <w:r>
        <w:rPr>
          <w:rFonts w:ascii="Arial" w:cs="Arial" w:eastAsia="Arial" w:hAnsi="Arial"/>
          <w:sz w:val="16"/>
          <w:szCs w:val="16"/>
          <w:b w:val="1"/>
          <w:bCs w:val="1"/>
          <w:color w:val="939598"/>
        </w:rPr>
        <w:t xml:space="preserve"> </w:t>
      </w:r>
      <w:r>
        <w:rPr>
          <w:rFonts w:ascii="Arial" w:cs="Arial" w:eastAsia="Arial" w:hAnsi="Arial"/>
          <w:sz w:val="16"/>
          <w:szCs w:val="16"/>
          <w:b w:val="1"/>
          <w:bCs w:val="1"/>
          <w:color w:val="4D8ABE"/>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wp:posOffset>
            </wp:positionV>
            <wp:extent cx="7267575" cy="469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ectPr>
          <w:pgSz w:w="11900" w:h="16838" w:orient="portrait"/>
          <w:cols w:equalWidth="0" w:num="1">
            <w:col w:w="11420"/>
          </w:cols>
          <w:pgMar w:left="240" w:top="350" w:right="239" w:bottom="1440" w:gutter="0" w:footer="0" w:header="0"/>
        </w:sectPr>
      </w:pPr>
    </w:p>
    <w:bookmarkStart w:id="92" w:name="page93"/>
    <w:bookmarkEnd w:id="92"/>
    <w:p>
      <w:pPr>
        <w:spacing w:after="0"/>
        <w:rPr>
          <w:sz w:val="20"/>
          <w:szCs w:val="20"/>
          <w:color w:val="auto"/>
        </w:rPr>
      </w:pPr>
      <w:r>
        <w:rPr>
          <w:rFonts w:ascii="Arial" w:cs="Arial" w:eastAsia="Arial" w:hAnsi="Arial"/>
          <w:sz w:val="22"/>
          <w:szCs w:val="22"/>
          <w:color w:val="4D8ABE"/>
        </w:rPr>
        <w:t>Notes To Consolidated Financial Statements</w:t>
      </w:r>
    </w:p>
    <w:p>
      <w:pPr>
        <w:spacing w:after="0"/>
        <w:rPr>
          <w:sz w:val="20"/>
          <w:szCs w:val="20"/>
          <w:color w:val="auto"/>
        </w:rPr>
      </w:pPr>
      <w:r>
        <w:rPr>
          <w:rFonts w:ascii="Arial" w:cs="Arial" w:eastAsia="Arial" w:hAnsi="Arial"/>
          <w:sz w:val="18"/>
          <w:szCs w:val="18"/>
          <w:color w:val="4D8ABE"/>
        </w:rPr>
        <w:t>in millions, except share and per share data</w:t>
      </w:r>
    </w:p>
    <w:p>
      <w:pPr>
        <w:spacing w:after="0" w:line="212"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As of December 31, 2009, we had gross unrecognized tax benefits related to various tax jurisdictions, including interest and penalties, of $44.4. We had related tax benefits of $ 13.4, and the net amount of $31.0 would favorably affect the effective tax rate if recognized. During 2009, we recorded tax benefits related to the U.S. statute expiration for 2004 and 2005 and a tax audit settlement of $4.8 for the years 2003 through 2007.</w:t>
      </w:r>
    </w:p>
    <w:p>
      <w:pPr>
        <w:spacing w:after="0" w:line="202" w:lineRule="exact"/>
        <w:rPr>
          <w:sz w:val="20"/>
          <w:szCs w:val="20"/>
          <w:color w:val="auto"/>
        </w:rPr>
      </w:pPr>
    </w:p>
    <w:p>
      <w:pPr>
        <w:jc w:val="both"/>
        <w:spacing w:after="0"/>
        <w:rPr>
          <w:sz w:val="20"/>
          <w:szCs w:val="20"/>
          <w:color w:val="auto"/>
        </w:rPr>
      </w:pPr>
      <w:r>
        <w:rPr>
          <w:rFonts w:ascii="Arial" w:cs="Arial" w:eastAsia="Arial" w:hAnsi="Arial"/>
          <w:sz w:val="18"/>
          <w:szCs w:val="18"/>
          <w:color w:val="auto"/>
        </w:rPr>
        <w:t>As of December 31, 2008, we had gross unrecognized tax benefits related to various tax jurisdictions, including interest and penalties, of $50.9. We had related tax benefits of $12.8, and the net amount of $38.1 would favorably affect the effective tax rate if recognized. Audits related to 2004 and 2007 were settled in 2008 for an $11.7 benefit.</w:t>
      </w:r>
    </w:p>
    <w:p>
      <w:pPr>
        <w:spacing w:after="0" w:line="203"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We recognize accrued interest and penalties related to unrecognized tax benefits in income tax expense. In 2010, we had a net benefit of $1.3 due to a $1.8 benefit from statute expirations. We accrued net interest and penalties of $0.4 and $0.3 during 2009 and 2008, respectively.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activity related to our unrecognized tax benefits during 2010, 2009 and 2008:</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7020" w:type="dxa"/>
            <w:vAlign w:val="bottom"/>
            <w:tcBorders>
              <w:bottom w:val="single" w:sz="8" w:color="86B6A5"/>
            </w:tcBorders>
          </w:tcPr>
          <w:p>
            <w:pPr>
              <w:spacing w:after="0"/>
              <w:rPr>
                <w:sz w:val="18"/>
                <w:szCs w:val="18"/>
                <w:color w:val="auto"/>
              </w:rPr>
            </w:pPr>
          </w:p>
        </w:tc>
        <w:tc>
          <w:tcPr>
            <w:tcW w:w="120" w:type="dxa"/>
            <w:vAlign w:val="bottom"/>
            <w:tcBorders>
              <w:bottom w:val="single" w:sz="8" w:color="86B6A5"/>
            </w:tcBorders>
            <w:shd w:val="clear" w:color="auto" w:fill="86B6A5"/>
          </w:tcPr>
          <w:p>
            <w:pPr>
              <w:spacing w:after="0"/>
              <w:rPr>
                <w:sz w:val="18"/>
                <w:szCs w:val="18"/>
                <w:color w:val="auto"/>
              </w:rPr>
            </w:pPr>
          </w:p>
        </w:tc>
        <w:tc>
          <w:tcPr>
            <w:tcW w:w="1340" w:type="dxa"/>
            <w:vAlign w:val="bottom"/>
            <w:tcBorders>
              <w:bottom w:val="single" w:sz="8" w:color="86B6A5"/>
            </w:tcBorders>
            <w:shd w:val="clear" w:color="auto" w:fill="86B6A5"/>
          </w:tcPr>
          <w:p>
            <w:pPr>
              <w:jc w:val="right"/>
              <w:ind w:right="131"/>
              <w:spacing w:after="0"/>
              <w:rPr>
                <w:sz w:val="20"/>
                <w:szCs w:val="20"/>
                <w:color w:val="auto"/>
              </w:rPr>
            </w:pPr>
            <w:r>
              <w:rPr>
                <w:rFonts w:ascii="Arial" w:cs="Arial" w:eastAsia="Arial" w:hAnsi="Arial"/>
                <w:sz w:val="16"/>
                <w:szCs w:val="16"/>
                <w:b w:val="1"/>
                <w:bCs w:val="1"/>
                <w:color w:val="FFFFFF"/>
              </w:rPr>
              <w:t>2010</w:t>
            </w:r>
          </w:p>
        </w:tc>
        <w:tc>
          <w:tcPr>
            <w:tcW w:w="460" w:type="dxa"/>
            <w:vAlign w:val="bottom"/>
            <w:tcBorders>
              <w:bottom w:val="single" w:sz="8" w:color="86B6A5"/>
            </w:tcBorders>
          </w:tcPr>
          <w:p>
            <w:pPr>
              <w:spacing w:after="0"/>
              <w:rPr>
                <w:sz w:val="18"/>
                <w:szCs w:val="18"/>
                <w:color w:val="auto"/>
              </w:rPr>
            </w:pPr>
          </w:p>
        </w:tc>
        <w:tc>
          <w:tcPr>
            <w:tcW w:w="920" w:type="dxa"/>
            <w:vAlign w:val="bottom"/>
            <w:tcBorders>
              <w:bottom w:val="single" w:sz="8" w:color="86B6A5"/>
            </w:tcBorders>
          </w:tcPr>
          <w:p>
            <w:pPr>
              <w:jc w:val="right"/>
              <w:ind w:right="51"/>
              <w:spacing w:after="0"/>
              <w:rPr>
                <w:sz w:val="20"/>
                <w:szCs w:val="20"/>
                <w:color w:val="auto"/>
              </w:rPr>
            </w:pPr>
            <w:r>
              <w:rPr>
                <w:rFonts w:ascii="Arial" w:cs="Arial" w:eastAsia="Arial" w:hAnsi="Arial"/>
                <w:sz w:val="16"/>
                <w:szCs w:val="16"/>
                <w:b w:val="1"/>
                <w:bCs w:val="1"/>
                <w:color w:val="86B6A5"/>
              </w:rPr>
              <w:t>2009</w:t>
            </w:r>
          </w:p>
        </w:tc>
        <w:tc>
          <w:tcPr>
            <w:tcW w:w="540" w:type="dxa"/>
            <w:vAlign w:val="bottom"/>
            <w:tcBorders>
              <w:bottom w:val="single" w:sz="8" w:color="86B6A5"/>
            </w:tcBorders>
          </w:tcPr>
          <w:p>
            <w:pPr>
              <w:spacing w:after="0"/>
              <w:rPr>
                <w:sz w:val="18"/>
                <w:szCs w:val="18"/>
                <w:color w:val="auto"/>
              </w:rPr>
            </w:pPr>
          </w:p>
        </w:tc>
        <w:tc>
          <w:tcPr>
            <w:tcW w:w="780" w:type="dxa"/>
            <w:vAlign w:val="bottom"/>
            <w:tcBorders>
              <w:bottom w:val="single" w:sz="8" w:color="86B6A5"/>
            </w:tcBorders>
          </w:tcPr>
          <w:p>
            <w:pPr>
              <w:jc w:val="right"/>
              <w:spacing w:after="0"/>
              <w:rPr>
                <w:sz w:val="20"/>
                <w:szCs w:val="20"/>
                <w:color w:val="auto"/>
              </w:rPr>
            </w:pPr>
            <w:r>
              <w:rPr>
                <w:rFonts w:ascii="Arial" w:cs="Arial" w:eastAsia="Arial" w:hAnsi="Arial"/>
                <w:sz w:val="16"/>
                <w:szCs w:val="16"/>
                <w:b w:val="1"/>
                <w:bCs w:val="1"/>
                <w:color w:val="86B6A5"/>
              </w:rPr>
              <w:t>2008</w:t>
            </w:r>
          </w:p>
        </w:tc>
        <w:tc>
          <w:tcPr>
            <w:tcW w:w="6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7020" w:type="dxa"/>
            <w:vAlign w:val="bottom"/>
          </w:tcPr>
          <w:p>
            <w:pPr>
              <w:spacing w:after="0" w:line="201" w:lineRule="exact"/>
              <w:rPr>
                <w:sz w:val="20"/>
                <w:szCs w:val="20"/>
                <w:color w:val="auto"/>
              </w:rPr>
            </w:pPr>
            <w:r>
              <w:rPr>
                <w:rFonts w:ascii="Arial" w:cs="Arial" w:eastAsia="Arial" w:hAnsi="Arial"/>
                <w:sz w:val="18"/>
                <w:szCs w:val="18"/>
                <w:color w:val="auto"/>
              </w:rPr>
              <w:t>Gross unrecognized tax benefits, beginning of year</w:t>
            </w:r>
          </w:p>
        </w:tc>
        <w:tc>
          <w:tcPr>
            <w:tcW w:w="120" w:type="dxa"/>
            <w:vAlign w:val="bottom"/>
            <w:shd w:val="clear" w:color="auto" w:fill="E3F1DA"/>
          </w:tcPr>
          <w:p>
            <w:pPr>
              <w:jc w:val="right"/>
              <w:spacing w:after="0" w:line="201" w:lineRule="exact"/>
              <w:rPr>
                <w:sz w:val="20"/>
                <w:szCs w:val="20"/>
                <w:color w:val="auto"/>
              </w:rPr>
            </w:pPr>
            <w:r>
              <w:rPr>
                <w:rFonts w:ascii="Arial" w:cs="Arial" w:eastAsia="Arial" w:hAnsi="Arial"/>
                <w:sz w:val="18"/>
                <w:szCs w:val="18"/>
                <w:color w:val="86B6A5"/>
                <w:w w:val="79"/>
              </w:rPr>
              <w:t>$</w:t>
            </w:r>
          </w:p>
        </w:tc>
        <w:tc>
          <w:tcPr>
            <w:tcW w:w="1340" w:type="dxa"/>
            <w:vAlign w:val="bottom"/>
            <w:shd w:val="clear" w:color="auto" w:fill="E3F1DA"/>
          </w:tcPr>
          <w:p>
            <w:pPr>
              <w:jc w:val="right"/>
              <w:ind w:right="131"/>
              <w:spacing w:after="0" w:line="201" w:lineRule="exact"/>
              <w:rPr>
                <w:sz w:val="20"/>
                <w:szCs w:val="20"/>
                <w:color w:val="auto"/>
              </w:rPr>
            </w:pPr>
            <w:r>
              <w:rPr>
                <w:rFonts w:ascii="Arial" w:cs="Arial" w:eastAsia="Arial" w:hAnsi="Arial"/>
                <w:sz w:val="18"/>
                <w:szCs w:val="18"/>
                <w:color w:val="86B6A5"/>
              </w:rPr>
              <w:t>41.7</w:t>
            </w:r>
          </w:p>
        </w:tc>
        <w:tc>
          <w:tcPr>
            <w:tcW w:w="460" w:type="dxa"/>
            <w:vAlign w:val="bottom"/>
          </w:tcPr>
          <w:p>
            <w:pPr>
              <w:jc w:val="right"/>
              <w:ind w:right="270"/>
              <w:spacing w:after="0" w:line="201" w:lineRule="exact"/>
              <w:rPr>
                <w:sz w:val="20"/>
                <w:szCs w:val="20"/>
                <w:color w:val="auto"/>
              </w:rPr>
            </w:pPr>
            <w:r>
              <w:rPr>
                <w:rFonts w:ascii="Arial" w:cs="Arial" w:eastAsia="Arial" w:hAnsi="Arial"/>
                <w:sz w:val="18"/>
                <w:szCs w:val="18"/>
                <w:color w:val="auto"/>
                <w:w w:val="79"/>
              </w:rPr>
              <w:t>$</w:t>
            </w:r>
          </w:p>
        </w:tc>
        <w:tc>
          <w:tcPr>
            <w:tcW w:w="920" w:type="dxa"/>
            <w:vAlign w:val="bottom"/>
          </w:tcPr>
          <w:p>
            <w:pPr>
              <w:jc w:val="right"/>
              <w:ind w:right="51"/>
              <w:spacing w:after="0" w:line="201" w:lineRule="exact"/>
              <w:rPr>
                <w:sz w:val="20"/>
                <w:szCs w:val="20"/>
                <w:color w:val="auto"/>
              </w:rPr>
            </w:pPr>
            <w:r>
              <w:rPr>
                <w:rFonts w:ascii="Arial" w:cs="Arial" w:eastAsia="Arial" w:hAnsi="Arial"/>
                <w:sz w:val="18"/>
                <w:szCs w:val="18"/>
                <w:color w:val="auto"/>
              </w:rPr>
              <w:t>49.3</w:t>
            </w:r>
          </w:p>
        </w:tc>
        <w:tc>
          <w:tcPr>
            <w:tcW w:w="540" w:type="dxa"/>
            <w:vAlign w:val="bottom"/>
          </w:tcPr>
          <w:p>
            <w:pPr>
              <w:jc w:val="right"/>
              <w:ind w:right="270"/>
              <w:spacing w:after="0" w:line="201" w:lineRule="exact"/>
              <w:rPr>
                <w:sz w:val="20"/>
                <w:szCs w:val="20"/>
                <w:color w:val="auto"/>
              </w:rPr>
            </w:pPr>
            <w:r>
              <w:rPr>
                <w:rFonts w:ascii="Arial" w:cs="Arial" w:eastAsia="Arial" w:hAnsi="Arial"/>
                <w:sz w:val="18"/>
                <w:szCs w:val="18"/>
                <w:color w:val="auto"/>
              </w:rPr>
              <w:t>$</w:t>
            </w:r>
          </w:p>
        </w:tc>
        <w:tc>
          <w:tcPr>
            <w:tcW w:w="780" w:type="dxa"/>
            <w:vAlign w:val="bottom"/>
          </w:tcPr>
          <w:p>
            <w:pPr>
              <w:jc w:val="right"/>
              <w:spacing w:after="0" w:line="201" w:lineRule="exact"/>
              <w:rPr>
                <w:sz w:val="20"/>
                <w:szCs w:val="20"/>
                <w:color w:val="auto"/>
              </w:rPr>
            </w:pPr>
            <w:r>
              <w:rPr>
                <w:rFonts w:ascii="Arial" w:cs="Arial" w:eastAsia="Arial" w:hAnsi="Arial"/>
                <w:sz w:val="18"/>
                <w:szCs w:val="18"/>
                <w:color w:val="auto"/>
              </w:rPr>
              <w:t>60.5</w:t>
            </w: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020" w:type="dxa"/>
            <w:vAlign w:val="bottom"/>
          </w:tcPr>
          <w:p>
            <w:pPr>
              <w:ind w:left="260"/>
              <w:spacing w:after="0" w:line="202" w:lineRule="exact"/>
              <w:rPr>
                <w:sz w:val="20"/>
                <w:szCs w:val="20"/>
                <w:color w:val="auto"/>
              </w:rPr>
            </w:pPr>
            <w:r>
              <w:rPr>
                <w:rFonts w:ascii="Arial" w:cs="Arial" w:eastAsia="Arial" w:hAnsi="Arial"/>
                <w:sz w:val="18"/>
                <w:szCs w:val="18"/>
                <w:color w:val="auto"/>
              </w:rPr>
              <w:t>Increases in prior year tax positions</w:t>
            </w:r>
          </w:p>
        </w:tc>
        <w:tc>
          <w:tcPr>
            <w:tcW w:w="120" w:type="dxa"/>
            <w:vAlign w:val="bottom"/>
            <w:shd w:val="clear" w:color="auto" w:fill="E3F1DA"/>
          </w:tcPr>
          <w:p>
            <w:pPr>
              <w:spacing w:after="0"/>
              <w:rPr>
                <w:sz w:val="17"/>
                <w:szCs w:val="17"/>
                <w:color w:val="auto"/>
              </w:rPr>
            </w:pPr>
          </w:p>
        </w:tc>
        <w:tc>
          <w:tcPr>
            <w:tcW w:w="1340" w:type="dxa"/>
            <w:vAlign w:val="bottom"/>
            <w:shd w:val="clear" w:color="auto" w:fill="E3F1DA"/>
          </w:tcPr>
          <w:p>
            <w:pPr>
              <w:jc w:val="right"/>
              <w:ind w:right="131"/>
              <w:spacing w:after="0" w:line="202" w:lineRule="exact"/>
              <w:rPr>
                <w:sz w:val="20"/>
                <w:szCs w:val="20"/>
                <w:color w:val="auto"/>
              </w:rPr>
            </w:pPr>
            <w:r>
              <w:rPr>
                <w:rFonts w:ascii="Arial" w:cs="Arial" w:eastAsia="Arial" w:hAnsi="Arial"/>
                <w:sz w:val="18"/>
                <w:szCs w:val="18"/>
                <w:color w:val="86B6A5"/>
              </w:rPr>
              <w:t>3.0</w:t>
            </w:r>
          </w:p>
        </w:tc>
        <w:tc>
          <w:tcPr>
            <w:tcW w:w="460" w:type="dxa"/>
            <w:vAlign w:val="bottom"/>
          </w:tcPr>
          <w:p>
            <w:pPr>
              <w:spacing w:after="0"/>
              <w:rPr>
                <w:sz w:val="17"/>
                <w:szCs w:val="17"/>
                <w:color w:val="auto"/>
              </w:rPr>
            </w:pPr>
          </w:p>
        </w:tc>
        <w:tc>
          <w:tcPr>
            <w:tcW w:w="920" w:type="dxa"/>
            <w:vAlign w:val="bottom"/>
          </w:tcPr>
          <w:p>
            <w:pPr>
              <w:jc w:val="right"/>
              <w:ind w:right="51"/>
              <w:spacing w:after="0" w:line="202" w:lineRule="exact"/>
              <w:rPr>
                <w:sz w:val="20"/>
                <w:szCs w:val="20"/>
                <w:color w:val="auto"/>
              </w:rPr>
            </w:pPr>
            <w:r>
              <w:rPr>
                <w:rFonts w:ascii="Arial" w:cs="Arial" w:eastAsia="Arial" w:hAnsi="Arial"/>
                <w:sz w:val="18"/>
                <w:szCs w:val="18"/>
                <w:color w:val="auto"/>
              </w:rPr>
              <w:t>6.5</w:t>
            </w:r>
          </w:p>
        </w:tc>
        <w:tc>
          <w:tcPr>
            <w:tcW w:w="540" w:type="dxa"/>
            <w:vAlign w:val="bottom"/>
          </w:tcPr>
          <w:p>
            <w:pPr>
              <w:spacing w:after="0"/>
              <w:rPr>
                <w:sz w:val="17"/>
                <w:szCs w:val="17"/>
                <w:color w:val="auto"/>
              </w:rPr>
            </w:pPr>
          </w:p>
        </w:tc>
        <w:tc>
          <w:tcPr>
            <w:tcW w:w="8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1.2</w:t>
            </w:r>
          </w:p>
        </w:tc>
      </w:tr>
      <w:tr>
        <w:trPr>
          <w:trHeight w:val="202"/>
        </w:trPr>
        <w:tc>
          <w:tcPr>
            <w:tcW w:w="20" w:type="dxa"/>
            <w:vAlign w:val="bottom"/>
          </w:tcPr>
          <w:p>
            <w:pPr>
              <w:spacing w:after="0"/>
              <w:rPr>
                <w:sz w:val="17"/>
                <w:szCs w:val="17"/>
                <w:color w:val="auto"/>
              </w:rPr>
            </w:pPr>
          </w:p>
        </w:tc>
        <w:tc>
          <w:tcPr>
            <w:tcW w:w="7020" w:type="dxa"/>
            <w:vAlign w:val="bottom"/>
          </w:tcPr>
          <w:p>
            <w:pPr>
              <w:ind w:left="260"/>
              <w:spacing w:after="0" w:line="201" w:lineRule="exact"/>
              <w:rPr>
                <w:sz w:val="20"/>
                <w:szCs w:val="20"/>
                <w:color w:val="auto"/>
              </w:rPr>
            </w:pPr>
            <w:r>
              <w:rPr>
                <w:rFonts w:ascii="Arial" w:cs="Arial" w:eastAsia="Arial" w:hAnsi="Arial"/>
                <w:sz w:val="18"/>
                <w:szCs w:val="18"/>
                <w:color w:val="auto"/>
              </w:rPr>
              <w:t>Decreases in prior year tax positions</w:t>
            </w:r>
          </w:p>
        </w:tc>
        <w:tc>
          <w:tcPr>
            <w:tcW w:w="120" w:type="dxa"/>
            <w:vAlign w:val="bottom"/>
            <w:shd w:val="clear" w:color="auto" w:fill="E3F1DA"/>
          </w:tcPr>
          <w:p>
            <w:pPr>
              <w:spacing w:after="0"/>
              <w:rPr>
                <w:sz w:val="17"/>
                <w:szCs w:val="17"/>
                <w:color w:val="auto"/>
              </w:rPr>
            </w:pPr>
          </w:p>
        </w:tc>
        <w:tc>
          <w:tcPr>
            <w:tcW w:w="1340" w:type="dxa"/>
            <w:vAlign w:val="bottom"/>
          </w:tcPr>
          <w:p>
            <w:pPr>
              <w:jc w:val="right"/>
              <w:ind w:right="71"/>
              <w:spacing w:after="0" w:line="201" w:lineRule="exact"/>
              <w:rPr>
                <w:sz w:val="20"/>
                <w:szCs w:val="20"/>
                <w:color w:val="auto"/>
              </w:rPr>
            </w:pPr>
            <w:r>
              <w:rPr>
                <w:rFonts w:ascii="Arial" w:cs="Arial" w:eastAsia="Arial" w:hAnsi="Arial"/>
                <w:sz w:val="18"/>
                <w:szCs w:val="18"/>
                <w:color w:val="86B6A5"/>
              </w:rPr>
              <w:t>(2.0)</w:t>
            </w:r>
          </w:p>
        </w:tc>
        <w:tc>
          <w:tcPr>
            <w:tcW w:w="460" w:type="dxa"/>
            <w:vAlign w:val="bottom"/>
          </w:tcPr>
          <w:p>
            <w:pPr>
              <w:spacing w:after="0"/>
              <w:rPr>
                <w:sz w:val="17"/>
                <w:szCs w:val="17"/>
                <w:color w:val="auto"/>
              </w:rPr>
            </w:pPr>
          </w:p>
        </w:tc>
        <w:tc>
          <w:tcPr>
            <w:tcW w:w="920" w:type="dxa"/>
            <w:vAlign w:val="bottom"/>
          </w:tcPr>
          <w:p>
            <w:pPr>
              <w:jc w:val="right"/>
              <w:spacing w:after="0" w:line="201" w:lineRule="exact"/>
              <w:rPr>
                <w:sz w:val="20"/>
                <w:szCs w:val="20"/>
                <w:color w:val="auto"/>
              </w:rPr>
            </w:pPr>
            <w:r>
              <w:rPr>
                <w:rFonts w:ascii="Arial" w:cs="Arial" w:eastAsia="Arial" w:hAnsi="Arial"/>
                <w:sz w:val="18"/>
                <w:szCs w:val="18"/>
                <w:color w:val="auto"/>
              </w:rPr>
              <w:t>(1.4)</w:t>
            </w:r>
          </w:p>
        </w:tc>
        <w:tc>
          <w:tcPr>
            <w:tcW w:w="540" w:type="dxa"/>
            <w:vAlign w:val="bottom"/>
          </w:tcPr>
          <w:p>
            <w:pPr>
              <w:spacing w:after="0"/>
              <w:rPr>
                <w:sz w:val="17"/>
                <w:szCs w:val="17"/>
                <w:color w:val="auto"/>
              </w:rPr>
            </w:pPr>
          </w:p>
        </w:tc>
        <w:tc>
          <w:tcPr>
            <w:tcW w:w="84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(5.9)</w:t>
            </w:r>
          </w:p>
        </w:tc>
      </w:tr>
      <w:tr>
        <w:trPr>
          <w:trHeight w:val="203"/>
        </w:trPr>
        <w:tc>
          <w:tcPr>
            <w:tcW w:w="20" w:type="dxa"/>
            <w:vAlign w:val="bottom"/>
          </w:tcPr>
          <w:p>
            <w:pPr>
              <w:spacing w:after="0"/>
              <w:rPr>
                <w:sz w:val="17"/>
                <w:szCs w:val="17"/>
                <w:color w:val="auto"/>
              </w:rPr>
            </w:pPr>
          </w:p>
        </w:tc>
        <w:tc>
          <w:tcPr>
            <w:tcW w:w="7020" w:type="dxa"/>
            <w:vAlign w:val="bottom"/>
          </w:tcPr>
          <w:p>
            <w:pPr>
              <w:ind w:left="260"/>
              <w:spacing w:after="0" w:line="202" w:lineRule="exact"/>
              <w:rPr>
                <w:sz w:val="20"/>
                <w:szCs w:val="20"/>
                <w:color w:val="auto"/>
              </w:rPr>
            </w:pPr>
            <w:r>
              <w:rPr>
                <w:rFonts w:ascii="Arial" w:cs="Arial" w:eastAsia="Arial" w:hAnsi="Arial"/>
                <w:sz w:val="18"/>
                <w:szCs w:val="18"/>
                <w:color w:val="auto"/>
              </w:rPr>
              <w:t>Increases for current year tax positions</w:t>
            </w:r>
          </w:p>
        </w:tc>
        <w:tc>
          <w:tcPr>
            <w:tcW w:w="120" w:type="dxa"/>
            <w:vAlign w:val="bottom"/>
            <w:shd w:val="clear" w:color="auto" w:fill="E3F1DA"/>
          </w:tcPr>
          <w:p>
            <w:pPr>
              <w:spacing w:after="0"/>
              <w:rPr>
                <w:sz w:val="17"/>
                <w:szCs w:val="17"/>
                <w:color w:val="auto"/>
              </w:rPr>
            </w:pPr>
          </w:p>
        </w:tc>
        <w:tc>
          <w:tcPr>
            <w:tcW w:w="1340" w:type="dxa"/>
            <w:vAlign w:val="bottom"/>
          </w:tcPr>
          <w:p>
            <w:pPr>
              <w:jc w:val="right"/>
              <w:ind w:right="131"/>
              <w:spacing w:after="0" w:line="202" w:lineRule="exact"/>
              <w:rPr>
                <w:sz w:val="20"/>
                <w:szCs w:val="20"/>
                <w:color w:val="auto"/>
              </w:rPr>
            </w:pPr>
            <w:r>
              <w:rPr>
                <w:rFonts w:ascii="Arial" w:cs="Arial" w:eastAsia="Arial" w:hAnsi="Arial"/>
                <w:sz w:val="18"/>
                <w:szCs w:val="18"/>
                <w:color w:val="86B6A5"/>
              </w:rPr>
              <w:t>–</w:t>
            </w:r>
          </w:p>
        </w:tc>
        <w:tc>
          <w:tcPr>
            <w:tcW w:w="460" w:type="dxa"/>
            <w:vAlign w:val="bottom"/>
          </w:tcPr>
          <w:p>
            <w:pPr>
              <w:spacing w:after="0"/>
              <w:rPr>
                <w:sz w:val="17"/>
                <w:szCs w:val="17"/>
                <w:color w:val="auto"/>
              </w:rPr>
            </w:pPr>
          </w:p>
        </w:tc>
        <w:tc>
          <w:tcPr>
            <w:tcW w:w="920" w:type="dxa"/>
            <w:vAlign w:val="bottom"/>
          </w:tcPr>
          <w:p>
            <w:pPr>
              <w:jc w:val="right"/>
              <w:ind w:right="51"/>
              <w:spacing w:after="0" w:line="202" w:lineRule="exact"/>
              <w:rPr>
                <w:sz w:val="20"/>
                <w:szCs w:val="20"/>
                <w:color w:val="auto"/>
              </w:rPr>
            </w:pPr>
            <w:r>
              <w:rPr>
                <w:rFonts w:ascii="Arial" w:cs="Arial" w:eastAsia="Arial" w:hAnsi="Arial"/>
                <w:sz w:val="18"/>
                <w:szCs w:val="18"/>
                <w:color w:val="auto"/>
              </w:rPr>
              <w:t>1.7</w:t>
            </w:r>
          </w:p>
        </w:tc>
        <w:tc>
          <w:tcPr>
            <w:tcW w:w="540" w:type="dxa"/>
            <w:vAlign w:val="bottom"/>
          </w:tcPr>
          <w:p>
            <w:pPr>
              <w:spacing w:after="0"/>
              <w:rPr>
                <w:sz w:val="17"/>
                <w:szCs w:val="17"/>
                <w:color w:val="auto"/>
              </w:rPr>
            </w:pPr>
          </w:p>
        </w:tc>
        <w:tc>
          <w:tcPr>
            <w:tcW w:w="8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7.0</w:t>
            </w:r>
          </w:p>
        </w:tc>
      </w:tr>
      <w:tr>
        <w:trPr>
          <w:trHeight w:val="203"/>
        </w:trPr>
        <w:tc>
          <w:tcPr>
            <w:tcW w:w="20" w:type="dxa"/>
            <w:vAlign w:val="bottom"/>
          </w:tcPr>
          <w:p>
            <w:pPr>
              <w:spacing w:after="0"/>
              <w:rPr>
                <w:sz w:val="17"/>
                <w:szCs w:val="17"/>
                <w:color w:val="auto"/>
              </w:rPr>
            </w:pPr>
          </w:p>
        </w:tc>
        <w:tc>
          <w:tcPr>
            <w:tcW w:w="7020" w:type="dxa"/>
            <w:vAlign w:val="bottom"/>
          </w:tcPr>
          <w:p>
            <w:pPr>
              <w:ind w:left="260"/>
              <w:spacing w:after="0" w:line="203" w:lineRule="exact"/>
              <w:rPr>
                <w:sz w:val="20"/>
                <w:szCs w:val="20"/>
                <w:color w:val="auto"/>
              </w:rPr>
            </w:pPr>
            <w:r>
              <w:rPr>
                <w:rFonts w:ascii="Arial" w:cs="Arial" w:eastAsia="Arial" w:hAnsi="Arial"/>
                <w:sz w:val="18"/>
                <w:szCs w:val="18"/>
                <w:color w:val="auto"/>
              </w:rPr>
              <w:t>Expiration of statute of limitations and audit settlements</w:t>
            </w:r>
          </w:p>
        </w:tc>
        <w:tc>
          <w:tcPr>
            <w:tcW w:w="120" w:type="dxa"/>
            <w:vAlign w:val="bottom"/>
            <w:shd w:val="clear" w:color="auto" w:fill="E3F1DA"/>
          </w:tcPr>
          <w:p>
            <w:pPr>
              <w:spacing w:after="0"/>
              <w:rPr>
                <w:sz w:val="17"/>
                <w:szCs w:val="17"/>
                <w:color w:val="auto"/>
              </w:rPr>
            </w:pPr>
          </w:p>
        </w:tc>
        <w:tc>
          <w:tcPr>
            <w:tcW w:w="1340" w:type="dxa"/>
            <w:vAlign w:val="bottom"/>
          </w:tcPr>
          <w:p>
            <w:pPr>
              <w:jc w:val="right"/>
              <w:ind w:right="71"/>
              <w:spacing w:after="0" w:line="203" w:lineRule="exact"/>
              <w:rPr>
                <w:sz w:val="20"/>
                <w:szCs w:val="20"/>
                <w:color w:val="auto"/>
              </w:rPr>
            </w:pPr>
            <w:r>
              <w:rPr>
                <w:rFonts w:ascii="Arial" w:cs="Arial" w:eastAsia="Arial" w:hAnsi="Arial"/>
                <w:sz w:val="18"/>
                <w:szCs w:val="18"/>
                <w:color w:val="86B6A5"/>
              </w:rPr>
              <w:t>(17.7)</w:t>
            </w:r>
          </w:p>
        </w:tc>
        <w:tc>
          <w:tcPr>
            <w:tcW w:w="460" w:type="dxa"/>
            <w:vAlign w:val="bottom"/>
          </w:tcPr>
          <w:p>
            <w:pPr>
              <w:spacing w:after="0"/>
              <w:rPr>
                <w:sz w:val="17"/>
                <w:szCs w:val="17"/>
                <w:color w:val="auto"/>
              </w:rPr>
            </w:pPr>
          </w:p>
        </w:tc>
        <w:tc>
          <w:tcPr>
            <w:tcW w:w="920" w:type="dxa"/>
            <w:vAlign w:val="bottom"/>
          </w:tcPr>
          <w:p>
            <w:pPr>
              <w:jc w:val="right"/>
              <w:spacing w:after="0" w:line="203" w:lineRule="exact"/>
              <w:rPr>
                <w:sz w:val="20"/>
                <w:szCs w:val="20"/>
                <w:color w:val="auto"/>
              </w:rPr>
            </w:pPr>
            <w:r>
              <w:rPr>
                <w:rFonts w:ascii="Arial" w:cs="Arial" w:eastAsia="Arial" w:hAnsi="Arial"/>
                <w:sz w:val="18"/>
                <w:szCs w:val="18"/>
                <w:color w:val="auto"/>
              </w:rPr>
              <w:t>(14.4)</w:t>
            </w:r>
          </w:p>
        </w:tc>
        <w:tc>
          <w:tcPr>
            <w:tcW w:w="540" w:type="dxa"/>
            <w:vAlign w:val="bottom"/>
          </w:tcPr>
          <w:p>
            <w:pPr>
              <w:spacing w:after="0"/>
              <w:rPr>
                <w:sz w:val="17"/>
                <w:szCs w:val="17"/>
                <w:color w:val="auto"/>
              </w:rPr>
            </w:pPr>
          </w:p>
        </w:tc>
        <w:tc>
          <w:tcPr>
            <w:tcW w:w="84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(13.5)</w:t>
            </w:r>
          </w:p>
        </w:tc>
      </w:tr>
      <w:tr>
        <w:trPr>
          <w:trHeight w:val="196"/>
        </w:trPr>
        <w:tc>
          <w:tcPr>
            <w:tcW w:w="20" w:type="dxa"/>
            <w:vAlign w:val="bottom"/>
            <w:tcBorders>
              <w:bottom w:val="single" w:sz="8" w:color="939598"/>
            </w:tcBorders>
          </w:tcPr>
          <w:p>
            <w:pPr>
              <w:spacing w:after="0"/>
              <w:rPr>
                <w:sz w:val="17"/>
                <w:szCs w:val="17"/>
                <w:color w:val="auto"/>
              </w:rPr>
            </w:pPr>
          </w:p>
        </w:tc>
        <w:tc>
          <w:tcPr>
            <w:tcW w:w="7020" w:type="dxa"/>
            <w:vAlign w:val="bottom"/>
            <w:tcBorders>
              <w:top w:val="single" w:sz="8" w:color="939598"/>
              <w:bottom w:val="single" w:sz="8" w:color="939598"/>
            </w:tcBorders>
          </w:tcPr>
          <w:p>
            <w:pPr>
              <w:spacing w:after="0" w:line="196" w:lineRule="exact"/>
              <w:rPr>
                <w:sz w:val="20"/>
                <w:szCs w:val="20"/>
                <w:color w:val="auto"/>
              </w:rPr>
            </w:pPr>
            <w:r>
              <w:rPr>
                <w:rFonts w:ascii="Arial" w:cs="Arial" w:eastAsia="Arial" w:hAnsi="Arial"/>
                <w:sz w:val="18"/>
                <w:szCs w:val="18"/>
                <w:color w:val="auto"/>
              </w:rPr>
              <w:t>Gross unrecognized tax benefits, end of year</w:t>
            </w:r>
          </w:p>
        </w:tc>
        <w:tc>
          <w:tcPr>
            <w:tcW w:w="120" w:type="dxa"/>
            <w:vAlign w:val="bottom"/>
            <w:tcBorders>
              <w:top w:val="single" w:sz="8" w:color="939598"/>
              <w:bottom w:val="single" w:sz="8" w:color="939598"/>
            </w:tcBorders>
            <w:shd w:val="clear" w:color="auto" w:fill="E3F1DA"/>
          </w:tcPr>
          <w:p>
            <w:pPr>
              <w:jc w:val="right"/>
              <w:spacing w:after="0" w:line="196" w:lineRule="exact"/>
              <w:rPr>
                <w:sz w:val="20"/>
                <w:szCs w:val="20"/>
                <w:color w:val="auto"/>
              </w:rPr>
            </w:pPr>
            <w:r>
              <w:rPr>
                <w:rFonts w:ascii="Arial" w:cs="Arial" w:eastAsia="Arial" w:hAnsi="Arial"/>
                <w:sz w:val="18"/>
                <w:szCs w:val="18"/>
                <w:color w:val="86B6A5"/>
                <w:w w:val="79"/>
              </w:rPr>
              <w:t>$</w:t>
            </w:r>
          </w:p>
        </w:tc>
        <w:tc>
          <w:tcPr>
            <w:tcW w:w="1340" w:type="dxa"/>
            <w:vAlign w:val="bottom"/>
            <w:tcBorders>
              <w:top w:val="single" w:sz="8" w:color="939598"/>
              <w:bottom w:val="single" w:sz="8" w:color="939598"/>
            </w:tcBorders>
          </w:tcPr>
          <w:p>
            <w:pPr>
              <w:jc w:val="right"/>
              <w:ind w:right="131"/>
              <w:spacing w:after="0" w:line="196" w:lineRule="exact"/>
              <w:rPr>
                <w:sz w:val="20"/>
                <w:szCs w:val="20"/>
                <w:color w:val="auto"/>
              </w:rPr>
            </w:pPr>
            <w:r>
              <w:rPr>
                <w:rFonts w:ascii="Arial" w:cs="Arial" w:eastAsia="Arial" w:hAnsi="Arial"/>
                <w:sz w:val="18"/>
                <w:szCs w:val="18"/>
                <w:color w:val="86B6A5"/>
              </w:rPr>
              <w:t>25.0</w:t>
            </w:r>
          </w:p>
        </w:tc>
        <w:tc>
          <w:tcPr>
            <w:tcW w:w="460" w:type="dxa"/>
            <w:vAlign w:val="bottom"/>
            <w:tcBorders>
              <w:top w:val="single" w:sz="8" w:color="939598"/>
              <w:bottom w:val="single" w:sz="8" w:color="939598"/>
            </w:tcBorders>
          </w:tcPr>
          <w:p>
            <w:pPr>
              <w:jc w:val="right"/>
              <w:ind w:right="27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939598"/>
              <w:bottom w:val="single" w:sz="8" w:color="939598"/>
            </w:tcBorders>
          </w:tcPr>
          <w:p>
            <w:pPr>
              <w:jc w:val="right"/>
              <w:ind w:right="51"/>
              <w:spacing w:after="0" w:line="196" w:lineRule="exact"/>
              <w:rPr>
                <w:sz w:val="20"/>
                <w:szCs w:val="20"/>
                <w:color w:val="auto"/>
              </w:rPr>
            </w:pPr>
            <w:r>
              <w:rPr>
                <w:rFonts w:ascii="Arial" w:cs="Arial" w:eastAsia="Arial" w:hAnsi="Arial"/>
                <w:sz w:val="18"/>
                <w:szCs w:val="18"/>
                <w:color w:val="auto"/>
              </w:rPr>
              <w:t>41.7</w:t>
            </w:r>
          </w:p>
        </w:tc>
        <w:tc>
          <w:tcPr>
            <w:tcW w:w="540" w:type="dxa"/>
            <w:vAlign w:val="bottom"/>
            <w:tcBorders>
              <w:top w:val="single" w:sz="8" w:color="939598"/>
              <w:bottom w:val="single" w:sz="8" w:color="939598"/>
            </w:tcBorders>
          </w:tcPr>
          <w:p>
            <w:pPr>
              <w:jc w:val="right"/>
              <w:ind w:right="270"/>
              <w:spacing w:after="0" w:line="196" w:lineRule="exact"/>
              <w:rPr>
                <w:sz w:val="20"/>
                <w:szCs w:val="20"/>
                <w:color w:val="auto"/>
              </w:rPr>
            </w:pPr>
            <w:r>
              <w:rPr>
                <w:rFonts w:ascii="Arial" w:cs="Arial" w:eastAsia="Arial" w:hAnsi="Arial"/>
                <w:sz w:val="18"/>
                <w:szCs w:val="18"/>
                <w:color w:val="auto"/>
              </w:rPr>
              <w:t>$</w:t>
            </w:r>
          </w:p>
        </w:tc>
        <w:tc>
          <w:tcPr>
            <w:tcW w:w="780" w:type="dxa"/>
            <w:vAlign w:val="bottom"/>
            <w:tcBorders>
              <w:top w:val="single" w:sz="8" w:color="939598"/>
              <w:bottom w:val="single" w:sz="8" w:color="939598"/>
            </w:tcBorders>
          </w:tcPr>
          <w:p>
            <w:pPr>
              <w:jc w:val="right"/>
              <w:spacing w:after="0" w:line="196" w:lineRule="exact"/>
              <w:rPr>
                <w:sz w:val="20"/>
                <w:szCs w:val="20"/>
                <w:color w:val="auto"/>
              </w:rPr>
            </w:pPr>
            <w:r>
              <w:rPr>
                <w:rFonts w:ascii="Arial" w:cs="Arial" w:eastAsia="Arial" w:hAnsi="Arial"/>
                <w:sz w:val="18"/>
                <w:szCs w:val="18"/>
                <w:color w:val="auto"/>
              </w:rPr>
              <w:t>49.3</w:t>
            </w:r>
          </w:p>
        </w:tc>
        <w:tc>
          <w:tcPr>
            <w:tcW w:w="60" w:type="dxa"/>
            <w:vAlign w:val="bottom"/>
          </w:tcPr>
          <w:p>
            <w:pPr>
              <w:spacing w:after="0"/>
              <w:rPr>
                <w:sz w:val="17"/>
                <w:szCs w:val="17"/>
                <w:color w:val="auto"/>
              </w:rPr>
            </w:pPr>
          </w:p>
        </w:tc>
      </w:tr>
      <w:tr>
        <w:trPr>
          <w:trHeight w:val="196"/>
        </w:trPr>
        <w:tc>
          <w:tcPr>
            <w:tcW w:w="7040" w:type="dxa"/>
            <w:vAlign w:val="bottom"/>
            <w:tcBorders>
              <w:bottom w:val="single" w:sz="8" w:color="939598"/>
            </w:tcBorders>
            <w:gridSpan w:val="2"/>
          </w:tcPr>
          <w:p>
            <w:pPr>
              <w:spacing w:after="0" w:line="196" w:lineRule="exact"/>
              <w:rPr>
                <w:sz w:val="20"/>
                <w:szCs w:val="20"/>
                <w:color w:val="auto"/>
              </w:rPr>
            </w:pPr>
            <w:r>
              <w:rPr>
                <w:rFonts w:ascii="Arial" w:cs="Arial" w:eastAsia="Arial" w:hAnsi="Arial"/>
                <w:sz w:val="18"/>
                <w:szCs w:val="18"/>
                <w:color w:val="auto"/>
              </w:rPr>
              <w:t>Potential interest and penalties</w:t>
            </w:r>
          </w:p>
        </w:tc>
        <w:tc>
          <w:tcPr>
            <w:tcW w:w="120" w:type="dxa"/>
            <w:vAlign w:val="bottom"/>
            <w:tcBorders>
              <w:bottom w:val="single" w:sz="8" w:color="939598"/>
            </w:tcBorders>
            <w:shd w:val="clear" w:color="auto" w:fill="E3F1DA"/>
          </w:tcPr>
          <w:p>
            <w:pPr>
              <w:spacing w:after="0"/>
              <w:rPr>
                <w:sz w:val="17"/>
                <w:szCs w:val="17"/>
                <w:color w:val="auto"/>
              </w:rPr>
            </w:pPr>
          </w:p>
        </w:tc>
        <w:tc>
          <w:tcPr>
            <w:tcW w:w="1340" w:type="dxa"/>
            <w:vAlign w:val="bottom"/>
            <w:tcBorders>
              <w:bottom w:val="single" w:sz="8" w:color="939598"/>
            </w:tcBorders>
          </w:tcPr>
          <w:p>
            <w:pPr>
              <w:jc w:val="right"/>
              <w:ind w:right="131"/>
              <w:spacing w:after="0" w:line="196" w:lineRule="exact"/>
              <w:rPr>
                <w:sz w:val="20"/>
                <w:szCs w:val="20"/>
                <w:color w:val="auto"/>
              </w:rPr>
            </w:pPr>
            <w:r>
              <w:rPr>
                <w:rFonts w:ascii="Arial" w:cs="Arial" w:eastAsia="Arial" w:hAnsi="Arial"/>
                <w:sz w:val="18"/>
                <w:szCs w:val="18"/>
                <w:color w:val="86B6A5"/>
              </w:rPr>
              <w:t>1.4</w:t>
            </w:r>
          </w:p>
        </w:tc>
        <w:tc>
          <w:tcPr>
            <w:tcW w:w="460" w:type="dxa"/>
            <w:vAlign w:val="bottom"/>
            <w:tcBorders>
              <w:bottom w:val="single" w:sz="8" w:color="939598"/>
            </w:tcBorders>
          </w:tcPr>
          <w:p>
            <w:pPr>
              <w:spacing w:after="0"/>
              <w:rPr>
                <w:sz w:val="17"/>
                <w:szCs w:val="17"/>
                <w:color w:val="auto"/>
              </w:rPr>
            </w:pPr>
          </w:p>
        </w:tc>
        <w:tc>
          <w:tcPr>
            <w:tcW w:w="920" w:type="dxa"/>
            <w:vAlign w:val="bottom"/>
            <w:tcBorders>
              <w:bottom w:val="single" w:sz="8" w:color="939598"/>
            </w:tcBorders>
          </w:tcPr>
          <w:p>
            <w:pPr>
              <w:jc w:val="right"/>
              <w:ind w:right="51"/>
              <w:spacing w:after="0" w:line="196" w:lineRule="exact"/>
              <w:rPr>
                <w:sz w:val="20"/>
                <w:szCs w:val="20"/>
                <w:color w:val="auto"/>
              </w:rPr>
            </w:pPr>
            <w:r>
              <w:rPr>
                <w:rFonts w:ascii="Arial" w:cs="Arial" w:eastAsia="Arial" w:hAnsi="Arial"/>
                <w:sz w:val="18"/>
                <w:szCs w:val="18"/>
                <w:color w:val="auto"/>
              </w:rPr>
              <w:t>2.7</w:t>
            </w:r>
          </w:p>
        </w:tc>
        <w:tc>
          <w:tcPr>
            <w:tcW w:w="540" w:type="dxa"/>
            <w:vAlign w:val="bottom"/>
            <w:tcBorders>
              <w:bottom w:val="single" w:sz="8" w:color="939598"/>
            </w:tcBorders>
          </w:tcPr>
          <w:p>
            <w:pPr>
              <w:spacing w:after="0"/>
              <w:rPr>
                <w:sz w:val="17"/>
                <w:szCs w:val="17"/>
                <w:color w:val="auto"/>
              </w:rPr>
            </w:pPr>
          </w:p>
        </w:tc>
        <w:tc>
          <w:tcPr>
            <w:tcW w:w="780" w:type="dxa"/>
            <w:vAlign w:val="bottom"/>
            <w:tcBorders>
              <w:bottom w:val="single" w:sz="8" w:color="939598"/>
            </w:tcBorders>
          </w:tcPr>
          <w:p>
            <w:pPr>
              <w:jc w:val="right"/>
              <w:spacing w:after="0" w:line="196" w:lineRule="exact"/>
              <w:rPr>
                <w:sz w:val="20"/>
                <w:szCs w:val="20"/>
                <w:color w:val="auto"/>
              </w:rPr>
            </w:pPr>
            <w:r>
              <w:rPr>
                <w:rFonts w:ascii="Arial" w:cs="Arial" w:eastAsia="Arial" w:hAnsi="Arial"/>
                <w:sz w:val="18"/>
                <w:szCs w:val="18"/>
                <w:color w:val="auto"/>
              </w:rPr>
              <w:t>1.6</w:t>
            </w:r>
          </w:p>
        </w:tc>
        <w:tc>
          <w:tcPr>
            <w:tcW w:w="60" w:type="dxa"/>
            <w:vAlign w:val="bottom"/>
          </w:tcPr>
          <w:p>
            <w:pPr>
              <w:spacing w:after="0"/>
              <w:rPr>
                <w:sz w:val="17"/>
                <w:szCs w:val="17"/>
                <w:color w:val="auto"/>
              </w:rPr>
            </w:pPr>
          </w:p>
        </w:tc>
      </w:tr>
      <w:tr>
        <w:trPr>
          <w:trHeight w:val="196"/>
        </w:trPr>
        <w:tc>
          <w:tcPr>
            <w:tcW w:w="7040" w:type="dxa"/>
            <w:vAlign w:val="bottom"/>
            <w:gridSpan w:val="2"/>
          </w:tcPr>
          <w:p>
            <w:pPr>
              <w:spacing w:after="0" w:line="196" w:lineRule="exact"/>
              <w:rPr>
                <w:sz w:val="20"/>
                <w:szCs w:val="20"/>
                <w:color w:val="auto"/>
              </w:rPr>
            </w:pPr>
            <w:r>
              <w:rPr>
                <w:rFonts w:ascii="Arial" w:cs="Arial" w:eastAsia="Arial" w:hAnsi="Arial"/>
                <w:sz w:val="18"/>
                <w:szCs w:val="18"/>
                <w:color w:val="auto"/>
              </w:rPr>
              <w:t>Balance, end of year</w:t>
            </w:r>
          </w:p>
        </w:tc>
        <w:tc>
          <w:tcPr>
            <w:tcW w:w="120" w:type="dxa"/>
            <w:vAlign w:val="bottom"/>
            <w:shd w:val="clear" w:color="auto" w:fill="E3F1DA"/>
          </w:tcPr>
          <w:p>
            <w:pPr>
              <w:jc w:val="right"/>
              <w:spacing w:after="0" w:line="196" w:lineRule="exact"/>
              <w:rPr>
                <w:sz w:val="20"/>
                <w:szCs w:val="20"/>
                <w:color w:val="auto"/>
              </w:rPr>
            </w:pPr>
            <w:r>
              <w:rPr>
                <w:rFonts w:ascii="Arial" w:cs="Arial" w:eastAsia="Arial" w:hAnsi="Arial"/>
                <w:sz w:val="18"/>
                <w:szCs w:val="18"/>
                <w:color w:val="86B6A5"/>
                <w:w w:val="79"/>
              </w:rPr>
              <w:t>$</w:t>
            </w:r>
          </w:p>
        </w:tc>
        <w:tc>
          <w:tcPr>
            <w:tcW w:w="1340" w:type="dxa"/>
            <w:vAlign w:val="bottom"/>
          </w:tcPr>
          <w:p>
            <w:pPr>
              <w:jc w:val="right"/>
              <w:ind w:right="131"/>
              <w:spacing w:after="0" w:line="196" w:lineRule="exact"/>
              <w:rPr>
                <w:sz w:val="20"/>
                <w:szCs w:val="20"/>
                <w:color w:val="auto"/>
              </w:rPr>
            </w:pPr>
            <w:r>
              <w:rPr>
                <w:rFonts w:ascii="Arial" w:cs="Arial" w:eastAsia="Arial" w:hAnsi="Arial"/>
                <w:sz w:val="18"/>
                <w:szCs w:val="18"/>
                <w:color w:val="86B6A5"/>
              </w:rPr>
              <w:t>26.4</w:t>
            </w:r>
          </w:p>
        </w:tc>
        <w:tc>
          <w:tcPr>
            <w:tcW w:w="460" w:type="dxa"/>
            <w:vAlign w:val="bottom"/>
          </w:tcPr>
          <w:p>
            <w:pPr>
              <w:jc w:val="right"/>
              <w:ind w:right="27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Pr>
          <w:p>
            <w:pPr>
              <w:jc w:val="right"/>
              <w:ind w:right="51"/>
              <w:spacing w:after="0" w:line="196" w:lineRule="exact"/>
              <w:rPr>
                <w:sz w:val="20"/>
                <w:szCs w:val="20"/>
                <w:color w:val="auto"/>
              </w:rPr>
            </w:pPr>
            <w:r>
              <w:rPr>
                <w:rFonts w:ascii="Arial" w:cs="Arial" w:eastAsia="Arial" w:hAnsi="Arial"/>
                <w:sz w:val="18"/>
                <w:szCs w:val="18"/>
                <w:color w:val="auto"/>
              </w:rPr>
              <w:t>44.4</w:t>
            </w:r>
          </w:p>
        </w:tc>
        <w:tc>
          <w:tcPr>
            <w:tcW w:w="540" w:type="dxa"/>
            <w:vAlign w:val="bottom"/>
          </w:tcPr>
          <w:p>
            <w:pPr>
              <w:jc w:val="right"/>
              <w:ind w:right="270"/>
              <w:spacing w:after="0" w:line="196" w:lineRule="exact"/>
              <w:rPr>
                <w:sz w:val="20"/>
                <w:szCs w:val="20"/>
                <w:color w:val="auto"/>
              </w:rPr>
            </w:pPr>
            <w:r>
              <w:rPr>
                <w:rFonts w:ascii="Arial" w:cs="Arial" w:eastAsia="Arial" w:hAnsi="Arial"/>
                <w:sz w:val="18"/>
                <w:szCs w:val="18"/>
                <w:color w:val="auto"/>
              </w:rPr>
              <w:t>$</w:t>
            </w: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50.9</w:t>
            </w:r>
          </w:p>
        </w:tc>
        <w:tc>
          <w:tcPr>
            <w:tcW w:w="60" w:type="dxa"/>
            <w:vAlign w:val="bottom"/>
          </w:tcPr>
          <w:p>
            <w:pPr>
              <w:spacing w:after="0"/>
              <w:rPr>
                <w:sz w:val="17"/>
                <w:szCs w:val="17"/>
                <w:color w:val="auto"/>
              </w:rPr>
            </w:pPr>
          </w:p>
        </w:tc>
      </w:tr>
      <w:tr>
        <w:trPr>
          <w:trHeight w:val="27"/>
        </w:trPr>
        <w:tc>
          <w:tcPr>
            <w:tcW w:w="20" w:type="dxa"/>
            <w:vAlign w:val="bottom"/>
          </w:tcPr>
          <w:p>
            <w:pPr>
              <w:spacing w:after="0"/>
              <w:rPr>
                <w:sz w:val="2"/>
                <w:szCs w:val="2"/>
                <w:color w:val="auto"/>
              </w:rPr>
            </w:pPr>
          </w:p>
        </w:tc>
        <w:tc>
          <w:tcPr>
            <w:tcW w:w="7020" w:type="dxa"/>
            <w:vAlign w:val="bottom"/>
            <w:shd w:val="clear" w:color="auto" w:fill="939598"/>
          </w:tcPr>
          <w:p>
            <w:pPr>
              <w:spacing w:after="0"/>
              <w:rPr>
                <w:sz w:val="2"/>
                <w:szCs w:val="2"/>
                <w:color w:val="auto"/>
              </w:rPr>
            </w:pPr>
          </w:p>
        </w:tc>
        <w:tc>
          <w:tcPr>
            <w:tcW w:w="120" w:type="dxa"/>
            <w:vAlign w:val="bottom"/>
            <w:shd w:val="clear" w:color="auto" w:fill="939598"/>
          </w:tcPr>
          <w:p>
            <w:pPr>
              <w:spacing w:after="0"/>
              <w:rPr>
                <w:sz w:val="2"/>
                <w:szCs w:val="2"/>
                <w:color w:val="auto"/>
              </w:rPr>
            </w:pPr>
          </w:p>
        </w:tc>
        <w:tc>
          <w:tcPr>
            <w:tcW w:w="1340" w:type="dxa"/>
            <w:vAlign w:val="bottom"/>
            <w:shd w:val="clear" w:color="auto" w:fill="939598"/>
          </w:tcPr>
          <w:p>
            <w:pPr>
              <w:spacing w:after="0"/>
              <w:rPr>
                <w:sz w:val="2"/>
                <w:szCs w:val="2"/>
                <w:color w:val="auto"/>
              </w:rPr>
            </w:pPr>
          </w:p>
        </w:tc>
        <w:tc>
          <w:tcPr>
            <w:tcW w:w="460" w:type="dxa"/>
            <w:vAlign w:val="bottom"/>
            <w:shd w:val="clear" w:color="auto" w:fill="939598"/>
          </w:tcPr>
          <w:p>
            <w:pPr>
              <w:spacing w:after="0"/>
              <w:rPr>
                <w:sz w:val="2"/>
                <w:szCs w:val="2"/>
                <w:color w:val="auto"/>
              </w:rPr>
            </w:pPr>
          </w:p>
        </w:tc>
        <w:tc>
          <w:tcPr>
            <w:tcW w:w="920" w:type="dxa"/>
            <w:vAlign w:val="bottom"/>
            <w:shd w:val="clear" w:color="auto" w:fill="939598"/>
          </w:tcPr>
          <w:p>
            <w:pPr>
              <w:spacing w:after="0"/>
              <w:rPr>
                <w:sz w:val="2"/>
                <w:szCs w:val="2"/>
                <w:color w:val="auto"/>
              </w:rPr>
            </w:pPr>
          </w:p>
        </w:tc>
        <w:tc>
          <w:tcPr>
            <w:tcW w:w="540" w:type="dxa"/>
            <w:vAlign w:val="bottom"/>
            <w:shd w:val="clear" w:color="auto" w:fill="939598"/>
          </w:tcPr>
          <w:p>
            <w:pPr>
              <w:spacing w:after="0"/>
              <w:rPr>
                <w:sz w:val="2"/>
                <w:szCs w:val="2"/>
                <w:color w:val="auto"/>
              </w:rPr>
            </w:pPr>
          </w:p>
        </w:tc>
        <w:tc>
          <w:tcPr>
            <w:tcW w:w="780" w:type="dxa"/>
            <w:vAlign w:val="bottom"/>
            <w:shd w:val="clear" w:color="auto" w:fill="939598"/>
          </w:tcPr>
          <w:p>
            <w:pPr>
              <w:spacing w:after="0"/>
              <w:rPr>
                <w:sz w:val="2"/>
                <w:szCs w:val="2"/>
                <w:color w:val="auto"/>
              </w:rPr>
            </w:pPr>
          </w:p>
        </w:tc>
        <w:tc>
          <w:tcPr>
            <w:tcW w:w="6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4541520</wp:posOffset>
            </wp:positionH>
            <wp:positionV relativeFrom="paragraph">
              <wp:posOffset>-942975</wp:posOffset>
            </wp:positionV>
            <wp:extent cx="857885" cy="93472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857885" cy="934720"/>
                    </a:xfrm>
                    <a:prstGeom prst="rect">
                      <a:avLst/>
                    </a:prstGeom>
                    <a:noFill/>
                  </pic:spPr>
                </pic:pic>
              </a:graphicData>
            </a:graphic>
          </wp:anchor>
        </w:drawing>
      </w:r>
    </w:p>
    <w:p>
      <w:pPr>
        <w:spacing w:after="0" w:line="19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conduct business globally in 82 countries and territories. We are routinely audited by the tax authorities of the various tax jurisdictions in which we operate. Generally, the tax years that could be subject to examination are 2007 through 2010 for our major operations in Germany, Italy, France, Japan, U.S. and United Kingdom. As of December 31, 2010, we are subject to tax audits in France, Belgium, Denmark, and Norway and the IRS will audit 2008 and 2009 beginning in 2011. We believe that resolution of such audits will not have a material impact on earnings.</w:t>
      </w:r>
    </w:p>
    <w:p>
      <w:pPr>
        <w:spacing w:after="0" w:line="200" w:lineRule="exact"/>
        <w:rPr>
          <w:sz w:val="20"/>
          <w:szCs w:val="20"/>
          <w:color w:val="auto"/>
        </w:rPr>
      </w:pPr>
    </w:p>
    <w:p>
      <w:pPr>
        <w:spacing w:after="0"/>
        <w:rPr>
          <w:sz w:val="20"/>
          <w:szCs w:val="20"/>
          <w:color w:val="auto"/>
        </w:rPr>
      </w:pPr>
      <w:r>
        <w:rPr>
          <w:rFonts w:ascii="Arial" w:cs="Arial" w:eastAsia="Arial" w:hAnsi="Arial"/>
          <w:sz w:val="24"/>
          <w:szCs w:val="24"/>
          <w:color w:val="86B6A5"/>
        </w:rPr>
        <w:t>06.</w:t>
      </w:r>
    </w:p>
    <w:p>
      <w:pPr>
        <w:spacing w:after="0" w:line="8" w:lineRule="exact"/>
        <w:rPr>
          <w:sz w:val="20"/>
          <w:szCs w:val="20"/>
          <w:color w:val="auto"/>
        </w:rPr>
      </w:pPr>
    </w:p>
    <w:p>
      <w:pPr>
        <w:spacing w:after="0"/>
        <w:rPr>
          <w:sz w:val="20"/>
          <w:szCs w:val="20"/>
          <w:color w:val="auto"/>
        </w:rPr>
      </w:pPr>
      <w:r>
        <w:rPr>
          <w:rFonts w:ascii="Arial" w:cs="Arial" w:eastAsia="Arial" w:hAnsi="Arial"/>
          <w:sz w:val="24"/>
          <w:szCs w:val="24"/>
          <w:color w:val="86B6A5"/>
        </w:rPr>
        <w:t>Goodwill</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carrying value of goodwill by reportable segment and Corporate are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jc w:val="right"/>
              <w:ind w:right="92"/>
              <w:spacing w:after="0"/>
              <w:rPr>
                <w:sz w:val="20"/>
                <w:szCs w:val="20"/>
                <w:color w:val="auto"/>
              </w:rPr>
            </w:pPr>
            <w:r>
              <w:rPr>
                <w:rFonts w:ascii="Arial" w:cs="Arial" w:eastAsia="Arial" w:hAnsi="Arial"/>
                <w:sz w:val="16"/>
                <w:szCs w:val="16"/>
                <w:b w:val="1"/>
                <w:bCs w:val="1"/>
                <w:color w:val="86B6A5"/>
              </w:rPr>
              <w:t>Right</w:t>
            </w: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28"/>
        </w:trPr>
        <w:tc>
          <w:tcPr>
            <w:tcW w:w="2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40" w:type="dxa"/>
            <w:vAlign w:val="bottom"/>
          </w:tcPr>
          <w:p>
            <w:pPr>
              <w:jc w:val="right"/>
              <w:spacing w:after="0" w:line="221" w:lineRule="exact"/>
              <w:rPr>
                <w:sz w:val="20"/>
                <w:szCs w:val="20"/>
                <w:color w:val="auto"/>
              </w:rPr>
            </w:pPr>
            <w:r>
              <w:rPr>
                <w:rFonts w:ascii="Arial" w:cs="Arial" w:eastAsia="Arial" w:hAnsi="Arial"/>
                <w:sz w:val="16"/>
                <w:szCs w:val="16"/>
                <w:b w:val="1"/>
                <w:bCs w:val="1"/>
                <w:color w:val="86B6A5"/>
                <w:w w:val="97"/>
              </w:rPr>
              <w:t>Americas</w:t>
            </w:r>
            <w:r>
              <w:rPr>
                <w:rFonts w:ascii="Arial" w:cs="Arial" w:eastAsia="Arial" w:hAnsi="Arial"/>
                <w:sz w:val="22"/>
                <w:szCs w:val="22"/>
                <w:b w:val="1"/>
                <w:bCs w:val="1"/>
                <w:color w:val="86B6A5"/>
                <w:w w:val="97"/>
                <w:vertAlign w:val="superscript"/>
              </w:rPr>
              <w:t>(1)</w:t>
            </w:r>
          </w:p>
        </w:tc>
        <w:tc>
          <w:tcPr>
            <w:tcW w:w="280" w:type="dxa"/>
            <w:vAlign w:val="bottom"/>
          </w:tcPr>
          <w:p>
            <w:pPr>
              <w:spacing w:after="0"/>
              <w:rPr>
                <w:sz w:val="19"/>
                <w:szCs w:val="19"/>
                <w:color w:val="auto"/>
              </w:rPr>
            </w:pPr>
          </w:p>
        </w:tc>
        <w:tc>
          <w:tcPr>
            <w:tcW w:w="800" w:type="dxa"/>
            <w:vAlign w:val="bottom"/>
          </w:tcPr>
          <w:p>
            <w:pPr>
              <w:jc w:val="right"/>
              <w:ind w:right="51"/>
              <w:spacing w:after="0"/>
              <w:rPr>
                <w:sz w:val="20"/>
                <w:szCs w:val="20"/>
                <w:color w:val="auto"/>
              </w:rPr>
            </w:pPr>
            <w:r>
              <w:rPr>
                <w:rFonts w:ascii="Arial" w:cs="Arial" w:eastAsia="Arial" w:hAnsi="Arial"/>
                <w:sz w:val="16"/>
                <w:szCs w:val="16"/>
                <w:b w:val="1"/>
                <w:bCs w:val="1"/>
                <w:color w:val="86B6A5"/>
              </w:rPr>
              <w:t>France</w:t>
            </w:r>
          </w:p>
        </w:tc>
        <w:tc>
          <w:tcPr>
            <w:tcW w:w="340" w:type="dxa"/>
            <w:vAlign w:val="bottom"/>
          </w:tcPr>
          <w:p>
            <w:pPr>
              <w:spacing w:after="0"/>
              <w:rPr>
                <w:sz w:val="19"/>
                <w:szCs w:val="19"/>
                <w:color w:val="auto"/>
              </w:rPr>
            </w:pPr>
          </w:p>
        </w:tc>
        <w:tc>
          <w:tcPr>
            <w:tcW w:w="820" w:type="dxa"/>
            <w:vAlign w:val="bottom"/>
          </w:tcPr>
          <w:p>
            <w:pPr>
              <w:jc w:val="right"/>
              <w:spacing w:after="0" w:line="221" w:lineRule="exact"/>
              <w:rPr>
                <w:sz w:val="20"/>
                <w:szCs w:val="20"/>
                <w:color w:val="auto"/>
              </w:rPr>
            </w:pPr>
            <w:r>
              <w:rPr>
                <w:rFonts w:ascii="Arial" w:cs="Arial" w:eastAsia="Arial" w:hAnsi="Arial"/>
                <w:sz w:val="16"/>
                <w:szCs w:val="16"/>
                <w:b w:val="1"/>
                <w:bCs w:val="1"/>
                <w:color w:val="86B6A5"/>
              </w:rPr>
              <w:t>EMEA</w:t>
            </w:r>
            <w:r>
              <w:rPr>
                <w:rFonts w:ascii="Arial" w:cs="Arial" w:eastAsia="Arial" w:hAnsi="Arial"/>
                <w:sz w:val="22"/>
                <w:szCs w:val="22"/>
                <w:b w:val="1"/>
                <w:bCs w:val="1"/>
                <w:color w:val="86B6A5"/>
                <w:vertAlign w:val="superscript"/>
              </w:rPr>
              <w:t>(2)</w:t>
            </w:r>
          </w:p>
        </w:tc>
        <w:tc>
          <w:tcPr>
            <w:tcW w:w="140" w:type="dxa"/>
            <w:vAlign w:val="bottom"/>
          </w:tcPr>
          <w:p>
            <w:pPr>
              <w:spacing w:after="0"/>
              <w:rPr>
                <w:sz w:val="19"/>
                <w:szCs w:val="19"/>
                <w:color w:val="auto"/>
              </w:rPr>
            </w:pPr>
          </w:p>
        </w:tc>
        <w:tc>
          <w:tcPr>
            <w:tcW w:w="1040" w:type="dxa"/>
            <w:vAlign w:val="bottom"/>
          </w:tcPr>
          <w:p>
            <w:pPr>
              <w:jc w:val="right"/>
              <w:ind w:right="31"/>
              <w:spacing w:after="0"/>
              <w:rPr>
                <w:sz w:val="20"/>
                <w:szCs w:val="20"/>
                <w:color w:val="auto"/>
              </w:rPr>
            </w:pPr>
            <w:r>
              <w:rPr>
                <w:rFonts w:ascii="Arial" w:cs="Arial" w:eastAsia="Arial" w:hAnsi="Arial"/>
                <w:sz w:val="16"/>
                <w:szCs w:val="16"/>
                <w:b w:val="1"/>
                <w:bCs w:val="1"/>
                <w:color w:val="86B6A5"/>
              </w:rPr>
              <w:t>Asia Pacific</w:t>
            </w:r>
          </w:p>
        </w:tc>
        <w:tc>
          <w:tcPr>
            <w:tcW w:w="200" w:type="dxa"/>
            <w:vAlign w:val="bottom"/>
          </w:tcPr>
          <w:p>
            <w:pPr>
              <w:spacing w:after="0"/>
              <w:rPr>
                <w:sz w:val="19"/>
                <w:szCs w:val="19"/>
                <w:color w:val="auto"/>
              </w:rPr>
            </w:pPr>
          </w:p>
        </w:tc>
        <w:tc>
          <w:tcPr>
            <w:tcW w:w="1180" w:type="dxa"/>
            <w:vAlign w:val="bottom"/>
          </w:tcPr>
          <w:p>
            <w:pPr>
              <w:jc w:val="right"/>
              <w:spacing w:after="0" w:line="221" w:lineRule="exact"/>
              <w:rPr>
                <w:sz w:val="20"/>
                <w:szCs w:val="20"/>
                <w:color w:val="auto"/>
              </w:rPr>
            </w:pPr>
            <w:r>
              <w:rPr>
                <w:rFonts w:ascii="Arial" w:cs="Arial" w:eastAsia="Arial" w:hAnsi="Arial"/>
                <w:sz w:val="16"/>
                <w:szCs w:val="16"/>
                <w:b w:val="1"/>
                <w:bCs w:val="1"/>
                <w:color w:val="86B6A5"/>
                <w:w w:val="96"/>
              </w:rPr>
              <w:t>Management</w:t>
            </w:r>
            <w:r>
              <w:rPr>
                <w:rFonts w:ascii="Arial" w:cs="Arial" w:eastAsia="Arial" w:hAnsi="Arial"/>
                <w:sz w:val="22"/>
                <w:szCs w:val="22"/>
                <w:b w:val="1"/>
                <w:bCs w:val="1"/>
                <w:color w:val="86B6A5"/>
                <w:w w:val="96"/>
                <w:vertAlign w:val="superscript"/>
              </w:rPr>
              <w:t>(3)</w:t>
            </w:r>
          </w:p>
        </w:tc>
        <w:tc>
          <w:tcPr>
            <w:tcW w:w="160" w:type="dxa"/>
            <w:vAlign w:val="bottom"/>
          </w:tcPr>
          <w:p>
            <w:pPr>
              <w:spacing w:after="0"/>
              <w:rPr>
                <w:sz w:val="19"/>
                <w:szCs w:val="19"/>
                <w:color w:val="auto"/>
              </w:rPr>
            </w:pPr>
          </w:p>
        </w:tc>
        <w:tc>
          <w:tcPr>
            <w:tcW w:w="1100" w:type="dxa"/>
            <w:vAlign w:val="bottom"/>
          </w:tcPr>
          <w:p>
            <w:pPr>
              <w:jc w:val="right"/>
              <w:spacing w:after="0" w:line="221" w:lineRule="exact"/>
              <w:rPr>
                <w:sz w:val="20"/>
                <w:szCs w:val="20"/>
                <w:color w:val="auto"/>
              </w:rPr>
            </w:pPr>
            <w:r>
              <w:rPr>
                <w:rFonts w:ascii="Arial" w:cs="Arial" w:eastAsia="Arial" w:hAnsi="Arial"/>
                <w:sz w:val="16"/>
                <w:szCs w:val="16"/>
                <w:b w:val="1"/>
                <w:bCs w:val="1"/>
                <w:color w:val="86B6A5"/>
                <w:w w:val="92"/>
              </w:rPr>
              <w:t>Corporate</w:t>
            </w:r>
            <w:r>
              <w:rPr>
                <w:rFonts w:ascii="Arial" w:cs="Arial" w:eastAsia="Arial" w:hAnsi="Arial"/>
                <w:sz w:val="22"/>
                <w:szCs w:val="22"/>
                <w:b w:val="1"/>
                <w:bCs w:val="1"/>
                <w:color w:val="86B6A5"/>
                <w:w w:val="92"/>
                <w:vertAlign w:val="superscript"/>
              </w:rPr>
              <w:t>(3),(4)</w:t>
            </w:r>
          </w:p>
        </w:tc>
        <w:tc>
          <w:tcPr>
            <w:tcW w:w="240" w:type="dxa"/>
            <w:vAlign w:val="bottom"/>
          </w:tcPr>
          <w:p>
            <w:pPr>
              <w:spacing w:after="0"/>
              <w:rPr>
                <w:sz w:val="19"/>
                <w:szCs w:val="19"/>
                <w:color w:val="auto"/>
              </w:rPr>
            </w:pPr>
          </w:p>
        </w:tc>
        <w:tc>
          <w:tcPr>
            <w:tcW w:w="800" w:type="dxa"/>
            <w:vAlign w:val="bottom"/>
            <w:gridSpan w:val="2"/>
          </w:tcPr>
          <w:p>
            <w:pPr>
              <w:jc w:val="right"/>
              <w:spacing w:after="0" w:line="221" w:lineRule="exact"/>
              <w:rPr>
                <w:sz w:val="20"/>
                <w:szCs w:val="20"/>
                <w:color w:val="auto"/>
              </w:rPr>
            </w:pPr>
            <w:r>
              <w:rPr>
                <w:rFonts w:ascii="Arial" w:cs="Arial" w:eastAsia="Arial" w:hAnsi="Arial"/>
                <w:sz w:val="16"/>
                <w:szCs w:val="16"/>
                <w:b w:val="1"/>
                <w:bCs w:val="1"/>
                <w:color w:val="86B6A5"/>
              </w:rPr>
              <w:t>Total</w:t>
            </w:r>
            <w:r>
              <w:rPr>
                <w:rFonts w:ascii="Arial" w:cs="Arial" w:eastAsia="Arial" w:hAnsi="Arial"/>
                <w:sz w:val="22"/>
                <w:szCs w:val="22"/>
                <w:b w:val="1"/>
                <w:bCs w:val="1"/>
                <w:color w:val="86B6A5"/>
                <w:vertAlign w:val="superscript"/>
              </w:rPr>
              <w:t>(4)</w:t>
            </w:r>
          </w:p>
        </w:tc>
      </w:tr>
      <w:tr>
        <w:trPr>
          <w:trHeight w:val="202"/>
        </w:trPr>
        <w:tc>
          <w:tcPr>
            <w:tcW w:w="20" w:type="dxa"/>
            <w:vAlign w:val="bottom"/>
          </w:tcPr>
          <w:p>
            <w:pPr>
              <w:spacing w:after="0"/>
              <w:rPr>
                <w:sz w:val="17"/>
                <w:szCs w:val="17"/>
                <w:color w:val="auto"/>
              </w:rPr>
            </w:pPr>
          </w:p>
        </w:tc>
        <w:tc>
          <w:tcPr>
            <w:tcW w:w="2720" w:type="dxa"/>
            <w:vAlign w:val="bottom"/>
            <w:tcBorders>
              <w:top w:val="single" w:sz="8" w:color="86B6A5"/>
            </w:tcBorders>
          </w:tcPr>
          <w:p>
            <w:pPr>
              <w:spacing w:after="0" w:line="201" w:lineRule="exact"/>
              <w:rPr>
                <w:sz w:val="20"/>
                <w:szCs w:val="20"/>
                <w:color w:val="auto"/>
              </w:rPr>
            </w:pPr>
            <w:r>
              <w:rPr>
                <w:rFonts w:ascii="Arial" w:cs="Arial" w:eastAsia="Arial" w:hAnsi="Arial"/>
                <w:sz w:val="18"/>
                <w:szCs w:val="18"/>
                <w:color w:val="auto"/>
              </w:rPr>
              <w:t>Balance, January 1, 2009</w:t>
            </w:r>
          </w:p>
        </w:tc>
        <w:tc>
          <w:tcPr>
            <w:tcW w:w="560" w:type="dxa"/>
            <w:vAlign w:val="bottom"/>
            <w:tcBorders>
              <w:top w:val="single" w:sz="8" w:color="86B6A5"/>
            </w:tcBorders>
          </w:tcPr>
          <w:p>
            <w:pPr>
              <w:jc w:val="right"/>
              <w:spacing w:after="0" w:line="201" w:lineRule="exact"/>
              <w:rPr>
                <w:sz w:val="20"/>
                <w:szCs w:val="20"/>
                <w:color w:val="auto"/>
              </w:rPr>
            </w:pPr>
            <w:r>
              <w:rPr>
                <w:rFonts w:ascii="Arial" w:cs="Arial" w:eastAsia="Arial" w:hAnsi="Arial"/>
                <w:sz w:val="18"/>
                <w:szCs w:val="18"/>
                <w:color w:val="auto"/>
              </w:rPr>
              <w:t>$</w:t>
            </w:r>
          </w:p>
        </w:tc>
        <w:tc>
          <w:tcPr>
            <w:tcW w:w="940" w:type="dxa"/>
            <w:vAlign w:val="bottom"/>
            <w:tcBorders>
              <w:top w:val="single" w:sz="8" w:color="86B6A5"/>
            </w:tcBorders>
          </w:tcPr>
          <w:p>
            <w:pPr>
              <w:jc w:val="right"/>
              <w:ind w:right="91"/>
              <w:spacing w:after="0" w:line="201" w:lineRule="exact"/>
              <w:rPr>
                <w:sz w:val="20"/>
                <w:szCs w:val="20"/>
                <w:color w:val="auto"/>
              </w:rPr>
            </w:pPr>
            <w:r>
              <w:rPr>
                <w:rFonts w:ascii="Arial" w:cs="Arial" w:eastAsia="Arial" w:hAnsi="Arial"/>
                <w:sz w:val="18"/>
                <w:szCs w:val="18"/>
                <w:color w:val="auto"/>
              </w:rPr>
              <w:t>163.3</w:t>
            </w:r>
          </w:p>
        </w:tc>
        <w:tc>
          <w:tcPr>
            <w:tcW w:w="280" w:type="dxa"/>
            <w:vAlign w:val="bottom"/>
            <w:tcBorders>
              <w:top w:val="single" w:sz="8" w:color="86B6A5"/>
            </w:tcBorders>
          </w:tcPr>
          <w:p>
            <w:pPr>
              <w:jc w:val="right"/>
              <w:ind w:right="50"/>
              <w:spacing w:after="0" w:line="201" w:lineRule="exact"/>
              <w:rPr>
                <w:sz w:val="20"/>
                <w:szCs w:val="20"/>
                <w:color w:val="auto"/>
              </w:rPr>
            </w:pPr>
            <w:r>
              <w:rPr>
                <w:rFonts w:ascii="Arial" w:cs="Arial" w:eastAsia="Arial" w:hAnsi="Arial"/>
                <w:sz w:val="18"/>
                <w:szCs w:val="18"/>
                <w:color w:val="auto"/>
              </w:rPr>
              <w:t>$</w:t>
            </w:r>
          </w:p>
        </w:tc>
        <w:tc>
          <w:tcPr>
            <w:tcW w:w="800" w:type="dxa"/>
            <w:vAlign w:val="bottom"/>
            <w:tcBorders>
              <w:top w:val="single" w:sz="8" w:color="86B6A5"/>
            </w:tcBorders>
          </w:tcPr>
          <w:p>
            <w:pPr>
              <w:jc w:val="right"/>
              <w:ind w:right="51"/>
              <w:spacing w:after="0" w:line="201" w:lineRule="exact"/>
              <w:rPr>
                <w:sz w:val="20"/>
                <w:szCs w:val="20"/>
                <w:color w:val="auto"/>
              </w:rPr>
            </w:pPr>
            <w:r>
              <w:rPr>
                <w:rFonts w:ascii="Arial" w:cs="Arial" w:eastAsia="Arial" w:hAnsi="Arial"/>
                <w:sz w:val="18"/>
                <w:szCs w:val="18"/>
                <w:color w:val="auto"/>
              </w:rPr>
              <w:t>3.6</w:t>
            </w:r>
          </w:p>
        </w:tc>
        <w:tc>
          <w:tcPr>
            <w:tcW w:w="340" w:type="dxa"/>
            <w:vAlign w:val="bottom"/>
            <w:tcBorders>
              <w:top w:val="single" w:sz="8" w:color="86B6A5"/>
            </w:tcBorders>
          </w:tcPr>
          <w:p>
            <w:pPr>
              <w:jc w:val="right"/>
              <w:ind w:right="70"/>
              <w:spacing w:after="0" w:line="201" w:lineRule="exact"/>
              <w:rPr>
                <w:sz w:val="20"/>
                <w:szCs w:val="20"/>
                <w:color w:val="auto"/>
              </w:rPr>
            </w:pPr>
            <w:r>
              <w:rPr>
                <w:rFonts w:ascii="Arial" w:cs="Arial" w:eastAsia="Arial" w:hAnsi="Arial"/>
                <w:sz w:val="18"/>
                <w:szCs w:val="18"/>
                <w:color w:val="auto"/>
              </w:rPr>
              <w:t>$</w:t>
            </w:r>
          </w:p>
        </w:tc>
        <w:tc>
          <w:tcPr>
            <w:tcW w:w="820" w:type="dxa"/>
            <w:vAlign w:val="bottom"/>
            <w:tcBorders>
              <w:top w:val="single" w:sz="8" w:color="86B6A5"/>
            </w:tcBorders>
          </w:tcPr>
          <w:p>
            <w:pPr>
              <w:jc w:val="right"/>
              <w:ind w:right="91"/>
              <w:spacing w:after="0" w:line="201" w:lineRule="exact"/>
              <w:rPr>
                <w:sz w:val="20"/>
                <w:szCs w:val="20"/>
                <w:color w:val="auto"/>
              </w:rPr>
            </w:pPr>
            <w:r>
              <w:rPr>
                <w:rFonts w:ascii="Arial" w:cs="Arial" w:eastAsia="Arial" w:hAnsi="Arial"/>
                <w:sz w:val="18"/>
                <w:szCs w:val="18"/>
                <w:color w:val="auto"/>
              </w:rPr>
              <w:t>266.2</w:t>
            </w:r>
          </w:p>
        </w:tc>
        <w:tc>
          <w:tcPr>
            <w:tcW w:w="140" w:type="dxa"/>
            <w:vAlign w:val="bottom"/>
            <w:tcBorders>
              <w:top w:val="single" w:sz="8" w:color="86B6A5"/>
            </w:tcBorders>
          </w:tcPr>
          <w:p>
            <w:pPr>
              <w:jc w:val="right"/>
              <w:spacing w:after="0" w:line="201" w:lineRule="exact"/>
              <w:rPr>
                <w:sz w:val="20"/>
                <w:szCs w:val="20"/>
                <w:color w:val="auto"/>
              </w:rPr>
            </w:pPr>
            <w:r>
              <w:rPr>
                <w:rFonts w:ascii="Arial" w:cs="Arial" w:eastAsia="Arial" w:hAnsi="Arial"/>
                <w:sz w:val="18"/>
                <w:szCs w:val="18"/>
                <w:color w:val="auto"/>
              </w:rPr>
              <w:t>$</w:t>
            </w:r>
          </w:p>
        </w:tc>
        <w:tc>
          <w:tcPr>
            <w:tcW w:w="1040" w:type="dxa"/>
            <w:vAlign w:val="bottom"/>
            <w:tcBorders>
              <w:top w:val="single" w:sz="8" w:color="86B6A5"/>
            </w:tcBorders>
          </w:tcPr>
          <w:p>
            <w:pPr>
              <w:jc w:val="right"/>
              <w:ind w:right="31"/>
              <w:spacing w:after="0" w:line="201" w:lineRule="exact"/>
              <w:rPr>
                <w:sz w:val="20"/>
                <w:szCs w:val="20"/>
                <w:color w:val="auto"/>
              </w:rPr>
            </w:pPr>
            <w:r>
              <w:rPr>
                <w:rFonts w:ascii="Arial" w:cs="Arial" w:eastAsia="Arial" w:hAnsi="Arial"/>
                <w:sz w:val="18"/>
                <w:szCs w:val="18"/>
                <w:color w:val="auto"/>
              </w:rPr>
              <w:t>56.5</w:t>
            </w:r>
          </w:p>
        </w:tc>
        <w:tc>
          <w:tcPr>
            <w:tcW w:w="200" w:type="dxa"/>
            <w:vAlign w:val="bottom"/>
            <w:tcBorders>
              <w:top w:val="single" w:sz="8" w:color="86B6A5"/>
            </w:tcBorders>
          </w:tcPr>
          <w:p>
            <w:pPr>
              <w:jc w:val="right"/>
              <w:spacing w:after="0" w:line="201" w:lineRule="exact"/>
              <w:rPr>
                <w:sz w:val="20"/>
                <w:szCs w:val="20"/>
                <w:color w:val="auto"/>
              </w:rPr>
            </w:pPr>
            <w:r>
              <w:rPr>
                <w:rFonts w:ascii="Arial" w:cs="Arial" w:eastAsia="Arial" w:hAnsi="Arial"/>
                <w:sz w:val="18"/>
                <w:szCs w:val="18"/>
                <w:color w:val="auto"/>
              </w:rPr>
              <w:t>$</w:t>
            </w:r>
          </w:p>
        </w:tc>
        <w:tc>
          <w:tcPr>
            <w:tcW w:w="1180" w:type="dxa"/>
            <w:vAlign w:val="bottom"/>
            <w:tcBorders>
              <w:top w:val="single" w:sz="8" w:color="86B6A5"/>
            </w:tcBorders>
          </w:tcPr>
          <w:p>
            <w:pPr>
              <w:jc w:val="right"/>
              <w:ind w:right="92"/>
              <w:spacing w:after="0" w:line="201" w:lineRule="exact"/>
              <w:rPr>
                <w:sz w:val="20"/>
                <w:szCs w:val="20"/>
                <w:color w:val="auto"/>
              </w:rPr>
            </w:pPr>
            <w:r>
              <w:rPr>
                <w:rFonts w:ascii="Arial" w:cs="Arial" w:eastAsia="Arial" w:hAnsi="Arial"/>
                <w:sz w:val="18"/>
                <w:szCs w:val="18"/>
                <w:color w:val="auto"/>
              </w:rPr>
              <w:t>140.0</w:t>
            </w:r>
          </w:p>
        </w:tc>
        <w:tc>
          <w:tcPr>
            <w:tcW w:w="160" w:type="dxa"/>
            <w:vAlign w:val="bottom"/>
            <w:tcBorders>
              <w:top w:val="single" w:sz="8" w:color="86B6A5"/>
            </w:tcBorders>
          </w:tcPr>
          <w:p>
            <w:pPr>
              <w:jc w:val="right"/>
              <w:spacing w:after="0" w:line="201" w:lineRule="exact"/>
              <w:rPr>
                <w:sz w:val="20"/>
                <w:szCs w:val="20"/>
                <w:color w:val="auto"/>
              </w:rPr>
            </w:pPr>
            <w:r>
              <w:rPr>
                <w:rFonts w:ascii="Arial" w:cs="Arial" w:eastAsia="Arial" w:hAnsi="Arial"/>
                <w:sz w:val="18"/>
                <w:szCs w:val="18"/>
                <w:color w:val="auto"/>
              </w:rPr>
              <w:t>$</w:t>
            </w:r>
          </w:p>
        </w:tc>
        <w:tc>
          <w:tcPr>
            <w:tcW w:w="1100" w:type="dxa"/>
            <w:vAlign w:val="bottom"/>
            <w:tcBorders>
              <w:top w:val="single" w:sz="8" w:color="86B6A5"/>
            </w:tcBorders>
          </w:tcPr>
          <w:p>
            <w:pPr>
              <w:jc w:val="right"/>
              <w:ind w:right="231"/>
              <w:spacing w:after="0" w:line="201" w:lineRule="exact"/>
              <w:rPr>
                <w:sz w:val="20"/>
                <w:szCs w:val="20"/>
                <w:color w:val="auto"/>
              </w:rPr>
            </w:pPr>
            <w:r>
              <w:rPr>
                <w:rFonts w:ascii="Arial" w:cs="Arial" w:eastAsia="Arial" w:hAnsi="Arial"/>
                <w:sz w:val="18"/>
                <w:szCs w:val="18"/>
                <w:color w:val="auto"/>
              </w:rPr>
              <w:t>343.3</w:t>
            </w:r>
          </w:p>
        </w:tc>
        <w:tc>
          <w:tcPr>
            <w:tcW w:w="240" w:type="dxa"/>
            <w:vAlign w:val="bottom"/>
            <w:tcBorders>
              <w:top w:val="single" w:sz="8" w:color="86B6A5"/>
            </w:tcBorders>
          </w:tcPr>
          <w:p>
            <w:pPr>
              <w:jc w:val="right"/>
              <w:ind w:right="50"/>
              <w:spacing w:after="0" w:line="201" w:lineRule="exact"/>
              <w:rPr>
                <w:sz w:val="20"/>
                <w:szCs w:val="20"/>
                <w:color w:val="auto"/>
              </w:rPr>
            </w:pPr>
            <w:r>
              <w:rPr>
                <w:rFonts w:ascii="Arial" w:cs="Arial" w:eastAsia="Arial" w:hAnsi="Arial"/>
                <w:sz w:val="18"/>
                <w:szCs w:val="18"/>
                <w:color w:val="auto"/>
                <w:w w:val="79"/>
              </w:rPr>
              <w:t>$</w:t>
            </w:r>
          </w:p>
        </w:tc>
        <w:tc>
          <w:tcPr>
            <w:tcW w:w="660" w:type="dxa"/>
            <w:vAlign w:val="bottom"/>
            <w:tcBorders>
              <w:top w:val="single" w:sz="8" w:color="86B6A5"/>
            </w:tcBorders>
          </w:tcPr>
          <w:p>
            <w:pPr>
              <w:jc w:val="right"/>
              <w:spacing w:after="0" w:line="201" w:lineRule="exact"/>
              <w:rPr>
                <w:sz w:val="20"/>
                <w:szCs w:val="20"/>
                <w:color w:val="auto"/>
              </w:rPr>
            </w:pPr>
            <w:r>
              <w:rPr>
                <w:rFonts w:ascii="Arial" w:cs="Arial" w:eastAsia="Arial" w:hAnsi="Arial"/>
                <w:sz w:val="18"/>
                <w:szCs w:val="18"/>
                <w:color w:val="auto"/>
              </w:rPr>
              <w:t>972.9</w:t>
            </w:r>
          </w:p>
        </w:tc>
        <w:tc>
          <w:tcPr>
            <w:tcW w:w="140" w:type="dxa"/>
            <w:vAlign w:val="bottom"/>
          </w:tcPr>
          <w:p>
            <w:pPr>
              <w:spacing w:after="0"/>
              <w:rPr>
                <w:sz w:val="17"/>
                <w:szCs w:val="17"/>
                <w:color w:val="auto"/>
              </w:rPr>
            </w:pPr>
          </w:p>
        </w:tc>
      </w:tr>
      <w:tr>
        <w:trPr>
          <w:trHeight w:val="203"/>
        </w:trPr>
        <w:tc>
          <w:tcPr>
            <w:tcW w:w="2740" w:type="dxa"/>
            <w:vAlign w:val="bottom"/>
            <w:gridSpan w:val="2"/>
          </w:tcPr>
          <w:p>
            <w:pPr>
              <w:spacing w:after="0" w:line="202" w:lineRule="exact"/>
              <w:rPr>
                <w:sz w:val="20"/>
                <w:szCs w:val="20"/>
                <w:color w:val="auto"/>
              </w:rPr>
            </w:pPr>
            <w:r>
              <w:rPr>
                <w:rFonts w:ascii="Arial" w:cs="Arial" w:eastAsia="Arial" w:hAnsi="Arial"/>
                <w:sz w:val="18"/>
                <w:szCs w:val="18"/>
                <w:color w:val="auto"/>
              </w:rPr>
              <w:t>Goodwill acquired</w:t>
            </w:r>
          </w:p>
        </w:tc>
        <w:tc>
          <w:tcPr>
            <w:tcW w:w="560" w:type="dxa"/>
            <w:vAlign w:val="bottom"/>
          </w:tcPr>
          <w:p>
            <w:pPr>
              <w:spacing w:after="0"/>
              <w:rPr>
                <w:sz w:val="17"/>
                <w:szCs w:val="17"/>
                <w:color w:val="auto"/>
              </w:rPr>
            </w:pPr>
          </w:p>
        </w:tc>
        <w:tc>
          <w:tcPr>
            <w:tcW w:w="940" w:type="dxa"/>
            <w:vAlign w:val="bottom"/>
          </w:tcPr>
          <w:p>
            <w:pPr>
              <w:jc w:val="right"/>
              <w:ind w:right="91"/>
              <w:spacing w:after="0" w:line="202" w:lineRule="exact"/>
              <w:rPr>
                <w:sz w:val="20"/>
                <w:szCs w:val="20"/>
                <w:color w:val="auto"/>
              </w:rPr>
            </w:pPr>
            <w:r>
              <w:rPr>
                <w:rFonts w:ascii="Arial" w:cs="Arial" w:eastAsia="Arial" w:hAnsi="Arial"/>
                <w:sz w:val="18"/>
                <w:szCs w:val="18"/>
                <w:color w:val="auto"/>
              </w:rPr>
              <w:t>8.4</w:t>
            </w:r>
          </w:p>
        </w:tc>
        <w:tc>
          <w:tcPr>
            <w:tcW w:w="280" w:type="dxa"/>
            <w:vAlign w:val="bottom"/>
          </w:tcPr>
          <w:p>
            <w:pPr>
              <w:spacing w:after="0"/>
              <w:rPr>
                <w:sz w:val="17"/>
                <w:szCs w:val="17"/>
                <w:color w:val="auto"/>
              </w:rPr>
            </w:pPr>
          </w:p>
        </w:tc>
        <w:tc>
          <w:tcPr>
            <w:tcW w:w="800" w:type="dxa"/>
            <w:vAlign w:val="bottom"/>
          </w:tcPr>
          <w:p>
            <w:pPr>
              <w:jc w:val="right"/>
              <w:ind w:right="51"/>
              <w:spacing w:after="0" w:line="202" w:lineRule="exact"/>
              <w:rPr>
                <w:sz w:val="20"/>
                <w:szCs w:val="20"/>
                <w:color w:val="auto"/>
              </w:rPr>
            </w:pPr>
            <w:r>
              <w:rPr>
                <w:rFonts w:ascii="Arial" w:cs="Arial" w:eastAsia="Arial" w:hAnsi="Arial"/>
                <w:sz w:val="18"/>
                <w:szCs w:val="18"/>
                <w:color w:val="auto"/>
              </w:rPr>
              <w:t>3.4</w:t>
            </w:r>
          </w:p>
        </w:tc>
        <w:tc>
          <w:tcPr>
            <w:tcW w:w="340" w:type="dxa"/>
            <w:vAlign w:val="bottom"/>
          </w:tcPr>
          <w:p>
            <w:pPr>
              <w:spacing w:after="0"/>
              <w:rPr>
                <w:sz w:val="17"/>
                <w:szCs w:val="17"/>
                <w:color w:val="auto"/>
              </w:rPr>
            </w:pPr>
          </w:p>
        </w:tc>
        <w:tc>
          <w:tcPr>
            <w:tcW w:w="820" w:type="dxa"/>
            <w:vAlign w:val="bottom"/>
          </w:tcPr>
          <w:p>
            <w:pPr>
              <w:jc w:val="right"/>
              <w:ind w:right="91"/>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040" w:type="dxa"/>
            <w:vAlign w:val="bottom"/>
          </w:tcPr>
          <w:p>
            <w:pPr>
              <w:jc w:val="right"/>
              <w:ind w:right="31"/>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180" w:type="dxa"/>
            <w:vAlign w:val="bottom"/>
          </w:tcPr>
          <w:p>
            <w:pPr>
              <w:jc w:val="right"/>
              <w:ind w:right="92"/>
              <w:spacing w:after="0" w:line="202" w:lineRule="exact"/>
              <w:rPr>
                <w:sz w:val="20"/>
                <w:szCs w:val="20"/>
                <w:color w:val="auto"/>
              </w:rPr>
            </w:pPr>
            <w:r>
              <w:rPr>
                <w:rFonts w:ascii="Arial" w:cs="Arial" w:eastAsia="Arial" w:hAnsi="Arial"/>
                <w:sz w:val="18"/>
                <w:szCs w:val="18"/>
                <w:color w:val="auto"/>
              </w:rPr>
              <w:t>4.1</w:t>
            </w:r>
          </w:p>
        </w:tc>
        <w:tc>
          <w:tcPr>
            <w:tcW w:w="160" w:type="dxa"/>
            <w:vAlign w:val="bottom"/>
          </w:tcPr>
          <w:p>
            <w:pPr>
              <w:spacing w:after="0"/>
              <w:rPr>
                <w:sz w:val="17"/>
                <w:szCs w:val="17"/>
                <w:color w:val="auto"/>
              </w:rPr>
            </w:pPr>
          </w:p>
        </w:tc>
        <w:tc>
          <w:tcPr>
            <w:tcW w:w="1100" w:type="dxa"/>
            <w:vAlign w:val="bottom"/>
          </w:tcPr>
          <w:p>
            <w:pPr>
              <w:jc w:val="right"/>
              <w:ind w:right="231"/>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15.9</w:t>
            </w:r>
          </w:p>
        </w:tc>
        <w:tc>
          <w:tcPr>
            <w:tcW w:w="140" w:type="dxa"/>
            <w:vAlign w:val="bottom"/>
          </w:tcPr>
          <w:p>
            <w:pPr>
              <w:spacing w:after="0"/>
              <w:rPr>
                <w:sz w:val="17"/>
                <w:szCs w:val="17"/>
                <w:color w:val="auto"/>
              </w:rPr>
            </w:pPr>
          </w:p>
        </w:tc>
      </w:tr>
      <w:tr>
        <w:trPr>
          <w:trHeight w:val="203"/>
        </w:trPr>
        <w:tc>
          <w:tcPr>
            <w:tcW w:w="2740" w:type="dxa"/>
            <w:vAlign w:val="bottom"/>
            <w:gridSpan w:val="2"/>
          </w:tcPr>
          <w:p>
            <w:pPr>
              <w:spacing w:after="0" w:line="202" w:lineRule="exact"/>
              <w:rPr>
                <w:sz w:val="20"/>
                <w:szCs w:val="20"/>
                <w:color w:val="auto"/>
              </w:rPr>
            </w:pPr>
            <w:r>
              <w:rPr>
                <w:rFonts w:ascii="Arial" w:cs="Arial" w:eastAsia="Arial" w:hAnsi="Arial"/>
                <w:sz w:val="18"/>
                <w:szCs w:val="18"/>
                <w:color w:val="auto"/>
              </w:rPr>
              <w:t>Currency impact and other</w:t>
            </w:r>
          </w:p>
        </w:tc>
        <w:tc>
          <w:tcPr>
            <w:tcW w:w="560" w:type="dxa"/>
            <w:vAlign w:val="bottom"/>
          </w:tcPr>
          <w:p>
            <w:pPr>
              <w:spacing w:after="0"/>
              <w:rPr>
                <w:sz w:val="17"/>
                <w:szCs w:val="17"/>
                <w:color w:val="auto"/>
              </w:rPr>
            </w:pPr>
          </w:p>
        </w:tc>
        <w:tc>
          <w:tcPr>
            <w:tcW w:w="940" w:type="dxa"/>
            <w:vAlign w:val="bottom"/>
          </w:tcPr>
          <w:p>
            <w:pPr>
              <w:jc w:val="right"/>
              <w:ind w:right="91"/>
              <w:spacing w:after="0" w:line="202" w:lineRule="exact"/>
              <w:rPr>
                <w:sz w:val="20"/>
                <w:szCs w:val="20"/>
                <w:color w:val="auto"/>
              </w:rPr>
            </w:pPr>
            <w:r>
              <w:rPr>
                <w:rFonts w:ascii="Arial" w:cs="Arial" w:eastAsia="Arial" w:hAnsi="Arial"/>
                <w:sz w:val="18"/>
                <w:szCs w:val="18"/>
                <w:color w:val="auto"/>
              </w:rPr>
              <w:t>1.7</w:t>
            </w:r>
          </w:p>
        </w:tc>
        <w:tc>
          <w:tcPr>
            <w:tcW w:w="280" w:type="dxa"/>
            <w:vAlign w:val="bottom"/>
          </w:tcPr>
          <w:p>
            <w:pPr>
              <w:spacing w:after="0"/>
              <w:rPr>
                <w:sz w:val="17"/>
                <w:szCs w:val="17"/>
                <w:color w:val="auto"/>
              </w:rPr>
            </w:pPr>
          </w:p>
        </w:tc>
        <w:tc>
          <w:tcPr>
            <w:tcW w:w="800" w:type="dxa"/>
            <w:vAlign w:val="bottom"/>
          </w:tcPr>
          <w:p>
            <w:pPr>
              <w:jc w:val="right"/>
              <w:ind w:right="51"/>
              <w:spacing w:after="0" w:line="202" w:lineRule="exact"/>
              <w:rPr>
                <w:sz w:val="20"/>
                <w:szCs w:val="20"/>
                <w:color w:val="auto"/>
              </w:rPr>
            </w:pPr>
            <w:r>
              <w:rPr>
                <w:rFonts w:ascii="Arial" w:cs="Arial" w:eastAsia="Arial" w:hAnsi="Arial"/>
                <w:sz w:val="18"/>
                <w:szCs w:val="18"/>
                <w:color w:val="auto"/>
              </w:rPr>
              <w:t>0.1</w:t>
            </w:r>
          </w:p>
        </w:tc>
        <w:tc>
          <w:tcPr>
            <w:tcW w:w="340" w:type="dxa"/>
            <w:vAlign w:val="bottom"/>
          </w:tcPr>
          <w:p>
            <w:pPr>
              <w:spacing w:after="0"/>
              <w:rPr>
                <w:sz w:val="17"/>
                <w:szCs w:val="17"/>
                <w:color w:val="auto"/>
              </w:rPr>
            </w:pPr>
          </w:p>
        </w:tc>
        <w:tc>
          <w:tcPr>
            <w:tcW w:w="820" w:type="dxa"/>
            <w:vAlign w:val="bottom"/>
          </w:tcPr>
          <w:p>
            <w:pPr>
              <w:jc w:val="right"/>
              <w:ind w:right="91"/>
              <w:spacing w:after="0" w:line="202" w:lineRule="exact"/>
              <w:rPr>
                <w:sz w:val="20"/>
                <w:szCs w:val="20"/>
                <w:color w:val="auto"/>
              </w:rPr>
            </w:pPr>
            <w:r>
              <w:rPr>
                <w:rFonts w:ascii="Arial" w:cs="Arial" w:eastAsia="Arial" w:hAnsi="Arial"/>
                <w:sz w:val="18"/>
                <w:szCs w:val="18"/>
                <w:color w:val="auto"/>
              </w:rPr>
              <w:t>20.7</w:t>
            </w:r>
          </w:p>
        </w:tc>
        <w:tc>
          <w:tcPr>
            <w:tcW w:w="140" w:type="dxa"/>
            <w:vAlign w:val="bottom"/>
          </w:tcPr>
          <w:p>
            <w:pPr>
              <w:spacing w:after="0"/>
              <w:rPr>
                <w:sz w:val="17"/>
                <w:szCs w:val="17"/>
                <w:color w:val="auto"/>
              </w:rPr>
            </w:pPr>
          </w:p>
        </w:tc>
        <w:tc>
          <w:tcPr>
            <w:tcW w:w="1040" w:type="dxa"/>
            <w:vAlign w:val="bottom"/>
          </w:tcPr>
          <w:p>
            <w:pPr>
              <w:jc w:val="right"/>
              <w:ind w:right="31"/>
              <w:spacing w:after="0" w:line="202" w:lineRule="exact"/>
              <w:rPr>
                <w:sz w:val="20"/>
                <w:szCs w:val="20"/>
                <w:color w:val="auto"/>
              </w:rPr>
            </w:pPr>
            <w:r>
              <w:rPr>
                <w:rFonts w:ascii="Arial" w:cs="Arial" w:eastAsia="Arial" w:hAnsi="Arial"/>
                <w:sz w:val="18"/>
                <w:szCs w:val="18"/>
                <w:color w:val="auto"/>
              </w:rPr>
              <w:t>2.4</w:t>
            </w:r>
          </w:p>
        </w:tc>
        <w:tc>
          <w:tcPr>
            <w:tcW w:w="200" w:type="dxa"/>
            <w:vAlign w:val="bottom"/>
          </w:tcPr>
          <w:p>
            <w:pPr>
              <w:spacing w:after="0"/>
              <w:rPr>
                <w:sz w:val="17"/>
                <w:szCs w:val="17"/>
                <w:color w:val="auto"/>
              </w:rPr>
            </w:pPr>
          </w:p>
        </w:tc>
        <w:tc>
          <w:tcPr>
            <w:tcW w:w="1180" w:type="dxa"/>
            <w:vAlign w:val="bottom"/>
          </w:tcPr>
          <w:p>
            <w:pPr>
              <w:jc w:val="right"/>
              <w:ind w:right="92"/>
              <w:spacing w:after="0" w:line="202" w:lineRule="exact"/>
              <w:rPr>
                <w:sz w:val="20"/>
                <w:szCs w:val="20"/>
                <w:color w:val="auto"/>
              </w:rPr>
            </w:pPr>
            <w:r>
              <w:rPr>
                <w:rFonts w:ascii="Arial" w:cs="Arial" w:eastAsia="Arial" w:hAnsi="Arial"/>
                <w:sz w:val="18"/>
                <w:szCs w:val="18"/>
                <w:color w:val="auto"/>
              </w:rPr>
              <w:t>6.6</w:t>
            </w:r>
          </w:p>
        </w:tc>
        <w:tc>
          <w:tcPr>
            <w:tcW w:w="160" w:type="dxa"/>
            <w:vAlign w:val="bottom"/>
          </w:tcPr>
          <w:p>
            <w:pPr>
              <w:spacing w:after="0"/>
              <w:rPr>
                <w:sz w:val="17"/>
                <w:szCs w:val="17"/>
                <w:color w:val="auto"/>
              </w:rPr>
            </w:pPr>
          </w:p>
        </w:tc>
        <w:tc>
          <w:tcPr>
            <w:tcW w:w="1100" w:type="dxa"/>
            <w:vAlign w:val="bottom"/>
          </w:tcPr>
          <w:p>
            <w:pPr>
              <w:jc w:val="right"/>
              <w:ind w:right="171"/>
              <w:spacing w:after="0" w:line="202" w:lineRule="exact"/>
              <w:rPr>
                <w:sz w:val="20"/>
                <w:szCs w:val="20"/>
                <w:color w:val="auto"/>
              </w:rPr>
            </w:pPr>
            <w:r>
              <w:rPr>
                <w:rFonts w:ascii="Arial" w:cs="Arial" w:eastAsia="Arial" w:hAnsi="Arial"/>
                <w:sz w:val="18"/>
                <w:szCs w:val="18"/>
                <w:color w:val="auto"/>
              </w:rPr>
              <w:t>(0.2)</w:t>
            </w:r>
          </w:p>
        </w:tc>
        <w:tc>
          <w:tcPr>
            <w:tcW w:w="24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31.3</w:t>
            </w:r>
          </w:p>
        </w:tc>
        <w:tc>
          <w:tcPr>
            <w:tcW w:w="140" w:type="dxa"/>
            <w:vAlign w:val="bottom"/>
          </w:tcPr>
          <w:p>
            <w:pPr>
              <w:spacing w:after="0"/>
              <w:rPr>
                <w:sz w:val="17"/>
                <w:szCs w:val="17"/>
                <w:color w:val="auto"/>
              </w:rPr>
            </w:pPr>
          </w:p>
        </w:tc>
      </w:tr>
      <w:tr>
        <w:trPr>
          <w:trHeight w:val="203"/>
        </w:trPr>
        <w:tc>
          <w:tcPr>
            <w:tcW w:w="2740" w:type="dxa"/>
            <w:vAlign w:val="bottom"/>
            <w:gridSpan w:val="2"/>
          </w:tcPr>
          <w:p>
            <w:pPr>
              <w:spacing w:after="0" w:line="203" w:lineRule="exact"/>
              <w:rPr>
                <w:sz w:val="20"/>
                <w:szCs w:val="20"/>
                <w:color w:val="auto"/>
              </w:rPr>
            </w:pPr>
            <w:r>
              <w:rPr>
                <w:rFonts w:ascii="Arial" w:cs="Arial" w:eastAsia="Arial" w:hAnsi="Arial"/>
                <w:sz w:val="18"/>
                <w:szCs w:val="18"/>
                <w:color w:val="auto"/>
              </w:rPr>
              <w:t>Impairment charge</w:t>
            </w:r>
          </w:p>
        </w:tc>
        <w:tc>
          <w:tcPr>
            <w:tcW w:w="560" w:type="dxa"/>
            <w:vAlign w:val="bottom"/>
          </w:tcPr>
          <w:p>
            <w:pPr>
              <w:spacing w:after="0"/>
              <w:rPr>
                <w:sz w:val="17"/>
                <w:szCs w:val="17"/>
                <w:color w:val="auto"/>
              </w:rPr>
            </w:pPr>
          </w:p>
        </w:tc>
        <w:tc>
          <w:tcPr>
            <w:tcW w:w="940" w:type="dxa"/>
            <w:vAlign w:val="bottom"/>
          </w:tcPr>
          <w:p>
            <w:pPr>
              <w:jc w:val="right"/>
              <w:ind w:right="91"/>
              <w:spacing w:after="0" w:line="203"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800" w:type="dxa"/>
            <w:vAlign w:val="bottom"/>
          </w:tcPr>
          <w:p>
            <w:pPr>
              <w:jc w:val="right"/>
              <w:ind w:right="51"/>
              <w:spacing w:after="0" w:line="203"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820" w:type="dxa"/>
            <w:vAlign w:val="bottom"/>
          </w:tcPr>
          <w:p>
            <w:pPr>
              <w:jc w:val="right"/>
              <w:ind w:right="91"/>
              <w:spacing w:after="0" w:line="203"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040" w:type="dxa"/>
            <w:vAlign w:val="bottom"/>
          </w:tcPr>
          <w:p>
            <w:pPr>
              <w:jc w:val="right"/>
              <w:ind w:right="31"/>
              <w:spacing w:after="0" w:line="203"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180" w:type="dxa"/>
            <w:vAlign w:val="bottom"/>
          </w:tcPr>
          <w:p>
            <w:pPr>
              <w:jc w:val="right"/>
              <w:ind w:right="92"/>
              <w:spacing w:after="0" w:line="203"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100" w:type="dxa"/>
            <w:vAlign w:val="bottom"/>
          </w:tcPr>
          <w:p>
            <w:pPr>
              <w:jc w:val="right"/>
              <w:ind w:right="171"/>
              <w:spacing w:after="0" w:line="203" w:lineRule="exact"/>
              <w:rPr>
                <w:sz w:val="20"/>
                <w:szCs w:val="20"/>
                <w:color w:val="auto"/>
              </w:rPr>
            </w:pPr>
            <w:r>
              <w:rPr>
                <w:rFonts w:ascii="Arial" w:cs="Arial" w:eastAsia="Arial" w:hAnsi="Arial"/>
                <w:sz w:val="18"/>
                <w:szCs w:val="18"/>
                <w:color w:val="auto"/>
              </w:rPr>
              <w:t>(61.0)</w:t>
            </w:r>
          </w:p>
        </w:tc>
        <w:tc>
          <w:tcPr>
            <w:tcW w:w="240" w:type="dxa"/>
            <w:vAlign w:val="bottom"/>
          </w:tcPr>
          <w:p>
            <w:pPr>
              <w:spacing w:after="0"/>
              <w:rPr>
                <w:sz w:val="17"/>
                <w:szCs w:val="17"/>
                <w:color w:val="auto"/>
              </w:rPr>
            </w:pPr>
          </w:p>
        </w:tc>
        <w:tc>
          <w:tcPr>
            <w:tcW w:w="800" w:type="dxa"/>
            <w:vAlign w:val="bottom"/>
            <w:gridSpan w:val="2"/>
          </w:tcPr>
          <w:p>
            <w:pPr>
              <w:jc w:val="right"/>
              <w:ind w:right="80"/>
              <w:spacing w:after="0" w:line="203" w:lineRule="exact"/>
              <w:rPr>
                <w:sz w:val="20"/>
                <w:szCs w:val="20"/>
                <w:color w:val="auto"/>
              </w:rPr>
            </w:pPr>
            <w:r>
              <w:rPr>
                <w:rFonts w:ascii="Arial" w:cs="Arial" w:eastAsia="Arial" w:hAnsi="Arial"/>
                <w:sz w:val="18"/>
                <w:szCs w:val="18"/>
                <w:color w:val="auto"/>
              </w:rPr>
              <w:t>(61.0)</w:t>
            </w:r>
          </w:p>
        </w:tc>
      </w:tr>
      <w:tr>
        <w:trPr>
          <w:trHeight w:val="195"/>
        </w:trPr>
        <w:tc>
          <w:tcPr>
            <w:tcW w:w="2740" w:type="dxa"/>
            <w:vAlign w:val="bottom"/>
            <w:tcBorders>
              <w:top w:val="single" w:sz="8" w:color="939598"/>
            </w:tcBorders>
            <w:gridSpan w:val="2"/>
          </w:tcPr>
          <w:p>
            <w:pPr>
              <w:spacing w:after="0" w:line="195" w:lineRule="exact"/>
              <w:rPr>
                <w:sz w:val="20"/>
                <w:szCs w:val="20"/>
                <w:color w:val="auto"/>
              </w:rPr>
            </w:pPr>
            <w:r>
              <w:rPr>
                <w:rFonts w:ascii="Arial" w:cs="Arial" w:eastAsia="Arial" w:hAnsi="Arial"/>
                <w:sz w:val="18"/>
                <w:szCs w:val="18"/>
                <w:color w:val="auto"/>
              </w:rPr>
              <w:t>Balance, December 31, 2009</w:t>
            </w:r>
          </w:p>
        </w:tc>
        <w:tc>
          <w:tcPr>
            <w:tcW w:w="560" w:type="dxa"/>
            <w:vAlign w:val="bottom"/>
            <w:tcBorders>
              <w:top w:val="single" w:sz="8" w:color="939598"/>
            </w:tcBorders>
          </w:tcPr>
          <w:p>
            <w:pPr>
              <w:spacing w:after="0"/>
              <w:rPr>
                <w:sz w:val="16"/>
                <w:szCs w:val="16"/>
                <w:color w:val="auto"/>
              </w:rPr>
            </w:pPr>
          </w:p>
        </w:tc>
        <w:tc>
          <w:tcPr>
            <w:tcW w:w="940" w:type="dxa"/>
            <w:vAlign w:val="bottom"/>
            <w:tcBorders>
              <w:top w:val="single" w:sz="8" w:color="939598"/>
            </w:tcBorders>
          </w:tcPr>
          <w:p>
            <w:pPr>
              <w:jc w:val="right"/>
              <w:ind w:right="91"/>
              <w:spacing w:after="0" w:line="195" w:lineRule="exact"/>
              <w:rPr>
                <w:sz w:val="20"/>
                <w:szCs w:val="20"/>
                <w:color w:val="auto"/>
              </w:rPr>
            </w:pPr>
            <w:r>
              <w:rPr>
                <w:rFonts w:ascii="Arial" w:cs="Arial" w:eastAsia="Arial" w:hAnsi="Arial"/>
                <w:sz w:val="18"/>
                <w:szCs w:val="18"/>
                <w:color w:val="auto"/>
              </w:rPr>
              <w:t>173.4</w:t>
            </w:r>
          </w:p>
        </w:tc>
        <w:tc>
          <w:tcPr>
            <w:tcW w:w="280" w:type="dxa"/>
            <w:vAlign w:val="bottom"/>
            <w:tcBorders>
              <w:top w:val="single" w:sz="8" w:color="939598"/>
            </w:tcBorders>
          </w:tcPr>
          <w:p>
            <w:pPr>
              <w:spacing w:after="0"/>
              <w:rPr>
                <w:sz w:val="16"/>
                <w:szCs w:val="16"/>
                <w:color w:val="auto"/>
              </w:rPr>
            </w:pPr>
          </w:p>
        </w:tc>
        <w:tc>
          <w:tcPr>
            <w:tcW w:w="800" w:type="dxa"/>
            <w:vAlign w:val="bottom"/>
            <w:tcBorders>
              <w:top w:val="single" w:sz="8" w:color="939598"/>
            </w:tcBorders>
          </w:tcPr>
          <w:p>
            <w:pPr>
              <w:jc w:val="right"/>
              <w:ind w:right="51"/>
              <w:spacing w:after="0" w:line="195" w:lineRule="exact"/>
              <w:rPr>
                <w:sz w:val="20"/>
                <w:szCs w:val="20"/>
                <w:color w:val="auto"/>
              </w:rPr>
            </w:pPr>
            <w:r>
              <w:rPr>
                <w:rFonts w:ascii="Arial" w:cs="Arial" w:eastAsia="Arial" w:hAnsi="Arial"/>
                <w:sz w:val="18"/>
                <w:szCs w:val="18"/>
                <w:color w:val="auto"/>
              </w:rPr>
              <w:t>7.1</w:t>
            </w:r>
          </w:p>
        </w:tc>
        <w:tc>
          <w:tcPr>
            <w:tcW w:w="340" w:type="dxa"/>
            <w:vAlign w:val="bottom"/>
            <w:tcBorders>
              <w:top w:val="single" w:sz="8" w:color="939598"/>
            </w:tcBorders>
          </w:tcPr>
          <w:p>
            <w:pPr>
              <w:spacing w:after="0"/>
              <w:rPr>
                <w:sz w:val="16"/>
                <w:szCs w:val="16"/>
                <w:color w:val="auto"/>
              </w:rPr>
            </w:pPr>
          </w:p>
        </w:tc>
        <w:tc>
          <w:tcPr>
            <w:tcW w:w="820" w:type="dxa"/>
            <w:vAlign w:val="bottom"/>
            <w:tcBorders>
              <w:top w:val="single" w:sz="8" w:color="939598"/>
            </w:tcBorders>
          </w:tcPr>
          <w:p>
            <w:pPr>
              <w:jc w:val="right"/>
              <w:ind w:right="91"/>
              <w:spacing w:after="0" w:line="195" w:lineRule="exact"/>
              <w:rPr>
                <w:sz w:val="20"/>
                <w:szCs w:val="20"/>
                <w:color w:val="auto"/>
              </w:rPr>
            </w:pPr>
            <w:r>
              <w:rPr>
                <w:rFonts w:ascii="Arial" w:cs="Arial" w:eastAsia="Arial" w:hAnsi="Arial"/>
                <w:sz w:val="18"/>
                <w:szCs w:val="18"/>
                <w:color w:val="auto"/>
              </w:rPr>
              <w:t>286.9</w:t>
            </w:r>
          </w:p>
        </w:tc>
        <w:tc>
          <w:tcPr>
            <w:tcW w:w="140" w:type="dxa"/>
            <w:vAlign w:val="bottom"/>
            <w:tcBorders>
              <w:top w:val="single" w:sz="8" w:color="939598"/>
            </w:tcBorders>
          </w:tcPr>
          <w:p>
            <w:pPr>
              <w:spacing w:after="0"/>
              <w:rPr>
                <w:sz w:val="16"/>
                <w:szCs w:val="16"/>
                <w:color w:val="auto"/>
              </w:rPr>
            </w:pPr>
          </w:p>
        </w:tc>
        <w:tc>
          <w:tcPr>
            <w:tcW w:w="1040" w:type="dxa"/>
            <w:vAlign w:val="bottom"/>
            <w:tcBorders>
              <w:top w:val="single" w:sz="8" w:color="939598"/>
            </w:tcBorders>
          </w:tcPr>
          <w:p>
            <w:pPr>
              <w:jc w:val="right"/>
              <w:ind w:right="31"/>
              <w:spacing w:after="0" w:line="195" w:lineRule="exact"/>
              <w:rPr>
                <w:sz w:val="20"/>
                <w:szCs w:val="20"/>
                <w:color w:val="auto"/>
              </w:rPr>
            </w:pPr>
            <w:r>
              <w:rPr>
                <w:rFonts w:ascii="Arial" w:cs="Arial" w:eastAsia="Arial" w:hAnsi="Arial"/>
                <w:sz w:val="18"/>
                <w:szCs w:val="18"/>
                <w:color w:val="auto"/>
              </w:rPr>
              <w:t>58.9</w:t>
            </w:r>
          </w:p>
        </w:tc>
        <w:tc>
          <w:tcPr>
            <w:tcW w:w="200" w:type="dxa"/>
            <w:vAlign w:val="bottom"/>
            <w:tcBorders>
              <w:top w:val="single" w:sz="8" w:color="939598"/>
            </w:tcBorders>
          </w:tcPr>
          <w:p>
            <w:pPr>
              <w:spacing w:after="0"/>
              <w:rPr>
                <w:sz w:val="16"/>
                <w:szCs w:val="16"/>
                <w:color w:val="auto"/>
              </w:rPr>
            </w:pPr>
          </w:p>
        </w:tc>
        <w:tc>
          <w:tcPr>
            <w:tcW w:w="1180" w:type="dxa"/>
            <w:vAlign w:val="bottom"/>
            <w:tcBorders>
              <w:top w:val="single" w:sz="8" w:color="939598"/>
            </w:tcBorders>
          </w:tcPr>
          <w:p>
            <w:pPr>
              <w:jc w:val="right"/>
              <w:ind w:right="92"/>
              <w:spacing w:after="0" w:line="195" w:lineRule="exact"/>
              <w:rPr>
                <w:sz w:val="20"/>
                <w:szCs w:val="20"/>
                <w:color w:val="auto"/>
              </w:rPr>
            </w:pPr>
            <w:r>
              <w:rPr>
                <w:rFonts w:ascii="Arial" w:cs="Arial" w:eastAsia="Arial" w:hAnsi="Arial"/>
                <w:sz w:val="18"/>
                <w:szCs w:val="18"/>
                <w:color w:val="auto"/>
              </w:rPr>
              <w:t>150.7</w:t>
            </w:r>
          </w:p>
        </w:tc>
        <w:tc>
          <w:tcPr>
            <w:tcW w:w="160" w:type="dxa"/>
            <w:vAlign w:val="bottom"/>
            <w:tcBorders>
              <w:top w:val="single" w:sz="8" w:color="939598"/>
            </w:tcBorders>
          </w:tcPr>
          <w:p>
            <w:pPr>
              <w:spacing w:after="0"/>
              <w:rPr>
                <w:sz w:val="16"/>
                <w:szCs w:val="16"/>
                <w:color w:val="auto"/>
              </w:rPr>
            </w:pPr>
          </w:p>
        </w:tc>
        <w:tc>
          <w:tcPr>
            <w:tcW w:w="1100" w:type="dxa"/>
            <w:vAlign w:val="bottom"/>
            <w:tcBorders>
              <w:top w:val="single" w:sz="8" w:color="939598"/>
            </w:tcBorders>
          </w:tcPr>
          <w:p>
            <w:pPr>
              <w:jc w:val="right"/>
              <w:ind w:right="231"/>
              <w:spacing w:after="0" w:line="195" w:lineRule="exact"/>
              <w:rPr>
                <w:sz w:val="20"/>
                <w:szCs w:val="20"/>
                <w:color w:val="auto"/>
              </w:rPr>
            </w:pPr>
            <w:r>
              <w:rPr>
                <w:rFonts w:ascii="Arial" w:cs="Arial" w:eastAsia="Arial" w:hAnsi="Arial"/>
                <w:sz w:val="18"/>
                <w:szCs w:val="18"/>
                <w:color w:val="auto"/>
              </w:rPr>
              <w:t>282.1</w:t>
            </w:r>
          </w:p>
        </w:tc>
        <w:tc>
          <w:tcPr>
            <w:tcW w:w="240" w:type="dxa"/>
            <w:vAlign w:val="bottom"/>
            <w:tcBorders>
              <w:top w:val="single" w:sz="8" w:color="939598"/>
            </w:tcBorders>
          </w:tcPr>
          <w:p>
            <w:pPr>
              <w:spacing w:after="0"/>
              <w:rPr>
                <w:sz w:val="16"/>
                <w:szCs w:val="16"/>
                <w:color w:val="auto"/>
              </w:rPr>
            </w:pPr>
          </w:p>
        </w:tc>
        <w:tc>
          <w:tcPr>
            <w:tcW w:w="660" w:type="dxa"/>
            <w:vAlign w:val="bottom"/>
            <w:tcBorders>
              <w:top w:val="single" w:sz="8" w:color="939598"/>
            </w:tcBorders>
          </w:tcPr>
          <w:p>
            <w:pPr>
              <w:jc w:val="right"/>
              <w:spacing w:after="0" w:line="195" w:lineRule="exact"/>
              <w:rPr>
                <w:sz w:val="20"/>
                <w:szCs w:val="20"/>
                <w:color w:val="auto"/>
              </w:rPr>
            </w:pPr>
            <w:r>
              <w:rPr>
                <w:rFonts w:ascii="Arial" w:cs="Arial" w:eastAsia="Arial" w:hAnsi="Arial"/>
                <w:sz w:val="18"/>
                <w:szCs w:val="18"/>
                <w:color w:val="auto"/>
              </w:rPr>
              <w:t>959.1</w:t>
            </w:r>
          </w:p>
        </w:tc>
        <w:tc>
          <w:tcPr>
            <w:tcW w:w="140" w:type="dxa"/>
            <w:vAlign w:val="bottom"/>
          </w:tcPr>
          <w:p>
            <w:pPr>
              <w:spacing w:after="0"/>
              <w:rPr>
                <w:sz w:val="16"/>
                <w:szCs w:val="16"/>
                <w:color w:val="auto"/>
              </w:rPr>
            </w:pPr>
          </w:p>
        </w:tc>
      </w:tr>
      <w:tr>
        <w:trPr>
          <w:trHeight w:val="203"/>
        </w:trPr>
        <w:tc>
          <w:tcPr>
            <w:tcW w:w="2740" w:type="dxa"/>
            <w:vAlign w:val="bottom"/>
            <w:gridSpan w:val="2"/>
          </w:tcPr>
          <w:p>
            <w:pPr>
              <w:spacing w:after="0" w:line="202" w:lineRule="exact"/>
              <w:rPr>
                <w:sz w:val="20"/>
                <w:szCs w:val="20"/>
                <w:color w:val="auto"/>
              </w:rPr>
            </w:pPr>
            <w:r>
              <w:rPr>
                <w:rFonts w:ascii="Arial" w:cs="Arial" w:eastAsia="Arial" w:hAnsi="Arial"/>
                <w:sz w:val="18"/>
                <w:szCs w:val="18"/>
                <w:color w:val="auto"/>
              </w:rPr>
              <w:t>Goodwill acquired</w:t>
            </w:r>
          </w:p>
        </w:tc>
        <w:tc>
          <w:tcPr>
            <w:tcW w:w="560" w:type="dxa"/>
            <w:vAlign w:val="bottom"/>
          </w:tcPr>
          <w:p>
            <w:pPr>
              <w:spacing w:after="0"/>
              <w:rPr>
                <w:sz w:val="17"/>
                <w:szCs w:val="17"/>
                <w:color w:val="auto"/>
              </w:rPr>
            </w:pPr>
          </w:p>
        </w:tc>
        <w:tc>
          <w:tcPr>
            <w:tcW w:w="940" w:type="dxa"/>
            <w:vAlign w:val="bottom"/>
          </w:tcPr>
          <w:p>
            <w:pPr>
              <w:jc w:val="right"/>
              <w:ind w:right="91"/>
              <w:spacing w:after="0" w:line="202" w:lineRule="exact"/>
              <w:rPr>
                <w:sz w:val="20"/>
                <w:szCs w:val="20"/>
                <w:color w:val="auto"/>
              </w:rPr>
            </w:pPr>
            <w:r>
              <w:rPr>
                <w:rFonts w:ascii="Arial" w:cs="Arial" w:eastAsia="Arial" w:hAnsi="Arial"/>
                <w:sz w:val="18"/>
                <w:szCs w:val="18"/>
                <w:color w:val="auto"/>
              </w:rPr>
              <w:t>290.6</w:t>
            </w:r>
          </w:p>
        </w:tc>
        <w:tc>
          <w:tcPr>
            <w:tcW w:w="280" w:type="dxa"/>
            <w:vAlign w:val="bottom"/>
          </w:tcPr>
          <w:p>
            <w:pPr>
              <w:spacing w:after="0"/>
              <w:rPr>
                <w:sz w:val="17"/>
                <w:szCs w:val="17"/>
                <w:color w:val="auto"/>
              </w:rPr>
            </w:pPr>
          </w:p>
        </w:tc>
        <w:tc>
          <w:tcPr>
            <w:tcW w:w="800" w:type="dxa"/>
            <w:vAlign w:val="bottom"/>
          </w:tcPr>
          <w:p>
            <w:pPr>
              <w:jc w:val="right"/>
              <w:ind w:right="51"/>
              <w:spacing w:after="0" w:line="202" w:lineRule="exact"/>
              <w:rPr>
                <w:sz w:val="20"/>
                <w:szCs w:val="20"/>
                <w:color w:val="auto"/>
              </w:rPr>
            </w:pPr>
            <w:r>
              <w:rPr>
                <w:rFonts w:ascii="Arial" w:cs="Arial" w:eastAsia="Arial" w:hAnsi="Arial"/>
                <w:sz w:val="18"/>
                <w:szCs w:val="18"/>
                <w:color w:val="auto"/>
              </w:rPr>
              <w:t>9.1</w:t>
            </w:r>
          </w:p>
        </w:tc>
        <w:tc>
          <w:tcPr>
            <w:tcW w:w="340" w:type="dxa"/>
            <w:vAlign w:val="bottom"/>
          </w:tcPr>
          <w:p>
            <w:pPr>
              <w:spacing w:after="0"/>
              <w:rPr>
                <w:sz w:val="17"/>
                <w:szCs w:val="17"/>
                <w:color w:val="auto"/>
              </w:rPr>
            </w:pPr>
          </w:p>
        </w:tc>
        <w:tc>
          <w:tcPr>
            <w:tcW w:w="820" w:type="dxa"/>
            <w:vAlign w:val="bottom"/>
          </w:tcPr>
          <w:p>
            <w:pPr>
              <w:jc w:val="right"/>
              <w:ind w:right="91"/>
              <w:spacing w:after="0" w:line="202" w:lineRule="exact"/>
              <w:rPr>
                <w:sz w:val="20"/>
                <w:szCs w:val="20"/>
                <w:color w:val="auto"/>
              </w:rPr>
            </w:pPr>
            <w:r>
              <w:rPr>
                <w:rFonts w:ascii="Arial" w:cs="Arial" w:eastAsia="Arial" w:hAnsi="Arial"/>
                <w:sz w:val="18"/>
                <w:szCs w:val="18"/>
                <w:color w:val="auto"/>
              </w:rPr>
              <w:t>4.1</w:t>
            </w:r>
          </w:p>
        </w:tc>
        <w:tc>
          <w:tcPr>
            <w:tcW w:w="140" w:type="dxa"/>
            <w:vAlign w:val="bottom"/>
          </w:tcPr>
          <w:p>
            <w:pPr>
              <w:spacing w:after="0"/>
              <w:rPr>
                <w:sz w:val="17"/>
                <w:szCs w:val="17"/>
                <w:color w:val="auto"/>
              </w:rPr>
            </w:pPr>
          </w:p>
        </w:tc>
        <w:tc>
          <w:tcPr>
            <w:tcW w:w="1040" w:type="dxa"/>
            <w:vAlign w:val="bottom"/>
          </w:tcPr>
          <w:p>
            <w:pPr>
              <w:jc w:val="right"/>
              <w:ind w:right="31"/>
              <w:spacing w:after="0" w:line="202" w:lineRule="exact"/>
              <w:rPr>
                <w:sz w:val="20"/>
                <w:szCs w:val="20"/>
                <w:color w:val="auto"/>
              </w:rPr>
            </w:pPr>
            <w:r>
              <w:rPr>
                <w:rFonts w:ascii="Arial" w:cs="Arial" w:eastAsia="Arial" w:hAnsi="Arial"/>
                <w:sz w:val="18"/>
                <w:szCs w:val="18"/>
                <w:color w:val="auto"/>
              </w:rPr>
              <w:t>0.2</w:t>
            </w:r>
          </w:p>
        </w:tc>
        <w:tc>
          <w:tcPr>
            <w:tcW w:w="200" w:type="dxa"/>
            <w:vAlign w:val="bottom"/>
          </w:tcPr>
          <w:p>
            <w:pPr>
              <w:spacing w:after="0"/>
              <w:rPr>
                <w:sz w:val="17"/>
                <w:szCs w:val="17"/>
                <w:color w:val="auto"/>
              </w:rPr>
            </w:pPr>
          </w:p>
        </w:tc>
        <w:tc>
          <w:tcPr>
            <w:tcW w:w="1180" w:type="dxa"/>
            <w:vAlign w:val="bottom"/>
          </w:tcPr>
          <w:p>
            <w:pPr>
              <w:jc w:val="right"/>
              <w:ind w:right="92"/>
              <w:spacing w:after="0" w:line="202" w:lineRule="exact"/>
              <w:rPr>
                <w:sz w:val="20"/>
                <w:szCs w:val="20"/>
                <w:color w:val="auto"/>
              </w:rPr>
            </w:pPr>
            <w:r>
              <w:rPr>
                <w:rFonts w:ascii="Arial" w:cs="Arial" w:eastAsia="Arial" w:hAnsi="Arial"/>
                <w:sz w:val="18"/>
                <w:szCs w:val="18"/>
                <w:color w:val="auto"/>
              </w:rPr>
              <w:t>3.8</w:t>
            </w:r>
          </w:p>
        </w:tc>
        <w:tc>
          <w:tcPr>
            <w:tcW w:w="160" w:type="dxa"/>
            <w:vAlign w:val="bottom"/>
          </w:tcPr>
          <w:p>
            <w:pPr>
              <w:spacing w:after="0"/>
              <w:rPr>
                <w:sz w:val="17"/>
                <w:szCs w:val="17"/>
                <w:color w:val="auto"/>
              </w:rPr>
            </w:pPr>
          </w:p>
        </w:tc>
        <w:tc>
          <w:tcPr>
            <w:tcW w:w="1100" w:type="dxa"/>
            <w:vAlign w:val="bottom"/>
          </w:tcPr>
          <w:p>
            <w:pPr>
              <w:jc w:val="right"/>
              <w:ind w:right="231"/>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307.8</w:t>
            </w:r>
          </w:p>
        </w:tc>
        <w:tc>
          <w:tcPr>
            <w:tcW w:w="140" w:type="dxa"/>
            <w:vAlign w:val="bottom"/>
          </w:tcPr>
          <w:p>
            <w:pPr>
              <w:spacing w:after="0"/>
              <w:rPr>
                <w:sz w:val="17"/>
                <w:szCs w:val="17"/>
                <w:color w:val="auto"/>
              </w:rPr>
            </w:pPr>
          </w:p>
        </w:tc>
      </w:tr>
      <w:tr>
        <w:trPr>
          <w:trHeight w:val="203"/>
        </w:trPr>
        <w:tc>
          <w:tcPr>
            <w:tcW w:w="2740" w:type="dxa"/>
            <w:vAlign w:val="bottom"/>
            <w:gridSpan w:val="2"/>
          </w:tcPr>
          <w:p>
            <w:pPr>
              <w:spacing w:after="0" w:line="202" w:lineRule="exact"/>
              <w:rPr>
                <w:sz w:val="20"/>
                <w:szCs w:val="20"/>
                <w:color w:val="auto"/>
              </w:rPr>
            </w:pPr>
            <w:r>
              <w:rPr>
                <w:rFonts w:ascii="Arial" w:cs="Arial" w:eastAsia="Arial" w:hAnsi="Arial"/>
                <w:sz w:val="18"/>
                <w:szCs w:val="18"/>
                <w:color w:val="auto"/>
              </w:rPr>
              <w:t>Currency impact and other</w:t>
            </w:r>
          </w:p>
        </w:tc>
        <w:tc>
          <w:tcPr>
            <w:tcW w:w="560" w:type="dxa"/>
            <w:vAlign w:val="bottom"/>
          </w:tcPr>
          <w:p>
            <w:pPr>
              <w:spacing w:after="0"/>
              <w:rPr>
                <w:sz w:val="17"/>
                <w:szCs w:val="17"/>
                <w:color w:val="auto"/>
              </w:rPr>
            </w:pPr>
          </w:p>
        </w:tc>
        <w:tc>
          <w:tcPr>
            <w:tcW w:w="940" w:type="dxa"/>
            <w:vAlign w:val="bottom"/>
          </w:tcPr>
          <w:p>
            <w:pPr>
              <w:jc w:val="right"/>
              <w:ind w:right="91"/>
              <w:spacing w:after="0" w:line="202" w:lineRule="exact"/>
              <w:rPr>
                <w:sz w:val="20"/>
                <w:szCs w:val="20"/>
                <w:color w:val="auto"/>
              </w:rPr>
            </w:pPr>
            <w:r>
              <w:rPr>
                <w:rFonts w:ascii="Arial" w:cs="Arial" w:eastAsia="Arial" w:hAnsi="Arial"/>
                <w:sz w:val="18"/>
                <w:szCs w:val="18"/>
                <w:color w:val="auto"/>
              </w:rPr>
              <w:t>1.5</w:t>
            </w:r>
          </w:p>
        </w:tc>
        <w:tc>
          <w:tcPr>
            <w:tcW w:w="28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(0.4)</w:t>
            </w:r>
          </w:p>
        </w:tc>
        <w:tc>
          <w:tcPr>
            <w:tcW w:w="340" w:type="dxa"/>
            <w:vAlign w:val="bottom"/>
          </w:tcPr>
          <w:p>
            <w:pPr>
              <w:spacing w:after="0"/>
              <w:rPr>
                <w:sz w:val="17"/>
                <w:szCs w:val="17"/>
                <w:color w:val="auto"/>
              </w:rPr>
            </w:pPr>
          </w:p>
        </w:tc>
        <w:tc>
          <w:tcPr>
            <w:tcW w:w="820" w:type="dxa"/>
            <w:vAlign w:val="bottom"/>
          </w:tcPr>
          <w:p>
            <w:pPr>
              <w:jc w:val="right"/>
              <w:ind w:right="31"/>
              <w:spacing w:after="0" w:line="202" w:lineRule="exact"/>
              <w:rPr>
                <w:sz w:val="20"/>
                <w:szCs w:val="20"/>
                <w:color w:val="auto"/>
              </w:rPr>
            </w:pPr>
            <w:r>
              <w:rPr>
                <w:rFonts w:ascii="Arial" w:cs="Arial" w:eastAsia="Arial" w:hAnsi="Arial"/>
                <w:sz w:val="18"/>
                <w:szCs w:val="18"/>
                <w:color w:val="auto"/>
              </w:rPr>
              <w:t>(8.6)</w:t>
            </w:r>
          </w:p>
        </w:tc>
        <w:tc>
          <w:tcPr>
            <w:tcW w:w="140" w:type="dxa"/>
            <w:vAlign w:val="bottom"/>
          </w:tcPr>
          <w:p>
            <w:pPr>
              <w:spacing w:after="0"/>
              <w:rPr>
                <w:sz w:val="17"/>
                <w:szCs w:val="17"/>
                <w:color w:val="auto"/>
              </w:rPr>
            </w:pPr>
          </w:p>
        </w:tc>
        <w:tc>
          <w:tcPr>
            <w:tcW w:w="1040" w:type="dxa"/>
            <w:vAlign w:val="bottom"/>
          </w:tcPr>
          <w:p>
            <w:pPr>
              <w:jc w:val="right"/>
              <w:ind w:right="31"/>
              <w:spacing w:after="0" w:line="202" w:lineRule="exact"/>
              <w:rPr>
                <w:sz w:val="20"/>
                <w:szCs w:val="20"/>
                <w:color w:val="auto"/>
              </w:rPr>
            </w:pPr>
            <w:r>
              <w:rPr>
                <w:rFonts w:ascii="Arial" w:cs="Arial" w:eastAsia="Arial" w:hAnsi="Arial"/>
                <w:sz w:val="18"/>
                <w:szCs w:val="18"/>
                <w:color w:val="auto"/>
              </w:rPr>
              <w:t>5.8</w:t>
            </w:r>
          </w:p>
        </w:tc>
        <w:tc>
          <w:tcPr>
            <w:tcW w:w="200" w:type="dxa"/>
            <w:vAlign w:val="bottom"/>
          </w:tcPr>
          <w:p>
            <w:pPr>
              <w:spacing w:after="0"/>
              <w:rPr>
                <w:sz w:val="17"/>
                <w:szCs w:val="17"/>
                <w:color w:val="auto"/>
              </w:rPr>
            </w:pPr>
          </w:p>
        </w:tc>
        <w:tc>
          <w:tcPr>
            <w:tcW w:w="1180" w:type="dxa"/>
            <w:vAlign w:val="bottom"/>
          </w:tcPr>
          <w:p>
            <w:pPr>
              <w:jc w:val="right"/>
              <w:ind w:right="92"/>
              <w:spacing w:after="0" w:line="202" w:lineRule="exact"/>
              <w:rPr>
                <w:sz w:val="20"/>
                <w:szCs w:val="20"/>
                <w:color w:val="auto"/>
              </w:rPr>
            </w:pPr>
            <w:r>
              <w:rPr>
                <w:rFonts w:ascii="Arial" w:cs="Arial" w:eastAsia="Arial" w:hAnsi="Arial"/>
                <w:sz w:val="18"/>
                <w:szCs w:val="18"/>
                <w:color w:val="auto"/>
              </w:rPr>
              <w:t>0.5</w:t>
            </w:r>
          </w:p>
        </w:tc>
        <w:tc>
          <w:tcPr>
            <w:tcW w:w="160" w:type="dxa"/>
            <w:vAlign w:val="bottom"/>
          </w:tcPr>
          <w:p>
            <w:pPr>
              <w:spacing w:after="0"/>
              <w:rPr>
                <w:sz w:val="17"/>
                <w:szCs w:val="17"/>
                <w:color w:val="auto"/>
              </w:rPr>
            </w:pPr>
          </w:p>
        </w:tc>
        <w:tc>
          <w:tcPr>
            <w:tcW w:w="1100" w:type="dxa"/>
            <w:vAlign w:val="bottom"/>
          </w:tcPr>
          <w:p>
            <w:pPr>
              <w:jc w:val="right"/>
              <w:ind w:right="231"/>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8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(1.2)</w:t>
            </w:r>
          </w:p>
        </w:tc>
      </w:tr>
      <w:tr>
        <w:trPr>
          <w:trHeight w:val="203"/>
        </w:trPr>
        <w:tc>
          <w:tcPr>
            <w:tcW w:w="2740" w:type="dxa"/>
            <w:vAlign w:val="bottom"/>
            <w:gridSpan w:val="2"/>
          </w:tcPr>
          <w:p>
            <w:pPr>
              <w:spacing w:after="0" w:line="203" w:lineRule="exact"/>
              <w:rPr>
                <w:sz w:val="20"/>
                <w:szCs w:val="20"/>
                <w:color w:val="auto"/>
              </w:rPr>
            </w:pPr>
            <w:r>
              <w:rPr>
                <w:rFonts w:ascii="Arial" w:cs="Arial" w:eastAsia="Arial" w:hAnsi="Arial"/>
                <w:sz w:val="18"/>
                <w:szCs w:val="18"/>
                <w:color w:val="auto"/>
              </w:rPr>
              <w:t>Impairment charge</w:t>
            </w:r>
          </w:p>
        </w:tc>
        <w:tc>
          <w:tcPr>
            <w:tcW w:w="560" w:type="dxa"/>
            <w:vAlign w:val="bottom"/>
          </w:tcPr>
          <w:p>
            <w:pPr>
              <w:spacing w:after="0"/>
              <w:rPr>
                <w:sz w:val="17"/>
                <w:szCs w:val="17"/>
                <w:color w:val="auto"/>
              </w:rPr>
            </w:pPr>
          </w:p>
        </w:tc>
        <w:tc>
          <w:tcPr>
            <w:tcW w:w="940" w:type="dxa"/>
            <w:vAlign w:val="bottom"/>
          </w:tcPr>
          <w:p>
            <w:pPr>
              <w:jc w:val="right"/>
              <w:ind w:right="91"/>
              <w:spacing w:after="0" w:line="203"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800" w:type="dxa"/>
            <w:vAlign w:val="bottom"/>
          </w:tcPr>
          <w:p>
            <w:pPr>
              <w:jc w:val="right"/>
              <w:ind w:right="51"/>
              <w:spacing w:after="0" w:line="203"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820" w:type="dxa"/>
            <w:vAlign w:val="bottom"/>
          </w:tcPr>
          <w:p>
            <w:pPr>
              <w:jc w:val="right"/>
              <w:ind w:right="91"/>
              <w:spacing w:after="0" w:line="203"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040" w:type="dxa"/>
            <w:vAlign w:val="bottom"/>
          </w:tcPr>
          <w:p>
            <w:pPr>
              <w:jc w:val="right"/>
              <w:ind w:right="31"/>
              <w:spacing w:after="0" w:line="203"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180" w:type="dxa"/>
            <w:vAlign w:val="bottom"/>
          </w:tcPr>
          <w:p>
            <w:pPr>
              <w:jc w:val="right"/>
              <w:ind w:right="32"/>
              <w:spacing w:after="0" w:line="203" w:lineRule="exact"/>
              <w:rPr>
                <w:sz w:val="20"/>
                <w:szCs w:val="20"/>
                <w:color w:val="auto"/>
              </w:rPr>
            </w:pPr>
            <w:r>
              <w:rPr>
                <w:rFonts w:ascii="Arial" w:cs="Arial" w:eastAsia="Arial" w:hAnsi="Arial"/>
                <w:sz w:val="18"/>
                <w:szCs w:val="18"/>
                <w:color w:val="auto"/>
              </w:rPr>
              <w:t>(94.4)</w:t>
            </w:r>
          </w:p>
        </w:tc>
        <w:tc>
          <w:tcPr>
            <w:tcW w:w="160" w:type="dxa"/>
            <w:vAlign w:val="bottom"/>
          </w:tcPr>
          <w:p>
            <w:pPr>
              <w:spacing w:after="0"/>
              <w:rPr>
                <w:sz w:val="17"/>
                <w:szCs w:val="17"/>
                <w:color w:val="auto"/>
              </w:rPr>
            </w:pPr>
          </w:p>
        </w:tc>
        <w:tc>
          <w:tcPr>
            <w:tcW w:w="1100" w:type="dxa"/>
            <w:vAlign w:val="bottom"/>
          </w:tcPr>
          <w:p>
            <w:pPr>
              <w:jc w:val="right"/>
              <w:ind w:right="171"/>
              <w:spacing w:after="0" w:line="203" w:lineRule="exact"/>
              <w:rPr>
                <w:sz w:val="20"/>
                <w:szCs w:val="20"/>
                <w:color w:val="auto"/>
              </w:rPr>
            </w:pPr>
            <w:r>
              <w:rPr>
                <w:rFonts w:ascii="Arial" w:cs="Arial" w:eastAsia="Arial" w:hAnsi="Arial"/>
                <w:sz w:val="18"/>
                <w:szCs w:val="18"/>
                <w:color w:val="auto"/>
              </w:rPr>
              <w:t>(217.2)</w:t>
            </w:r>
          </w:p>
        </w:tc>
        <w:tc>
          <w:tcPr>
            <w:tcW w:w="240" w:type="dxa"/>
            <w:vAlign w:val="bottom"/>
          </w:tcPr>
          <w:p>
            <w:pPr>
              <w:spacing w:after="0"/>
              <w:rPr>
                <w:sz w:val="17"/>
                <w:szCs w:val="17"/>
                <w:color w:val="auto"/>
              </w:rPr>
            </w:pPr>
          </w:p>
        </w:tc>
        <w:tc>
          <w:tcPr>
            <w:tcW w:w="800" w:type="dxa"/>
            <w:vAlign w:val="bottom"/>
            <w:gridSpan w:val="2"/>
          </w:tcPr>
          <w:p>
            <w:pPr>
              <w:jc w:val="right"/>
              <w:ind w:right="80"/>
              <w:spacing w:after="0" w:line="203" w:lineRule="exact"/>
              <w:rPr>
                <w:sz w:val="20"/>
                <w:szCs w:val="20"/>
                <w:color w:val="auto"/>
              </w:rPr>
            </w:pPr>
            <w:r>
              <w:rPr>
                <w:rFonts w:ascii="Arial" w:cs="Arial" w:eastAsia="Arial" w:hAnsi="Arial"/>
                <w:sz w:val="18"/>
                <w:szCs w:val="18"/>
                <w:color w:val="auto"/>
              </w:rPr>
              <w:t>(311.6)</w:t>
            </w:r>
          </w:p>
        </w:tc>
      </w:tr>
      <w:tr>
        <w:trPr>
          <w:trHeight w:val="203"/>
        </w:trPr>
        <w:tc>
          <w:tcPr>
            <w:tcW w:w="2740" w:type="dxa"/>
            <w:vAlign w:val="bottom"/>
            <w:tcBorders>
              <w:top w:val="single" w:sz="8" w:color="939598"/>
              <w:bottom w:val="single" w:sz="8" w:color="939598"/>
            </w:tcBorders>
            <w:gridSpan w:val="2"/>
          </w:tcPr>
          <w:p>
            <w:pPr>
              <w:spacing w:after="0" w:line="196" w:lineRule="exact"/>
              <w:rPr>
                <w:sz w:val="20"/>
                <w:szCs w:val="20"/>
                <w:color w:val="auto"/>
              </w:rPr>
            </w:pPr>
            <w:r>
              <w:rPr>
                <w:rFonts w:ascii="Arial" w:cs="Arial" w:eastAsia="Arial" w:hAnsi="Arial"/>
                <w:sz w:val="18"/>
                <w:szCs w:val="18"/>
                <w:color w:val="auto"/>
              </w:rPr>
              <w:t>Balance, December 31, 2010</w:t>
            </w:r>
          </w:p>
        </w:tc>
        <w:tc>
          <w:tcPr>
            <w:tcW w:w="560" w:type="dxa"/>
            <w:vAlign w:val="bottom"/>
            <w:tcBorders>
              <w:top w:val="single" w:sz="8" w:color="939598"/>
              <w:bottom w:val="single" w:sz="8" w:color="939598"/>
            </w:tcBorders>
          </w:tcPr>
          <w:p>
            <w:pPr>
              <w:jc w:val="right"/>
              <w:spacing w:after="0" w:line="196" w:lineRule="exact"/>
              <w:rPr>
                <w:sz w:val="20"/>
                <w:szCs w:val="20"/>
                <w:color w:val="auto"/>
              </w:rPr>
            </w:pPr>
            <w:r>
              <w:rPr>
                <w:rFonts w:ascii="Arial" w:cs="Arial" w:eastAsia="Arial" w:hAnsi="Arial"/>
                <w:sz w:val="18"/>
                <w:szCs w:val="18"/>
                <w:color w:val="auto"/>
              </w:rPr>
              <w:t>$</w:t>
            </w:r>
          </w:p>
        </w:tc>
        <w:tc>
          <w:tcPr>
            <w:tcW w:w="940" w:type="dxa"/>
            <w:vAlign w:val="bottom"/>
            <w:tcBorders>
              <w:top w:val="single" w:sz="8" w:color="939598"/>
              <w:bottom w:val="single" w:sz="8" w:color="939598"/>
            </w:tcBorders>
          </w:tcPr>
          <w:p>
            <w:pPr>
              <w:jc w:val="right"/>
              <w:ind w:right="91"/>
              <w:spacing w:after="0" w:line="196" w:lineRule="exact"/>
              <w:rPr>
                <w:sz w:val="20"/>
                <w:szCs w:val="20"/>
                <w:color w:val="auto"/>
              </w:rPr>
            </w:pPr>
            <w:r>
              <w:rPr>
                <w:rFonts w:ascii="Arial" w:cs="Arial" w:eastAsia="Arial" w:hAnsi="Arial"/>
                <w:sz w:val="18"/>
                <w:szCs w:val="18"/>
                <w:color w:val="auto"/>
              </w:rPr>
              <w:t>465.5</w:t>
            </w:r>
          </w:p>
        </w:tc>
        <w:tc>
          <w:tcPr>
            <w:tcW w:w="280" w:type="dxa"/>
            <w:vAlign w:val="bottom"/>
            <w:tcBorders>
              <w:top w:val="single" w:sz="8" w:color="939598"/>
              <w:bottom w:val="single" w:sz="8" w:color="939598"/>
            </w:tcBorders>
          </w:tcPr>
          <w:p>
            <w:pPr>
              <w:jc w:val="right"/>
              <w:ind w:right="50"/>
              <w:spacing w:after="0" w:line="196" w:lineRule="exact"/>
              <w:rPr>
                <w:sz w:val="20"/>
                <w:szCs w:val="20"/>
                <w:color w:val="auto"/>
              </w:rPr>
            </w:pPr>
            <w:r>
              <w:rPr>
                <w:rFonts w:ascii="Arial" w:cs="Arial" w:eastAsia="Arial" w:hAnsi="Arial"/>
                <w:sz w:val="18"/>
                <w:szCs w:val="18"/>
                <w:color w:val="auto"/>
              </w:rPr>
              <w:t>$</w:t>
            </w:r>
          </w:p>
        </w:tc>
        <w:tc>
          <w:tcPr>
            <w:tcW w:w="800" w:type="dxa"/>
            <w:vAlign w:val="bottom"/>
            <w:tcBorders>
              <w:top w:val="single" w:sz="8" w:color="939598"/>
              <w:bottom w:val="single" w:sz="8" w:color="939598"/>
            </w:tcBorders>
          </w:tcPr>
          <w:p>
            <w:pPr>
              <w:jc w:val="right"/>
              <w:ind w:right="51"/>
              <w:spacing w:after="0" w:line="196" w:lineRule="exact"/>
              <w:rPr>
                <w:sz w:val="20"/>
                <w:szCs w:val="20"/>
                <w:color w:val="auto"/>
              </w:rPr>
            </w:pPr>
            <w:r>
              <w:rPr>
                <w:rFonts w:ascii="Arial" w:cs="Arial" w:eastAsia="Arial" w:hAnsi="Arial"/>
                <w:sz w:val="18"/>
                <w:szCs w:val="18"/>
                <w:color w:val="auto"/>
              </w:rPr>
              <w:t>15.8</w:t>
            </w:r>
          </w:p>
        </w:tc>
        <w:tc>
          <w:tcPr>
            <w:tcW w:w="340" w:type="dxa"/>
            <w:vAlign w:val="bottom"/>
            <w:tcBorders>
              <w:top w:val="single" w:sz="8" w:color="939598"/>
              <w:bottom w:val="single" w:sz="8" w:color="939598"/>
            </w:tcBorders>
          </w:tcPr>
          <w:p>
            <w:pPr>
              <w:jc w:val="right"/>
              <w:ind w:right="70"/>
              <w:spacing w:after="0" w:line="196" w:lineRule="exact"/>
              <w:rPr>
                <w:sz w:val="20"/>
                <w:szCs w:val="20"/>
                <w:color w:val="auto"/>
              </w:rPr>
            </w:pPr>
            <w:r>
              <w:rPr>
                <w:rFonts w:ascii="Arial" w:cs="Arial" w:eastAsia="Arial" w:hAnsi="Arial"/>
                <w:sz w:val="18"/>
                <w:szCs w:val="18"/>
                <w:color w:val="auto"/>
              </w:rPr>
              <w:t>$</w:t>
            </w:r>
          </w:p>
        </w:tc>
        <w:tc>
          <w:tcPr>
            <w:tcW w:w="820" w:type="dxa"/>
            <w:vAlign w:val="bottom"/>
            <w:tcBorders>
              <w:top w:val="single" w:sz="8" w:color="939598"/>
              <w:bottom w:val="single" w:sz="8" w:color="939598"/>
            </w:tcBorders>
          </w:tcPr>
          <w:p>
            <w:pPr>
              <w:jc w:val="right"/>
              <w:ind w:right="91"/>
              <w:spacing w:after="0" w:line="196" w:lineRule="exact"/>
              <w:rPr>
                <w:sz w:val="20"/>
                <w:szCs w:val="20"/>
                <w:color w:val="auto"/>
              </w:rPr>
            </w:pPr>
            <w:r>
              <w:rPr>
                <w:rFonts w:ascii="Arial" w:cs="Arial" w:eastAsia="Arial" w:hAnsi="Arial"/>
                <w:sz w:val="18"/>
                <w:szCs w:val="18"/>
                <w:color w:val="auto"/>
              </w:rPr>
              <w:t>282.4</w:t>
            </w:r>
          </w:p>
        </w:tc>
        <w:tc>
          <w:tcPr>
            <w:tcW w:w="140" w:type="dxa"/>
            <w:vAlign w:val="bottom"/>
            <w:tcBorders>
              <w:top w:val="single" w:sz="8" w:color="939598"/>
              <w:bottom w:val="single" w:sz="8" w:color="939598"/>
            </w:tcBorders>
          </w:tcPr>
          <w:p>
            <w:pPr>
              <w:jc w:val="right"/>
              <w:spacing w:after="0" w:line="196" w:lineRule="exact"/>
              <w:rPr>
                <w:sz w:val="20"/>
                <w:szCs w:val="20"/>
                <w:color w:val="auto"/>
              </w:rPr>
            </w:pPr>
            <w:r>
              <w:rPr>
                <w:rFonts w:ascii="Arial" w:cs="Arial" w:eastAsia="Arial" w:hAnsi="Arial"/>
                <w:sz w:val="18"/>
                <w:szCs w:val="18"/>
                <w:color w:val="auto"/>
              </w:rPr>
              <w:t>$</w:t>
            </w:r>
          </w:p>
        </w:tc>
        <w:tc>
          <w:tcPr>
            <w:tcW w:w="1040" w:type="dxa"/>
            <w:vAlign w:val="bottom"/>
            <w:tcBorders>
              <w:top w:val="single" w:sz="8" w:color="939598"/>
              <w:bottom w:val="single" w:sz="8" w:color="939598"/>
            </w:tcBorders>
          </w:tcPr>
          <w:p>
            <w:pPr>
              <w:jc w:val="right"/>
              <w:ind w:right="31"/>
              <w:spacing w:after="0" w:line="196" w:lineRule="exact"/>
              <w:rPr>
                <w:sz w:val="20"/>
                <w:szCs w:val="20"/>
                <w:color w:val="auto"/>
              </w:rPr>
            </w:pPr>
            <w:r>
              <w:rPr>
                <w:rFonts w:ascii="Arial" w:cs="Arial" w:eastAsia="Arial" w:hAnsi="Arial"/>
                <w:sz w:val="18"/>
                <w:szCs w:val="18"/>
                <w:color w:val="auto"/>
              </w:rPr>
              <w:t>64.9</w:t>
            </w:r>
          </w:p>
        </w:tc>
        <w:tc>
          <w:tcPr>
            <w:tcW w:w="200" w:type="dxa"/>
            <w:vAlign w:val="bottom"/>
            <w:tcBorders>
              <w:top w:val="single" w:sz="8" w:color="939598"/>
              <w:bottom w:val="single" w:sz="8" w:color="939598"/>
            </w:tcBorders>
          </w:tcPr>
          <w:p>
            <w:pPr>
              <w:jc w:val="right"/>
              <w:spacing w:after="0" w:line="196" w:lineRule="exact"/>
              <w:rPr>
                <w:sz w:val="20"/>
                <w:szCs w:val="20"/>
                <w:color w:val="auto"/>
              </w:rPr>
            </w:pPr>
            <w:r>
              <w:rPr>
                <w:rFonts w:ascii="Arial" w:cs="Arial" w:eastAsia="Arial" w:hAnsi="Arial"/>
                <w:sz w:val="18"/>
                <w:szCs w:val="18"/>
                <w:color w:val="auto"/>
              </w:rPr>
              <w:t>$</w:t>
            </w:r>
          </w:p>
        </w:tc>
        <w:tc>
          <w:tcPr>
            <w:tcW w:w="1180" w:type="dxa"/>
            <w:vAlign w:val="bottom"/>
            <w:tcBorders>
              <w:top w:val="single" w:sz="8" w:color="939598"/>
              <w:bottom w:val="single" w:sz="8" w:color="939598"/>
            </w:tcBorders>
          </w:tcPr>
          <w:p>
            <w:pPr>
              <w:jc w:val="right"/>
              <w:ind w:right="92"/>
              <w:spacing w:after="0" w:line="196" w:lineRule="exact"/>
              <w:rPr>
                <w:sz w:val="20"/>
                <w:szCs w:val="20"/>
                <w:color w:val="auto"/>
              </w:rPr>
            </w:pPr>
            <w:r>
              <w:rPr>
                <w:rFonts w:ascii="Arial" w:cs="Arial" w:eastAsia="Arial" w:hAnsi="Arial"/>
                <w:sz w:val="18"/>
                <w:szCs w:val="18"/>
                <w:color w:val="auto"/>
              </w:rPr>
              <w:t>60.6</w:t>
            </w:r>
          </w:p>
        </w:tc>
        <w:tc>
          <w:tcPr>
            <w:tcW w:w="160" w:type="dxa"/>
            <w:vAlign w:val="bottom"/>
            <w:tcBorders>
              <w:top w:val="single" w:sz="8" w:color="939598"/>
              <w:bottom w:val="single" w:sz="8" w:color="939598"/>
            </w:tcBorders>
          </w:tcPr>
          <w:p>
            <w:pPr>
              <w:jc w:val="right"/>
              <w:spacing w:after="0" w:line="196" w:lineRule="exact"/>
              <w:rPr>
                <w:sz w:val="20"/>
                <w:szCs w:val="20"/>
                <w:color w:val="auto"/>
              </w:rPr>
            </w:pPr>
            <w:r>
              <w:rPr>
                <w:rFonts w:ascii="Arial" w:cs="Arial" w:eastAsia="Arial" w:hAnsi="Arial"/>
                <w:sz w:val="18"/>
                <w:szCs w:val="18"/>
                <w:color w:val="auto"/>
              </w:rPr>
              <w:t>$</w:t>
            </w:r>
          </w:p>
        </w:tc>
        <w:tc>
          <w:tcPr>
            <w:tcW w:w="1100" w:type="dxa"/>
            <w:vAlign w:val="bottom"/>
            <w:tcBorders>
              <w:top w:val="single" w:sz="8" w:color="939598"/>
              <w:bottom w:val="single" w:sz="8" w:color="939598"/>
            </w:tcBorders>
          </w:tcPr>
          <w:p>
            <w:pPr>
              <w:jc w:val="right"/>
              <w:ind w:right="231"/>
              <w:spacing w:after="0" w:line="196" w:lineRule="exact"/>
              <w:rPr>
                <w:sz w:val="20"/>
                <w:szCs w:val="20"/>
                <w:color w:val="auto"/>
              </w:rPr>
            </w:pPr>
            <w:r>
              <w:rPr>
                <w:rFonts w:ascii="Arial" w:cs="Arial" w:eastAsia="Arial" w:hAnsi="Arial"/>
                <w:sz w:val="18"/>
                <w:szCs w:val="18"/>
                <w:color w:val="auto"/>
              </w:rPr>
              <w:t>64.9</w:t>
            </w:r>
          </w:p>
        </w:tc>
        <w:tc>
          <w:tcPr>
            <w:tcW w:w="240" w:type="dxa"/>
            <w:vAlign w:val="bottom"/>
            <w:tcBorders>
              <w:top w:val="single" w:sz="8" w:color="939598"/>
              <w:bottom w:val="single" w:sz="8" w:color="939598"/>
            </w:tcBorders>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tcBorders>
              <w:top w:val="single" w:sz="8" w:color="939598"/>
              <w:bottom w:val="single" w:sz="8" w:color="939598"/>
            </w:tcBorders>
          </w:tcPr>
          <w:p>
            <w:pPr>
              <w:jc w:val="right"/>
              <w:spacing w:after="0" w:line="196" w:lineRule="exact"/>
              <w:rPr>
                <w:sz w:val="20"/>
                <w:szCs w:val="20"/>
                <w:color w:val="auto"/>
              </w:rPr>
            </w:pPr>
            <w:r>
              <w:rPr>
                <w:rFonts w:ascii="Arial" w:cs="Arial" w:eastAsia="Arial" w:hAnsi="Arial"/>
                <w:sz w:val="18"/>
                <w:szCs w:val="18"/>
                <w:color w:val="auto"/>
              </w:rPr>
              <w:t>954.1</w:t>
            </w:r>
          </w:p>
        </w:tc>
        <w:tc>
          <w:tcPr>
            <w:tcW w:w="140" w:type="dxa"/>
            <w:vAlign w:val="bottom"/>
          </w:tcPr>
          <w:p>
            <w:pPr>
              <w:spacing w:after="0"/>
              <w:rPr>
                <w:sz w:val="17"/>
                <w:szCs w:val="17"/>
                <w:color w:val="auto"/>
              </w:rPr>
            </w:pPr>
          </w:p>
        </w:tc>
      </w:tr>
    </w:tbl>
    <w:p>
      <w:pPr>
        <w:spacing w:after="0" w:line="204" w:lineRule="exact"/>
        <w:rPr>
          <w:sz w:val="20"/>
          <w:szCs w:val="20"/>
          <w:color w:val="auto"/>
        </w:rPr>
      </w:pPr>
    </w:p>
    <w:p>
      <w:pPr>
        <w:ind w:left="580" w:right="220" w:hanging="572"/>
        <w:spacing w:after="0" w:line="246" w:lineRule="auto"/>
        <w:tabs>
          <w:tab w:leader="none" w:pos="580" w:val="left"/>
        </w:tabs>
        <w:numPr>
          <w:ilvl w:val="0"/>
          <w:numId w:val="53"/>
        </w:numPr>
        <w:rPr>
          <w:rFonts w:ascii="Arial" w:cs="Arial" w:eastAsia="Arial" w:hAnsi="Arial"/>
          <w:sz w:val="16"/>
          <w:szCs w:val="16"/>
          <w:color w:val="auto"/>
        </w:rPr>
      </w:pPr>
      <w:r>
        <w:rPr>
          <w:rFonts w:ascii="Arial" w:cs="Arial" w:eastAsia="Arial" w:hAnsi="Arial"/>
          <w:sz w:val="16"/>
          <w:szCs w:val="16"/>
          <w:color w:val="auto"/>
        </w:rPr>
        <w:t>Balance related to United States was $151.9 as of January 1, 2009. There was an $8.4 addition in 2009, resulting in a $160.3 goodwill balance as of December 31, 2009. In 2010, United States added $290.6 through acquisitions and recorded another item of $0.8, resulting in a $451.7 goodwill balance as of December 31, 2010. See Note 14 to the Consolidated Financial Statements for further information regarding Jefferson Wells inclusion.</w:t>
      </w:r>
    </w:p>
    <w:p>
      <w:pPr>
        <w:spacing w:after="0" w:line="1" w:lineRule="exact"/>
        <w:rPr>
          <w:rFonts w:ascii="Arial" w:cs="Arial" w:eastAsia="Arial" w:hAnsi="Arial"/>
          <w:sz w:val="16"/>
          <w:szCs w:val="16"/>
          <w:color w:val="auto"/>
        </w:rPr>
      </w:pPr>
    </w:p>
    <w:p>
      <w:pPr>
        <w:ind w:left="580" w:right="500" w:hanging="572"/>
        <w:spacing w:after="0" w:line="246" w:lineRule="auto"/>
        <w:tabs>
          <w:tab w:leader="none" w:pos="580" w:val="left"/>
        </w:tabs>
        <w:numPr>
          <w:ilvl w:val="0"/>
          <w:numId w:val="53"/>
        </w:numPr>
        <w:rPr>
          <w:rFonts w:ascii="Arial" w:cs="Arial" w:eastAsia="Arial" w:hAnsi="Arial"/>
          <w:sz w:val="16"/>
          <w:szCs w:val="16"/>
          <w:color w:val="auto"/>
        </w:rPr>
      </w:pPr>
      <w:r>
        <w:rPr>
          <w:rFonts w:ascii="Arial" w:cs="Arial" w:eastAsia="Arial" w:hAnsi="Arial"/>
          <w:sz w:val="16"/>
          <w:szCs w:val="16"/>
          <w:color w:val="auto"/>
        </w:rPr>
        <w:t>Balances related to Italy were $4.8, $4.9 and $4.6 as of January 1, 2009, December 31, 2009 and December 31, 2010, respectively. The change represents the impact of currency.</w:t>
      </w:r>
    </w:p>
    <w:p>
      <w:pPr>
        <w:ind w:left="580" w:right="520" w:hanging="572"/>
        <w:spacing w:after="0" w:line="246" w:lineRule="auto"/>
        <w:tabs>
          <w:tab w:leader="none" w:pos="580" w:val="left"/>
        </w:tabs>
        <w:numPr>
          <w:ilvl w:val="0"/>
          <w:numId w:val="53"/>
        </w:numPr>
        <w:rPr>
          <w:rFonts w:ascii="Arial" w:cs="Arial" w:eastAsia="Arial" w:hAnsi="Arial"/>
          <w:sz w:val="16"/>
          <w:szCs w:val="16"/>
          <w:color w:val="auto"/>
        </w:rPr>
      </w:pPr>
      <w:r>
        <w:rPr>
          <w:rFonts w:ascii="Arial" w:cs="Arial" w:eastAsia="Arial" w:hAnsi="Arial"/>
          <w:sz w:val="16"/>
          <w:szCs w:val="16"/>
          <w:color w:val="auto"/>
        </w:rPr>
        <w:t>For further information on the goodwill impairment charges, see Note 1 to the Consolidated Financial Statements. The 2010 goodwill impairment charge for Right Management impacted both Corporate ($184.5) and Right Management ($94.4).</w:t>
      </w:r>
    </w:p>
    <w:p>
      <w:pPr>
        <w:ind w:left="580" w:right="40" w:hanging="572"/>
        <w:spacing w:after="0" w:line="260" w:lineRule="auto"/>
        <w:tabs>
          <w:tab w:leader="none" w:pos="580" w:val="left"/>
        </w:tabs>
        <w:numPr>
          <w:ilvl w:val="0"/>
          <w:numId w:val="53"/>
        </w:numPr>
        <w:rPr>
          <w:rFonts w:ascii="Arial" w:cs="Arial" w:eastAsia="Arial" w:hAnsi="Arial"/>
          <w:sz w:val="16"/>
          <w:szCs w:val="16"/>
          <w:color w:val="auto"/>
        </w:rPr>
      </w:pPr>
      <w:r>
        <w:rPr>
          <w:rFonts w:ascii="Arial" w:cs="Arial" w:eastAsia="Arial" w:hAnsi="Arial"/>
          <w:sz w:val="16"/>
          <w:szCs w:val="16"/>
          <w:color w:val="auto"/>
        </w:rPr>
        <w:t>Balances were net of accumulated impairment loss of $140.8, $201.8 and $513.4, as of January 1, 2009, December 31, 2009 and December 31, 2010, respectively. The 2010 goodwill impairment charge for Jefferson Wells impacted only Corporate ($32.7).</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color w:val="4D8ABE"/>
        </w:rPr>
        <w:t xml:space="preserve">62 </w:t>
      </w:r>
      <w:r>
        <w:rPr>
          <w:rFonts w:ascii="Arial" w:cs="Arial" w:eastAsia="Arial" w:hAnsi="Arial"/>
          <w:sz w:val="16"/>
          <w:szCs w:val="16"/>
          <w:color w:val="4D8ABE"/>
        </w:rPr>
        <w:t>Manpower 2010 Annual Report</w:t>
      </w:r>
      <w:r>
        <w:rPr>
          <w:rFonts w:ascii="Arial" w:cs="Arial" w:eastAsia="Arial" w:hAnsi="Arial"/>
          <w:sz w:val="16"/>
          <w:szCs w:val="16"/>
          <w:b w:val="1"/>
          <w:bCs w:val="1"/>
          <w:color w:val="4D8ABE"/>
        </w:rPr>
        <w:t xml:space="preserve"> </w:t>
      </w:r>
      <w:r>
        <w:rPr>
          <w:rFonts w:ascii="Arial" w:cs="Arial" w:eastAsia="Arial" w:hAnsi="Arial"/>
          <w:sz w:val="16"/>
          <w:szCs w:val="16"/>
          <w:b w:val="1"/>
          <w:bCs w:val="1"/>
          <w:color w:val="939598"/>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wp:posOffset>
            </wp:positionV>
            <wp:extent cx="7267575" cy="469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ectPr>
          <w:pgSz w:w="11900" w:h="16838" w:orient="portrait"/>
          <w:cols w:equalWidth="0" w:num="1">
            <w:col w:w="11420"/>
          </w:cols>
          <w:pgMar w:left="240" w:top="345" w:right="239" w:bottom="1440" w:gutter="0" w:footer="0" w:header="0"/>
        </w:sectPr>
      </w:pPr>
    </w:p>
    <w:bookmarkStart w:id="93" w:name="page94"/>
    <w:bookmarkEnd w:id="93"/>
    <w:p>
      <w:pPr>
        <w:jc w:val="both"/>
        <w:spacing w:after="0" w:line="238" w:lineRule="auto"/>
        <w:rPr>
          <w:sz w:val="20"/>
          <w:szCs w:val="20"/>
          <w:color w:val="auto"/>
        </w:rPr>
      </w:pPr>
      <w:r>
        <w:rPr>
          <w:rFonts w:ascii="Arial" w:cs="Arial" w:eastAsia="Arial" w:hAnsi="Arial"/>
          <w:sz w:val="18"/>
          <w:szCs w:val="18"/>
          <w:color w:val="auto"/>
        </w:rPr>
        <w:t>The majority of the Corporate balance as of December 31, 2010 relates to goodwill attributable to our acquisition of Jefferson Wells ($55.5) which is now part of the United States reporting unit. For purposes of monitoring our total assets by segment, we do not allocate the Corporate balance to the respective reportable segments as this is commensurate with how we operate our business. We do, however, include these balances within the appropriate reporting units for our goodwill impairment testing. See the table below for the composition of goodwill balances by reporting unit.</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Goodwill balances by reporting unit are as follows: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040" w:type="dxa"/>
            <w:vAlign w:val="bottom"/>
            <w:gridSpan w:val="2"/>
          </w:tcPr>
          <w:p>
            <w:pPr>
              <w:spacing w:after="0"/>
              <w:rPr>
                <w:sz w:val="20"/>
                <w:szCs w:val="20"/>
                <w:color w:val="auto"/>
              </w:rPr>
            </w:pPr>
            <w:r>
              <w:rPr>
                <w:rFonts w:ascii="Arial" w:cs="Arial" w:eastAsia="Arial" w:hAnsi="Arial"/>
                <w:sz w:val="16"/>
                <w:szCs w:val="16"/>
                <w:b w:val="1"/>
                <w:bCs w:val="1"/>
                <w:color w:val="86B6A5"/>
              </w:rPr>
              <w:t>December 31</w:t>
            </w:r>
          </w:p>
        </w:tc>
        <w:tc>
          <w:tcPr>
            <w:tcW w:w="120" w:type="dxa"/>
            <w:vAlign w:val="bottom"/>
            <w:shd w:val="clear" w:color="auto" w:fill="86B6A5"/>
          </w:tcPr>
          <w:p>
            <w:pPr>
              <w:spacing w:after="0"/>
              <w:rPr>
                <w:sz w:val="18"/>
                <w:szCs w:val="18"/>
                <w:color w:val="auto"/>
              </w:rPr>
            </w:pPr>
          </w:p>
        </w:tc>
        <w:tc>
          <w:tcPr>
            <w:tcW w:w="1580" w:type="dxa"/>
            <w:vAlign w:val="bottom"/>
            <w:shd w:val="clear" w:color="auto" w:fill="86B6A5"/>
          </w:tcPr>
          <w:p>
            <w:pPr>
              <w:jc w:val="right"/>
              <w:ind w:right="131"/>
              <w:spacing w:after="0"/>
              <w:rPr>
                <w:sz w:val="20"/>
                <w:szCs w:val="20"/>
                <w:color w:val="auto"/>
              </w:rPr>
            </w:pPr>
            <w:r>
              <w:rPr>
                <w:rFonts w:ascii="Arial" w:cs="Arial" w:eastAsia="Arial" w:hAnsi="Arial"/>
                <w:sz w:val="16"/>
                <w:szCs w:val="16"/>
                <w:b w:val="1"/>
                <w:bCs w:val="1"/>
                <w:color w:val="FFFFFF"/>
              </w:rPr>
              <w:t>2010</w:t>
            </w:r>
          </w:p>
        </w:tc>
        <w:tc>
          <w:tcPr>
            <w:tcW w:w="5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86B6A5"/>
              </w:rPr>
              <w:t>2009</w:t>
            </w:r>
          </w:p>
        </w:tc>
        <w:tc>
          <w:tcPr>
            <w:tcW w:w="2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8020" w:type="dxa"/>
            <w:vAlign w:val="bottom"/>
            <w:tcBorders>
              <w:top w:val="single" w:sz="8" w:color="86B6A5"/>
            </w:tcBorders>
          </w:tcPr>
          <w:p>
            <w:pPr>
              <w:spacing w:after="0" w:line="201" w:lineRule="exact"/>
              <w:rPr>
                <w:sz w:val="20"/>
                <w:szCs w:val="20"/>
                <w:color w:val="auto"/>
              </w:rPr>
            </w:pPr>
            <w:r>
              <w:rPr>
                <w:rFonts w:ascii="Arial" w:cs="Arial" w:eastAsia="Arial" w:hAnsi="Arial"/>
                <w:sz w:val="18"/>
                <w:szCs w:val="18"/>
                <w:color w:val="auto"/>
              </w:rPr>
              <w:t>United States</w:t>
            </w:r>
          </w:p>
        </w:tc>
        <w:tc>
          <w:tcPr>
            <w:tcW w:w="120" w:type="dxa"/>
            <w:vAlign w:val="bottom"/>
            <w:tcBorders>
              <w:top w:val="single" w:sz="8" w:color="86B6A5"/>
            </w:tcBorders>
            <w:shd w:val="clear" w:color="auto" w:fill="E3F1DA"/>
          </w:tcPr>
          <w:p>
            <w:pPr>
              <w:jc w:val="right"/>
              <w:spacing w:after="0" w:line="201" w:lineRule="exact"/>
              <w:rPr>
                <w:sz w:val="20"/>
                <w:szCs w:val="20"/>
                <w:color w:val="auto"/>
              </w:rPr>
            </w:pPr>
            <w:r>
              <w:rPr>
                <w:rFonts w:ascii="Arial" w:cs="Arial" w:eastAsia="Arial" w:hAnsi="Arial"/>
                <w:sz w:val="18"/>
                <w:szCs w:val="18"/>
                <w:color w:val="86B6A5"/>
                <w:w w:val="79"/>
              </w:rPr>
              <w:t>$</w:t>
            </w:r>
          </w:p>
        </w:tc>
        <w:tc>
          <w:tcPr>
            <w:tcW w:w="1580" w:type="dxa"/>
            <w:vAlign w:val="bottom"/>
            <w:tcBorders>
              <w:top w:val="single" w:sz="8" w:color="86B6A5"/>
            </w:tcBorders>
            <w:shd w:val="clear" w:color="auto" w:fill="E3F1DA"/>
          </w:tcPr>
          <w:p>
            <w:pPr>
              <w:jc w:val="right"/>
              <w:ind w:right="131"/>
              <w:spacing w:after="0" w:line="201" w:lineRule="exact"/>
              <w:rPr>
                <w:sz w:val="20"/>
                <w:szCs w:val="20"/>
                <w:color w:val="auto"/>
              </w:rPr>
            </w:pPr>
            <w:r>
              <w:rPr>
                <w:rFonts w:ascii="Arial" w:cs="Arial" w:eastAsia="Arial" w:hAnsi="Arial"/>
                <w:sz w:val="18"/>
                <w:szCs w:val="18"/>
                <w:color w:val="86B6A5"/>
              </w:rPr>
              <w:t>507.2</w:t>
            </w:r>
          </w:p>
        </w:tc>
        <w:tc>
          <w:tcPr>
            <w:tcW w:w="560" w:type="dxa"/>
            <w:vAlign w:val="bottom"/>
            <w:tcBorders>
              <w:top w:val="single" w:sz="8" w:color="86B6A5"/>
            </w:tcBorders>
          </w:tcPr>
          <w:p>
            <w:pPr>
              <w:jc w:val="right"/>
              <w:ind w:right="370"/>
              <w:spacing w:after="0" w:line="201"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86B6A5"/>
            </w:tcBorders>
          </w:tcPr>
          <w:p>
            <w:pPr>
              <w:jc w:val="right"/>
              <w:spacing w:after="0" w:line="201" w:lineRule="exact"/>
              <w:rPr>
                <w:sz w:val="20"/>
                <w:szCs w:val="20"/>
                <w:color w:val="auto"/>
              </w:rPr>
            </w:pPr>
            <w:r>
              <w:rPr>
                <w:rFonts w:ascii="Arial" w:cs="Arial" w:eastAsia="Arial" w:hAnsi="Arial"/>
                <w:sz w:val="18"/>
                <w:szCs w:val="18"/>
                <w:color w:val="auto"/>
              </w:rPr>
              <w:t>248.5</w:t>
            </w:r>
          </w:p>
        </w:tc>
        <w:tc>
          <w:tcPr>
            <w:tcW w:w="20" w:type="dxa"/>
            <w:vAlign w:val="bottom"/>
          </w:tcPr>
          <w:p>
            <w:pPr>
              <w:spacing w:after="0"/>
              <w:rPr>
                <w:sz w:val="17"/>
                <w:szCs w:val="17"/>
                <w:color w:val="auto"/>
              </w:rPr>
            </w:pPr>
          </w:p>
        </w:tc>
      </w:tr>
      <w:tr>
        <w:trPr>
          <w:trHeight w:val="203"/>
        </w:trPr>
        <w:tc>
          <w:tcPr>
            <w:tcW w:w="8040" w:type="dxa"/>
            <w:vAlign w:val="bottom"/>
            <w:gridSpan w:val="2"/>
          </w:tcPr>
          <w:p>
            <w:pPr>
              <w:spacing w:after="0" w:line="202" w:lineRule="exact"/>
              <w:rPr>
                <w:sz w:val="20"/>
                <w:szCs w:val="20"/>
                <w:color w:val="auto"/>
              </w:rPr>
            </w:pPr>
            <w:r>
              <w:rPr>
                <w:rFonts w:ascii="Arial" w:cs="Arial" w:eastAsia="Arial" w:hAnsi="Arial"/>
                <w:sz w:val="18"/>
                <w:szCs w:val="18"/>
                <w:color w:val="auto"/>
              </w:rPr>
              <w:t>Elan</w:t>
            </w:r>
          </w:p>
        </w:tc>
        <w:tc>
          <w:tcPr>
            <w:tcW w:w="120" w:type="dxa"/>
            <w:vAlign w:val="bottom"/>
            <w:shd w:val="clear" w:color="auto" w:fill="E3F1DA"/>
          </w:tcPr>
          <w:p>
            <w:pPr>
              <w:spacing w:after="0"/>
              <w:rPr>
                <w:sz w:val="17"/>
                <w:szCs w:val="17"/>
                <w:color w:val="auto"/>
              </w:rPr>
            </w:pPr>
          </w:p>
        </w:tc>
        <w:tc>
          <w:tcPr>
            <w:tcW w:w="1580" w:type="dxa"/>
            <w:vAlign w:val="bottom"/>
            <w:shd w:val="clear" w:color="auto" w:fill="E3F1DA"/>
          </w:tcPr>
          <w:p>
            <w:pPr>
              <w:jc w:val="right"/>
              <w:ind w:right="131"/>
              <w:spacing w:after="0" w:line="202" w:lineRule="exact"/>
              <w:rPr>
                <w:sz w:val="20"/>
                <w:szCs w:val="20"/>
                <w:color w:val="auto"/>
              </w:rPr>
            </w:pPr>
            <w:r>
              <w:rPr>
                <w:rFonts w:ascii="Arial" w:cs="Arial" w:eastAsia="Arial" w:hAnsi="Arial"/>
                <w:sz w:val="18"/>
                <w:szCs w:val="18"/>
                <w:color w:val="86B6A5"/>
              </w:rPr>
              <w:t>123.2</w:t>
            </w:r>
          </w:p>
        </w:tc>
        <w:tc>
          <w:tcPr>
            <w:tcW w:w="560" w:type="dxa"/>
            <w:vAlign w:val="bottom"/>
          </w:tcPr>
          <w:p>
            <w:pPr>
              <w:spacing w:after="0"/>
              <w:rPr>
                <w:sz w:val="17"/>
                <w:szCs w:val="17"/>
                <w:color w:val="auto"/>
              </w:rPr>
            </w:pPr>
          </w:p>
        </w:tc>
        <w:tc>
          <w:tcPr>
            <w:tcW w:w="9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128.6</w:t>
            </w:r>
          </w:p>
        </w:tc>
      </w:tr>
      <w:tr>
        <w:trPr>
          <w:trHeight w:val="203"/>
        </w:trPr>
        <w:tc>
          <w:tcPr>
            <w:tcW w:w="8040" w:type="dxa"/>
            <w:vAlign w:val="bottom"/>
            <w:gridSpan w:val="2"/>
          </w:tcPr>
          <w:p>
            <w:pPr>
              <w:spacing w:after="0" w:line="202" w:lineRule="exact"/>
              <w:rPr>
                <w:sz w:val="20"/>
                <w:szCs w:val="20"/>
                <w:color w:val="auto"/>
              </w:rPr>
            </w:pPr>
            <w:r>
              <w:rPr>
                <w:rFonts w:ascii="Arial" w:cs="Arial" w:eastAsia="Arial" w:hAnsi="Arial"/>
                <w:sz w:val="18"/>
                <w:szCs w:val="18"/>
                <w:color w:val="auto"/>
              </w:rPr>
              <w:t>Netherlands (Vitae)</w:t>
            </w:r>
          </w:p>
        </w:tc>
        <w:tc>
          <w:tcPr>
            <w:tcW w:w="120" w:type="dxa"/>
            <w:vAlign w:val="bottom"/>
            <w:shd w:val="clear" w:color="auto" w:fill="E3F1DA"/>
          </w:tcPr>
          <w:p>
            <w:pPr>
              <w:spacing w:after="0"/>
              <w:rPr>
                <w:sz w:val="17"/>
                <w:szCs w:val="17"/>
                <w:color w:val="auto"/>
              </w:rPr>
            </w:pPr>
          </w:p>
        </w:tc>
        <w:tc>
          <w:tcPr>
            <w:tcW w:w="1580" w:type="dxa"/>
            <w:vAlign w:val="bottom"/>
            <w:shd w:val="clear" w:color="auto" w:fill="E3F1DA"/>
          </w:tcPr>
          <w:p>
            <w:pPr>
              <w:jc w:val="right"/>
              <w:ind w:right="131"/>
              <w:spacing w:after="0" w:line="202" w:lineRule="exact"/>
              <w:rPr>
                <w:sz w:val="20"/>
                <w:szCs w:val="20"/>
                <w:color w:val="auto"/>
              </w:rPr>
            </w:pPr>
            <w:r>
              <w:rPr>
                <w:rFonts w:ascii="Arial" w:cs="Arial" w:eastAsia="Arial" w:hAnsi="Arial"/>
                <w:sz w:val="18"/>
                <w:szCs w:val="18"/>
                <w:color w:val="86B6A5"/>
              </w:rPr>
              <w:t>81.9</w:t>
            </w:r>
          </w:p>
        </w:tc>
        <w:tc>
          <w:tcPr>
            <w:tcW w:w="56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87.6</w:t>
            </w:r>
          </w:p>
        </w:tc>
        <w:tc>
          <w:tcPr>
            <w:tcW w:w="20" w:type="dxa"/>
            <w:vAlign w:val="bottom"/>
          </w:tcPr>
          <w:p>
            <w:pPr>
              <w:spacing w:after="0"/>
              <w:rPr>
                <w:sz w:val="17"/>
                <w:szCs w:val="17"/>
                <w:color w:val="auto"/>
              </w:rPr>
            </w:pPr>
          </w:p>
        </w:tc>
      </w:tr>
      <w:tr>
        <w:trPr>
          <w:trHeight w:val="203"/>
        </w:trPr>
        <w:tc>
          <w:tcPr>
            <w:tcW w:w="8040" w:type="dxa"/>
            <w:vAlign w:val="bottom"/>
            <w:gridSpan w:val="2"/>
          </w:tcPr>
          <w:p>
            <w:pPr>
              <w:spacing w:after="0" w:line="202" w:lineRule="exact"/>
              <w:rPr>
                <w:sz w:val="20"/>
                <w:szCs w:val="20"/>
                <w:color w:val="auto"/>
              </w:rPr>
            </w:pPr>
            <w:r>
              <w:rPr>
                <w:rFonts w:ascii="Arial" w:cs="Arial" w:eastAsia="Arial" w:hAnsi="Arial"/>
                <w:sz w:val="18"/>
                <w:szCs w:val="18"/>
                <w:color w:val="auto"/>
              </w:rPr>
              <w:t>Right Management</w:t>
            </w:r>
          </w:p>
        </w:tc>
        <w:tc>
          <w:tcPr>
            <w:tcW w:w="120" w:type="dxa"/>
            <w:vAlign w:val="bottom"/>
            <w:shd w:val="clear" w:color="auto" w:fill="E3F1DA"/>
          </w:tcPr>
          <w:p>
            <w:pPr>
              <w:spacing w:after="0"/>
              <w:rPr>
                <w:sz w:val="17"/>
                <w:szCs w:val="17"/>
                <w:color w:val="auto"/>
              </w:rPr>
            </w:pPr>
          </w:p>
        </w:tc>
        <w:tc>
          <w:tcPr>
            <w:tcW w:w="1580" w:type="dxa"/>
            <w:vAlign w:val="bottom"/>
            <w:shd w:val="clear" w:color="auto" w:fill="E3F1DA"/>
          </w:tcPr>
          <w:p>
            <w:pPr>
              <w:jc w:val="right"/>
              <w:ind w:right="131"/>
              <w:spacing w:after="0" w:line="202" w:lineRule="exact"/>
              <w:rPr>
                <w:sz w:val="20"/>
                <w:szCs w:val="20"/>
                <w:color w:val="auto"/>
              </w:rPr>
            </w:pPr>
            <w:r>
              <w:rPr>
                <w:rFonts w:ascii="Arial" w:cs="Arial" w:eastAsia="Arial" w:hAnsi="Arial"/>
                <w:sz w:val="18"/>
                <w:szCs w:val="18"/>
                <w:color w:val="86B6A5"/>
              </w:rPr>
              <w:t>60.6</w:t>
            </w:r>
          </w:p>
        </w:tc>
        <w:tc>
          <w:tcPr>
            <w:tcW w:w="560" w:type="dxa"/>
            <w:vAlign w:val="bottom"/>
          </w:tcPr>
          <w:p>
            <w:pPr>
              <w:spacing w:after="0"/>
              <w:rPr>
                <w:sz w:val="17"/>
                <w:szCs w:val="17"/>
                <w:color w:val="auto"/>
              </w:rPr>
            </w:pPr>
          </w:p>
        </w:tc>
        <w:tc>
          <w:tcPr>
            <w:tcW w:w="9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335.1</w:t>
            </w:r>
          </w:p>
        </w:tc>
      </w:tr>
      <w:tr>
        <w:trPr>
          <w:trHeight w:val="210"/>
        </w:trPr>
        <w:tc>
          <w:tcPr>
            <w:tcW w:w="8040" w:type="dxa"/>
            <w:vAlign w:val="bottom"/>
            <w:tcBorders>
              <w:bottom w:val="single" w:sz="8" w:color="939598"/>
            </w:tcBorders>
            <w:gridSpan w:val="2"/>
          </w:tcPr>
          <w:p>
            <w:pPr>
              <w:spacing w:after="0" w:line="203" w:lineRule="exact"/>
              <w:rPr>
                <w:sz w:val="20"/>
                <w:szCs w:val="20"/>
                <w:color w:val="auto"/>
              </w:rPr>
            </w:pPr>
            <w:r>
              <w:rPr>
                <w:rFonts w:ascii="Arial" w:cs="Arial" w:eastAsia="Arial" w:hAnsi="Arial"/>
                <w:sz w:val="18"/>
                <w:szCs w:val="18"/>
                <w:color w:val="auto"/>
              </w:rPr>
              <w:t>Other reporting units</w:t>
            </w:r>
          </w:p>
        </w:tc>
        <w:tc>
          <w:tcPr>
            <w:tcW w:w="120" w:type="dxa"/>
            <w:vAlign w:val="bottom"/>
            <w:tcBorders>
              <w:bottom w:val="single" w:sz="8" w:color="939598"/>
            </w:tcBorders>
            <w:shd w:val="clear" w:color="auto" w:fill="E3F1DA"/>
          </w:tcPr>
          <w:p>
            <w:pPr>
              <w:spacing w:after="0"/>
              <w:rPr>
                <w:sz w:val="18"/>
                <w:szCs w:val="18"/>
                <w:color w:val="auto"/>
              </w:rPr>
            </w:pPr>
          </w:p>
        </w:tc>
        <w:tc>
          <w:tcPr>
            <w:tcW w:w="1580" w:type="dxa"/>
            <w:vAlign w:val="bottom"/>
            <w:tcBorders>
              <w:bottom w:val="single" w:sz="8" w:color="939598"/>
            </w:tcBorders>
            <w:shd w:val="clear" w:color="auto" w:fill="E3F1DA"/>
          </w:tcPr>
          <w:p>
            <w:pPr>
              <w:jc w:val="right"/>
              <w:ind w:right="131"/>
              <w:spacing w:after="0" w:line="203" w:lineRule="exact"/>
              <w:rPr>
                <w:sz w:val="20"/>
                <w:szCs w:val="20"/>
                <w:color w:val="auto"/>
              </w:rPr>
            </w:pPr>
            <w:r>
              <w:rPr>
                <w:rFonts w:ascii="Arial" w:cs="Arial" w:eastAsia="Arial" w:hAnsi="Arial"/>
                <w:sz w:val="18"/>
                <w:szCs w:val="18"/>
                <w:color w:val="86B6A5"/>
              </w:rPr>
              <w:t>181.2</w:t>
            </w:r>
          </w:p>
        </w:tc>
        <w:tc>
          <w:tcPr>
            <w:tcW w:w="560" w:type="dxa"/>
            <w:vAlign w:val="bottom"/>
            <w:tcBorders>
              <w:bottom w:val="single" w:sz="8" w:color="939598"/>
            </w:tcBorders>
          </w:tcPr>
          <w:p>
            <w:pPr>
              <w:spacing w:after="0"/>
              <w:rPr>
                <w:sz w:val="18"/>
                <w:szCs w:val="18"/>
                <w:color w:val="auto"/>
              </w:rPr>
            </w:pPr>
          </w:p>
        </w:tc>
        <w:tc>
          <w:tcPr>
            <w:tcW w:w="920" w:type="dxa"/>
            <w:vAlign w:val="bottom"/>
            <w:tcBorders>
              <w:bottom w:val="single" w:sz="8" w:color="939598"/>
            </w:tcBorders>
            <w:gridSpan w:val="2"/>
          </w:tcPr>
          <w:p>
            <w:pPr>
              <w:jc w:val="right"/>
              <w:ind w:right="20"/>
              <w:spacing w:after="0" w:line="203" w:lineRule="exact"/>
              <w:rPr>
                <w:sz w:val="20"/>
                <w:szCs w:val="20"/>
                <w:color w:val="auto"/>
              </w:rPr>
            </w:pPr>
            <w:r>
              <w:rPr>
                <w:rFonts w:ascii="Arial" w:cs="Arial" w:eastAsia="Arial" w:hAnsi="Arial"/>
                <w:sz w:val="18"/>
                <w:szCs w:val="18"/>
                <w:color w:val="auto"/>
              </w:rPr>
              <w:t>159.3</w:t>
            </w:r>
          </w:p>
        </w:tc>
      </w:tr>
      <w:tr>
        <w:trPr>
          <w:trHeight w:val="203"/>
        </w:trPr>
        <w:tc>
          <w:tcPr>
            <w:tcW w:w="8040" w:type="dxa"/>
            <w:vAlign w:val="bottom"/>
            <w:gridSpan w:val="2"/>
          </w:tcPr>
          <w:p>
            <w:pPr>
              <w:spacing w:after="0" w:line="202" w:lineRule="exact"/>
              <w:rPr>
                <w:sz w:val="20"/>
                <w:szCs w:val="20"/>
                <w:color w:val="auto"/>
              </w:rPr>
            </w:pPr>
            <w:r>
              <w:rPr>
                <w:rFonts w:ascii="Arial" w:cs="Arial" w:eastAsia="Arial" w:hAnsi="Arial"/>
                <w:sz w:val="18"/>
                <w:szCs w:val="18"/>
                <w:color w:val="auto"/>
              </w:rPr>
              <w:t>Total goodwill</w:t>
            </w:r>
          </w:p>
        </w:tc>
        <w:tc>
          <w:tcPr>
            <w:tcW w:w="120" w:type="dxa"/>
            <w:vAlign w:val="bottom"/>
            <w:shd w:val="clear" w:color="auto" w:fill="E3F1DA"/>
          </w:tcPr>
          <w:p>
            <w:pPr>
              <w:jc w:val="right"/>
              <w:spacing w:after="0" w:line="202" w:lineRule="exact"/>
              <w:rPr>
                <w:sz w:val="20"/>
                <w:szCs w:val="20"/>
                <w:color w:val="auto"/>
              </w:rPr>
            </w:pPr>
            <w:r>
              <w:rPr>
                <w:rFonts w:ascii="Arial" w:cs="Arial" w:eastAsia="Arial" w:hAnsi="Arial"/>
                <w:sz w:val="18"/>
                <w:szCs w:val="18"/>
                <w:color w:val="86B6A5"/>
                <w:w w:val="79"/>
              </w:rPr>
              <w:t>$</w:t>
            </w:r>
          </w:p>
        </w:tc>
        <w:tc>
          <w:tcPr>
            <w:tcW w:w="1580" w:type="dxa"/>
            <w:vAlign w:val="bottom"/>
            <w:shd w:val="clear" w:color="auto" w:fill="E3F1DA"/>
          </w:tcPr>
          <w:p>
            <w:pPr>
              <w:jc w:val="right"/>
              <w:ind w:right="131"/>
              <w:spacing w:after="0" w:line="202" w:lineRule="exact"/>
              <w:rPr>
                <w:sz w:val="20"/>
                <w:szCs w:val="20"/>
                <w:color w:val="auto"/>
              </w:rPr>
            </w:pPr>
            <w:r>
              <w:rPr>
                <w:rFonts w:ascii="Arial" w:cs="Arial" w:eastAsia="Arial" w:hAnsi="Arial"/>
                <w:sz w:val="18"/>
                <w:szCs w:val="18"/>
                <w:color w:val="86B6A5"/>
              </w:rPr>
              <w:t>954.1</w:t>
            </w:r>
          </w:p>
        </w:tc>
        <w:tc>
          <w:tcPr>
            <w:tcW w:w="560" w:type="dxa"/>
            <w:vAlign w:val="bottom"/>
          </w:tcPr>
          <w:p>
            <w:pPr>
              <w:jc w:val="right"/>
              <w:ind w:right="370"/>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959.1</w:t>
            </w:r>
          </w:p>
        </w:tc>
      </w:tr>
      <w:tr>
        <w:trPr>
          <w:trHeight w:val="27"/>
        </w:trPr>
        <w:tc>
          <w:tcPr>
            <w:tcW w:w="20" w:type="dxa"/>
            <w:vAlign w:val="bottom"/>
          </w:tcPr>
          <w:p>
            <w:pPr>
              <w:spacing w:after="0"/>
              <w:rPr>
                <w:sz w:val="2"/>
                <w:szCs w:val="2"/>
                <w:color w:val="auto"/>
              </w:rPr>
            </w:pPr>
          </w:p>
        </w:tc>
        <w:tc>
          <w:tcPr>
            <w:tcW w:w="8020" w:type="dxa"/>
            <w:vAlign w:val="bottom"/>
            <w:shd w:val="clear" w:color="auto" w:fill="939598"/>
          </w:tcPr>
          <w:p>
            <w:pPr>
              <w:spacing w:after="0"/>
              <w:rPr>
                <w:sz w:val="2"/>
                <w:szCs w:val="2"/>
                <w:color w:val="auto"/>
              </w:rPr>
            </w:pPr>
          </w:p>
        </w:tc>
        <w:tc>
          <w:tcPr>
            <w:tcW w:w="120" w:type="dxa"/>
            <w:vAlign w:val="bottom"/>
            <w:shd w:val="clear" w:color="auto" w:fill="939598"/>
          </w:tcPr>
          <w:p>
            <w:pPr>
              <w:spacing w:after="0"/>
              <w:rPr>
                <w:sz w:val="2"/>
                <w:szCs w:val="2"/>
                <w:color w:val="auto"/>
              </w:rPr>
            </w:pPr>
          </w:p>
        </w:tc>
        <w:tc>
          <w:tcPr>
            <w:tcW w:w="1580" w:type="dxa"/>
            <w:vAlign w:val="bottom"/>
            <w:shd w:val="clear" w:color="auto" w:fill="939598"/>
          </w:tcPr>
          <w:p>
            <w:pPr>
              <w:spacing w:after="0"/>
              <w:rPr>
                <w:sz w:val="2"/>
                <w:szCs w:val="2"/>
                <w:color w:val="auto"/>
              </w:rPr>
            </w:pPr>
          </w:p>
        </w:tc>
        <w:tc>
          <w:tcPr>
            <w:tcW w:w="560" w:type="dxa"/>
            <w:vAlign w:val="bottom"/>
            <w:shd w:val="clear" w:color="auto" w:fill="939598"/>
          </w:tcPr>
          <w:p>
            <w:pPr>
              <w:spacing w:after="0"/>
              <w:rPr>
                <w:sz w:val="2"/>
                <w:szCs w:val="2"/>
                <w:color w:val="auto"/>
              </w:rPr>
            </w:pPr>
          </w:p>
        </w:tc>
        <w:tc>
          <w:tcPr>
            <w:tcW w:w="900" w:type="dxa"/>
            <w:vAlign w:val="bottom"/>
            <w:shd w:val="clear" w:color="auto" w:fill="939598"/>
          </w:tcPr>
          <w:p>
            <w:pPr>
              <w:spacing w:after="0"/>
              <w:rPr>
                <w:sz w:val="2"/>
                <w:szCs w:val="2"/>
                <w:color w:val="auto"/>
              </w:rPr>
            </w:pPr>
          </w:p>
        </w:tc>
        <w:tc>
          <w:tcPr>
            <w:tcW w:w="20" w:type="dxa"/>
            <w:vAlign w:val="bottom"/>
          </w:tcPr>
          <w:p>
            <w:pPr>
              <w:spacing w:after="0"/>
              <w:rPr>
                <w:sz w:val="2"/>
                <w:szCs w:val="2"/>
                <w:color w:val="auto"/>
              </w:rPr>
            </w:pPr>
          </w:p>
        </w:tc>
      </w:tr>
    </w:tbl>
    <w:p>
      <w:pPr>
        <w:spacing w:after="0" w:line="212" w:lineRule="exact"/>
        <w:rPr>
          <w:sz w:val="20"/>
          <w:szCs w:val="20"/>
          <w:color w:val="auto"/>
        </w:rPr>
      </w:pPr>
    </w:p>
    <w:p>
      <w:pPr>
        <w:spacing w:after="0"/>
        <w:rPr>
          <w:sz w:val="20"/>
          <w:szCs w:val="20"/>
          <w:color w:val="auto"/>
        </w:rPr>
      </w:pPr>
      <w:r>
        <w:rPr>
          <w:rFonts w:ascii="Arial" w:cs="Arial" w:eastAsia="Arial" w:hAnsi="Arial"/>
          <w:sz w:val="24"/>
          <w:szCs w:val="24"/>
          <w:color w:val="86B6A5"/>
        </w:rPr>
        <w:t>07.</w:t>
      </w:r>
    </w:p>
    <w:p>
      <w:pPr>
        <w:spacing w:after="0" w:line="8" w:lineRule="exact"/>
        <w:rPr>
          <w:sz w:val="20"/>
          <w:szCs w:val="20"/>
          <w:color w:val="auto"/>
        </w:rPr>
      </w:pPr>
    </w:p>
    <w:p>
      <w:pPr>
        <w:spacing w:after="0"/>
        <w:rPr>
          <w:sz w:val="20"/>
          <w:szCs w:val="20"/>
          <w:color w:val="auto"/>
        </w:rPr>
      </w:pPr>
      <w:r>
        <w:rPr>
          <w:rFonts w:ascii="Arial" w:cs="Arial" w:eastAsia="Arial" w:hAnsi="Arial"/>
          <w:sz w:val="24"/>
          <w:szCs w:val="24"/>
          <w:color w:val="86B6A5"/>
        </w:rPr>
        <w:t>Debt</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Information concerning Short-Term Borrowings is as follows: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040" w:type="dxa"/>
            <w:vAlign w:val="bottom"/>
            <w:gridSpan w:val="2"/>
          </w:tcPr>
          <w:p>
            <w:pPr>
              <w:spacing w:after="0"/>
              <w:rPr>
                <w:sz w:val="20"/>
                <w:szCs w:val="20"/>
                <w:color w:val="auto"/>
              </w:rPr>
            </w:pPr>
            <w:r>
              <w:rPr>
                <w:rFonts w:ascii="Arial" w:cs="Arial" w:eastAsia="Arial" w:hAnsi="Arial"/>
                <w:sz w:val="16"/>
                <w:szCs w:val="16"/>
                <w:b w:val="1"/>
                <w:bCs w:val="1"/>
                <w:color w:val="86B6A5"/>
              </w:rPr>
              <w:t>December 31</w:t>
            </w:r>
          </w:p>
        </w:tc>
        <w:tc>
          <w:tcPr>
            <w:tcW w:w="120" w:type="dxa"/>
            <w:vAlign w:val="bottom"/>
            <w:shd w:val="clear" w:color="auto" w:fill="86B6A5"/>
          </w:tcPr>
          <w:p>
            <w:pPr>
              <w:spacing w:after="0"/>
              <w:rPr>
                <w:sz w:val="18"/>
                <w:szCs w:val="18"/>
                <w:color w:val="auto"/>
              </w:rPr>
            </w:pPr>
          </w:p>
        </w:tc>
        <w:tc>
          <w:tcPr>
            <w:tcW w:w="1580" w:type="dxa"/>
            <w:vAlign w:val="bottom"/>
            <w:shd w:val="clear" w:color="auto" w:fill="86B6A5"/>
          </w:tcPr>
          <w:p>
            <w:pPr>
              <w:jc w:val="right"/>
              <w:ind w:right="133"/>
              <w:spacing w:after="0"/>
              <w:rPr>
                <w:sz w:val="20"/>
                <w:szCs w:val="20"/>
                <w:color w:val="auto"/>
              </w:rPr>
            </w:pPr>
            <w:r>
              <w:rPr>
                <w:rFonts w:ascii="Arial" w:cs="Arial" w:eastAsia="Arial" w:hAnsi="Arial"/>
                <w:sz w:val="16"/>
                <w:szCs w:val="16"/>
                <w:b w:val="1"/>
                <w:bCs w:val="1"/>
                <w:color w:val="FFFFFF"/>
              </w:rPr>
              <w:t>2010</w:t>
            </w:r>
          </w:p>
        </w:tc>
        <w:tc>
          <w:tcPr>
            <w:tcW w:w="5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86B6A5"/>
              </w:rPr>
              <w:t>2009</w:t>
            </w:r>
          </w:p>
        </w:tc>
      </w:tr>
      <w:tr>
        <w:trPr>
          <w:trHeight w:val="202"/>
        </w:trPr>
        <w:tc>
          <w:tcPr>
            <w:tcW w:w="20" w:type="dxa"/>
            <w:vAlign w:val="bottom"/>
          </w:tcPr>
          <w:p>
            <w:pPr>
              <w:spacing w:after="0"/>
              <w:rPr>
                <w:sz w:val="17"/>
                <w:szCs w:val="17"/>
                <w:color w:val="auto"/>
              </w:rPr>
            </w:pPr>
          </w:p>
        </w:tc>
        <w:tc>
          <w:tcPr>
            <w:tcW w:w="8020" w:type="dxa"/>
            <w:vAlign w:val="bottom"/>
            <w:tcBorders>
              <w:top w:val="single" w:sz="8" w:color="86B6A5"/>
            </w:tcBorders>
          </w:tcPr>
          <w:p>
            <w:pPr>
              <w:spacing w:after="0" w:line="201" w:lineRule="exact"/>
              <w:rPr>
                <w:sz w:val="20"/>
                <w:szCs w:val="20"/>
                <w:color w:val="auto"/>
              </w:rPr>
            </w:pPr>
            <w:r>
              <w:rPr>
                <w:rFonts w:ascii="Arial" w:cs="Arial" w:eastAsia="Arial" w:hAnsi="Arial"/>
                <w:sz w:val="18"/>
                <w:szCs w:val="18"/>
                <w:color w:val="auto"/>
              </w:rPr>
              <w:t>Short-term borrowings</w:t>
            </w:r>
          </w:p>
        </w:tc>
        <w:tc>
          <w:tcPr>
            <w:tcW w:w="120" w:type="dxa"/>
            <w:vAlign w:val="bottom"/>
            <w:tcBorders>
              <w:top w:val="single" w:sz="8" w:color="86B6A5"/>
            </w:tcBorders>
            <w:shd w:val="clear" w:color="auto" w:fill="E3F1DA"/>
          </w:tcPr>
          <w:p>
            <w:pPr>
              <w:jc w:val="right"/>
              <w:spacing w:after="0" w:line="201" w:lineRule="exact"/>
              <w:rPr>
                <w:sz w:val="20"/>
                <w:szCs w:val="20"/>
                <w:color w:val="auto"/>
              </w:rPr>
            </w:pPr>
            <w:r>
              <w:rPr>
                <w:rFonts w:ascii="Arial" w:cs="Arial" w:eastAsia="Arial" w:hAnsi="Arial"/>
                <w:sz w:val="18"/>
                <w:szCs w:val="18"/>
                <w:color w:val="86B6A5"/>
                <w:w w:val="79"/>
              </w:rPr>
              <w:t>$</w:t>
            </w:r>
          </w:p>
        </w:tc>
        <w:tc>
          <w:tcPr>
            <w:tcW w:w="1580" w:type="dxa"/>
            <w:vAlign w:val="bottom"/>
            <w:tcBorders>
              <w:top w:val="single" w:sz="8" w:color="86B6A5"/>
            </w:tcBorders>
            <w:shd w:val="clear" w:color="auto" w:fill="E3F1DA"/>
          </w:tcPr>
          <w:p>
            <w:pPr>
              <w:jc w:val="right"/>
              <w:ind w:right="133"/>
              <w:spacing w:after="0" w:line="201" w:lineRule="exact"/>
              <w:rPr>
                <w:sz w:val="20"/>
                <w:szCs w:val="20"/>
                <w:color w:val="auto"/>
              </w:rPr>
            </w:pPr>
            <w:r>
              <w:rPr>
                <w:rFonts w:ascii="Arial" w:cs="Arial" w:eastAsia="Arial" w:hAnsi="Arial"/>
                <w:sz w:val="18"/>
                <w:szCs w:val="18"/>
                <w:color w:val="86B6A5"/>
              </w:rPr>
              <w:t>28.0</w:t>
            </w:r>
          </w:p>
        </w:tc>
        <w:tc>
          <w:tcPr>
            <w:tcW w:w="580" w:type="dxa"/>
            <w:vAlign w:val="bottom"/>
            <w:tcBorders>
              <w:top w:val="single" w:sz="8" w:color="86B6A5"/>
            </w:tcBorders>
          </w:tcPr>
          <w:p>
            <w:pPr>
              <w:jc w:val="right"/>
              <w:ind w:right="390"/>
              <w:spacing w:after="0" w:line="201"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86B6A5"/>
            </w:tcBorders>
          </w:tcPr>
          <w:p>
            <w:pPr>
              <w:jc w:val="right"/>
              <w:spacing w:after="0" w:line="201" w:lineRule="exact"/>
              <w:rPr>
                <w:sz w:val="20"/>
                <w:szCs w:val="20"/>
                <w:color w:val="auto"/>
              </w:rPr>
            </w:pPr>
            <w:r>
              <w:rPr>
                <w:rFonts w:ascii="Arial" w:cs="Arial" w:eastAsia="Arial" w:hAnsi="Arial"/>
                <w:sz w:val="18"/>
                <w:szCs w:val="18"/>
                <w:color w:val="auto"/>
              </w:rPr>
              <w:t>41.3</w:t>
            </w:r>
          </w:p>
        </w:tc>
      </w:tr>
      <w:tr>
        <w:trPr>
          <w:trHeight w:val="203"/>
        </w:trPr>
        <w:tc>
          <w:tcPr>
            <w:tcW w:w="8040" w:type="dxa"/>
            <w:vAlign w:val="bottom"/>
            <w:gridSpan w:val="2"/>
          </w:tcPr>
          <w:p>
            <w:pPr>
              <w:spacing w:after="0" w:line="203" w:lineRule="exact"/>
              <w:rPr>
                <w:sz w:val="20"/>
                <w:szCs w:val="20"/>
                <w:color w:val="auto"/>
              </w:rPr>
            </w:pPr>
            <w:r>
              <w:rPr>
                <w:rFonts w:ascii="Arial" w:cs="Arial" w:eastAsia="Arial" w:hAnsi="Arial"/>
                <w:sz w:val="18"/>
                <w:szCs w:val="18"/>
                <w:color w:val="auto"/>
              </w:rPr>
              <w:t>Weighted-average interest rates</w:t>
            </w:r>
          </w:p>
        </w:tc>
        <w:tc>
          <w:tcPr>
            <w:tcW w:w="120" w:type="dxa"/>
            <w:vAlign w:val="bottom"/>
            <w:shd w:val="clear" w:color="auto" w:fill="E3F1DA"/>
          </w:tcPr>
          <w:p>
            <w:pPr>
              <w:spacing w:after="0"/>
              <w:rPr>
                <w:sz w:val="17"/>
                <w:szCs w:val="17"/>
                <w:color w:val="auto"/>
              </w:rPr>
            </w:pPr>
          </w:p>
        </w:tc>
        <w:tc>
          <w:tcPr>
            <w:tcW w:w="1580" w:type="dxa"/>
            <w:vAlign w:val="bottom"/>
            <w:shd w:val="clear" w:color="auto" w:fill="E3F1DA"/>
          </w:tcPr>
          <w:p>
            <w:pPr>
              <w:jc w:val="right"/>
              <w:ind w:right="133"/>
              <w:spacing w:after="0" w:line="203" w:lineRule="exact"/>
              <w:rPr>
                <w:sz w:val="20"/>
                <w:szCs w:val="20"/>
                <w:color w:val="auto"/>
              </w:rPr>
            </w:pPr>
            <w:r>
              <w:rPr>
                <w:rFonts w:ascii="Arial" w:cs="Arial" w:eastAsia="Arial" w:hAnsi="Arial"/>
                <w:sz w:val="18"/>
                <w:szCs w:val="18"/>
                <w:color w:val="86B6A5"/>
              </w:rPr>
              <w:t>7.0%</w:t>
            </w:r>
          </w:p>
        </w:tc>
        <w:tc>
          <w:tcPr>
            <w:tcW w:w="58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Arial" w:cs="Arial" w:eastAsia="Arial" w:hAnsi="Arial"/>
                <w:sz w:val="18"/>
                <w:szCs w:val="18"/>
                <w:color w:val="auto"/>
              </w:rPr>
              <w:t>8.1%</w:t>
            </w:r>
          </w:p>
        </w:tc>
      </w:tr>
      <w:tr>
        <w:trPr>
          <w:trHeight w:val="27"/>
        </w:trPr>
        <w:tc>
          <w:tcPr>
            <w:tcW w:w="20" w:type="dxa"/>
            <w:vAlign w:val="bottom"/>
          </w:tcPr>
          <w:p>
            <w:pPr>
              <w:spacing w:after="0"/>
              <w:rPr>
                <w:sz w:val="2"/>
                <w:szCs w:val="2"/>
                <w:color w:val="auto"/>
              </w:rPr>
            </w:pPr>
          </w:p>
        </w:tc>
        <w:tc>
          <w:tcPr>
            <w:tcW w:w="8020" w:type="dxa"/>
            <w:vAlign w:val="bottom"/>
            <w:shd w:val="clear" w:color="auto" w:fill="939598"/>
          </w:tcPr>
          <w:p>
            <w:pPr>
              <w:spacing w:after="0"/>
              <w:rPr>
                <w:sz w:val="2"/>
                <w:szCs w:val="2"/>
                <w:color w:val="auto"/>
              </w:rPr>
            </w:pPr>
          </w:p>
        </w:tc>
        <w:tc>
          <w:tcPr>
            <w:tcW w:w="120" w:type="dxa"/>
            <w:vAlign w:val="bottom"/>
            <w:shd w:val="clear" w:color="auto" w:fill="939598"/>
          </w:tcPr>
          <w:p>
            <w:pPr>
              <w:spacing w:after="0"/>
              <w:rPr>
                <w:sz w:val="2"/>
                <w:szCs w:val="2"/>
                <w:color w:val="auto"/>
              </w:rPr>
            </w:pPr>
          </w:p>
        </w:tc>
        <w:tc>
          <w:tcPr>
            <w:tcW w:w="1580" w:type="dxa"/>
            <w:vAlign w:val="bottom"/>
            <w:shd w:val="clear" w:color="auto" w:fill="939598"/>
          </w:tcPr>
          <w:p>
            <w:pPr>
              <w:spacing w:after="0"/>
              <w:rPr>
                <w:sz w:val="2"/>
                <w:szCs w:val="2"/>
                <w:color w:val="auto"/>
              </w:rPr>
            </w:pPr>
          </w:p>
        </w:tc>
        <w:tc>
          <w:tcPr>
            <w:tcW w:w="580" w:type="dxa"/>
            <w:vAlign w:val="bottom"/>
            <w:shd w:val="clear" w:color="auto" w:fill="939598"/>
          </w:tcPr>
          <w:p>
            <w:pPr>
              <w:spacing w:after="0"/>
              <w:rPr>
                <w:sz w:val="2"/>
                <w:szCs w:val="2"/>
                <w:color w:val="auto"/>
              </w:rPr>
            </w:pPr>
          </w:p>
        </w:tc>
        <w:tc>
          <w:tcPr>
            <w:tcW w:w="880" w:type="dxa"/>
            <w:vAlign w:val="bottom"/>
            <w:shd w:val="clear" w:color="auto" w:fill="939598"/>
          </w:tcPr>
          <w:p>
            <w:pPr>
              <w:spacing w:after="0"/>
              <w:rPr>
                <w:sz w:val="2"/>
                <w:szCs w:val="2"/>
                <w:color w:val="auto"/>
              </w:rPr>
            </w:pPr>
          </w:p>
        </w:tc>
      </w:tr>
    </w:tbl>
    <w:p>
      <w:pPr>
        <w:spacing w:after="0" w:line="215"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maintain separate bank credit lines with financial institutions to meet working capital needs of our subsidiary operations. As of December 31, 2010, such uncommitted credit lines totaled $395.7, of which $ 367.7 was unused. Due to limitations on subsidiary borrowings in our revolving credit agreement, additional subsidiary borrowings of $271.8 could be made under these facilities as of December 31, 2010.</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A summary of Long-Term Debt is as follows: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040" w:type="dxa"/>
            <w:vAlign w:val="bottom"/>
            <w:gridSpan w:val="2"/>
          </w:tcPr>
          <w:p>
            <w:pPr>
              <w:spacing w:after="0"/>
              <w:rPr>
                <w:sz w:val="20"/>
                <w:szCs w:val="20"/>
                <w:color w:val="auto"/>
              </w:rPr>
            </w:pPr>
            <w:r>
              <w:rPr>
                <w:rFonts w:ascii="Arial" w:cs="Arial" w:eastAsia="Arial" w:hAnsi="Arial"/>
                <w:sz w:val="16"/>
                <w:szCs w:val="16"/>
                <w:b w:val="1"/>
                <w:bCs w:val="1"/>
                <w:color w:val="86B6A5"/>
              </w:rPr>
              <w:t>December 31</w:t>
            </w:r>
          </w:p>
        </w:tc>
        <w:tc>
          <w:tcPr>
            <w:tcW w:w="120" w:type="dxa"/>
            <w:vAlign w:val="bottom"/>
            <w:shd w:val="clear" w:color="auto" w:fill="86B6A5"/>
          </w:tcPr>
          <w:p>
            <w:pPr>
              <w:spacing w:after="0"/>
              <w:rPr>
                <w:sz w:val="18"/>
                <w:szCs w:val="18"/>
                <w:color w:val="auto"/>
              </w:rPr>
            </w:pPr>
          </w:p>
        </w:tc>
        <w:tc>
          <w:tcPr>
            <w:tcW w:w="1580" w:type="dxa"/>
            <w:vAlign w:val="bottom"/>
            <w:shd w:val="clear" w:color="auto" w:fill="86B6A5"/>
          </w:tcPr>
          <w:p>
            <w:pPr>
              <w:jc w:val="right"/>
              <w:ind w:right="131"/>
              <w:spacing w:after="0"/>
              <w:rPr>
                <w:sz w:val="20"/>
                <w:szCs w:val="20"/>
                <w:color w:val="auto"/>
              </w:rPr>
            </w:pPr>
            <w:r>
              <w:rPr>
                <w:rFonts w:ascii="Arial" w:cs="Arial" w:eastAsia="Arial" w:hAnsi="Arial"/>
                <w:sz w:val="16"/>
                <w:szCs w:val="16"/>
                <w:b w:val="1"/>
                <w:bCs w:val="1"/>
                <w:color w:val="FFFFFF"/>
              </w:rPr>
              <w:t>2010</w:t>
            </w:r>
          </w:p>
        </w:tc>
        <w:tc>
          <w:tcPr>
            <w:tcW w:w="5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86B6A5"/>
              </w:rPr>
              <w:t>2009</w:t>
            </w:r>
          </w:p>
        </w:tc>
      </w:tr>
      <w:tr>
        <w:trPr>
          <w:trHeight w:val="202"/>
        </w:trPr>
        <w:tc>
          <w:tcPr>
            <w:tcW w:w="20" w:type="dxa"/>
            <w:vAlign w:val="bottom"/>
          </w:tcPr>
          <w:p>
            <w:pPr>
              <w:spacing w:after="0"/>
              <w:rPr>
                <w:sz w:val="17"/>
                <w:szCs w:val="17"/>
                <w:color w:val="auto"/>
              </w:rPr>
            </w:pPr>
          </w:p>
        </w:tc>
        <w:tc>
          <w:tcPr>
            <w:tcW w:w="8020" w:type="dxa"/>
            <w:vAlign w:val="bottom"/>
            <w:tcBorders>
              <w:top w:val="single" w:sz="8" w:color="86B6A5"/>
            </w:tcBorders>
          </w:tcPr>
          <w:p>
            <w:pPr>
              <w:spacing w:after="0" w:line="201" w:lineRule="exact"/>
              <w:rPr>
                <w:sz w:val="20"/>
                <w:szCs w:val="20"/>
                <w:color w:val="auto"/>
              </w:rPr>
            </w:pPr>
            <w:r>
              <w:rPr>
                <w:rFonts w:ascii="Arial" w:cs="Arial" w:eastAsia="Arial" w:hAnsi="Arial"/>
                <w:sz w:val="18"/>
                <w:szCs w:val="18"/>
                <w:color w:val="auto"/>
              </w:rPr>
              <w:t>Euro-denominated notes:</w:t>
            </w:r>
          </w:p>
        </w:tc>
        <w:tc>
          <w:tcPr>
            <w:tcW w:w="120" w:type="dxa"/>
            <w:vAlign w:val="bottom"/>
            <w:tcBorders>
              <w:top w:val="single" w:sz="8" w:color="86B6A5"/>
            </w:tcBorders>
            <w:shd w:val="clear" w:color="auto" w:fill="E3F1DA"/>
          </w:tcPr>
          <w:p>
            <w:pPr>
              <w:spacing w:after="0"/>
              <w:rPr>
                <w:sz w:val="17"/>
                <w:szCs w:val="17"/>
                <w:color w:val="auto"/>
              </w:rPr>
            </w:pPr>
          </w:p>
        </w:tc>
        <w:tc>
          <w:tcPr>
            <w:tcW w:w="1580" w:type="dxa"/>
            <w:vAlign w:val="bottom"/>
            <w:tcBorders>
              <w:top w:val="single" w:sz="8" w:color="86B6A5"/>
            </w:tcBorders>
            <w:shd w:val="clear" w:color="auto" w:fill="E3F1DA"/>
          </w:tcPr>
          <w:p>
            <w:pPr>
              <w:spacing w:after="0"/>
              <w:rPr>
                <w:sz w:val="17"/>
                <w:szCs w:val="17"/>
                <w:color w:val="auto"/>
              </w:rPr>
            </w:pPr>
          </w:p>
        </w:tc>
        <w:tc>
          <w:tcPr>
            <w:tcW w:w="560" w:type="dxa"/>
            <w:vAlign w:val="bottom"/>
            <w:tcBorders>
              <w:top w:val="single" w:sz="8" w:color="86B6A5"/>
            </w:tcBorders>
          </w:tcPr>
          <w:p>
            <w:pPr>
              <w:spacing w:after="0"/>
              <w:rPr>
                <w:sz w:val="17"/>
                <w:szCs w:val="17"/>
                <w:color w:val="auto"/>
              </w:rPr>
            </w:pPr>
          </w:p>
        </w:tc>
        <w:tc>
          <w:tcPr>
            <w:tcW w:w="900" w:type="dxa"/>
            <w:vAlign w:val="bottom"/>
            <w:tcBorders>
              <w:top w:val="single" w:sz="8" w:color="86B6A5"/>
            </w:tcBorders>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8020" w:type="dxa"/>
            <w:vAlign w:val="bottom"/>
          </w:tcPr>
          <w:p>
            <w:pPr>
              <w:ind w:left="260"/>
              <w:spacing w:after="0" w:line="202" w:lineRule="exact"/>
              <w:rPr>
                <w:sz w:val="20"/>
                <w:szCs w:val="20"/>
                <w:color w:val="auto"/>
              </w:rPr>
            </w:pPr>
            <w:r>
              <w:rPr>
                <w:rFonts w:ascii="Arial" w:cs="Arial" w:eastAsia="Arial" w:hAnsi="Arial"/>
                <w:sz w:val="18"/>
                <w:szCs w:val="18"/>
                <w:color w:val="auto"/>
              </w:rPr>
              <w:t>€300 due June 2012</w:t>
            </w:r>
          </w:p>
        </w:tc>
        <w:tc>
          <w:tcPr>
            <w:tcW w:w="120" w:type="dxa"/>
            <w:vAlign w:val="bottom"/>
            <w:shd w:val="clear" w:color="auto" w:fill="E3F1DA"/>
          </w:tcPr>
          <w:p>
            <w:pPr>
              <w:jc w:val="right"/>
              <w:spacing w:after="0" w:line="202" w:lineRule="exact"/>
              <w:rPr>
                <w:sz w:val="20"/>
                <w:szCs w:val="20"/>
                <w:color w:val="auto"/>
              </w:rPr>
            </w:pPr>
            <w:r>
              <w:rPr>
                <w:rFonts w:ascii="Arial" w:cs="Arial" w:eastAsia="Arial" w:hAnsi="Arial"/>
                <w:sz w:val="18"/>
                <w:szCs w:val="18"/>
                <w:color w:val="86B6A5"/>
                <w:w w:val="79"/>
              </w:rPr>
              <w:t>$</w:t>
            </w:r>
          </w:p>
        </w:tc>
        <w:tc>
          <w:tcPr>
            <w:tcW w:w="1580" w:type="dxa"/>
            <w:vAlign w:val="bottom"/>
            <w:shd w:val="clear" w:color="auto" w:fill="E3F1DA"/>
          </w:tcPr>
          <w:p>
            <w:pPr>
              <w:jc w:val="right"/>
              <w:ind w:right="131"/>
              <w:spacing w:after="0" w:line="202" w:lineRule="exact"/>
              <w:rPr>
                <w:sz w:val="20"/>
                <w:szCs w:val="20"/>
                <w:color w:val="auto"/>
              </w:rPr>
            </w:pPr>
            <w:r>
              <w:rPr>
                <w:rFonts w:ascii="Arial" w:cs="Arial" w:eastAsia="Arial" w:hAnsi="Arial"/>
                <w:sz w:val="18"/>
                <w:szCs w:val="18"/>
                <w:color w:val="86B6A5"/>
              </w:rPr>
              <w:t>401.2</w:t>
            </w:r>
          </w:p>
        </w:tc>
        <w:tc>
          <w:tcPr>
            <w:tcW w:w="560" w:type="dxa"/>
            <w:vAlign w:val="bottom"/>
          </w:tcPr>
          <w:p>
            <w:pPr>
              <w:jc w:val="right"/>
              <w:ind w:right="370"/>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429.0</w:t>
            </w:r>
          </w:p>
        </w:tc>
      </w:tr>
      <w:tr>
        <w:trPr>
          <w:trHeight w:val="203"/>
        </w:trPr>
        <w:tc>
          <w:tcPr>
            <w:tcW w:w="20" w:type="dxa"/>
            <w:vAlign w:val="bottom"/>
          </w:tcPr>
          <w:p>
            <w:pPr>
              <w:spacing w:after="0"/>
              <w:rPr>
                <w:sz w:val="17"/>
                <w:szCs w:val="17"/>
                <w:color w:val="auto"/>
              </w:rPr>
            </w:pPr>
          </w:p>
        </w:tc>
        <w:tc>
          <w:tcPr>
            <w:tcW w:w="8020" w:type="dxa"/>
            <w:vAlign w:val="bottom"/>
          </w:tcPr>
          <w:p>
            <w:pPr>
              <w:ind w:left="260"/>
              <w:spacing w:after="0" w:line="202" w:lineRule="exact"/>
              <w:rPr>
                <w:sz w:val="20"/>
                <w:szCs w:val="20"/>
                <w:color w:val="auto"/>
              </w:rPr>
            </w:pPr>
            <w:r>
              <w:rPr>
                <w:rFonts w:ascii="Arial" w:cs="Arial" w:eastAsia="Arial" w:hAnsi="Arial"/>
                <w:sz w:val="18"/>
                <w:szCs w:val="18"/>
                <w:color w:val="auto"/>
              </w:rPr>
              <w:t>€200 due June 2013</w:t>
            </w:r>
          </w:p>
        </w:tc>
        <w:tc>
          <w:tcPr>
            <w:tcW w:w="120" w:type="dxa"/>
            <w:vAlign w:val="bottom"/>
            <w:shd w:val="clear" w:color="auto" w:fill="E3F1DA"/>
          </w:tcPr>
          <w:p>
            <w:pPr>
              <w:spacing w:after="0"/>
              <w:rPr>
                <w:sz w:val="17"/>
                <w:szCs w:val="17"/>
                <w:color w:val="auto"/>
              </w:rPr>
            </w:pPr>
          </w:p>
        </w:tc>
        <w:tc>
          <w:tcPr>
            <w:tcW w:w="1580" w:type="dxa"/>
            <w:vAlign w:val="bottom"/>
            <w:shd w:val="clear" w:color="auto" w:fill="E3F1DA"/>
          </w:tcPr>
          <w:p>
            <w:pPr>
              <w:jc w:val="right"/>
              <w:ind w:right="131"/>
              <w:spacing w:after="0" w:line="202" w:lineRule="exact"/>
              <w:rPr>
                <w:sz w:val="20"/>
                <w:szCs w:val="20"/>
                <w:color w:val="auto"/>
              </w:rPr>
            </w:pPr>
            <w:r>
              <w:rPr>
                <w:rFonts w:ascii="Arial" w:cs="Arial" w:eastAsia="Arial" w:hAnsi="Arial"/>
                <w:sz w:val="18"/>
                <w:szCs w:val="18"/>
                <w:color w:val="86B6A5"/>
              </w:rPr>
              <w:t>267.1</w:t>
            </w:r>
          </w:p>
        </w:tc>
        <w:tc>
          <w:tcPr>
            <w:tcW w:w="56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285.6</w:t>
            </w:r>
          </w:p>
        </w:tc>
      </w:tr>
      <w:tr>
        <w:trPr>
          <w:trHeight w:val="203"/>
        </w:trPr>
        <w:tc>
          <w:tcPr>
            <w:tcW w:w="8040" w:type="dxa"/>
            <w:vAlign w:val="bottom"/>
            <w:gridSpan w:val="2"/>
          </w:tcPr>
          <w:p>
            <w:pPr>
              <w:spacing w:after="0" w:line="203" w:lineRule="exact"/>
              <w:rPr>
                <w:sz w:val="20"/>
                <w:szCs w:val="20"/>
                <w:color w:val="auto"/>
              </w:rPr>
            </w:pPr>
            <w:r>
              <w:rPr>
                <w:rFonts w:ascii="Arial" w:cs="Arial" w:eastAsia="Arial" w:hAnsi="Arial"/>
                <w:sz w:val="18"/>
                <w:szCs w:val="18"/>
                <w:color w:val="auto"/>
              </w:rPr>
              <w:t>Other</w:t>
            </w:r>
          </w:p>
        </w:tc>
        <w:tc>
          <w:tcPr>
            <w:tcW w:w="120" w:type="dxa"/>
            <w:vAlign w:val="bottom"/>
            <w:shd w:val="clear" w:color="auto" w:fill="E3F1DA"/>
          </w:tcPr>
          <w:p>
            <w:pPr>
              <w:spacing w:after="0"/>
              <w:rPr>
                <w:sz w:val="17"/>
                <w:szCs w:val="17"/>
                <w:color w:val="auto"/>
              </w:rPr>
            </w:pPr>
          </w:p>
        </w:tc>
        <w:tc>
          <w:tcPr>
            <w:tcW w:w="1580" w:type="dxa"/>
            <w:vAlign w:val="bottom"/>
            <w:shd w:val="clear" w:color="auto" w:fill="E3F1DA"/>
          </w:tcPr>
          <w:p>
            <w:pPr>
              <w:jc w:val="right"/>
              <w:ind w:right="131"/>
              <w:spacing w:after="0" w:line="203" w:lineRule="exact"/>
              <w:rPr>
                <w:sz w:val="20"/>
                <w:szCs w:val="20"/>
                <w:color w:val="auto"/>
              </w:rPr>
            </w:pPr>
            <w:r>
              <w:rPr>
                <w:rFonts w:ascii="Arial" w:cs="Arial" w:eastAsia="Arial" w:hAnsi="Arial"/>
                <w:sz w:val="18"/>
                <w:szCs w:val="18"/>
                <w:color w:val="86B6A5"/>
              </w:rPr>
              <w:t>1.7</w:t>
            </w:r>
          </w:p>
        </w:tc>
        <w:tc>
          <w:tcPr>
            <w:tcW w:w="56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Arial" w:cs="Arial" w:eastAsia="Arial" w:hAnsi="Arial"/>
                <w:sz w:val="18"/>
                <w:szCs w:val="18"/>
                <w:color w:val="auto"/>
              </w:rPr>
              <w:t>1.4</w:t>
            </w:r>
          </w:p>
        </w:tc>
      </w:tr>
      <w:tr>
        <w:trPr>
          <w:trHeight w:val="196"/>
        </w:trPr>
        <w:tc>
          <w:tcPr>
            <w:tcW w:w="20" w:type="dxa"/>
            <w:vAlign w:val="bottom"/>
          </w:tcPr>
          <w:p>
            <w:pPr>
              <w:spacing w:after="0"/>
              <w:rPr>
                <w:sz w:val="17"/>
                <w:szCs w:val="17"/>
                <w:color w:val="auto"/>
              </w:rPr>
            </w:pPr>
          </w:p>
        </w:tc>
        <w:tc>
          <w:tcPr>
            <w:tcW w:w="8020" w:type="dxa"/>
            <w:vAlign w:val="bottom"/>
            <w:tcBorders>
              <w:top w:val="single" w:sz="8" w:color="939598"/>
              <w:bottom w:val="single" w:sz="8" w:color="939598"/>
            </w:tcBorders>
          </w:tcPr>
          <w:p>
            <w:pPr>
              <w:spacing w:after="0"/>
              <w:rPr>
                <w:sz w:val="17"/>
                <w:szCs w:val="17"/>
                <w:color w:val="auto"/>
              </w:rPr>
            </w:pPr>
          </w:p>
        </w:tc>
        <w:tc>
          <w:tcPr>
            <w:tcW w:w="120" w:type="dxa"/>
            <w:vAlign w:val="bottom"/>
            <w:tcBorders>
              <w:top w:val="single" w:sz="8" w:color="939598"/>
              <w:bottom w:val="single" w:sz="8" w:color="939598"/>
            </w:tcBorders>
            <w:shd w:val="clear" w:color="auto" w:fill="E3F1DA"/>
          </w:tcPr>
          <w:p>
            <w:pPr>
              <w:spacing w:after="0"/>
              <w:rPr>
                <w:sz w:val="17"/>
                <w:szCs w:val="17"/>
                <w:color w:val="auto"/>
              </w:rPr>
            </w:pPr>
          </w:p>
        </w:tc>
        <w:tc>
          <w:tcPr>
            <w:tcW w:w="1580" w:type="dxa"/>
            <w:vAlign w:val="bottom"/>
            <w:tcBorders>
              <w:top w:val="single" w:sz="8" w:color="939598"/>
              <w:bottom w:val="single" w:sz="8" w:color="939598"/>
            </w:tcBorders>
            <w:shd w:val="clear" w:color="auto" w:fill="E3F1DA"/>
          </w:tcPr>
          <w:p>
            <w:pPr>
              <w:jc w:val="right"/>
              <w:ind w:right="131"/>
              <w:spacing w:after="0" w:line="196" w:lineRule="exact"/>
              <w:rPr>
                <w:sz w:val="20"/>
                <w:szCs w:val="20"/>
                <w:color w:val="auto"/>
              </w:rPr>
            </w:pPr>
            <w:r>
              <w:rPr>
                <w:rFonts w:ascii="Arial" w:cs="Arial" w:eastAsia="Arial" w:hAnsi="Arial"/>
                <w:sz w:val="18"/>
                <w:szCs w:val="18"/>
                <w:color w:val="86B6A5"/>
              </w:rPr>
              <w:t>670.0</w:t>
            </w:r>
          </w:p>
        </w:tc>
        <w:tc>
          <w:tcPr>
            <w:tcW w:w="560" w:type="dxa"/>
            <w:vAlign w:val="bottom"/>
            <w:tcBorders>
              <w:top w:val="single" w:sz="8" w:color="939598"/>
              <w:bottom w:val="single" w:sz="8" w:color="939598"/>
            </w:tcBorders>
          </w:tcPr>
          <w:p>
            <w:pPr>
              <w:spacing w:after="0"/>
              <w:rPr>
                <w:sz w:val="17"/>
                <w:szCs w:val="17"/>
                <w:color w:val="auto"/>
              </w:rPr>
            </w:pPr>
          </w:p>
        </w:tc>
        <w:tc>
          <w:tcPr>
            <w:tcW w:w="900" w:type="dxa"/>
            <w:vAlign w:val="bottom"/>
            <w:tcBorders>
              <w:top w:val="single" w:sz="8" w:color="939598"/>
              <w:bottom w:val="single" w:sz="8" w:color="939598"/>
            </w:tcBorders>
          </w:tcPr>
          <w:p>
            <w:pPr>
              <w:jc w:val="right"/>
              <w:spacing w:after="0" w:line="196" w:lineRule="exact"/>
              <w:rPr>
                <w:sz w:val="20"/>
                <w:szCs w:val="20"/>
                <w:color w:val="auto"/>
              </w:rPr>
            </w:pPr>
            <w:r>
              <w:rPr>
                <w:rFonts w:ascii="Arial" w:cs="Arial" w:eastAsia="Arial" w:hAnsi="Arial"/>
                <w:sz w:val="18"/>
                <w:szCs w:val="18"/>
                <w:color w:val="auto"/>
              </w:rPr>
              <w:t>716.0</w:t>
            </w:r>
          </w:p>
        </w:tc>
      </w:tr>
      <w:tr>
        <w:trPr>
          <w:trHeight w:val="196"/>
        </w:trPr>
        <w:tc>
          <w:tcPr>
            <w:tcW w:w="20" w:type="dxa"/>
            <w:vAlign w:val="bottom"/>
            <w:tcBorders>
              <w:bottom w:val="single" w:sz="8" w:color="939598"/>
            </w:tcBorders>
          </w:tcPr>
          <w:p>
            <w:pPr>
              <w:spacing w:after="0"/>
              <w:rPr>
                <w:sz w:val="17"/>
                <w:szCs w:val="17"/>
                <w:color w:val="auto"/>
              </w:rPr>
            </w:pPr>
          </w:p>
        </w:tc>
        <w:tc>
          <w:tcPr>
            <w:tcW w:w="8020" w:type="dxa"/>
            <w:vAlign w:val="bottom"/>
            <w:tcBorders>
              <w:bottom w:val="single" w:sz="8" w:color="939598"/>
            </w:tcBorders>
          </w:tcPr>
          <w:p>
            <w:pPr>
              <w:spacing w:after="0" w:line="196" w:lineRule="exact"/>
              <w:rPr>
                <w:sz w:val="20"/>
                <w:szCs w:val="20"/>
                <w:color w:val="auto"/>
              </w:rPr>
            </w:pPr>
            <w:r>
              <w:rPr>
                <w:rFonts w:ascii="Arial" w:cs="Arial" w:eastAsia="Arial" w:hAnsi="Arial"/>
                <w:sz w:val="18"/>
                <w:szCs w:val="18"/>
                <w:color w:val="auto"/>
              </w:rPr>
              <w:t>Less – current maturities</w:t>
            </w:r>
          </w:p>
        </w:tc>
        <w:tc>
          <w:tcPr>
            <w:tcW w:w="120" w:type="dxa"/>
            <w:vAlign w:val="bottom"/>
            <w:tcBorders>
              <w:bottom w:val="single" w:sz="8" w:color="939598"/>
            </w:tcBorders>
            <w:shd w:val="clear" w:color="auto" w:fill="E3F1DA"/>
          </w:tcPr>
          <w:p>
            <w:pPr>
              <w:spacing w:after="0"/>
              <w:rPr>
                <w:sz w:val="17"/>
                <w:szCs w:val="17"/>
                <w:color w:val="auto"/>
              </w:rPr>
            </w:pPr>
          </w:p>
        </w:tc>
        <w:tc>
          <w:tcPr>
            <w:tcW w:w="1580" w:type="dxa"/>
            <w:vAlign w:val="bottom"/>
            <w:tcBorders>
              <w:bottom w:val="single" w:sz="8" w:color="939598"/>
            </w:tcBorders>
            <w:shd w:val="clear" w:color="auto" w:fill="E3F1DA"/>
          </w:tcPr>
          <w:p>
            <w:pPr>
              <w:jc w:val="right"/>
              <w:ind w:right="131"/>
              <w:spacing w:after="0" w:line="196" w:lineRule="exact"/>
              <w:rPr>
                <w:sz w:val="20"/>
                <w:szCs w:val="20"/>
                <w:color w:val="auto"/>
              </w:rPr>
            </w:pPr>
            <w:r>
              <w:rPr>
                <w:rFonts w:ascii="Arial" w:cs="Arial" w:eastAsia="Arial" w:hAnsi="Arial"/>
                <w:sz w:val="18"/>
                <w:szCs w:val="18"/>
                <w:color w:val="86B6A5"/>
              </w:rPr>
              <w:t>0.7</w:t>
            </w:r>
          </w:p>
        </w:tc>
        <w:tc>
          <w:tcPr>
            <w:tcW w:w="560" w:type="dxa"/>
            <w:vAlign w:val="bottom"/>
            <w:tcBorders>
              <w:bottom w:val="single" w:sz="8" w:color="939598"/>
            </w:tcBorders>
          </w:tcPr>
          <w:p>
            <w:pPr>
              <w:spacing w:after="0"/>
              <w:rPr>
                <w:sz w:val="17"/>
                <w:szCs w:val="17"/>
                <w:color w:val="auto"/>
              </w:rPr>
            </w:pPr>
          </w:p>
        </w:tc>
        <w:tc>
          <w:tcPr>
            <w:tcW w:w="900" w:type="dxa"/>
            <w:vAlign w:val="bottom"/>
            <w:tcBorders>
              <w:bottom w:val="single" w:sz="8" w:color="939598"/>
            </w:tcBorders>
          </w:tcPr>
          <w:p>
            <w:pPr>
              <w:jc w:val="right"/>
              <w:spacing w:after="0" w:line="196" w:lineRule="exact"/>
              <w:rPr>
                <w:sz w:val="20"/>
                <w:szCs w:val="20"/>
                <w:color w:val="auto"/>
              </w:rPr>
            </w:pPr>
            <w:r>
              <w:rPr>
                <w:rFonts w:ascii="Arial" w:cs="Arial" w:eastAsia="Arial" w:hAnsi="Arial"/>
                <w:sz w:val="18"/>
                <w:szCs w:val="18"/>
                <w:color w:val="auto"/>
              </w:rPr>
              <w:t>0.4</w:t>
            </w:r>
          </w:p>
        </w:tc>
      </w:tr>
      <w:tr>
        <w:trPr>
          <w:trHeight w:val="196"/>
        </w:trPr>
        <w:tc>
          <w:tcPr>
            <w:tcW w:w="8040" w:type="dxa"/>
            <w:vAlign w:val="bottom"/>
            <w:gridSpan w:val="2"/>
          </w:tcPr>
          <w:p>
            <w:pPr>
              <w:spacing w:after="0" w:line="196" w:lineRule="exact"/>
              <w:rPr>
                <w:sz w:val="20"/>
                <w:szCs w:val="20"/>
                <w:color w:val="auto"/>
              </w:rPr>
            </w:pPr>
            <w:r>
              <w:rPr>
                <w:rFonts w:ascii="Arial" w:cs="Arial" w:eastAsia="Arial" w:hAnsi="Arial"/>
                <w:sz w:val="18"/>
                <w:szCs w:val="18"/>
                <w:color w:val="auto"/>
              </w:rPr>
              <w:t>Long-term debt</w:t>
            </w:r>
          </w:p>
        </w:tc>
        <w:tc>
          <w:tcPr>
            <w:tcW w:w="120" w:type="dxa"/>
            <w:vAlign w:val="bottom"/>
            <w:shd w:val="clear" w:color="auto" w:fill="E3F1DA"/>
          </w:tcPr>
          <w:p>
            <w:pPr>
              <w:jc w:val="right"/>
              <w:spacing w:after="0" w:line="196" w:lineRule="exact"/>
              <w:rPr>
                <w:sz w:val="20"/>
                <w:szCs w:val="20"/>
                <w:color w:val="auto"/>
              </w:rPr>
            </w:pPr>
            <w:r>
              <w:rPr>
                <w:rFonts w:ascii="Arial" w:cs="Arial" w:eastAsia="Arial" w:hAnsi="Arial"/>
                <w:sz w:val="18"/>
                <w:szCs w:val="18"/>
                <w:color w:val="86B6A5"/>
                <w:w w:val="79"/>
              </w:rPr>
              <w:t>$</w:t>
            </w:r>
          </w:p>
        </w:tc>
        <w:tc>
          <w:tcPr>
            <w:tcW w:w="1580" w:type="dxa"/>
            <w:vAlign w:val="bottom"/>
            <w:shd w:val="clear" w:color="auto" w:fill="E3F1DA"/>
          </w:tcPr>
          <w:p>
            <w:pPr>
              <w:jc w:val="right"/>
              <w:ind w:right="131"/>
              <w:spacing w:after="0" w:line="196" w:lineRule="exact"/>
              <w:rPr>
                <w:sz w:val="20"/>
                <w:szCs w:val="20"/>
                <w:color w:val="auto"/>
              </w:rPr>
            </w:pPr>
            <w:r>
              <w:rPr>
                <w:rFonts w:ascii="Arial" w:cs="Arial" w:eastAsia="Arial" w:hAnsi="Arial"/>
                <w:sz w:val="18"/>
                <w:szCs w:val="18"/>
                <w:color w:val="86B6A5"/>
              </w:rPr>
              <w:t>669.3</w:t>
            </w:r>
          </w:p>
        </w:tc>
        <w:tc>
          <w:tcPr>
            <w:tcW w:w="560" w:type="dxa"/>
            <w:vAlign w:val="bottom"/>
          </w:tcPr>
          <w:p>
            <w:pPr>
              <w:jc w:val="right"/>
              <w:ind w:right="37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715.6</w:t>
            </w:r>
          </w:p>
        </w:tc>
      </w:tr>
      <w:tr>
        <w:trPr>
          <w:trHeight w:val="27"/>
        </w:trPr>
        <w:tc>
          <w:tcPr>
            <w:tcW w:w="20" w:type="dxa"/>
            <w:vAlign w:val="bottom"/>
          </w:tcPr>
          <w:p>
            <w:pPr>
              <w:spacing w:after="0"/>
              <w:rPr>
                <w:sz w:val="2"/>
                <w:szCs w:val="2"/>
                <w:color w:val="auto"/>
              </w:rPr>
            </w:pPr>
          </w:p>
        </w:tc>
        <w:tc>
          <w:tcPr>
            <w:tcW w:w="8020" w:type="dxa"/>
            <w:vAlign w:val="bottom"/>
            <w:shd w:val="clear" w:color="auto" w:fill="939598"/>
          </w:tcPr>
          <w:p>
            <w:pPr>
              <w:spacing w:after="0"/>
              <w:rPr>
                <w:sz w:val="2"/>
                <w:szCs w:val="2"/>
                <w:color w:val="auto"/>
              </w:rPr>
            </w:pPr>
          </w:p>
        </w:tc>
        <w:tc>
          <w:tcPr>
            <w:tcW w:w="120" w:type="dxa"/>
            <w:vAlign w:val="bottom"/>
            <w:shd w:val="clear" w:color="auto" w:fill="939598"/>
          </w:tcPr>
          <w:p>
            <w:pPr>
              <w:spacing w:after="0"/>
              <w:rPr>
                <w:sz w:val="2"/>
                <w:szCs w:val="2"/>
                <w:color w:val="auto"/>
              </w:rPr>
            </w:pPr>
          </w:p>
        </w:tc>
        <w:tc>
          <w:tcPr>
            <w:tcW w:w="1580" w:type="dxa"/>
            <w:vAlign w:val="bottom"/>
            <w:shd w:val="clear" w:color="auto" w:fill="939598"/>
          </w:tcPr>
          <w:p>
            <w:pPr>
              <w:spacing w:after="0"/>
              <w:rPr>
                <w:sz w:val="2"/>
                <w:szCs w:val="2"/>
                <w:color w:val="auto"/>
              </w:rPr>
            </w:pPr>
          </w:p>
        </w:tc>
        <w:tc>
          <w:tcPr>
            <w:tcW w:w="560" w:type="dxa"/>
            <w:vAlign w:val="bottom"/>
            <w:shd w:val="clear" w:color="auto" w:fill="939598"/>
          </w:tcPr>
          <w:p>
            <w:pPr>
              <w:spacing w:after="0"/>
              <w:rPr>
                <w:sz w:val="2"/>
                <w:szCs w:val="2"/>
                <w:color w:val="auto"/>
              </w:rPr>
            </w:pPr>
          </w:p>
        </w:tc>
        <w:tc>
          <w:tcPr>
            <w:tcW w:w="900" w:type="dxa"/>
            <w:vAlign w:val="bottom"/>
            <w:shd w:val="clear" w:color="auto" w:fill="939598"/>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color w:val="4D8ABE"/>
        </w:rPr>
        <w:t>EURO NOTES</w:t>
      </w:r>
    </w:p>
    <w:p>
      <w:pPr>
        <w:spacing w:after="0" w:line="238" w:lineRule="exact"/>
        <w:rPr>
          <w:sz w:val="20"/>
          <w:szCs w:val="20"/>
          <w:color w:val="auto"/>
        </w:rPr>
      </w:pPr>
    </w:p>
    <w:p>
      <w:pPr>
        <w:jc w:val="both"/>
        <w:spacing w:after="0"/>
        <w:rPr>
          <w:sz w:val="20"/>
          <w:szCs w:val="20"/>
          <w:color w:val="auto"/>
        </w:rPr>
      </w:pPr>
      <w:r>
        <w:rPr>
          <w:rFonts w:ascii="Arial" w:cs="Arial" w:eastAsia="Arial" w:hAnsi="Arial"/>
          <w:sz w:val="18"/>
          <w:szCs w:val="18"/>
          <w:color w:val="auto"/>
        </w:rPr>
        <w:t>Our €300.0 aggregate principal amount 4.50% notes are due June 1, 2012 (the “€300.0 Notes”). The € 300.0 Notes were issued at a price of 99.518% to yield an effective interest rate of 4.58% . The discount of €1.4 ($1.8) is being amortized to interest expense over the term of the notes. Interest is payable annually on June 1.</w:t>
      </w:r>
    </w:p>
    <w:p>
      <w:pPr>
        <w:spacing w:after="0" w:line="203" w:lineRule="exact"/>
        <w:rPr>
          <w:sz w:val="20"/>
          <w:szCs w:val="20"/>
          <w:color w:val="auto"/>
        </w:rPr>
      </w:pPr>
    </w:p>
    <w:p>
      <w:pPr>
        <w:jc w:val="both"/>
        <w:spacing w:after="0"/>
        <w:rPr>
          <w:sz w:val="20"/>
          <w:szCs w:val="20"/>
          <w:color w:val="auto"/>
        </w:rPr>
      </w:pPr>
      <w:r>
        <w:rPr>
          <w:rFonts w:ascii="Arial" w:cs="Arial" w:eastAsia="Arial" w:hAnsi="Arial"/>
          <w:sz w:val="18"/>
          <w:szCs w:val="18"/>
          <w:color w:val="auto"/>
        </w:rPr>
        <w:t>Our €200.0 aggregate principal amount 4.75% notes are due June 14, 2013 (the “€200.0 Notes”). The € 200.0 Notes were issued at a price of 99.349% to yield an effective interest rate of 4.862% . The discount of €1.3 ($1.6) is being amortized to interest expense over the term of the €200.0 Notes. Interest is payable annually on June 14.</w:t>
      </w:r>
    </w:p>
    <w:p>
      <w:pPr>
        <w:spacing w:after="0" w:line="203"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€300.0 Notes and €200.0 Notes are unsecured senior obligations and rank equally with all of our existing and future senior unsecured debt and other liabilities. We may redeem the €300.0 Notes or the €200.0 Notes, in whole but not in part, at our option at any time for a redemption price as defined in each agreement. These notes also contain certain customary non-financial restrictive covenants and events of default.</w:t>
      </w:r>
    </w:p>
    <w:p>
      <w:pPr>
        <w:spacing w:after="0" w:line="186"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939598"/>
        </w:rPr>
        <w:t xml:space="preserve">Notes to Consolidated Financial Statements </w:t>
      </w:r>
      <w:r>
        <w:rPr>
          <w:rFonts w:ascii="Arial" w:cs="Arial" w:eastAsia="Arial" w:hAnsi="Arial"/>
          <w:sz w:val="16"/>
          <w:szCs w:val="16"/>
          <w:color w:val="4D8ABE"/>
        </w:rPr>
        <w:t>Manpower 2010 Annual Report</w:t>
      </w:r>
      <w:r>
        <w:rPr>
          <w:rFonts w:ascii="Arial" w:cs="Arial" w:eastAsia="Arial" w:hAnsi="Arial"/>
          <w:sz w:val="16"/>
          <w:szCs w:val="16"/>
          <w:b w:val="1"/>
          <w:bCs w:val="1"/>
          <w:color w:val="939598"/>
        </w:rPr>
        <w:t xml:space="preserve"> </w:t>
      </w:r>
      <w:r>
        <w:rPr>
          <w:rFonts w:ascii="Arial" w:cs="Arial" w:eastAsia="Arial" w:hAnsi="Arial"/>
          <w:sz w:val="16"/>
          <w:szCs w:val="16"/>
          <w:b w:val="1"/>
          <w:bCs w:val="1"/>
          <w:color w:val="4D8ABE"/>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wp:posOffset>
            </wp:positionV>
            <wp:extent cx="7267575" cy="469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94" w:name="page95"/>
    <w:bookmarkEnd w:id="94"/>
    <w:p>
      <w:pPr>
        <w:spacing w:after="0"/>
        <w:rPr>
          <w:sz w:val="20"/>
          <w:szCs w:val="20"/>
          <w:color w:val="auto"/>
        </w:rPr>
      </w:pPr>
      <w:r>
        <w:rPr>
          <w:rFonts w:ascii="Arial" w:cs="Arial" w:eastAsia="Arial" w:hAnsi="Arial"/>
          <w:sz w:val="22"/>
          <w:szCs w:val="22"/>
          <w:color w:val="4D8ABE"/>
        </w:rPr>
        <w:t>Notes To Consolidated Financial Statements</w:t>
      </w:r>
    </w:p>
    <w:p>
      <w:pPr>
        <w:spacing w:after="0"/>
        <w:rPr>
          <w:sz w:val="20"/>
          <w:szCs w:val="20"/>
          <w:color w:val="auto"/>
        </w:rPr>
      </w:pPr>
      <w:r>
        <w:rPr>
          <w:rFonts w:ascii="Arial" w:cs="Arial" w:eastAsia="Arial" w:hAnsi="Arial"/>
          <w:sz w:val="18"/>
          <w:szCs w:val="18"/>
          <w:color w:val="4D8ABE"/>
        </w:rPr>
        <w:t>in millions, except share and per share data</w:t>
      </w:r>
    </w:p>
    <w:p>
      <w:pPr>
        <w:spacing w:after="0" w:line="212"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€300.0 Notes, €200.0 Notes and other Euro-denominated borrowings have been designated as a hedge of our net investment in subsidiaries with a Euro functional currency. Since our net investment in these subsidiaries exceeds the respective amount of the designated borrowings, all translation gains or losses related to these borrowings are included as a component of Accumulated Other Comprehensive Income (Loss).</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color w:val="4D8ABE"/>
        </w:rPr>
        <w:t>REVOLVING CREDIT AGREEMENT</w:t>
      </w:r>
    </w:p>
    <w:p>
      <w:pPr>
        <w:spacing w:after="0" w:line="23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We have a $400.0 revolving credit agreement with a syndicate of commercial banks that expires in November 2012. The revolving credit agreement allows for borrowings in various currencies, with up to $150.0 that may be used for the issuance of stand-by letters of credit. Outstanding letters of credit issued under the agreement totaled $2.2 and $8.6 as of December 31, 2010 and 2009, respectively. Additional borrowings of $397.8 were available to us under this revolving credit agreement as of December 31, 2010.</w:t>
      </w:r>
    </w:p>
    <w:p>
      <w:pPr>
        <w:spacing w:after="0" w:line="202"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On October 16, 2009, we amended our revolving credit agreement (“Revolving Credit Agreement”) to revise certain terms and financial covenants, including a reduction in the size of the facility from $625.0 to $400.0. The Revolving Credit Agreement requires that we comply with maximum Debt-to-EBITDA ratios, ranging from 3.25 to 1 to 6.00 to 1 beginning with the quarter ended September 30, 2009 through the quarter ending June 30, 2010, returning to a ratio of 3.25 to 1 for the quarter ending September 30, 2011 and each quarter thereafter. The Revolving Credit Agreement also requires that we comply with minimum Fixed Charge Coverage ratios of 1.25 to 1 beginning with the quarter ended December 31, gradually returning to a ratio of 2.00 to 1 for the quarter ending March 31, 2012 and each quarter thereafter.</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As defined in the Revolving Credit Agreement, we had a Debt-to-EBITDA ratio of 1.60 to 1 (compared to a maximum allowable ratio of 5.25 to</w:t>
      </w:r>
    </w:p>
    <w:p>
      <w:pPr>
        <w:ind w:firstLine="8"/>
        <w:spacing w:after="0" w:line="246" w:lineRule="auto"/>
        <w:tabs>
          <w:tab w:leader="none" w:pos="238" w:val="left"/>
        </w:tabs>
        <w:numPr>
          <w:ilvl w:val="0"/>
          <w:numId w:val="54"/>
        </w:numPr>
        <w:rPr>
          <w:rFonts w:ascii="Arial" w:cs="Arial" w:eastAsia="Arial" w:hAnsi="Arial"/>
          <w:sz w:val="18"/>
          <w:szCs w:val="18"/>
          <w:color w:val="auto"/>
        </w:rPr>
      </w:pPr>
      <w:r>
        <w:rPr>
          <w:rFonts w:ascii="Arial" w:cs="Arial" w:eastAsia="Arial" w:hAnsi="Arial"/>
          <w:sz w:val="18"/>
          <w:szCs w:val="18"/>
          <w:color w:val="auto"/>
        </w:rPr>
        <w:t>as of December 31, 2010 and a Fixed Charge Coverage ratio of 2.41 to 1 (compared to a minimum required ratio of 1.25 to 1) as of December 31, 2010.</w:t>
      </w:r>
    </w:p>
    <w:p>
      <w:pPr>
        <w:spacing w:after="0" w:line="197"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Under our Revolving Credit Agreement, we have a ratings-based pricing grid which determines the facility fee and the credit spread that we add to the applicable interbank borrowing rate on all borrowings. At our current credit ratings, the facility fee is 45 bps, and the credit spread is 255 bps. Any further downgrades from the credit agencies would unfavorably impact our facility fees and result in additional costs ranging from approximately $0.6 to $1.3 annually. As of December 31, 2010, the interest rate under the agreement was Libor plus 2.55% (for U.S. Dollar borrowings, or alternative base rate for foreign currency borrowings). We had no borrowings under this credit agreement as of December 31, 2010.</w:t>
      </w:r>
    </w:p>
    <w:p>
      <w:pPr>
        <w:spacing w:after="0" w:line="205" w:lineRule="exact"/>
        <w:rPr>
          <w:sz w:val="20"/>
          <w:szCs w:val="20"/>
          <w:color w:val="auto"/>
        </w:rPr>
      </w:pPr>
    </w:p>
    <w:p>
      <w:pPr>
        <w:jc w:val="both"/>
        <w:spacing w:after="0"/>
        <w:rPr>
          <w:sz w:val="20"/>
          <w:szCs w:val="20"/>
          <w:color w:val="auto"/>
        </w:rPr>
      </w:pPr>
      <w:r>
        <w:rPr>
          <w:rFonts w:ascii="Arial" w:cs="Arial" w:eastAsia="Arial" w:hAnsi="Arial"/>
          <w:sz w:val="18"/>
          <w:szCs w:val="18"/>
          <w:color w:val="auto"/>
        </w:rPr>
        <w:t>On October 16, 2009, we repaid the €100.0 ($146.4) borrowings outstanding under our revolving credit agreement, and terminated the related interest rate swap agreements. As a result, we incurred approximately $7.5 in fees classified as interest expense, which was recorded in the third quarter.</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b w:val="1"/>
          <w:bCs w:val="1"/>
          <w:color w:val="4D8ABE"/>
        </w:rPr>
        <w:t>DEBT MATURITIES</w:t>
      </w:r>
    </w:p>
    <w:p>
      <w:pPr>
        <w:spacing w:after="0" w:line="238"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The maturities of Long-term debt payable within each of the four years subsequent to December 31, 2011 are as follows: 2012 – $401.8, 2013 – $267.5, 2014 and 2015 – none.</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color w:val="4D8ABE"/>
        </w:rPr>
        <w:t xml:space="preserve">64 </w:t>
      </w:r>
      <w:r>
        <w:rPr>
          <w:rFonts w:ascii="Arial" w:cs="Arial" w:eastAsia="Arial" w:hAnsi="Arial"/>
          <w:sz w:val="16"/>
          <w:szCs w:val="16"/>
          <w:color w:val="4D8ABE"/>
        </w:rPr>
        <w:t>Manpower 2010 Annual Report</w:t>
      </w:r>
      <w:r>
        <w:rPr>
          <w:rFonts w:ascii="Arial" w:cs="Arial" w:eastAsia="Arial" w:hAnsi="Arial"/>
          <w:sz w:val="16"/>
          <w:szCs w:val="16"/>
          <w:b w:val="1"/>
          <w:bCs w:val="1"/>
          <w:color w:val="4D8ABE"/>
        </w:rPr>
        <w:t xml:space="preserve"> </w:t>
      </w:r>
      <w:r>
        <w:rPr>
          <w:rFonts w:ascii="Arial" w:cs="Arial" w:eastAsia="Arial" w:hAnsi="Arial"/>
          <w:sz w:val="16"/>
          <w:szCs w:val="16"/>
          <w:b w:val="1"/>
          <w:bCs w:val="1"/>
          <w:color w:val="939598"/>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wp:posOffset>
            </wp:positionV>
            <wp:extent cx="7267575" cy="469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ectPr>
          <w:pgSz w:w="11900" w:h="16838" w:orient="portrait"/>
          <w:cols w:equalWidth="0" w:num="1">
            <w:col w:w="11420"/>
          </w:cols>
          <w:pgMar w:left="240" w:top="345" w:right="239" w:bottom="1440" w:gutter="0" w:footer="0" w:header="0"/>
        </w:sectPr>
      </w:pPr>
    </w:p>
    <w:bookmarkStart w:id="95" w:name="page96"/>
    <w:bookmarkEnd w:id="95"/>
    <w:p>
      <w:pPr>
        <w:spacing w:after="0"/>
        <w:rPr>
          <w:sz w:val="20"/>
          <w:szCs w:val="20"/>
          <w:color w:val="auto"/>
        </w:rPr>
      </w:pPr>
      <w:r>
        <w:rPr>
          <w:rFonts w:ascii="Arial" w:cs="Arial" w:eastAsia="Arial" w:hAnsi="Arial"/>
          <w:sz w:val="24"/>
          <w:szCs w:val="24"/>
          <w:color w:val="86B6A5"/>
        </w:rPr>
        <w:t>08.</w:t>
      </w:r>
    </w:p>
    <w:p>
      <w:pPr>
        <w:spacing w:after="0" w:line="8" w:lineRule="exact"/>
        <w:rPr>
          <w:sz w:val="20"/>
          <w:szCs w:val="20"/>
          <w:color w:val="auto"/>
        </w:rPr>
      </w:pPr>
    </w:p>
    <w:p>
      <w:pPr>
        <w:spacing w:after="0"/>
        <w:rPr>
          <w:sz w:val="20"/>
          <w:szCs w:val="20"/>
          <w:color w:val="auto"/>
        </w:rPr>
      </w:pPr>
      <w:r>
        <w:rPr>
          <w:rFonts w:ascii="Arial" w:cs="Arial" w:eastAsia="Arial" w:hAnsi="Arial"/>
          <w:sz w:val="24"/>
          <w:szCs w:val="24"/>
          <w:color w:val="86B6A5"/>
        </w:rPr>
        <w:t>Retirement And Deferred Compensation Plans</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color w:val="4D8ABE"/>
        </w:rPr>
        <w:t>DEFINED BENEFIT PLANS</w:t>
      </w:r>
    </w:p>
    <w:p>
      <w:pPr>
        <w:spacing w:after="0" w:line="238"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We sponsor several qualified and nonqualified pension plans covering permanent employees. The reconciliation of the changes in the plans’ benefit obligations and the fair value of plan assets and the funded status of the plans are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5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6"/>
                <w:szCs w:val="16"/>
                <w:b w:val="1"/>
                <w:bCs w:val="1"/>
                <w:color w:val="86B6A5"/>
              </w:rPr>
              <w:t>U.S. Plans</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300" w:type="dxa"/>
            <w:vAlign w:val="bottom"/>
            <w:gridSpan w:val="4"/>
          </w:tcPr>
          <w:p>
            <w:pPr>
              <w:jc w:val="right"/>
              <w:ind w:right="20"/>
              <w:spacing w:after="0"/>
              <w:rPr>
                <w:sz w:val="20"/>
                <w:szCs w:val="20"/>
                <w:color w:val="auto"/>
              </w:rPr>
            </w:pPr>
            <w:r>
              <w:rPr>
                <w:rFonts w:ascii="Arial" w:cs="Arial" w:eastAsia="Arial" w:hAnsi="Arial"/>
                <w:sz w:val="16"/>
                <w:szCs w:val="16"/>
                <w:b w:val="1"/>
                <w:bCs w:val="1"/>
                <w:color w:val="86B6A5"/>
              </w:rPr>
              <w:t>Non-U.S. Plans</w:t>
            </w:r>
          </w:p>
        </w:tc>
      </w:tr>
      <w:tr>
        <w:trPr>
          <w:trHeight w:val="210"/>
        </w:trPr>
        <w:tc>
          <w:tcPr>
            <w:tcW w:w="20" w:type="dxa"/>
            <w:vAlign w:val="bottom"/>
          </w:tcPr>
          <w:p>
            <w:pPr>
              <w:spacing w:after="0"/>
              <w:rPr>
                <w:sz w:val="18"/>
                <w:szCs w:val="18"/>
                <w:color w:val="auto"/>
              </w:rPr>
            </w:pPr>
          </w:p>
        </w:tc>
        <w:tc>
          <w:tcPr>
            <w:tcW w:w="5560" w:type="dxa"/>
            <w:vAlign w:val="bottom"/>
            <w:tcBorders>
              <w:top w:val="single" w:sz="8" w:color="86B6A5"/>
              <w:bottom w:val="single" w:sz="8" w:color="86B6A5"/>
            </w:tcBorders>
          </w:tcPr>
          <w:p>
            <w:pPr>
              <w:spacing w:after="0"/>
              <w:rPr>
                <w:sz w:val="20"/>
                <w:szCs w:val="20"/>
                <w:color w:val="auto"/>
              </w:rPr>
            </w:pPr>
            <w:r>
              <w:rPr>
                <w:rFonts w:ascii="Arial" w:cs="Arial" w:eastAsia="Arial" w:hAnsi="Arial"/>
                <w:sz w:val="16"/>
                <w:szCs w:val="16"/>
                <w:b w:val="1"/>
                <w:bCs w:val="1"/>
                <w:color w:val="86B6A5"/>
              </w:rPr>
              <w:t>Year Ended December 31</w:t>
            </w:r>
          </w:p>
        </w:tc>
        <w:tc>
          <w:tcPr>
            <w:tcW w:w="120" w:type="dxa"/>
            <w:vAlign w:val="bottom"/>
            <w:tcBorders>
              <w:top w:val="single" w:sz="8" w:color="86B6A5"/>
              <w:bottom w:val="single" w:sz="8" w:color="86B6A5"/>
            </w:tcBorders>
            <w:shd w:val="clear" w:color="auto" w:fill="86B6A5"/>
          </w:tcPr>
          <w:p>
            <w:pPr>
              <w:spacing w:after="0"/>
              <w:rPr>
                <w:sz w:val="18"/>
                <w:szCs w:val="18"/>
                <w:color w:val="auto"/>
              </w:rPr>
            </w:pPr>
          </w:p>
        </w:tc>
        <w:tc>
          <w:tcPr>
            <w:tcW w:w="1260" w:type="dxa"/>
            <w:vAlign w:val="bottom"/>
            <w:tcBorders>
              <w:top w:val="single" w:sz="8" w:color="86B6A5"/>
              <w:bottom w:val="single" w:sz="8" w:color="86B6A5"/>
            </w:tcBorders>
            <w:shd w:val="clear" w:color="auto" w:fill="86B6A5"/>
          </w:tcPr>
          <w:p>
            <w:pPr>
              <w:jc w:val="right"/>
              <w:ind w:right="50"/>
              <w:spacing w:after="0"/>
              <w:rPr>
                <w:sz w:val="20"/>
                <w:szCs w:val="20"/>
                <w:color w:val="auto"/>
              </w:rPr>
            </w:pPr>
            <w:r>
              <w:rPr>
                <w:rFonts w:ascii="Arial" w:cs="Arial" w:eastAsia="Arial" w:hAnsi="Arial"/>
                <w:sz w:val="16"/>
                <w:szCs w:val="16"/>
                <w:b w:val="1"/>
                <w:bCs w:val="1"/>
                <w:color w:val="FFFFFF"/>
              </w:rPr>
              <w:t>2010</w:t>
            </w:r>
          </w:p>
        </w:tc>
        <w:tc>
          <w:tcPr>
            <w:tcW w:w="80" w:type="dxa"/>
            <w:vAlign w:val="bottom"/>
            <w:tcBorders>
              <w:top w:val="single" w:sz="8" w:color="86B6A5"/>
              <w:bottom w:val="single" w:sz="8" w:color="86B6A5"/>
            </w:tcBorders>
            <w:shd w:val="clear" w:color="auto" w:fill="86B6A5"/>
          </w:tcPr>
          <w:p>
            <w:pPr>
              <w:spacing w:after="0"/>
              <w:rPr>
                <w:sz w:val="18"/>
                <w:szCs w:val="18"/>
                <w:color w:val="auto"/>
              </w:rPr>
            </w:pPr>
          </w:p>
        </w:tc>
        <w:tc>
          <w:tcPr>
            <w:tcW w:w="280" w:type="dxa"/>
            <w:vAlign w:val="bottom"/>
            <w:tcBorders>
              <w:top w:val="single" w:sz="8" w:color="86B6A5"/>
              <w:bottom w:val="single" w:sz="8" w:color="86B6A5"/>
            </w:tcBorders>
          </w:tcPr>
          <w:p>
            <w:pPr>
              <w:spacing w:after="0"/>
              <w:rPr>
                <w:sz w:val="18"/>
                <w:szCs w:val="18"/>
                <w:color w:val="auto"/>
              </w:rPr>
            </w:pPr>
          </w:p>
        </w:tc>
        <w:tc>
          <w:tcPr>
            <w:tcW w:w="960" w:type="dxa"/>
            <w:vAlign w:val="bottom"/>
            <w:tcBorders>
              <w:top w:val="single" w:sz="8" w:color="86B6A5"/>
              <w:bottom w:val="single" w:sz="8" w:color="86B6A5"/>
            </w:tcBorders>
          </w:tcPr>
          <w:p>
            <w:pPr>
              <w:jc w:val="right"/>
              <w:spacing w:after="0"/>
              <w:rPr>
                <w:sz w:val="20"/>
                <w:szCs w:val="20"/>
                <w:color w:val="auto"/>
              </w:rPr>
            </w:pPr>
            <w:r>
              <w:rPr>
                <w:rFonts w:ascii="Arial" w:cs="Arial" w:eastAsia="Arial" w:hAnsi="Arial"/>
                <w:sz w:val="16"/>
                <w:szCs w:val="16"/>
                <w:b w:val="1"/>
                <w:bCs w:val="1"/>
                <w:color w:val="86B6A5"/>
              </w:rPr>
              <w:t>2009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86B6A5"/>
              <w:bottom w:val="single" w:sz="8" w:color="86B6A5"/>
            </w:tcBorders>
            <w:shd w:val="clear" w:color="auto" w:fill="86B6A5"/>
          </w:tcPr>
          <w:p>
            <w:pPr>
              <w:spacing w:after="0"/>
              <w:rPr>
                <w:sz w:val="18"/>
                <w:szCs w:val="18"/>
                <w:color w:val="auto"/>
              </w:rPr>
            </w:pPr>
          </w:p>
        </w:tc>
        <w:tc>
          <w:tcPr>
            <w:tcW w:w="1340" w:type="dxa"/>
            <w:vAlign w:val="bottom"/>
            <w:tcBorders>
              <w:top w:val="single" w:sz="8" w:color="86B6A5"/>
              <w:bottom w:val="single" w:sz="8" w:color="86B6A5"/>
            </w:tcBorders>
            <w:shd w:val="clear" w:color="auto" w:fill="86B6A5"/>
          </w:tcPr>
          <w:p>
            <w:pPr>
              <w:jc w:val="right"/>
              <w:ind w:right="130"/>
              <w:spacing w:after="0"/>
              <w:rPr>
                <w:sz w:val="20"/>
                <w:szCs w:val="20"/>
                <w:color w:val="auto"/>
              </w:rPr>
            </w:pPr>
            <w:r>
              <w:rPr>
                <w:rFonts w:ascii="Arial" w:cs="Arial" w:eastAsia="Arial" w:hAnsi="Arial"/>
                <w:sz w:val="16"/>
                <w:szCs w:val="16"/>
                <w:b w:val="1"/>
                <w:bCs w:val="1"/>
                <w:color w:val="FFFFFF"/>
              </w:rPr>
              <w:t>2010</w:t>
            </w:r>
          </w:p>
        </w:tc>
        <w:tc>
          <w:tcPr>
            <w:tcW w:w="440" w:type="dxa"/>
            <w:vAlign w:val="bottom"/>
            <w:tcBorders>
              <w:top w:val="single" w:sz="8" w:color="86B6A5"/>
              <w:bottom w:val="single" w:sz="8" w:color="86B6A5"/>
            </w:tcBorders>
          </w:tcPr>
          <w:p>
            <w:pPr>
              <w:spacing w:after="0"/>
              <w:rPr>
                <w:sz w:val="18"/>
                <w:szCs w:val="18"/>
                <w:color w:val="auto"/>
              </w:rPr>
            </w:pPr>
          </w:p>
        </w:tc>
        <w:tc>
          <w:tcPr>
            <w:tcW w:w="800" w:type="dxa"/>
            <w:vAlign w:val="bottom"/>
            <w:tcBorders>
              <w:top w:val="single" w:sz="8" w:color="86B6A5"/>
              <w:bottom w:val="single" w:sz="8" w:color="86B6A5"/>
            </w:tcBorders>
          </w:tcPr>
          <w:p>
            <w:pPr>
              <w:jc w:val="right"/>
              <w:spacing w:after="0"/>
              <w:rPr>
                <w:sz w:val="20"/>
                <w:szCs w:val="20"/>
                <w:color w:val="auto"/>
              </w:rPr>
            </w:pPr>
            <w:r>
              <w:rPr>
                <w:rFonts w:ascii="Arial" w:cs="Arial" w:eastAsia="Arial" w:hAnsi="Arial"/>
                <w:sz w:val="16"/>
                <w:szCs w:val="16"/>
                <w:b w:val="1"/>
                <w:bCs w:val="1"/>
                <w:color w:val="86B6A5"/>
              </w:rPr>
              <w:t>2009</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5560" w:type="dxa"/>
            <w:vAlign w:val="bottom"/>
          </w:tcPr>
          <w:p>
            <w:pPr>
              <w:spacing w:after="0" w:line="201" w:lineRule="exact"/>
              <w:rPr>
                <w:sz w:val="20"/>
                <w:szCs w:val="20"/>
                <w:color w:val="auto"/>
              </w:rPr>
            </w:pPr>
            <w:r>
              <w:rPr>
                <w:rFonts w:ascii="Arial" w:cs="Arial" w:eastAsia="Arial" w:hAnsi="Arial"/>
                <w:sz w:val="18"/>
                <w:szCs w:val="18"/>
                <w:b w:val="1"/>
                <w:bCs w:val="1"/>
                <w:color w:val="939598"/>
              </w:rPr>
              <w:t>Change in Benefit Obligation</w:t>
            </w:r>
          </w:p>
        </w:tc>
        <w:tc>
          <w:tcPr>
            <w:tcW w:w="120" w:type="dxa"/>
            <w:vAlign w:val="bottom"/>
            <w:shd w:val="clear" w:color="auto" w:fill="E3F1DA"/>
          </w:tcPr>
          <w:p>
            <w:pPr>
              <w:spacing w:after="0"/>
              <w:rPr>
                <w:sz w:val="17"/>
                <w:szCs w:val="17"/>
                <w:color w:val="auto"/>
              </w:rPr>
            </w:pPr>
          </w:p>
        </w:tc>
        <w:tc>
          <w:tcPr>
            <w:tcW w:w="1260" w:type="dxa"/>
            <w:vAlign w:val="bottom"/>
            <w:shd w:val="clear" w:color="auto" w:fill="E3F1DA"/>
          </w:tcPr>
          <w:p>
            <w:pPr>
              <w:spacing w:after="0"/>
              <w:rPr>
                <w:sz w:val="17"/>
                <w:szCs w:val="17"/>
                <w:color w:val="auto"/>
              </w:rPr>
            </w:pPr>
          </w:p>
        </w:tc>
        <w:tc>
          <w:tcPr>
            <w:tcW w:w="80" w:type="dxa"/>
            <w:vAlign w:val="bottom"/>
            <w:shd w:val="clear" w:color="auto" w:fill="E3F1DA"/>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shd w:val="clear" w:color="auto" w:fill="E3F1DA"/>
          </w:tcPr>
          <w:p>
            <w:pPr>
              <w:spacing w:after="0"/>
              <w:rPr>
                <w:sz w:val="17"/>
                <w:szCs w:val="17"/>
                <w:color w:val="auto"/>
              </w:rPr>
            </w:pPr>
          </w:p>
        </w:tc>
        <w:tc>
          <w:tcPr>
            <w:tcW w:w="1340" w:type="dxa"/>
            <w:vAlign w:val="bottom"/>
            <w:shd w:val="clear" w:color="auto" w:fill="E3F1DA"/>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3"/>
        </w:trPr>
        <w:tc>
          <w:tcPr>
            <w:tcW w:w="5580" w:type="dxa"/>
            <w:vAlign w:val="bottom"/>
            <w:gridSpan w:val="2"/>
          </w:tcPr>
          <w:p>
            <w:pPr>
              <w:spacing w:after="0" w:line="202" w:lineRule="exact"/>
              <w:rPr>
                <w:sz w:val="20"/>
                <w:szCs w:val="20"/>
                <w:color w:val="auto"/>
              </w:rPr>
            </w:pPr>
            <w:r>
              <w:rPr>
                <w:rFonts w:ascii="Arial" w:cs="Arial" w:eastAsia="Arial" w:hAnsi="Arial"/>
                <w:sz w:val="18"/>
                <w:szCs w:val="18"/>
                <w:color w:val="auto"/>
              </w:rPr>
              <w:t>Benefit obligation, beginning of year</w:t>
            </w:r>
          </w:p>
        </w:tc>
        <w:tc>
          <w:tcPr>
            <w:tcW w:w="120" w:type="dxa"/>
            <w:vAlign w:val="bottom"/>
            <w:shd w:val="clear" w:color="auto" w:fill="E3F1DA"/>
          </w:tcPr>
          <w:p>
            <w:pPr>
              <w:jc w:val="right"/>
              <w:spacing w:after="0" w:line="202" w:lineRule="exact"/>
              <w:rPr>
                <w:sz w:val="20"/>
                <w:szCs w:val="20"/>
                <w:color w:val="auto"/>
              </w:rPr>
            </w:pPr>
            <w:r>
              <w:rPr>
                <w:rFonts w:ascii="Arial" w:cs="Arial" w:eastAsia="Arial" w:hAnsi="Arial"/>
                <w:sz w:val="18"/>
                <w:szCs w:val="18"/>
                <w:color w:val="86B6A5"/>
                <w:w w:val="79"/>
              </w:rPr>
              <w:t>$</w:t>
            </w:r>
          </w:p>
        </w:tc>
        <w:tc>
          <w:tcPr>
            <w:tcW w:w="1260" w:type="dxa"/>
            <w:vAlign w:val="bottom"/>
            <w:shd w:val="clear" w:color="auto" w:fill="E3F1DA"/>
          </w:tcPr>
          <w:p>
            <w:pPr>
              <w:jc w:val="right"/>
              <w:ind w:right="50"/>
              <w:spacing w:after="0" w:line="202" w:lineRule="exact"/>
              <w:rPr>
                <w:sz w:val="20"/>
                <w:szCs w:val="20"/>
                <w:color w:val="auto"/>
              </w:rPr>
            </w:pPr>
            <w:r>
              <w:rPr>
                <w:rFonts w:ascii="Arial" w:cs="Arial" w:eastAsia="Arial" w:hAnsi="Arial"/>
                <w:sz w:val="18"/>
                <w:szCs w:val="18"/>
                <w:color w:val="86B6A5"/>
              </w:rPr>
              <w:t>51.7</w:t>
            </w:r>
          </w:p>
        </w:tc>
        <w:tc>
          <w:tcPr>
            <w:tcW w:w="80" w:type="dxa"/>
            <w:vAlign w:val="bottom"/>
            <w:shd w:val="clear" w:color="auto" w:fill="E3F1DA"/>
          </w:tcPr>
          <w:p>
            <w:pPr>
              <w:spacing w:after="0"/>
              <w:rPr>
                <w:sz w:val="17"/>
                <w:szCs w:val="17"/>
                <w:color w:val="auto"/>
              </w:rPr>
            </w:pPr>
          </w:p>
        </w:tc>
        <w:tc>
          <w:tcPr>
            <w:tcW w:w="280" w:type="dxa"/>
            <w:vAlign w:val="bottom"/>
          </w:tcPr>
          <w:p>
            <w:pPr>
              <w:jc w:val="right"/>
              <w:ind w:right="90"/>
              <w:spacing w:after="0" w:line="202" w:lineRule="exact"/>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49.3</w:t>
            </w:r>
          </w:p>
        </w:tc>
        <w:tc>
          <w:tcPr>
            <w:tcW w:w="80" w:type="dxa"/>
            <w:vAlign w:val="bottom"/>
          </w:tcPr>
          <w:p>
            <w:pPr>
              <w:spacing w:after="0"/>
              <w:rPr>
                <w:sz w:val="17"/>
                <w:szCs w:val="17"/>
                <w:color w:val="auto"/>
              </w:rPr>
            </w:pPr>
          </w:p>
        </w:tc>
        <w:tc>
          <w:tcPr>
            <w:tcW w:w="120" w:type="dxa"/>
            <w:vAlign w:val="bottom"/>
            <w:shd w:val="clear" w:color="auto" w:fill="E3F1DA"/>
          </w:tcPr>
          <w:p>
            <w:pPr>
              <w:jc w:val="right"/>
              <w:spacing w:after="0" w:line="202" w:lineRule="exact"/>
              <w:rPr>
                <w:sz w:val="20"/>
                <w:szCs w:val="20"/>
                <w:color w:val="auto"/>
              </w:rPr>
            </w:pPr>
            <w:r>
              <w:rPr>
                <w:rFonts w:ascii="Arial" w:cs="Arial" w:eastAsia="Arial" w:hAnsi="Arial"/>
                <w:sz w:val="18"/>
                <w:szCs w:val="18"/>
                <w:color w:val="86B6A5"/>
                <w:w w:val="79"/>
              </w:rPr>
              <w:t>$</w:t>
            </w:r>
          </w:p>
        </w:tc>
        <w:tc>
          <w:tcPr>
            <w:tcW w:w="1340" w:type="dxa"/>
            <w:vAlign w:val="bottom"/>
            <w:shd w:val="clear" w:color="auto" w:fill="E3F1DA"/>
          </w:tcPr>
          <w:p>
            <w:pPr>
              <w:jc w:val="right"/>
              <w:ind w:right="130"/>
              <w:spacing w:after="0" w:line="202" w:lineRule="exact"/>
              <w:rPr>
                <w:sz w:val="20"/>
                <w:szCs w:val="20"/>
                <w:color w:val="auto"/>
              </w:rPr>
            </w:pPr>
            <w:r>
              <w:rPr>
                <w:rFonts w:ascii="Arial" w:cs="Arial" w:eastAsia="Arial" w:hAnsi="Arial"/>
                <w:sz w:val="18"/>
                <w:szCs w:val="18"/>
                <w:color w:val="86B6A5"/>
              </w:rPr>
              <w:t>225.6</w:t>
            </w:r>
          </w:p>
        </w:tc>
        <w:tc>
          <w:tcPr>
            <w:tcW w:w="440" w:type="dxa"/>
            <w:vAlign w:val="bottom"/>
          </w:tcPr>
          <w:p>
            <w:pPr>
              <w:jc w:val="right"/>
              <w:ind w:right="251"/>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208.8</w:t>
            </w:r>
          </w:p>
        </w:tc>
        <w:tc>
          <w:tcPr>
            <w:tcW w:w="40" w:type="dxa"/>
            <w:vAlign w:val="bottom"/>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5560" w:type="dxa"/>
            <w:vAlign w:val="bottom"/>
          </w:tcPr>
          <w:p>
            <w:pPr>
              <w:ind w:left="260"/>
              <w:spacing w:after="0" w:line="201" w:lineRule="exact"/>
              <w:rPr>
                <w:sz w:val="20"/>
                <w:szCs w:val="20"/>
                <w:color w:val="auto"/>
              </w:rPr>
            </w:pPr>
            <w:r>
              <w:rPr>
                <w:rFonts w:ascii="Arial" w:cs="Arial" w:eastAsia="Arial" w:hAnsi="Arial"/>
                <w:sz w:val="18"/>
                <w:szCs w:val="18"/>
                <w:color w:val="auto"/>
              </w:rPr>
              <w:t>Service cost</w:t>
            </w:r>
          </w:p>
        </w:tc>
        <w:tc>
          <w:tcPr>
            <w:tcW w:w="120" w:type="dxa"/>
            <w:vAlign w:val="bottom"/>
            <w:shd w:val="clear" w:color="auto" w:fill="E3F1DA"/>
          </w:tcPr>
          <w:p>
            <w:pPr>
              <w:spacing w:after="0"/>
              <w:rPr>
                <w:sz w:val="17"/>
                <w:szCs w:val="17"/>
                <w:color w:val="auto"/>
              </w:rPr>
            </w:pPr>
          </w:p>
        </w:tc>
        <w:tc>
          <w:tcPr>
            <w:tcW w:w="1260" w:type="dxa"/>
            <w:vAlign w:val="bottom"/>
          </w:tcPr>
          <w:p>
            <w:pPr>
              <w:jc w:val="right"/>
              <w:ind w:right="50"/>
              <w:spacing w:after="0" w:line="201" w:lineRule="exact"/>
              <w:rPr>
                <w:sz w:val="20"/>
                <w:szCs w:val="20"/>
                <w:color w:val="auto"/>
              </w:rPr>
            </w:pPr>
            <w:r>
              <w:rPr>
                <w:rFonts w:ascii="Arial" w:cs="Arial" w:eastAsia="Arial" w:hAnsi="Arial"/>
                <w:sz w:val="18"/>
                <w:szCs w:val="18"/>
                <w:color w:val="86B6A5"/>
              </w:rPr>
              <w:t>–</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20" w:type="dxa"/>
            <w:vAlign w:val="bottom"/>
            <w:shd w:val="clear" w:color="auto" w:fill="E3F1DA"/>
          </w:tcPr>
          <w:p>
            <w:pPr>
              <w:spacing w:after="0"/>
              <w:rPr>
                <w:sz w:val="17"/>
                <w:szCs w:val="17"/>
                <w:color w:val="auto"/>
              </w:rPr>
            </w:pPr>
          </w:p>
        </w:tc>
        <w:tc>
          <w:tcPr>
            <w:tcW w:w="1340" w:type="dxa"/>
            <w:vAlign w:val="bottom"/>
          </w:tcPr>
          <w:p>
            <w:pPr>
              <w:jc w:val="right"/>
              <w:ind w:right="130"/>
              <w:spacing w:after="0" w:line="201" w:lineRule="exact"/>
              <w:rPr>
                <w:sz w:val="20"/>
                <w:szCs w:val="20"/>
                <w:color w:val="auto"/>
              </w:rPr>
            </w:pPr>
            <w:r>
              <w:rPr>
                <w:rFonts w:ascii="Arial" w:cs="Arial" w:eastAsia="Arial" w:hAnsi="Arial"/>
                <w:sz w:val="18"/>
                <w:szCs w:val="18"/>
                <w:color w:val="86B6A5"/>
              </w:rPr>
              <w:t>8.6</w:t>
            </w:r>
          </w:p>
        </w:tc>
        <w:tc>
          <w:tcPr>
            <w:tcW w:w="440" w:type="dxa"/>
            <w:vAlign w:val="bottom"/>
          </w:tcPr>
          <w:p>
            <w:pPr>
              <w:spacing w:after="0"/>
              <w:rPr>
                <w:sz w:val="17"/>
                <w:szCs w:val="17"/>
                <w:color w:val="auto"/>
              </w:rPr>
            </w:pPr>
          </w:p>
        </w:tc>
        <w:tc>
          <w:tcPr>
            <w:tcW w:w="800" w:type="dxa"/>
            <w:vAlign w:val="bottom"/>
          </w:tcPr>
          <w:p>
            <w:pPr>
              <w:jc w:val="right"/>
              <w:spacing w:after="0" w:line="201" w:lineRule="exact"/>
              <w:rPr>
                <w:sz w:val="20"/>
                <w:szCs w:val="20"/>
                <w:color w:val="auto"/>
              </w:rPr>
            </w:pPr>
            <w:r>
              <w:rPr>
                <w:rFonts w:ascii="Arial" w:cs="Arial" w:eastAsia="Arial" w:hAnsi="Arial"/>
                <w:sz w:val="18"/>
                <w:szCs w:val="18"/>
                <w:color w:val="auto"/>
              </w:rPr>
              <w:t>11.1</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560" w:type="dxa"/>
            <w:vAlign w:val="bottom"/>
          </w:tcPr>
          <w:p>
            <w:pPr>
              <w:ind w:left="260"/>
              <w:spacing w:after="0" w:line="202" w:lineRule="exact"/>
              <w:rPr>
                <w:sz w:val="20"/>
                <w:szCs w:val="20"/>
                <w:color w:val="auto"/>
              </w:rPr>
            </w:pPr>
            <w:r>
              <w:rPr>
                <w:rFonts w:ascii="Arial" w:cs="Arial" w:eastAsia="Arial" w:hAnsi="Arial"/>
                <w:sz w:val="18"/>
                <w:szCs w:val="18"/>
                <w:color w:val="auto"/>
              </w:rPr>
              <w:t>Interest cost</w:t>
            </w:r>
          </w:p>
        </w:tc>
        <w:tc>
          <w:tcPr>
            <w:tcW w:w="120" w:type="dxa"/>
            <w:vAlign w:val="bottom"/>
            <w:shd w:val="clear" w:color="auto" w:fill="E3F1DA"/>
          </w:tcPr>
          <w:p>
            <w:pPr>
              <w:spacing w:after="0"/>
              <w:rPr>
                <w:sz w:val="17"/>
                <w:szCs w:val="17"/>
                <w:color w:val="auto"/>
              </w:rPr>
            </w:pPr>
          </w:p>
        </w:tc>
        <w:tc>
          <w:tcPr>
            <w:tcW w:w="1260" w:type="dxa"/>
            <w:vAlign w:val="bottom"/>
          </w:tcPr>
          <w:p>
            <w:pPr>
              <w:jc w:val="right"/>
              <w:ind w:right="50"/>
              <w:spacing w:after="0" w:line="202" w:lineRule="exact"/>
              <w:rPr>
                <w:sz w:val="20"/>
                <w:szCs w:val="20"/>
                <w:color w:val="auto"/>
              </w:rPr>
            </w:pPr>
            <w:r>
              <w:rPr>
                <w:rFonts w:ascii="Arial" w:cs="Arial" w:eastAsia="Arial" w:hAnsi="Arial"/>
                <w:sz w:val="18"/>
                <w:szCs w:val="18"/>
                <w:color w:val="86B6A5"/>
              </w:rPr>
              <w:t>2.8</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3.0</w:t>
            </w:r>
          </w:p>
        </w:tc>
        <w:tc>
          <w:tcPr>
            <w:tcW w:w="80" w:type="dxa"/>
            <w:vAlign w:val="bottom"/>
          </w:tcPr>
          <w:p>
            <w:pPr>
              <w:spacing w:after="0"/>
              <w:rPr>
                <w:sz w:val="17"/>
                <w:szCs w:val="17"/>
                <w:color w:val="auto"/>
              </w:rPr>
            </w:pPr>
          </w:p>
        </w:tc>
        <w:tc>
          <w:tcPr>
            <w:tcW w:w="120" w:type="dxa"/>
            <w:vAlign w:val="bottom"/>
            <w:shd w:val="clear" w:color="auto" w:fill="E3F1DA"/>
          </w:tcPr>
          <w:p>
            <w:pPr>
              <w:spacing w:after="0"/>
              <w:rPr>
                <w:sz w:val="17"/>
                <w:szCs w:val="17"/>
                <w:color w:val="auto"/>
              </w:rPr>
            </w:pPr>
          </w:p>
        </w:tc>
        <w:tc>
          <w:tcPr>
            <w:tcW w:w="1340" w:type="dxa"/>
            <w:vAlign w:val="bottom"/>
          </w:tcPr>
          <w:p>
            <w:pPr>
              <w:jc w:val="right"/>
              <w:ind w:right="130"/>
              <w:spacing w:after="0" w:line="202" w:lineRule="exact"/>
              <w:rPr>
                <w:sz w:val="20"/>
                <w:szCs w:val="20"/>
                <w:color w:val="auto"/>
              </w:rPr>
            </w:pPr>
            <w:r>
              <w:rPr>
                <w:rFonts w:ascii="Arial" w:cs="Arial" w:eastAsia="Arial" w:hAnsi="Arial"/>
                <w:sz w:val="18"/>
                <w:szCs w:val="18"/>
                <w:color w:val="86B6A5"/>
              </w:rPr>
              <w:t>11.7</w:t>
            </w:r>
          </w:p>
        </w:tc>
        <w:tc>
          <w:tcPr>
            <w:tcW w:w="44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11.1</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560" w:type="dxa"/>
            <w:vAlign w:val="bottom"/>
          </w:tcPr>
          <w:p>
            <w:pPr>
              <w:ind w:left="260"/>
              <w:spacing w:after="0" w:line="202" w:lineRule="exact"/>
              <w:rPr>
                <w:sz w:val="20"/>
                <w:szCs w:val="20"/>
                <w:color w:val="auto"/>
              </w:rPr>
            </w:pPr>
            <w:r>
              <w:rPr>
                <w:rFonts w:ascii="Arial" w:cs="Arial" w:eastAsia="Arial" w:hAnsi="Arial"/>
                <w:sz w:val="18"/>
                <w:szCs w:val="18"/>
                <w:color w:val="auto"/>
              </w:rPr>
              <w:t>Plan amendments</w:t>
            </w:r>
          </w:p>
        </w:tc>
        <w:tc>
          <w:tcPr>
            <w:tcW w:w="120" w:type="dxa"/>
            <w:vAlign w:val="bottom"/>
            <w:shd w:val="clear" w:color="auto" w:fill="E3F1DA"/>
          </w:tcPr>
          <w:p>
            <w:pPr>
              <w:spacing w:after="0"/>
              <w:rPr>
                <w:sz w:val="17"/>
                <w:szCs w:val="17"/>
                <w:color w:val="auto"/>
              </w:rPr>
            </w:pPr>
          </w:p>
        </w:tc>
        <w:tc>
          <w:tcPr>
            <w:tcW w:w="1260" w:type="dxa"/>
            <w:vAlign w:val="bottom"/>
          </w:tcPr>
          <w:p>
            <w:pPr>
              <w:jc w:val="right"/>
              <w:ind w:right="50"/>
              <w:spacing w:after="0" w:line="202" w:lineRule="exact"/>
              <w:rPr>
                <w:sz w:val="20"/>
                <w:szCs w:val="20"/>
                <w:color w:val="auto"/>
              </w:rPr>
            </w:pPr>
            <w:r>
              <w:rPr>
                <w:rFonts w:ascii="Arial" w:cs="Arial" w:eastAsia="Arial" w:hAnsi="Arial"/>
                <w:sz w:val="18"/>
                <w:szCs w:val="18"/>
                <w:color w:val="86B6A5"/>
              </w:rPr>
              <w:t>–</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20" w:type="dxa"/>
            <w:vAlign w:val="bottom"/>
            <w:shd w:val="clear" w:color="auto" w:fill="E3F1DA"/>
          </w:tcPr>
          <w:p>
            <w:pPr>
              <w:spacing w:after="0"/>
              <w:rPr>
                <w:sz w:val="17"/>
                <w:szCs w:val="17"/>
                <w:color w:val="auto"/>
              </w:rPr>
            </w:pPr>
          </w:p>
        </w:tc>
        <w:tc>
          <w:tcPr>
            <w:tcW w:w="1340" w:type="dxa"/>
            <w:vAlign w:val="bottom"/>
          </w:tcPr>
          <w:p>
            <w:pPr>
              <w:jc w:val="right"/>
              <w:ind w:right="130"/>
              <w:spacing w:after="0" w:line="202" w:lineRule="exact"/>
              <w:rPr>
                <w:sz w:val="20"/>
                <w:szCs w:val="20"/>
                <w:color w:val="auto"/>
              </w:rPr>
            </w:pPr>
            <w:r>
              <w:rPr>
                <w:rFonts w:ascii="Arial" w:cs="Arial" w:eastAsia="Arial" w:hAnsi="Arial"/>
                <w:sz w:val="18"/>
                <w:szCs w:val="18"/>
                <w:color w:val="86B6A5"/>
              </w:rPr>
              <w:t>–</w:t>
            </w:r>
          </w:p>
        </w:tc>
        <w:tc>
          <w:tcPr>
            <w:tcW w:w="440" w:type="dxa"/>
            <w:vAlign w:val="bottom"/>
          </w:tcPr>
          <w:p>
            <w:pPr>
              <w:spacing w:after="0"/>
              <w:rPr>
                <w:sz w:val="17"/>
                <w:szCs w:val="17"/>
                <w:color w:val="auto"/>
              </w:rPr>
            </w:pPr>
          </w:p>
        </w:tc>
        <w:tc>
          <w:tcPr>
            <w:tcW w:w="86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(1.4)</w:t>
            </w:r>
          </w:p>
        </w:tc>
      </w:tr>
      <w:tr>
        <w:trPr>
          <w:trHeight w:val="203"/>
        </w:trPr>
        <w:tc>
          <w:tcPr>
            <w:tcW w:w="20" w:type="dxa"/>
            <w:vAlign w:val="bottom"/>
          </w:tcPr>
          <w:p>
            <w:pPr>
              <w:spacing w:after="0"/>
              <w:rPr>
                <w:sz w:val="17"/>
                <w:szCs w:val="17"/>
                <w:color w:val="auto"/>
              </w:rPr>
            </w:pPr>
          </w:p>
        </w:tc>
        <w:tc>
          <w:tcPr>
            <w:tcW w:w="5560" w:type="dxa"/>
            <w:vAlign w:val="bottom"/>
          </w:tcPr>
          <w:p>
            <w:pPr>
              <w:ind w:left="260"/>
              <w:spacing w:after="0" w:line="202" w:lineRule="exact"/>
              <w:rPr>
                <w:sz w:val="20"/>
                <w:szCs w:val="20"/>
                <w:color w:val="auto"/>
              </w:rPr>
            </w:pPr>
            <w:r>
              <w:rPr>
                <w:rFonts w:ascii="Arial" w:cs="Arial" w:eastAsia="Arial" w:hAnsi="Arial"/>
                <w:sz w:val="18"/>
                <w:szCs w:val="18"/>
                <w:color w:val="auto"/>
              </w:rPr>
              <w:t>Curtailments</w:t>
            </w:r>
          </w:p>
        </w:tc>
        <w:tc>
          <w:tcPr>
            <w:tcW w:w="120" w:type="dxa"/>
            <w:vAlign w:val="bottom"/>
            <w:shd w:val="clear" w:color="auto" w:fill="E3F1DA"/>
          </w:tcPr>
          <w:p>
            <w:pPr>
              <w:spacing w:after="0"/>
              <w:rPr>
                <w:sz w:val="17"/>
                <w:szCs w:val="17"/>
                <w:color w:val="auto"/>
              </w:rPr>
            </w:pPr>
          </w:p>
        </w:tc>
        <w:tc>
          <w:tcPr>
            <w:tcW w:w="1260" w:type="dxa"/>
            <w:vAlign w:val="bottom"/>
          </w:tcPr>
          <w:p>
            <w:pPr>
              <w:jc w:val="right"/>
              <w:ind w:right="50"/>
              <w:spacing w:after="0" w:line="202" w:lineRule="exact"/>
              <w:rPr>
                <w:sz w:val="20"/>
                <w:szCs w:val="20"/>
                <w:color w:val="auto"/>
              </w:rPr>
            </w:pPr>
            <w:r>
              <w:rPr>
                <w:rFonts w:ascii="Arial" w:cs="Arial" w:eastAsia="Arial" w:hAnsi="Arial"/>
                <w:sz w:val="18"/>
                <w:szCs w:val="18"/>
                <w:color w:val="86B6A5"/>
              </w:rPr>
              <w:t>–</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20" w:type="dxa"/>
            <w:vAlign w:val="bottom"/>
            <w:shd w:val="clear" w:color="auto" w:fill="E3F1DA"/>
          </w:tcPr>
          <w:p>
            <w:pPr>
              <w:spacing w:after="0"/>
              <w:rPr>
                <w:sz w:val="17"/>
                <w:szCs w:val="17"/>
                <w:color w:val="auto"/>
              </w:rPr>
            </w:pPr>
          </w:p>
        </w:tc>
        <w:tc>
          <w:tcPr>
            <w:tcW w:w="1340" w:type="dxa"/>
            <w:vAlign w:val="bottom"/>
          </w:tcPr>
          <w:p>
            <w:pPr>
              <w:jc w:val="right"/>
              <w:ind w:right="130"/>
              <w:spacing w:after="0" w:line="202" w:lineRule="exact"/>
              <w:rPr>
                <w:sz w:val="20"/>
                <w:szCs w:val="20"/>
                <w:color w:val="auto"/>
              </w:rPr>
            </w:pPr>
            <w:r>
              <w:rPr>
                <w:rFonts w:ascii="Arial" w:cs="Arial" w:eastAsia="Arial" w:hAnsi="Arial"/>
                <w:sz w:val="18"/>
                <w:szCs w:val="18"/>
                <w:color w:val="86B6A5"/>
              </w:rPr>
              <w:t>–</w:t>
            </w:r>
          </w:p>
        </w:tc>
        <w:tc>
          <w:tcPr>
            <w:tcW w:w="440" w:type="dxa"/>
            <w:vAlign w:val="bottom"/>
          </w:tcPr>
          <w:p>
            <w:pPr>
              <w:spacing w:after="0"/>
              <w:rPr>
                <w:sz w:val="17"/>
                <w:szCs w:val="17"/>
                <w:color w:val="auto"/>
              </w:rPr>
            </w:pPr>
          </w:p>
        </w:tc>
        <w:tc>
          <w:tcPr>
            <w:tcW w:w="86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(19.4)</w:t>
            </w:r>
          </w:p>
        </w:tc>
      </w:tr>
      <w:tr>
        <w:trPr>
          <w:trHeight w:val="203"/>
        </w:trPr>
        <w:tc>
          <w:tcPr>
            <w:tcW w:w="20" w:type="dxa"/>
            <w:vAlign w:val="bottom"/>
          </w:tcPr>
          <w:p>
            <w:pPr>
              <w:spacing w:after="0"/>
              <w:rPr>
                <w:sz w:val="17"/>
                <w:szCs w:val="17"/>
                <w:color w:val="auto"/>
              </w:rPr>
            </w:pPr>
          </w:p>
        </w:tc>
        <w:tc>
          <w:tcPr>
            <w:tcW w:w="5560" w:type="dxa"/>
            <w:vAlign w:val="bottom"/>
          </w:tcPr>
          <w:p>
            <w:pPr>
              <w:ind w:left="260"/>
              <w:spacing w:after="0" w:line="202" w:lineRule="exact"/>
              <w:rPr>
                <w:sz w:val="20"/>
                <w:szCs w:val="20"/>
                <w:color w:val="auto"/>
              </w:rPr>
            </w:pPr>
            <w:r>
              <w:rPr>
                <w:rFonts w:ascii="Arial" w:cs="Arial" w:eastAsia="Arial" w:hAnsi="Arial"/>
                <w:sz w:val="18"/>
                <w:szCs w:val="18"/>
                <w:color w:val="auto"/>
              </w:rPr>
              <w:t>Transfers</w:t>
            </w:r>
          </w:p>
        </w:tc>
        <w:tc>
          <w:tcPr>
            <w:tcW w:w="120" w:type="dxa"/>
            <w:vAlign w:val="bottom"/>
            <w:shd w:val="clear" w:color="auto" w:fill="E3F1DA"/>
          </w:tcPr>
          <w:p>
            <w:pPr>
              <w:spacing w:after="0"/>
              <w:rPr>
                <w:sz w:val="17"/>
                <w:szCs w:val="17"/>
                <w:color w:val="auto"/>
              </w:rPr>
            </w:pPr>
          </w:p>
        </w:tc>
        <w:tc>
          <w:tcPr>
            <w:tcW w:w="1260" w:type="dxa"/>
            <w:vAlign w:val="bottom"/>
          </w:tcPr>
          <w:p>
            <w:pPr>
              <w:jc w:val="right"/>
              <w:ind w:right="50"/>
              <w:spacing w:after="0" w:line="202" w:lineRule="exact"/>
              <w:rPr>
                <w:sz w:val="20"/>
                <w:szCs w:val="20"/>
                <w:color w:val="auto"/>
              </w:rPr>
            </w:pPr>
            <w:r>
              <w:rPr>
                <w:rFonts w:ascii="Arial" w:cs="Arial" w:eastAsia="Arial" w:hAnsi="Arial"/>
                <w:sz w:val="18"/>
                <w:szCs w:val="18"/>
                <w:color w:val="86B6A5"/>
              </w:rPr>
              <w:t>–</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20" w:type="dxa"/>
            <w:vAlign w:val="bottom"/>
            <w:shd w:val="clear" w:color="auto" w:fill="E3F1DA"/>
          </w:tcPr>
          <w:p>
            <w:pPr>
              <w:spacing w:after="0"/>
              <w:rPr>
                <w:sz w:val="17"/>
                <w:szCs w:val="17"/>
                <w:color w:val="auto"/>
              </w:rPr>
            </w:pPr>
          </w:p>
        </w:tc>
        <w:tc>
          <w:tcPr>
            <w:tcW w:w="1340" w:type="dxa"/>
            <w:vAlign w:val="bottom"/>
          </w:tcPr>
          <w:p>
            <w:pPr>
              <w:jc w:val="right"/>
              <w:ind w:right="70"/>
              <w:spacing w:after="0" w:line="202" w:lineRule="exact"/>
              <w:rPr>
                <w:sz w:val="20"/>
                <w:szCs w:val="20"/>
                <w:color w:val="auto"/>
              </w:rPr>
            </w:pPr>
            <w:r>
              <w:rPr>
                <w:rFonts w:ascii="Arial" w:cs="Arial" w:eastAsia="Arial" w:hAnsi="Arial"/>
                <w:sz w:val="18"/>
                <w:szCs w:val="18"/>
                <w:color w:val="86B6A5"/>
              </w:rPr>
              <w:t>(0.4)</w:t>
            </w:r>
          </w:p>
        </w:tc>
        <w:tc>
          <w:tcPr>
            <w:tcW w:w="440" w:type="dxa"/>
            <w:vAlign w:val="bottom"/>
          </w:tcPr>
          <w:p>
            <w:pPr>
              <w:spacing w:after="0"/>
              <w:rPr>
                <w:sz w:val="17"/>
                <w:szCs w:val="17"/>
                <w:color w:val="auto"/>
              </w:rPr>
            </w:pPr>
          </w:p>
        </w:tc>
        <w:tc>
          <w:tcPr>
            <w:tcW w:w="86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(0.4)</w:t>
            </w:r>
          </w:p>
        </w:tc>
      </w:tr>
      <w:tr>
        <w:trPr>
          <w:trHeight w:val="203"/>
        </w:trPr>
        <w:tc>
          <w:tcPr>
            <w:tcW w:w="20" w:type="dxa"/>
            <w:vAlign w:val="bottom"/>
          </w:tcPr>
          <w:p>
            <w:pPr>
              <w:spacing w:after="0"/>
              <w:rPr>
                <w:sz w:val="17"/>
                <w:szCs w:val="17"/>
                <w:color w:val="auto"/>
              </w:rPr>
            </w:pPr>
          </w:p>
        </w:tc>
        <w:tc>
          <w:tcPr>
            <w:tcW w:w="5560" w:type="dxa"/>
            <w:vAlign w:val="bottom"/>
          </w:tcPr>
          <w:p>
            <w:pPr>
              <w:ind w:left="260"/>
              <w:spacing w:after="0" w:line="202" w:lineRule="exact"/>
              <w:rPr>
                <w:sz w:val="20"/>
                <w:szCs w:val="20"/>
                <w:color w:val="auto"/>
              </w:rPr>
            </w:pPr>
            <w:r>
              <w:rPr>
                <w:rFonts w:ascii="Arial" w:cs="Arial" w:eastAsia="Arial" w:hAnsi="Arial"/>
                <w:sz w:val="18"/>
                <w:szCs w:val="18"/>
                <w:color w:val="auto"/>
              </w:rPr>
              <w:t>Actuarial loss</w:t>
            </w:r>
          </w:p>
        </w:tc>
        <w:tc>
          <w:tcPr>
            <w:tcW w:w="120" w:type="dxa"/>
            <w:vAlign w:val="bottom"/>
            <w:shd w:val="clear" w:color="auto" w:fill="E3F1DA"/>
          </w:tcPr>
          <w:p>
            <w:pPr>
              <w:spacing w:after="0"/>
              <w:rPr>
                <w:sz w:val="17"/>
                <w:szCs w:val="17"/>
                <w:color w:val="auto"/>
              </w:rPr>
            </w:pPr>
          </w:p>
        </w:tc>
        <w:tc>
          <w:tcPr>
            <w:tcW w:w="1260" w:type="dxa"/>
            <w:vAlign w:val="bottom"/>
          </w:tcPr>
          <w:p>
            <w:pPr>
              <w:jc w:val="right"/>
              <w:ind w:right="50"/>
              <w:spacing w:after="0" w:line="202" w:lineRule="exact"/>
              <w:rPr>
                <w:sz w:val="20"/>
                <w:szCs w:val="20"/>
                <w:color w:val="auto"/>
              </w:rPr>
            </w:pPr>
            <w:r>
              <w:rPr>
                <w:rFonts w:ascii="Arial" w:cs="Arial" w:eastAsia="Arial" w:hAnsi="Arial"/>
                <w:sz w:val="18"/>
                <w:szCs w:val="18"/>
                <w:color w:val="86B6A5"/>
              </w:rPr>
              <w:t>5.7</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3.7</w:t>
            </w:r>
          </w:p>
        </w:tc>
        <w:tc>
          <w:tcPr>
            <w:tcW w:w="80" w:type="dxa"/>
            <w:vAlign w:val="bottom"/>
          </w:tcPr>
          <w:p>
            <w:pPr>
              <w:spacing w:after="0"/>
              <w:rPr>
                <w:sz w:val="17"/>
                <w:szCs w:val="17"/>
                <w:color w:val="auto"/>
              </w:rPr>
            </w:pPr>
          </w:p>
        </w:tc>
        <w:tc>
          <w:tcPr>
            <w:tcW w:w="120" w:type="dxa"/>
            <w:vAlign w:val="bottom"/>
            <w:shd w:val="clear" w:color="auto" w:fill="E3F1DA"/>
          </w:tcPr>
          <w:p>
            <w:pPr>
              <w:spacing w:after="0"/>
              <w:rPr>
                <w:sz w:val="17"/>
                <w:szCs w:val="17"/>
                <w:color w:val="auto"/>
              </w:rPr>
            </w:pPr>
          </w:p>
        </w:tc>
        <w:tc>
          <w:tcPr>
            <w:tcW w:w="1340" w:type="dxa"/>
            <w:vAlign w:val="bottom"/>
          </w:tcPr>
          <w:p>
            <w:pPr>
              <w:jc w:val="right"/>
              <w:ind w:right="130"/>
              <w:spacing w:after="0" w:line="202" w:lineRule="exact"/>
              <w:rPr>
                <w:sz w:val="20"/>
                <w:szCs w:val="20"/>
                <w:color w:val="auto"/>
              </w:rPr>
            </w:pPr>
            <w:r>
              <w:rPr>
                <w:rFonts w:ascii="Arial" w:cs="Arial" w:eastAsia="Arial" w:hAnsi="Arial"/>
                <w:sz w:val="18"/>
                <w:szCs w:val="18"/>
                <w:color w:val="86B6A5"/>
              </w:rPr>
              <w:t>11.8</w:t>
            </w:r>
          </w:p>
        </w:tc>
        <w:tc>
          <w:tcPr>
            <w:tcW w:w="440" w:type="dxa"/>
            <w:vAlign w:val="bottom"/>
          </w:tcPr>
          <w:p>
            <w:pPr>
              <w:spacing w:after="0"/>
              <w:rPr>
                <w:sz w:val="17"/>
                <w:szCs w:val="17"/>
                <w:color w:val="auto"/>
              </w:rPr>
            </w:pPr>
          </w:p>
        </w:tc>
        <w:tc>
          <w:tcPr>
            <w:tcW w:w="860" w:type="dxa"/>
            <w:vAlign w:val="bottom"/>
            <w:gridSpan w:val="3"/>
          </w:tcPr>
          <w:p>
            <w:pPr>
              <w:jc w:val="right"/>
              <w:ind w:right="20"/>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5560" w:type="dxa"/>
            <w:vAlign w:val="bottom"/>
          </w:tcPr>
          <w:p>
            <w:pPr>
              <w:ind w:left="260"/>
              <w:spacing w:after="0" w:line="202" w:lineRule="exact"/>
              <w:rPr>
                <w:sz w:val="20"/>
                <w:szCs w:val="20"/>
                <w:color w:val="auto"/>
              </w:rPr>
            </w:pPr>
            <w:r>
              <w:rPr>
                <w:rFonts w:ascii="Arial" w:cs="Arial" w:eastAsia="Arial" w:hAnsi="Arial"/>
                <w:sz w:val="18"/>
                <w:szCs w:val="18"/>
                <w:color w:val="auto"/>
              </w:rPr>
              <w:t>Plan participant contributions</w:t>
            </w:r>
          </w:p>
        </w:tc>
        <w:tc>
          <w:tcPr>
            <w:tcW w:w="120" w:type="dxa"/>
            <w:vAlign w:val="bottom"/>
            <w:shd w:val="clear" w:color="auto" w:fill="E3F1DA"/>
          </w:tcPr>
          <w:p>
            <w:pPr>
              <w:spacing w:after="0"/>
              <w:rPr>
                <w:sz w:val="17"/>
                <w:szCs w:val="17"/>
                <w:color w:val="auto"/>
              </w:rPr>
            </w:pPr>
          </w:p>
        </w:tc>
        <w:tc>
          <w:tcPr>
            <w:tcW w:w="1260" w:type="dxa"/>
            <w:vAlign w:val="bottom"/>
          </w:tcPr>
          <w:p>
            <w:pPr>
              <w:jc w:val="right"/>
              <w:ind w:right="50"/>
              <w:spacing w:after="0" w:line="202" w:lineRule="exact"/>
              <w:rPr>
                <w:sz w:val="20"/>
                <w:szCs w:val="20"/>
                <w:color w:val="auto"/>
              </w:rPr>
            </w:pPr>
            <w:r>
              <w:rPr>
                <w:rFonts w:ascii="Arial" w:cs="Arial" w:eastAsia="Arial" w:hAnsi="Arial"/>
                <w:sz w:val="18"/>
                <w:szCs w:val="18"/>
                <w:color w:val="86B6A5"/>
              </w:rPr>
              <w:t>–</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20" w:type="dxa"/>
            <w:vAlign w:val="bottom"/>
            <w:shd w:val="clear" w:color="auto" w:fill="E3F1DA"/>
          </w:tcPr>
          <w:p>
            <w:pPr>
              <w:spacing w:after="0"/>
              <w:rPr>
                <w:sz w:val="17"/>
                <w:szCs w:val="17"/>
                <w:color w:val="auto"/>
              </w:rPr>
            </w:pPr>
          </w:p>
        </w:tc>
        <w:tc>
          <w:tcPr>
            <w:tcW w:w="1340" w:type="dxa"/>
            <w:vAlign w:val="bottom"/>
          </w:tcPr>
          <w:p>
            <w:pPr>
              <w:jc w:val="right"/>
              <w:ind w:right="130"/>
              <w:spacing w:after="0" w:line="202" w:lineRule="exact"/>
              <w:rPr>
                <w:sz w:val="20"/>
                <w:szCs w:val="20"/>
                <w:color w:val="auto"/>
              </w:rPr>
            </w:pPr>
            <w:r>
              <w:rPr>
                <w:rFonts w:ascii="Arial" w:cs="Arial" w:eastAsia="Arial" w:hAnsi="Arial"/>
                <w:sz w:val="18"/>
                <w:szCs w:val="18"/>
                <w:color w:val="86B6A5"/>
              </w:rPr>
              <w:t>2.1</w:t>
            </w:r>
          </w:p>
        </w:tc>
        <w:tc>
          <w:tcPr>
            <w:tcW w:w="440" w:type="dxa"/>
            <w:vAlign w:val="bottom"/>
          </w:tcPr>
          <w:p>
            <w:pPr>
              <w:spacing w:after="0"/>
              <w:rPr>
                <w:sz w:val="17"/>
                <w:szCs w:val="17"/>
                <w:color w:val="auto"/>
              </w:rPr>
            </w:pPr>
          </w:p>
        </w:tc>
        <w:tc>
          <w:tcPr>
            <w:tcW w:w="8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2.3</w:t>
            </w:r>
          </w:p>
        </w:tc>
        <w:tc>
          <w:tcPr>
            <w:tcW w:w="4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560" w:type="dxa"/>
            <w:vAlign w:val="bottom"/>
          </w:tcPr>
          <w:p>
            <w:pPr>
              <w:ind w:left="260"/>
              <w:spacing w:after="0" w:line="202" w:lineRule="exact"/>
              <w:rPr>
                <w:sz w:val="20"/>
                <w:szCs w:val="20"/>
                <w:color w:val="auto"/>
              </w:rPr>
            </w:pPr>
            <w:r>
              <w:rPr>
                <w:rFonts w:ascii="Arial" w:cs="Arial" w:eastAsia="Arial" w:hAnsi="Arial"/>
                <w:sz w:val="18"/>
                <w:szCs w:val="18"/>
                <w:color w:val="auto"/>
              </w:rPr>
              <w:t>Benefits paid</w:t>
            </w:r>
          </w:p>
        </w:tc>
        <w:tc>
          <w:tcPr>
            <w:tcW w:w="120" w:type="dxa"/>
            <w:vAlign w:val="bottom"/>
            <w:shd w:val="clear" w:color="auto" w:fill="E3F1DA"/>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86B6A5"/>
              </w:rPr>
              <w:t>(4.0)</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(4.3)</w:t>
            </w:r>
          </w:p>
        </w:tc>
        <w:tc>
          <w:tcPr>
            <w:tcW w:w="80" w:type="dxa"/>
            <w:vAlign w:val="bottom"/>
          </w:tcPr>
          <w:p>
            <w:pPr>
              <w:spacing w:after="0"/>
              <w:rPr>
                <w:sz w:val="17"/>
                <w:szCs w:val="17"/>
                <w:color w:val="auto"/>
              </w:rPr>
            </w:pPr>
          </w:p>
        </w:tc>
        <w:tc>
          <w:tcPr>
            <w:tcW w:w="120" w:type="dxa"/>
            <w:vAlign w:val="bottom"/>
            <w:shd w:val="clear" w:color="auto" w:fill="E3F1DA"/>
          </w:tcPr>
          <w:p>
            <w:pPr>
              <w:spacing w:after="0"/>
              <w:rPr>
                <w:sz w:val="17"/>
                <w:szCs w:val="17"/>
                <w:color w:val="auto"/>
              </w:rPr>
            </w:pPr>
          </w:p>
        </w:tc>
        <w:tc>
          <w:tcPr>
            <w:tcW w:w="1340" w:type="dxa"/>
            <w:vAlign w:val="bottom"/>
          </w:tcPr>
          <w:p>
            <w:pPr>
              <w:jc w:val="right"/>
              <w:ind w:right="70"/>
              <w:spacing w:after="0" w:line="202" w:lineRule="exact"/>
              <w:rPr>
                <w:sz w:val="20"/>
                <w:szCs w:val="20"/>
                <w:color w:val="auto"/>
              </w:rPr>
            </w:pPr>
            <w:r>
              <w:rPr>
                <w:rFonts w:ascii="Arial" w:cs="Arial" w:eastAsia="Arial" w:hAnsi="Arial"/>
                <w:sz w:val="18"/>
                <w:szCs w:val="18"/>
                <w:color w:val="86B6A5"/>
              </w:rPr>
              <w:t>(4.1)</w:t>
            </w:r>
          </w:p>
        </w:tc>
        <w:tc>
          <w:tcPr>
            <w:tcW w:w="440" w:type="dxa"/>
            <w:vAlign w:val="bottom"/>
          </w:tcPr>
          <w:p>
            <w:pPr>
              <w:spacing w:after="0"/>
              <w:rPr>
                <w:sz w:val="17"/>
                <w:szCs w:val="17"/>
                <w:color w:val="auto"/>
              </w:rPr>
            </w:pPr>
          </w:p>
        </w:tc>
        <w:tc>
          <w:tcPr>
            <w:tcW w:w="86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(6.6)</w:t>
            </w:r>
          </w:p>
        </w:tc>
      </w:tr>
      <w:tr>
        <w:trPr>
          <w:trHeight w:val="203"/>
        </w:trPr>
        <w:tc>
          <w:tcPr>
            <w:tcW w:w="20" w:type="dxa"/>
            <w:vAlign w:val="bottom"/>
          </w:tcPr>
          <w:p>
            <w:pPr>
              <w:spacing w:after="0"/>
              <w:rPr>
                <w:sz w:val="17"/>
                <w:szCs w:val="17"/>
                <w:color w:val="auto"/>
              </w:rPr>
            </w:pPr>
          </w:p>
        </w:tc>
        <w:tc>
          <w:tcPr>
            <w:tcW w:w="5560" w:type="dxa"/>
            <w:vAlign w:val="bottom"/>
          </w:tcPr>
          <w:p>
            <w:pPr>
              <w:ind w:left="260"/>
              <w:spacing w:after="0" w:line="203" w:lineRule="exact"/>
              <w:rPr>
                <w:sz w:val="20"/>
                <w:szCs w:val="20"/>
                <w:color w:val="auto"/>
              </w:rPr>
            </w:pPr>
            <w:r>
              <w:rPr>
                <w:rFonts w:ascii="Arial" w:cs="Arial" w:eastAsia="Arial" w:hAnsi="Arial"/>
                <w:sz w:val="18"/>
                <w:szCs w:val="18"/>
                <w:color w:val="auto"/>
              </w:rPr>
              <w:t>Currency exchange rate changes</w:t>
            </w:r>
          </w:p>
        </w:tc>
        <w:tc>
          <w:tcPr>
            <w:tcW w:w="120" w:type="dxa"/>
            <w:vAlign w:val="bottom"/>
            <w:shd w:val="clear" w:color="auto" w:fill="E3F1DA"/>
          </w:tcPr>
          <w:p>
            <w:pPr>
              <w:spacing w:after="0"/>
              <w:rPr>
                <w:sz w:val="17"/>
                <w:szCs w:val="17"/>
                <w:color w:val="auto"/>
              </w:rPr>
            </w:pPr>
          </w:p>
        </w:tc>
        <w:tc>
          <w:tcPr>
            <w:tcW w:w="1260" w:type="dxa"/>
            <w:vAlign w:val="bottom"/>
          </w:tcPr>
          <w:p>
            <w:pPr>
              <w:jc w:val="right"/>
              <w:ind w:right="50"/>
              <w:spacing w:after="0" w:line="203" w:lineRule="exact"/>
              <w:rPr>
                <w:sz w:val="20"/>
                <w:szCs w:val="20"/>
                <w:color w:val="auto"/>
              </w:rPr>
            </w:pPr>
            <w:r>
              <w:rPr>
                <w:rFonts w:ascii="Arial" w:cs="Arial" w:eastAsia="Arial" w:hAnsi="Arial"/>
                <w:sz w:val="18"/>
                <w:szCs w:val="18"/>
                <w:color w:val="86B6A5"/>
              </w:rPr>
              <w:t>–</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gridSpan w:val="2"/>
          </w:tcPr>
          <w:p>
            <w:pPr>
              <w:jc w:val="right"/>
              <w:ind w:right="60"/>
              <w:spacing w:after="0" w:line="203"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20" w:type="dxa"/>
            <w:vAlign w:val="bottom"/>
            <w:shd w:val="clear" w:color="auto" w:fill="E3F1DA"/>
          </w:tcPr>
          <w:p>
            <w:pPr>
              <w:spacing w:after="0"/>
              <w:rPr>
                <w:sz w:val="17"/>
                <w:szCs w:val="17"/>
                <w:color w:val="auto"/>
              </w:rPr>
            </w:pPr>
          </w:p>
        </w:tc>
        <w:tc>
          <w:tcPr>
            <w:tcW w:w="1340" w:type="dxa"/>
            <w:vAlign w:val="bottom"/>
          </w:tcPr>
          <w:p>
            <w:pPr>
              <w:jc w:val="right"/>
              <w:ind w:right="70"/>
              <w:spacing w:after="0" w:line="203" w:lineRule="exact"/>
              <w:rPr>
                <w:sz w:val="20"/>
                <w:szCs w:val="20"/>
                <w:color w:val="auto"/>
              </w:rPr>
            </w:pPr>
            <w:r>
              <w:rPr>
                <w:rFonts w:ascii="Arial" w:cs="Arial" w:eastAsia="Arial" w:hAnsi="Arial"/>
                <w:sz w:val="18"/>
                <w:szCs w:val="18"/>
                <w:color w:val="86B6A5"/>
              </w:rPr>
              <w:t>(10.5)</w:t>
            </w:r>
          </w:p>
        </w:tc>
        <w:tc>
          <w:tcPr>
            <w:tcW w:w="44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Arial" w:cs="Arial" w:eastAsia="Arial" w:hAnsi="Arial"/>
                <w:sz w:val="18"/>
                <w:szCs w:val="18"/>
                <w:color w:val="auto"/>
              </w:rPr>
              <w:t>20.1</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560" w:type="dxa"/>
            <w:vAlign w:val="bottom"/>
            <w:tcBorders>
              <w:top w:val="single" w:sz="8" w:color="939598"/>
              <w:bottom w:val="single" w:sz="8" w:color="939598"/>
            </w:tcBorders>
          </w:tcPr>
          <w:p>
            <w:pPr>
              <w:spacing w:after="0" w:line="196" w:lineRule="exact"/>
              <w:rPr>
                <w:sz w:val="20"/>
                <w:szCs w:val="20"/>
                <w:color w:val="auto"/>
              </w:rPr>
            </w:pPr>
            <w:r>
              <w:rPr>
                <w:rFonts w:ascii="Arial" w:cs="Arial" w:eastAsia="Arial" w:hAnsi="Arial"/>
                <w:sz w:val="18"/>
                <w:szCs w:val="18"/>
                <w:color w:val="auto"/>
              </w:rPr>
              <w:t>Benefit obligation, end of year</w:t>
            </w:r>
          </w:p>
        </w:tc>
        <w:tc>
          <w:tcPr>
            <w:tcW w:w="120" w:type="dxa"/>
            <w:vAlign w:val="bottom"/>
            <w:tcBorders>
              <w:top w:val="single" w:sz="8" w:color="939598"/>
              <w:bottom w:val="single" w:sz="8" w:color="939598"/>
            </w:tcBorders>
            <w:shd w:val="clear" w:color="auto" w:fill="E3F1DA"/>
          </w:tcPr>
          <w:p>
            <w:pPr>
              <w:jc w:val="right"/>
              <w:spacing w:after="0" w:line="196" w:lineRule="exact"/>
              <w:rPr>
                <w:sz w:val="20"/>
                <w:szCs w:val="20"/>
                <w:color w:val="auto"/>
              </w:rPr>
            </w:pPr>
            <w:r>
              <w:rPr>
                <w:rFonts w:ascii="Arial" w:cs="Arial" w:eastAsia="Arial" w:hAnsi="Arial"/>
                <w:sz w:val="18"/>
                <w:szCs w:val="18"/>
                <w:color w:val="86B6A5"/>
                <w:w w:val="79"/>
              </w:rPr>
              <w:t>$</w:t>
            </w:r>
          </w:p>
        </w:tc>
        <w:tc>
          <w:tcPr>
            <w:tcW w:w="1260" w:type="dxa"/>
            <w:vAlign w:val="bottom"/>
            <w:tcBorders>
              <w:top w:val="single" w:sz="8" w:color="939598"/>
              <w:bottom w:val="single" w:sz="8" w:color="939598"/>
            </w:tcBorders>
          </w:tcPr>
          <w:p>
            <w:pPr>
              <w:jc w:val="right"/>
              <w:ind w:right="50"/>
              <w:spacing w:after="0" w:line="196" w:lineRule="exact"/>
              <w:rPr>
                <w:sz w:val="20"/>
                <w:szCs w:val="20"/>
                <w:color w:val="auto"/>
              </w:rPr>
            </w:pPr>
            <w:r>
              <w:rPr>
                <w:rFonts w:ascii="Arial" w:cs="Arial" w:eastAsia="Arial" w:hAnsi="Arial"/>
                <w:sz w:val="18"/>
                <w:szCs w:val="18"/>
                <w:color w:val="86B6A5"/>
              </w:rPr>
              <w:t>56.2</w:t>
            </w:r>
          </w:p>
        </w:tc>
        <w:tc>
          <w:tcPr>
            <w:tcW w:w="80" w:type="dxa"/>
            <w:vAlign w:val="bottom"/>
            <w:tcBorders>
              <w:top w:val="single" w:sz="8" w:color="939598"/>
              <w:bottom w:val="single" w:sz="8" w:color="939598"/>
            </w:tcBorders>
          </w:tcPr>
          <w:p>
            <w:pPr>
              <w:spacing w:after="0"/>
              <w:rPr>
                <w:sz w:val="17"/>
                <w:szCs w:val="17"/>
                <w:color w:val="auto"/>
              </w:rPr>
            </w:pPr>
          </w:p>
        </w:tc>
        <w:tc>
          <w:tcPr>
            <w:tcW w:w="280" w:type="dxa"/>
            <w:vAlign w:val="bottom"/>
            <w:tcBorders>
              <w:top w:val="single" w:sz="8" w:color="939598"/>
              <w:bottom w:val="single" w:sz="8" w:color="939598"/>
            </w:tcBorders>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939598"/>
              <w:bottom w:val="single" w:sz="8" w:color="939598"/>
            </w:tcBorders>
          </w:tcPr>
          <w:p>
            <w:pPr>
              <w:jc w:val="right"/>
              <w:spacing w:after="0" w:line="196" w:lineRule="exact"/>
              <w:rPr>
                <w:sz w:val="20"/>
                <w:szCs w:val="20"/>
                <w:color w:val="auto"/>
              </w:rPr>
            </w:pPr>
            <w:r>
              <w:rPr>
                <w:rFonts w:ascii="Arial" w:cs="Arial" w:eastAsia="Arial" w:hAnsi="Arial"/>
                <w:sz w:val="18"/>
                <w:szCs w:val="18"/>
                <w:color w:val="auto"/>
              </w:rPr>
              <w:t>51.7</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939598"/>
              <w:bottom w:val="single" w:sz="8" w:color="939598"/>
            </w:tcBorders>
            <w:shd w:val="clear" w:color="auto" w:fill="E3F1DA"/>
          </w:tcPr>
          <w:p>
            <w:pPr>
              <w:jc w:val="right"/>
              <w:spacing w:after="0" w:line="196" w:lineRule="exact"/>
              <w:rPr>
                <w:sz w:val="20"/>
                <w:szCs w:val="20"/>
                <w:color w:val="auto"/>
              </w:rPr>
            </w:pPr>
            <w:r>
              <w:rPr>
                <w:rFonts w:ascii="Arial" w:cs="Arial" w:eastAsia="Arial" w:hAnsi="Arial"/>
                <w:sz w:val="18"/>
                <w:szCs w:val="18"/>
                <w:color w:val="86B6A5"/>
                <w:w w:val="79"/>
              </w:rPr>
              <w:t>$</w:t>
            </w:r>
          </w:p>
        </w:tc>
        <w:tc>
          <w:tcPr>
            <w:tcW w:w="1340" w:type="dxa"/>
            <w:vAlign w:val="bottom"/>
            <w:tcBorders>
              <w:top w:val="single" w:sz="8" w:color="939598"/>
              <w:bottom w:val="single" w:sz="8" w:color="939598"/>
            </w:tcBorders>
          </w:tcPr>
          <w:p>
            <w:pPr>
              <w:jc w:val="right"/>
              <w:ind w:right="130"/>
              <w:spacing w:after="0" w:line="196" w:lineRule="exact"/>
              <w:rPr>
                <w:sz w:val="20"/>
                <w:szCs w:val="20"/>
                <w:color w:val="auto"/>
              </w:rPr>
            </w:pPr>
            <w:r>
              <w:rPr>
                <w:rFonts w:ascii="Arial" w:cs="Arial" w:eastAsia="Arial" w:hAnsi="Arial"/>
                <w:sz w:val="18"/>
                <w:szCs w:val="18"/>
                <w:color w:val="86B6A5"/>
              </w:rPr>
              <w:t>244.8</w:t>
            </w:r>
          </w:p>
        </w:tc>
        <w:tc>
          <w:tcPr>
            <w:tcW w:w="440" w:type="dxa"/>
            <w:vAlign w:val="bottom"/>
            <w:tcBorders>
              <w:top w:val="single" w:sz="8" w:color="939598"/>
              <w:bottom w:val="single" w:sz="8" w:color="939598"/>
            </w:tcBorders>
          </w:tcPr>
          <w:p>
            <w:pPr>
              <w:jc w:val="right"/>
              <w:ind w:right="251"/>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Borders>
              <w:top w:val="single" w:sz="8" w:color="939598"/>
              <w:bottom w:val="single" w:sz="8" w:color="939598"/>
            </w:tcBorders>
          </w:tcPr>
          <w:p>
            <w:pPr>
              <w:jc w:val="right"/>
              <w:spacing w:after="0" w:line="196" w:lineRule="exact"/>
              <w:rPr>
                <w:sz w:val="20"/>
                <w:szCs w:val="20"/>
                <w:color w:val="auto"/>
              </w:rPr>
            </w:pPr>
            <w:r>
              <w:rPr>
                <w:rFonts w:ascii="Arial" w:cs="Arial" w:eastAsia="Arial" w:hAnsi="Arial"/>
                <w:sz w:val="18"/>
                <w:szCs w:val="18"/>
                <w:color w:val="auto"/>
              </w:rPr>
              <w:t>225.6</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5560" w:type="dxa"/>
            <w:vAlign w:val="bottom"/>
          </w:tcPr>
          <w:p>
            <w:pPr>
              <w:spacing w:after="0" w:line="201" w:lineRule="exact"/>
              <w:rPr>
                <w:sz w:val="20"/>
                <w:szCs w:val="20"/>
                <w:color w:val="auto"/>
              </w:rPr>
            </w:pPr>
            <w:r>
              <w:rPr>
                <w:rFonts w:ascii="Arial" w:cs="Arial" w:eastAsia="Arial" w:hAnsi="Arial"/>
                <w:sz w:val="18"/>
                <w:szCs w:val="18"/>
                <w:b w:val="1"/>
                <w:bCs w:val="1"/>
                <w:color w:val="939598"/>
              </w:rPr>
              <w:t>Change in Plan Assets</w:t>
            </w:r>
          </w:p>
        </w:tc>
        <w:tc>
          <w:tcPr>
            <w:tcW w:w="120" w:type="dxa"/>
            <w:vAlign w:val="bottom"/>
            <w:shd w:val="clear" w:color="auto" w:fill="E3F1DA"/>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shd w:val="clear" w:color="auto" w:fill="E3F1DA"/>
          </w:tcPr>
          <w:p>
            <w:pPr>
              <w:spacing w:after="0"/>
              <w:rPr>
                <w:sz w:val="17"/>
                <w:szCs w:val="17"/>
                <w:color w:val="auto"/>
              </w:rPr>
            </w:pPr>
          </w:p>
        </w:tc>
        <w:tc>
          <w:tcPr>
            <w:tcW w:w="13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3"/>
        </w:trPr>
        <w:tc>
          <w:tcPr>
            <w:tcW w:w="5580" w:type="dxa"/>
            <w:vAlign w:val="bottom"/>
            <w:gridSpan w:val="2"/>
          </w:tcPr>
          <w:p>
            <w:pPr>
              <w:spacing w:after="0" w:line="202" w:lineRule="exact"/>
              <w:rPr>
                <w:sz w:val="20"/>
                <w:szCs w:val="20"/>
                <w:color w:val="auto"/>
              </w:rPr>
            </w:pPr>
            <w:r>
              <w:rPr>
                <w:rFonts w:ascii="Arial" w:cs="Arial" w:eastAsia="Arial" w:hAnsi="Arial"/>
                <w:sz w:val="18"/>
                <w:szCs w:val="18"/>
                <w:color w:val="auto"/>
              </w:rPr>
              <w:t>Fair value of plan assets, beginning of year</w:t>
            </w:r>
          </w:p>
        </w:tc>
        <w:tc>
          <w:tcPr>
            <w:tcW w:w="120" w:type="dxa"/>
            <w:vAlign w:val="bottom"/>
            <w:shd w:val="clear" w:color="auto" w:fill="E3F1DA"/>
          </w:tcPr>
          <w:p>
            <w:pPr>
              <w:jc w:val="right"/>
              <w:spacing w:after="0" w:line="202" w:lineRule="exact"/>
              <w:rPr>
                <w:sz w:val="20"/>
                <w:szCs w:val="20"/>
                <w:color w:val="auto"/>
              </w:rPr>
            </w:pPr>
            <w:r>
              <w:rPr>
                <w:rFonts w:ascii="Arial" w:cs="Arial" w:eastAsia="Arial" w:hAnsi="Arial"/>
                <w:sz w:val="18"/>
                <w:szCs w:val="18"/>
                <w:color w:val="86B6A5"/>
                <w:w w:val="79"/>
              </w:rPr>
              <w:t>$</w:t>
            </w:r>
          </w:p>
        </w:tc>
        <w:tc>
          <w:tcPr>
            <w:tcW w:w="1260" w:type="dxa"/>
            <w:vAlign w:val="bottom"/>
          </w:tcPr>
          <w:p>
            <w:pPr>
              <w:jc w:val="right"/>
              <w:ind w:right="50"/>
              <w:spacing w:after="0" w:line="202" w:lineRule="exact"/>
              <w:rPr>
                <w:sz w:val="20"/>
                <w:szCs w:val="20"/>
                <w:color w:val="auto"/>
              </w:rPr>
            </w:pPr>
            <w:r>
              <w:rPr>
                <w:rFonts w:ascii="Arial" w:cs="Arial" w:eastAsia="Arial" w:hAnsi="Arial"/>
                <w:sz w:val="18"/>
                <w:szCs w:val="18"/>
                <w:color w:val="86B6A5"/>
              </w:rPr>
              <w:t>35.0</w:t>
            </w:r>
          </w:p>
        </w:tc>
        <w:tc>
          <w:tcPr>
            <w:tcW w:w="80" w:type="dxa"/>
            <w:vAlign w:val="bottom"/>
          </w:tcPr>
          <w:p>
            <w:pPr>
              <w:spacing w:after="0"/>
              <w:rPr>
                <w:sz w:val="17"/>
                <w:szCs w:val="17"/>
                <w:color w:val="auto"/>
              </w:rPr>
            </w:pPr>
          </w:p>
        </w:tc>
        <w:tc>
          <w:tcPr>
            <w:tcW w:w="280" w:type="dxa"/>
            <w:vAlign w:val="bottom"/>
          </w:tcPr>
          <w:p>
            <w:pPr>
              <w:jc w:val="right"/>
              <w:ind w:right="90"/>
              <w:spacing w:after="0" w:line="202" w:lineRule="exact"/>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30.3</w:t>
            </w:r>
          </w:p>
        </w:tc>
        <w:tc>
          <w:tcPr>
            <w:tcW w:w="80" w:type="dxa"/>
            <w:vAlign w:val="bottom"/>
          </w:tcPr>
          <w:p>
            <w:pPr>
              <w:spacing w:after="0"/>
              <w:rPr>
                <w:sz w:val="17"/>
                <w:szCs w:val="17"/>
                <w:color w:val="auto"/>
              </w:rPr>
            </w:pPr>
          </w:p>
        </w:tc>
        <w:tc>
          <w:tcPr>
            <w:tcW w:w="120" w:type="dxa"/>
            <w:vAlign w:val="bottom"/>
            <w:shd w:val="clear" w:color="auto" w:fill="E3F1DA"/>
          </w:tcPr>
          <w:p>
            <w:pPr>
              <w:jc w:val="right"/>
              <w:spacing w:after="0" w:line="202" w:lineRule="exact"/>
              <w:rPr>
                <w:sz w:val="20"/>
                <w:szCs w:val="20"/>
                <w:color w:val="auto"/>
              </w:rPr>
            </w:pPr>
            <w:r>
              <w:rPr>
                <w:rFonts w:ascii="Arial" w:cs="Arial" w:eastAsia="Arial" w:hAnsi="Arial"/>
                <w:sz w:val="18"/>
                <w:szCs w:val="18"/>
                <w:color w:val="86B6A5"/>
                <w:w w:val="79"/>
              </w:rPr>
              <w:t>$</w:t>
            </w:r>
          </w:p>
        </w:tc>
        <w:tc>
          <w:tcPr>
            <w:tcW w:w="1340" w:type="dxa"/>
            <w:vAlign w:val="bottom"/>
          </w:tcPr>
          <w:p>
            <w:pPr>
              <w:jc w:val="right"/>
              <w:ind w:right="130"/>
              <w:spacing w:after="0" w:line="202" w:lineRule="exact"/>
              <w:rPr>
                <w:sz w:val="20"/>
                <w:szCs w:val="20"/>
                <w:color w:val="auto"/>
              </w:rPr>
            </w:pPr>
            <w:r>
              <w:rPr>
                <w:rFonts w:ascii="Arial" w:cs="Arial" w:eastAsia="Arial" w:hAnsi="Arial"/>
                <w:sz w:val="18"/>
                <w:szCs w:val="18"/>
                <w:color w:val="86B6A5"/>
              </w:rPr>
              <w:t>200.6</w:t>
            </w:r>
          </w:p>
        </w:tc>
        <w:tc>
          <w:tcPr>
            <w:tcW w:w="440" w:type="dxa"/>
            <w:vAlign w:val="bottom"/>
          </w:tcPr>
          <w:p>
            <w:pPr>
              <w:jc w:val="right"/>
              <w:ind w:right="251"/>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175.8</w:t>
            </w:r>
          </w:p>
        </w:tc>
        <w:tc>
          <w:tcPr>
            <w:tcW w:w="4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560" w:type="dxa"/>
            <w:vAlign w:val="bottom"/>
          </w:tcPr>
          <w:p>
            <w:pPr>
              <w:ind w:left="260"/>
              <w:spacing w:after="0" w:line="202" w:lineRule="exact"/>
              <w:rPr>
                <w:sz w:val="20"/>
                <w:szCs w:val="20"/>
                <w:color w:val="auto"/>
              </w:rPr>
            </w:pPr>
            <w:r>
              <w:rPr>
                <w:rFonts w:ascii="Arial" w:cs="Arial" w:eastAsia="Arial" w:hAnsi="Arial"/>
                <w:sz w:val="18"/>
                <w:szCs w:val="18"/>
                <w:color w:val="auto"/>
              </w:rPr>
              <w:t>Actual return on plan assets</w:t>
            </w:r>
          </w:p>
        </w:tc>
        <w:tc>
          <w:tcPr>
            <w:tcW w:w="120" w:type="dxa"/>
            <w:vAlign w:val="bottom"/>
            <w:shd w:val="clear" w:color="auto" w:fill="E3F1DA"/>
          </w:tcPr>
          <w:p>
            <w:pPr>
              <w:spacing w:after="0"/>
              <w:rPr>
                <w:sz w:val="17"/>
                <w:szCs w:val="17"/>
                <w:color w:val="auto"/>
              </w:rPr>
            </w:pPr>
          </w:p>
        </w:tc>
        <w:tc>
          <w:tcPr>
            <w:tcW w:w="1260" w:type="dxa"/>
            <w:vAlign w:val="bottom"/>
          </w:tcPr>
          <w:p>
            <w:pPr>
              <w:jc w:val="right"/>
              <w:ind w:right="50"/>
              <w:spacing w:after="0" w:line="202" w:lineRule="exact"/>
              <w:rPr>
                <w:sz w:val="20"/>
                <w:szCs w:val="20"/>
                <w:color w:val="auto"/>
              </w:rPr>
            </w:pPr>
            <w:r>
              <w:rPr>
                <w:rFonts w:ascii="Arial" w:cs="Arial" w:eastAsia="Arial" w:hAnsi="Arial"/>
                <w:sz w:val="18"/>
                <w:szCs w:val="18"/>
                <w:color w:val="86B6A5"/>
              </w:rPr>
              <w:t>2.7</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6.2</w:t>
            </w:r>
          </w:p>
        </w:tc>
        <w:tc>
          <w:tcPr>
            <w:tcW w:w="80" w:type="dxa"/>
            <w:vAlign w:val="bottom"/>
          </w:tcPr>
          <w:p>
            <w:pPr>
              <w:spacing w:after="0"/>
              <w:rPr>
                <w:sz w:val="17"/>
                <w:szCs w:val="17"/>
                <w:color w:val="auto"/>
              </w:rPr>
            </w:pPr>
          </w:p>
        </w:tc>
        <w:tc>
          <w:tcPr>
            <w:tcW w:w="120" w:type="dxa"/>
            <w:vAlign w:val="bottom"/>
            <w:shd w:val="clear" w:color="auto" w:fill="E3F1DA"/>
          </w:tcPr>
          <w:p>
            <w:pPr>
              <w:spacing w:after="0"/>
              <w:rPr>
                <w:sz w:val="17"/>
                <w:szCs w:val="17"/>
                <w:color w:val="auto"/>
              </w:rPr>
            </w:pPr>
          </w:p>
        </w:tc>
        <w:tc>
          <w:tcPr>
            <w:tcW w:w="1340" w:type="dxa"/>
            <w:vAlign w:val="bottom"/>
          </w:tcPr>
          <w:p>
            <w:pPr>
              <w:jc w:val="right"/>
              <w:ind w:right="130"/>
              <w:spacing w:after="0" w:line="202" w:lineRule="exact"/>
              <w:rPr>
                <w:sz w:val="20"/>
                <w:szCs w:val="20"/>
                <w:color w:val="auto"/>
              </w:rPr>
            </w:pPr>
            <w:r>
              <w:rPr>
                <w:rFonts w:ascii="Arial" w:cs="Arial" w:eastAsia="Arial" w:hAnsi="Arial"/>
                <w:sz w:val="18"/>
                <w:szCs w:val="18"/>
                <w:color w:val="86B6A5"/>
              </w:rPr>
              <w:t>20.0</w:t>
            </w:r>
          </w:p>
        </w:tc>
        <w:tc>
          <w:tcPr>
            <w:tcW w:w="44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16.5</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560" w:type="dxa"/>
            <w:vAlign w:val="bottom"/>
          </w:tcPr>
          <w:p>
            <w:pPr>
              <w:ind w:left="260"/>
              <w:spacing w:after="0" w:line="202" w:lineRule="exact"/>
              <w:rPr>
                <w:sz w:val="20"/>
                <w:szCs w:val="20"/>
                <w:color w:val="auto"/>
              </w:rPr>
            </w:pPr>
            <w:r>
              <w:rPr>
                <w:rFonts w:ascii="Arial" w:cs="Arial" w:eastAsia="Arial" w:hAnsi="Arial"/>
                <w:sz w:val="18"/>
                <w:szCs w:val="18"/>
                <w:color w:val="auto"/>
              </w:rPr>
              <w:t>Curtailments</w:t>
            </w:r>
          </w:p>
        </w:tc>
        <w:tc>
          <w:tcPr>
            <w:tcW w:w="120" w:type="dxa"/>
            <w:vAlign w:val="bottom"/>
            <w:shd w:val="clear" w:color="auto" w:fill="E3F1DA"/>
          </w:tcPr>
          <w:p>
            <w:pPr>
              <w:spacing w:after="0"/>
              <w:rPr>
                <w:sz w:val="17"/>
                <w:szCs w:val="17"/>
                <w:color w:val="auto"/>
              </w:rPr>
            </w:pPr>
          </w:p>
        </w:tc>
        <w:tc>
          <w:tcPr>
            <w:tcW w:w="1260" w:type="dxa"/>
            <w:vAlign w:val="bottom"/>
          </w:tcPr>
          <w:p>
            <w:pPr>
              <w:jc w:val="right"/>
              <w:ind w:right="50"/>
              <w:spacing w:after="0" w:line="202" w:lineRule="exact"/>
              <w:rPr>
                <w:sz w:val="20"/>
                <w:szCs w:val="20"/>
                <w:color w:val="auto"/>
              </w:rPr>
            </w:pPr>
            <w:r>
              <w:rPr>
                <w:rFonts w:ascii="Arial" w:cs="Arial" w:eastAsia="Arial" w:hAnsi="Arial"/>
                <w:sz w:val="18"/>
                <w:szCs w:val="18"/>
                <w:color w:val="86B6A5"/>
              </w:rPr>
              <w:t>–</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20" w:type="dxa"/>
            <w:vAlign w:val="bottom"/>
            <w:shd w:val="clear" w:color="auto" w:fill="E3F1DA"/>
          </w:tcPr>
          <w:p>
            <w:pPr>
              <w:spacing w:after="0"/>
              <w:rPr>
                <w:sz w:val="17"/>
                <w:szCs w:val="17"/>
                <w:color w:val="auto"/>
              </w:rPr>
            </w:pPr>
          </w:p>
        </w:tc>
        <w:tc>
          <w:tcPr>
            <w:tcW w:w="1340" w:type="dxa"/>
            <w:vAlign w:val="bottom"/>
          </w:tcPr>
          <w:p>
            <w:pPr>
              <w:jc w:val="right"/>
              <w:ind w:right="130"/>
              <w:spacing w:after="0" w:line="202" w:lineRule="exact"/>
              <w:rPr>
                <w:sz w:val="20"/>
                <w:szCs w:val="20"/>
                <w:color w:val="auto"/>
              </w:rPr>
            </w:pPr>
            <w:r>
              <w:rPr>
                <w:rFonts w:ascii="Arial" w:cs="Arial" w:eastAsia="Arial" w:hAnsi="Arial"/>
                <w:sz w:val="18"/>
                <w:szCs w:val="18"/>
                <w:color w:val="86B6A5"/>
              </w:rPr>
              <w:t>–</w:t>
            </w:r>
          </w:p>
        </w:tc>
        <w:tc>
          <w:tcPr>
            <w:tcW w:w="440" w:type="dxa"/>
            <w:vAlign w:val="bottom"/>
          </w:tcPr>
          <w:p>
            <w:pPr>
              <w:spacing w:after="0"/>
              <w:rPr>
                <w:sz w:val="17"/>
                <w:szCs w:val="17"/>
                <w:color w:val="auto"/>
              </w:rPr>
            </w:pPr>
          </w:p>
        </w:tc>
        <w:tc>
          <w:tcPr>
            <w:tcW w:w="86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(16.7)</w:t>
            </w:r>
          </w:p>
        </w:tc>
      </w:tr>
      <w:tr>
        <w:trPr>
          <w:trHeight w:val="203"/>
        </w:trPr>
        <w:tc>
          <w:tcPr>
            <w:tcW w:w="20" w:type="dxa"/>
            <w:vAlign w:val="bottom"/>
          </w:tcPr>
          <w:p>
            <w:pPr>
              <w:spacing w:after="0"/>
              <w:rPr>
                <w:sz w:val="17"/>
                <w:szCs w:val="17"/>
                <w:color w:val="auto"/>
              </w:rPr>
            </w:pPr>
          </w:p>
        </w:tc>
        <w:tc>
          <w:tcPr>
            <w:tcW w:w="5560" w:type="dxa"/>
            <w:vAlign w:val="bottom"/>
          </w:tcPr>
          <w:p>
            <w:pPr>
              <w:ind w:left="260"/>
              <w:spacing w:after="0" w:line="202" w:lineRule="exact"/>
              <w:rPr>
                <w:sz w:val="20"/>
                <w:szCs w:val="20"/>
                <w:color w:val="auto"/>
              </w:rPr>
            </w:pPr>
            <w:r>
              <w:rPr>
                <w:rFonts w:ascii="Arial" w:cs="Arial" w:eastAsia="Arial" w:hAnsi="Arial"/>
                <w:sz w:val="18"/>
                <w:szCs w:val="18"/>
                <w:color w:val="auto"/>
              </w:rPr>
              <w:t>Transfers</w:t>
            </w:r>
          </w:p>
        </w:tc>
        <w:tc>
          <w:tcPr>
            <w:tcW w:w="120" w:type="dxa"/>
            <w:vAlign w:val="bottom"/>
            <w:shd w:val="clear" w:color="auto" w:fill="E3F1DA"/>
          </w:tcPr>
          <w:p>
            <w:pPr>
              <w:spacing w:after="0"/>
              <w:rPr>
                <w:sz w:val="17"/>
                <w:szCs w:val="17"/>
                <w:color w:val="auto"/>
              </w:rPr>
            </w:pPr>
          </w:p>
        </w:tc>
        <w:tc>
          <w:tcPr>
            <w:tcW w:w="1260" w:type="dxa"/>
            <w:vAlign w:val="bottom"/>
          </w:tcPr>
          <w:p>
            <w:pPr>
              <w:jc w:val="right"/>
              <w:ind w:right="50"/>
              <w:spacing w:after="0" w:line="202" w:lineRule="exact"/>
              <w:rPr>
                <w:sz w:val="20"/>
                <w:szCs w:val="20"/>
                <w:color w:val="auto"/>
              </w:rPr>
            </w:pPr>
            <w:r>
              <w:rPr>
                <w:rFonts w:ascii="Arial" w:cs="Arial" w:eastAsia="Arial" w:hAnsi="Arial"/>
                <w:sz w:val="18"/>
                <w:szCs w:val="18"/>
                <w:color w:val="86B6A5"/>
              </w:rPr>
              <w:t>–</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20" w:type="dxa"/>
            <w:vAlign w:val="bottom"/>
            <w:shd w:val="clear" w:color="auto" w:fill="E3F1DA"/>
          </w:tcPr>
          <w:p>
            <w:pPr>
              <w:spacing w:after="0"/>
              <w:rPr>
                <w:sz w:val="17"/>
                <w:szCs w:val="17"/>
                <w:color w:val="auto"/>
              </w:rPr>
            </w:pPr>
          </w:p>
        </w:tc>
        <w:tc>
          <w:tcPr>
            <w:tcW w:w="1340" w:type="dxa"/>
            <w:vAlign w:val="bottom"/>
          </w:tcPr>
          <w:p>
            <w:pPr>
              <w:jc w:val="right"/>
              <w:ind w:right="130"/>
              <w:spacing w:after="0" w:line="202" w:lineRule="exact"/>
              <w:rPr>
                <w:sz w:val="20"/>
                <w:szCs w:val="20"/>
                <w:color w:val="auto"/>
              </w:rPr>
            </w:pPr>
            <w:r>
              <w:rPr>
                <w:rFonts w:ascii="Arial" w:cs="Arial" w:eastAsia="Arial" w:hAnsi="Arial"/>
                <w:sz w:val="18"/>
                <w:szCs w:val="18"/>
                <w:color w:val="86B6A5"/>
              </w:rPr>
              <w:t>–</w:t>
            </w:r>
          </w:p>
        </w:tc>
        <w:tc>
          <w:tcPr>
            <w:tcW w:w="440" w:type="dxa"/>
            <w:vAlign w:val="bottom"/>
          </w:tcPr>
          <w:p>
            <w:pPr>
              <w:spacing w:after="0"/>
              <w:rPr>
                <w:sz w:val="17"/>
                <w:szCs w:val="17"/>
                <w:color w:val="auto"/>
              </w:rPr>
            </w:pPr>
          </w:p>
        </w:tc>
        <w:tc>
          <w:tcPr>
            <w:tcW w:w="86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(1.1)</w:t>
            </w:r>
          </w:p>
        </w:tc>
      </w:tr>
      <w:tr>
        <w:trPr>
          <w:trHeight w:val="203"/>
        </w:trPr>
        <w:tc>
          <w:tcPr>
            <w:tcW w:w="20" w:type="dxa"/>
            <w:vAlign w:val="bottom"/>
          </w:tcPr>
          <w:p>
            <w:pPr>
              <w:spacing w:after="0"/>
              <w:rPr>
                <w:sz w:val="17"/>
                <w:szCs w:val="17"/>
                <w:color w:val="auto"/>
              </w:rPr>
            </w:pPr>
          </w:p>
        </w:tc>
        <w:tc>
          <w:tcPr>
            <w:tcW w:w="5560" w:type="dxa"/>
            <w:vAlign w:val="bottom"/>
          </w:tcPr>
          <w:p>
            <w:pPr>
              <w:ind w:left="260"/>
              <w:spacing w:after="0" w:line="202" w:lineRule="exact"/>
              <w:rPr>
                <w:sz w:val="20"/>
                <w:szCs w:val="20"/>
                <w:color w:val="auto"/>
              </w:rPr>
            </w:pPr>
            <w:r>
              <w:rPr>
                <w:rFonts w:ascii="Arial" w:cs="Arial" w:eastAsia="Arial" w:hAnsi="Arial"/>
                <w:sz w:val="18"/>
                <w:szCs w:val="18"/>
                <w:color w:val="auto"/>
              </w:rPr>
              <w:t>Plan participant contributions</w:t>
            </w:r>
          </w:p>
        </w:tc>
        <w:tc>
          <w:tcPr>
            <w:tcW w:w="120" w:type="dxa"/>
            <w:vAlign w:val="bottom"/>
            <w:shd w:val="clear" w:color="auto" w:fill="E3F1DA"/>
          </w:tcPr>
          <w:p>
            <w:pPr>
              <w:spacing w:after="0"/>
              <w:rPr>
                <w:sz w:val="17"/>
                <w:szCs w:val="17"/>
                <w:color w:val="auto"/>
              </w:rPr>
            </w:pPr>
          </w:p>
        </w:tc>
        <w:tc>
          <w:tcPr>
            <w:tcW w:w="1260" w:type="dxa"/>
            <w:vAlign w:val="bottom"/>
          </w:tcPr>
          <w:p>
            <w:pPr>
              <w:jc w:val="right"/>
              <w:ind w:right="50"/>
              <w:spacing w:after="0" w:line="202" w:lineRule="exact"/>
              <w:rPr>
                <w:sz w:val="20"/>
                <w:szCs w:val="20"/>
                <w:color w:val="auto"/>
              </w:rPr>
            </w:pPr>
            <w:r>
              <w:rPr>
                <w:rFonts w:ascii="Arial" w:cs="Arial" w:eastAsia="Arial" w:hAnsi="Arial"/>
                <w:sz w:val="18"/>
                <w:szCs w:val="18"/>
                <w:color w:val="86B6A5"/>
              </w:rPr>
              <w:t>–</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20" w:type="dxa"/>
            <w:vAlign w:val="bottom"/>
            <w:shd w:val="clear" w:color="auto" w:fill="E3F1DA"/>
          </w:tcPr>
          <w:p>
            <w:pPr>
              <w:spacing w:after="0"/>
              <w:rPr>
                <w:sz w:val="17"/>
                <w:szCs w:val="17"/>
                <w:color w:val="auto"/>
              </w:rPr>
            </w:pPr>
          </w:p>
        </w:tc>
        <w:tc>
          <w:tcPr>
            <w:tcW w:w="1340" w:type="dxa"/>
            <w:vAlign w:val="bottom"/>
          </w:tcPr>
          <w:p>
            <w:pPr>
              <w:jc w:val="right"/>
              <w:ind w:right="130"/>
              <w:spacing w:after="0" w:line="202" w:lineRule="exact"/>
              <w:rPr>
                <w:sz w:val="20"/>
                <w:szCs w:val="20"/>
                <w:color w:val="auto"/>
              </w:rPr>
            </w:pPr>
            <w:r>
              <w:rPr>
                <w:rFonts w:ascii="Arial" w:cs="Arial" w:eastAsia="Arial" w:hAnsi="Arial"/>
                <w:sz w:val="18"/>
                <w:szCs w:val="18"/>
                <w:color w:val="86B6A5"/>
              </w:rPr>
              <w:t>2.1</w:t>
            </w:r>
          </w:p>
        </w:tc>
        <w:tc>
          <w:tcPr>
            <w:tcW w:w="440" w:type="dxa"/>
            <w:vAlign w:val="bottom"/>
          </w:tcPr>
          <w:p>
            <w:pPr>
              <w:spacing w:after="0"/>
              <w:rPr>
                <w:sz w:val="17"/>
                <w:szCs w:val="17"/>
                <w:color w:val="auto"/>
              </w:rPr>
            </w:pPr>
          </w:p>
        </w:tc>
        <w:tc>
          <w:tcPr>
            <w:tcW w:w="8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2.3</w:t>
            </w:r>
          </w:p>
        </w:tc>
        <w:tc>
          <w:tcPr>
            <w:tcW w:w="4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560" w:type="dxa"/>
            <w:vAlign w:val="bottom"/>
          </w:tcPr>
          <w:p>
            <w:pPr>
              <w:ind w:left="260"/>
              <w:spacing w:after="0" w:line="202" w:lineRule="exact"/>
              <w:rPr>
                <w:sz w:val="20"/>
                <w:szCs w:val="20"/>
                <w:color w:val="auto"/>
              </w:rPr>
            </w:pPr>
            <w:r>
              <w:rPr>
                <w:rFonts w:ascii="Arial" w:cs="Arial" w:eastAsia="Arial" w:hAnsi="Arial"/>
                <w:sz w:val="18"/>
                <w:szCs w:val="18"/>
                <w:color w:val="auto"/>
              </w:rPr>
              <w:t>Company contributions</w:t>
            </w:r>
          </w:p>
        </w:tc>
        <w:tc>
          <w:tcPr>
            <w:tcW w:w="120" w:type="dxa"/>
            <w:vAlign w:val="bottom"/>
            <w:shd w:val="clear" w:color="auto" w:fill="E3F1DA"/>
          </w:tcPr>
          <w:p>
            <w:pPr>
              <w:spacing w:after="0"/>
              <w:rPr>
                <w:sz w:val="17"/>
                <w:szCs w:val="17"/>
                <w:color w:val="auto"/>
              </w:rPr>
            </w:pPr>
          </w:p>
        </w:tc>
        <w:tc>
          <w:tcPr>
            <w:tcW w:w="1260" w:type="dxa"/>
            <w:vAlign w:val="bottom"/>
          </w:tcPr>
          <w:p>
            <w:pPr>
              <w:jc w:val="right"/>
              <w:ind w:right="50"/>
              <w:spacing w:after="0" w:line="202" w:lineRule="exact"/>
              <w:rPr>
                <w:sz w:val="20"/>
                <w:szCs w:val="20"/>
                <w:color w:val="auto"/>
              </w:rPr>
            </w:pPr>
            <w:r>
              <w:rPr>
                <w:rFonts w:ascii="Arial" w:cs="Arial" w:eastAsia="Arial" w:hAnsi="Arial"/>
                <w:sz w:val="18"/>
                <w:szCs w:val="18"/>
                <w:color w:val="86B6A5"/>
              </w:rPr>
              <w:t>2.7</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2.8</w:t>
            </w:r>
          </w:p>
        </w:tc>
        <w:tc>
          <w:tcPr>
            <w:tcW w:w="80" w:type="dxa"/>
            <w:vAlign w:val="bottom"/>
          </w:tcPr>
          <w:p>
            <w:pPr>
              <w:spacing w:after="0"/>
              <w:rPr>
                <w:sz w:val="17"/>
                <w:szCs w:val="17"/>
                <w:color w:val="auto"/>
              </w:rPr>
            </w:pPr>
          </w:p>
        </w:tc>
        <w:tc>
          <w:tcPr>
            <w:tcW w:w="120" w:type="dxa"/>
            <w:vAlign w:val="bottom"/>
            <w:shd w:val="clear" w:color="auto" w:fill="E3F1DA"/>
          </w:tcPr>
          <w:p>
            <w:pPr>
              <w:spacing w:after="0"/>
              <w:rPr>
                <w:sz w:val="17"/>
                <w:szCs w:val="17"/>
                <w:color w:val="auto"/>
              </w:rPr>
            </w:pPr>
          </w:p>
        </w:tc>
        <w:tc>
          <w:tcPr>
            <w:tcW w:w="1340" w:type="dxa"/>
            <w:vAlign w:val="bottom"/>
          </w:tcPr>
          <w:p>
            <w:pPr>
              <w:jc w:val="right"/>
              <w:ind w:right="130"/>
              <w:spacing w:after="0" w:line="202" w:lineRule="exact"/>
              <w:rPr>
                <w:sz w:val="20"/>
                <w:szCs w:val="20"/>
                <w:color w:val="auto"/>
              </w:rPr>
            </w:pPr>
            <w:r>
              <w:rPr>
                <w:rFonts w:ascii="Arial" w:cs="Arial" w:eastAsia="Arial" w:hAnsi="Arial"/>
                <w:sz w:val="18"/>
                <w:szCs w:val="18"/>
                <w:color w:val="86B6A5"/>
              </w:rPr>
              <w:t>16.6</w:t>
            </w:r>
          </w:p>
        </w:tc>
        <w:tc>
          <w:tcPr>
            <w:tcW w:w="44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12.9</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560" w:type="dxa"/>
            <w:vAlign w:val="bottom"/>
          </w:tcPr>
          <w:p>
            <w:pPr>
              <w:ind w:left="260"/>
              <w:spacing w:after="0" w:line="202" w:lineRule="exact"/>
              <w:rPr>
                <w:sz w:val="20"/>
                <w:szCs w:val="20"/>
                <w:color w:val="auto"/>
              </w:rPr>
            </w:pPr>
            <w:r>
              <w:rPr>
                <w:rFonts w:ascii="Arial" w:cs="Arial" w:eastAsia="Arial" w:hAnsi="Arial"/>
                <w:sz w:val="18"/>
                <w:szCs w:val="18"/>
                <w:color w:val="auto"/>
              </w:rPr>
              <w:t>Benefits paid</w:t>
            </w:r>
          </w:p>
        </w:tc>
        <w:tc>
          <w:tcPr>
            <w:tcW w:w="120" w:type="dxa"/>
            <w:vAlign w:val="bottom"/>
            <w:shd w:val="clear" w:color="auto" w:fill="E3F1DA"/>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86B6A5"/>
              </w:rPr>
              <w:t>(4.0)</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(4.3)</w:t>
            </w:r>
          </w:p>
        </w:tc>
        <w:tc>
          <w:tcPr>
            <w:tcW w:w="80" w:type="dxa"/>
            <w:vAlign w:val="bottom"/>
          </w:tcPr>
          <w:p>
            <w:pPr>
              <w:spacing w:after="0"/>
              <w:rPr>
                <w:sz w:val="17"/>
                <w:szCs w:val="17"/>
                <w:color w:val="auto"/>
              </w:rPr>
            </w:pPr>
          </w:p>
        </w:tc>
        <w:tc>
          <w:tcPr>
            <w:tcW w:w="120" w:type="dxa"/>
            <w:vAlign w:val="bottom"/>
            <w:shd w:val="clear" w:color="auto" w:fill="E3F1DA"/>
          </w:tcPr>
          <w:p>
            <w:pPr>
              <w:spacing w:after="0"/>
              <w:rPr>
                <w:sz w:val="17"/>
                <w:szCs w:val="17"/>
                <w:color w:val="auto"/>
              </w:rPr>
            </w:pPr>
          </w:p>
        </w:tc>
        <w:tc>
          <w:tcPr>
            <w:tcW w:w="1340" w:type="dxa"/>
            <w:vAlign w:val="bottom"/>
          </w:tcPr>
          <w:p>
            <w:pPr>
              <w:jc w:val="right"/>
              <w:ind w:right="70"/>
              <w:spacing w:after="0" w:line="202" w:lineRule="exact"/>
              <w:rPr>
                <w:sz w:val="20"/>
                <w:szCs w:val="20"/>
                <w:color w:val="auto"/>
              </w:rPr>
            </w:pPr>
            <w:r>
              <w:rPr>
                <w:rFonts w:ascii="Arial" w:cs="Arial" w:eastAsia="Arial" w:hAnsi="Arial"/>
                <w:sz w:val="18"/>
                <w:szCs w:val="18"/>
                <w:color w:val="86B6A5"/>
              </w:rPr>
              <w:t>(4.1)</w:t>
            </w:r>
          </w:p>
        </w:tc>
        <w:tc>
          <w:tcPr>
            <w:tcW w:w="440" w:type="dxa"/>
            <w:vAlign w:val="bottom"/>
          </w:tcPr>
          <w:p>
            <w:pPr>
              <w:spacing w:after="0"/>
              <w:rPr>
                <w:sz w:val="17"/>
                <w:szCs w:val="17"/>
                <w:color w:val="auto"/>
              </w:rPr>
            </w:pPr>
          </w:p>
        </w:tc>
        <w:tc>
          <w:tcPr>
            <w:tcW w:w="86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(6.6)</w:t>
            </w:r>
          </w:p>
        </w:tc>
      </w:tr>
      <w:tr>
        <w:trPr>
          <w:trHeight w:val="203"/>
        </w:trPr>
        <w:tc>
          <w:tcPr>
            <w:tcW w:w="20" w:type="dxa"/>
            <w:vAlign w:val="bottom"/>
          </w:tcPr>
          <w:p>
            <w:pPr>
              <w:spacing w:after="0"/>
              <w:rPr>
                <w:sz w:val="17"/>
                <w:szCs w:val="17"/>
                <w:color w:val="auto"/>
              </w:rPr>
            </w:pPr>
          </w:p>
        </w:tc>
        <w:tc>
          <w:tcPr>
            <w:tcW w:w="5560" w:type="dxa"/>
            <w:vAlign w:val="bottom"/>
          </w:tcPr>
          <w:p>
            <w:pPr>
              <w:ind w:left="260"/>
              <w:spacing w:after="0" w:line="203" w:lineRule="exact"/>
              <w:rPr>
                <w:sz w:val="20"/>
                <w:szCs w:val="20"/>
                <w:color w:val="auto"/>
              </w:rPr>
            </w:pPr>
            <w:r>
              <w:rPr>
                <w:rFonts w:ascii="Arial" w:cs="Arial" w:eastAsia="Arial" w:hAnsi="Arial"/>
                <w:sz w:val="18"/>
                <w:szCs w:val="18"/>
                <w:color w:val="auto"/>
              </w:rPr>
              <w:t>Currency exchange rate changes</w:t>
            </w:r>
          </w:p>
        </w:tc>
        <w:tc>
          <w:tcPr>
            <w:tcW w:w="120" w:type="dxa"/>
            <w:vAlign w:val="bottom"/>
            <w:shd w:val="clear" w:color="auto" w:fill="E3F1DA"/>
          </w:tcPr>
          <w:p>
            <w:pPr>
              <w:spacing w:after="0"/>
              <w:rPr>
                <w:sz w:val="17"/>
                <w:szCs w:val="17"/>
                <w:color w:val="auto"/>
              </w:rPr>
            </w:pPr>
          </w:p>
        </w:tc>
        <w:tc>
          <w:tcPr>
            <w:tcW w:w="1260" w:type="dxa"/>
            <w:vAlign w:val="bottom"/>
          </w:tcPr>
          <w:p>
            <w:pPr>
              <w:jc w:val="right"/>
              <w:ind w:right="50"/>
              <w:spacing w:after="0" w:line="203" w:lineRule="exact"/>
              <w:rPr>
                <w:sz w:val="20"/>
                <w:szCs w:val="20"/>
                <w:color w:val="auto"/>
              </w:rPr>
            </w:pPr>
            <w:r>
              <w:rPr>
                <w:rFonts w:ascii="Arial" w:cs="Arial" w:eastAsia="Arial" w:hAnsi="Arial"/>
                <w:sz w:val="18"/>
                <w:szCs w:val="18"/>
                <w:color w:val="86B6A5"/>
              </w:rPr>
              <w:t>–</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gridSpan w:val="2"/>
          </w:tcPr>
          <w:p>
            <w:pPr>
              <w:jc w:val="right"/>
              <w:ind w:right="60"/>
              <w:spacing w:after="0" w:line="203"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20" w:type="dxa"/>
            <w:vAlign w:val="bottom"/>
            <w:shd w:val="clear" w:color="auto" w:fill="E3F1DA"/>
          </w:tcPr>
          <w:p>
            <w:pPr>
              <w:spacing w:after="0"/>
              <w:rPr>
                <w:sz w:val="17"/>
                <w:szCs w:val="17"/>
                <w:color w:val="auto"/>
              </w:rPr>
            </w:pPr>
          </w:p>
        </w:tc>
        <w:tc>
          <w:tcPr>
            <w:tcW w:w="1340" w:type="dxa"/>
            <w:vAlign w:val="bottom"/>
          </w:tcPr>
          <w:p>
            <w:pPr>
              <w:jc w:val="right"/>
              <w:ind w:right="70"/>
              <w:spacing w:after="0" w:line="203" w:lineRule="exact"/>
              <w:rPr>
                <w:sz w:val="20"/>
                <w:szCs w:val="20"/>
                <w:color w:val="auto"/>
              </w:rPr>
            </w:pPr>
            <w:r>
              <w:rPr>
                <w:rFonts w:ascii="Arial" w:cs="Arial" w:eastAsia="Arial" w:hAnsi="Arial"/>
                <w:sz w:val="18"/>
                <w:szCs w:val="18"/>
                <w:color w:val="86B6A5"/>
              </w:rPr>
              <w:t>(9.1)</w:t>
            </w:r>
          </w:p>
        </w:tc>
        <w:tc>
          <w:tcPr>
            <w:tcW w:w="44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Arial" w:cs="Arial" w:eastAsia="Arial" w:hAnsi="Arial"/>
                <w:sz w:val="18"/>
                <w:szCs w:val="18"/>
                <w:color w:val="auto"/>
              </w:rPr>
              <w:t>17.5</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560" w:type="dxa"/>
            <w:vAlign w:val="bottom"/>
            <w:tcBorders>
              <w:top w:val="single" w:sz="8" w:color="939598"/>
              <w:bottom w:val="single" w:sz="8" w:color="939598"/>
            </w:tcBorders>
          </w:tcPr>
          <w:p>
            <w:pPr>
              <w:spacing w:after="0" w:line="196" w:lineRule="exact"/>
              <w:rPr>
                <w:sz w:val="20"/>
                <w:szCs w:val="20"/>
                <w:color w:val="auto"/>
              </w:rPr>
            </w:pPr>
            <w:r>
              <w:rPr>
                <w:rFonts w:ascii="Arial" w:cs="Arial" w:eastAsia="Arial" w:hAnsi="Arial"/>
                <w:sz w:val="18"/>
                <w:szCs w:val="18"/>
                <w:color w:val="auto"/>
              </w:rPr>
              <w:t>Fair value of plan assets, end of year</w:t>
            </w:r>
          </w:p>
        </w:tc>
        <w:tc>
          <w:tcPr>
            <w:tcW w:w="120" w:type="dxa"/>
            <w:vAlign w:val="bottom"/>
            <w:tcBorders>
              <w:top w:val="single" w:sz="8" w:color="939598"/>
              <w:bottom w:val="single" w:sz="8" w:color="939598"/>
            </w:tcBorders>
            <w:shd w:val="clear" w:color="auto" w:fill="E3F1DA"/>
          </w:tcPr>
          <w:p>
            <w:pPr>
              <w:jc w:val="right"/>
              <w:spacing w:after="0" w:line="196" w:lineRule="exact"/>
              <w:rPr>
                <w:sz w:val="20"/>
                <w:szCs w:val="20"/>
                <w:color w:val="auto"/>
              </w:rPr>
            </w:pPr>
            <w:r>
              <w:rPr>
                <w:rFonts w:ascii="Arial" w:cs="Arial" w:eastAsia="Arial" w:hAnsi="Arial"/>
                <w:sz w:val="18"/>
                <w:szCs w:val="18"/>
                <w:color w:val="86B6A5"/>
                <w:w w:val="79"/>
              </w:rPr>
              <w:t>$</w:t>
            </w:r>
          </w:p>
        </w:tc>
        <w:tc>
          <w:tcPr>
            <w:tcW w:w="1260" w:type="dxa"/>
            <w:vAlign w:val="bottom"/>
            <w:tcBorders>
              <w:top w:val="single" w:sz="8" w:color="939598"/>
              <w:bottom w:val="single" w:sz="8" w:color="939598"/>
            </w:tcBorders>
          </w:tcPr>
          <w:p>
            <w:pPr>
              <w:jc w:val="right"/>
              <w:ind w:right="50"/>
              <w:spacing w:after="0" w:line="196" w:lineRule="exact"/>
              <w:rPr>
                <w:sz w:val="20"/>
                <w:szCs w:val="20"/>
                <w:color w:val="auto"/>
              </w:rPr>
            </w:pPr>
            <w:r>
              <w:rPr>
                <w:rFonts w:ascii="Arial" w:cs="Arial" w:eastAsia="Arial" w:hAnsi="Arial"/>
                <w:sz w:val="18"/>
                <w:szCs w:val="18"/>
                <w:color w:val="86B6A5"/>
              </w:rPr>
              <w:t>36.4</w:t>
            </w:r>
          </w:p>
        </w:tc>
        <w:tc>
          <w:tcPr>
            <w:tcW w:w="80" w:type="dxa"/>
            <w:vAlign w:val="bottom"/>
            <w:tcBorders>
              <w:top w:val="single" w:sz="8" w:color="939598"/>
              <w:bottom w:val="single" w:sz="8" w:color="939598"/>
            </w:tcBorders>
          </w:tcPr>
          <w:p>
            <w:pPr>
              <w:spacing w:after="0"/>
              <w:rPr>
                <w:sz w:val="17"/>
                <w:szCs w:val="17"/>
                <w:color w:val="auto"/>
              </w:rPr>
            </w:pPr>
          </w:p>
        </w:tc>
        <w:tc>
          <w:tcPr>
            <w:tcW w:w="280" w:type="dxa"/>
            <w:vAlign w:val="bottom"/>
            <w:tcBorders>
              <w:top w:val="single" w:sz="8" w:color="939598"/>
              <w:bottom w:val="single" w:sz="8" w:color="939598"/>
            </w:tcBorders>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939598"/>
              <w:bottom w:val="single" w:sz="8" w:color="939598"/>
            </w:tcBorders>
          </w:tcPr>
          <w:p>
            <w:pPr>
              <w:jc w:val="right"/>
              <w:spacing w:after="0" w:line="196" w:lineRule="exact"/>
              <w:rPr>
                <w:sz w:val="20"/>
                <w:szCs w:val="20"/>
                <w:color w:val="auto"/>
              </w:rPr>
            </w:pPr>
            <w:r>
              <w:rPr>
                <w:rFonts w:ascii="Arial" w:cs="Arial" w:eastAsia="Arial" w:hAnsi="Arial"/>
                <w:sz w:val="18"/>
                <w:szCs w:val="18"/>
                <w:color w:val="auto"/>
              </w:rPr>
              <w:t>35.0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939598"/>
              <w:bottom w:val="single" w:sz="8" w:color="939598"/>
            </w:tcBorders>
            <w:shd w:val="clear" w:color="auto" w:fill="E3F1DA"/>
          </w:tcPr>
          <w:p>
            <w:pPr>
              <w:jc w:val="right"/>
              <w:spacing w:after="0" w:line="196" w:lineRule="exact"/>
              <w:rPr>
                <w:sz w:val="20"/>
                <w:szCs w:val="20"/>
                <w:color w:val="auto"/>
              </w:rPr>
            </w:pPr>
            <w:r>
              <w:rPr>
                <w:rFonts w:ascii="Arial" w:cs="Arial" w:eastAsia="Arial" w:hAnsi="Arial"/>
                <w:sz w:val="18"/>
                <w:szCs w:val="18"/>
                <w:color w:val="86B6A5"/>
                <w:w w:val="79"/>
              </w:rPr>
              <w:t>$</w:t>
            </w:r>
          </w:p>
        </w:tc>
        <w:tc>
          <w:tcPr>
            <w:tcW w:w="1340" w:type="dxa"/>
            <w:vAlign w:val="bottom"/>
            <w:tcBorders>
              <w:top w:val="single" w:sz="8" w:color="939598"/>
              <w:bottom w:val="single" w:sz="8" w:color="939598"/>
            </w:tcBorders>
          </w:tcPr>
          <w:p>
            <w:pPr>
              <w:jc w:val="right"/>
              <w:ind w:right="130"/>
              <w:spacing w:after="0" w:line="196" w:lineRule="exact"/>
              <w:rPr>
                <w:sz w:val="20"/>
                <w:szCs w:val="20"/>
                <w:color w:val="auto"/>
              </w:rPr>
            </w:pPr>
            <w:r>
              <w:rPr>
                <w:rFonts w:ascii="Arial" w:cs="Arial" w:eastAsia="Arial" w:hAnsi="Arial"/>
                <w:sz w:val="18"/>
                <w:szCs w:val="18"/>
                <w:color w:val="86B6A5"/>
              </w:rPr>
              <w:t>226.1</w:t>
            </w:r>
          </w:p>
        </w:tc>
        <w:tc>
          <w:tcPr>
            <w:tcW w:w="440" w:type="dxa"/>
            <w:vAlign w:val="bottom"/>
            <w:tcBorders>
              <w:top w:val="single" w:sz="8" w:color="939598"/>
              <w:bottom w:val="single" w:sz="8" w:color="939598"/>
            </w:tcBorders>
          </w:tcPr>
          <w:p>
            <w:pPr>
              <w:jc w:val="right"/>
              <w:ind w:right="251"/>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Borders>
              <w:top w:val="single" w:sz="8" w:color="939598"/>
              <w:bottom w:val="single" w:sz="8" w:color="939598"/>
            </w:tcBorders>
          </w:tcPr>
          <w:p>
            <w:pPr>
              <w:jc w:val="right"/>
              <w:spacing w:after="0" w:line="196" w:lineRule="exact"/>
              <w:rPr>
                <w:sz w:val="20"/>
                <w:szCs w:val="20"/>
                <w:color w:val="auto"/>
              </w:rPr>
            </w:pPr>
            <w:r>
              <w:rPr>
                <w:rFonts w:ascii="Arial" w:cs="Arial" w:eastAsia="Arial" w:hAnsi="Arial"/>
                <w:sz w:val="18"/>
                <w:szCs w:val="18"/>
                <w:color w:val="auto"/>
              </w:rPr>
              <w:t>200.6</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5560" w:type="dxa"/>
            <w:vAlign w:val="bottom"/>
          </w:tcPr>
          <w:p>
            <w:pPr>
              <w:spacing w:after="0" w:line="201" w:lineRule="exact"/>
              <w:rPr>
                <w:sz w:val="20"/>
                <w:szCs w:val="20"/>
                <w:color w:val="auto"/>
              </w:rPr>
            </w:pPr>
            <w:r>
              <w:rPr>
                <w:rFonts w:ascii="Arial" w:cs="Arial" w:eastAsia="Arial" w:hAnsi="Arial"/>
                <w:sz w:val="18"/>
                <w:szCs w:val="18"/>
                <w:b w:val="1"/>
                <w:bCs w:val="1"/>
                <w:color w:val="939598"/>
              </w:rPr>
              <w:t>Funded Status at End of Year</w:t>
            </w:r>
          </w:p>
        </w:tc>
        <w:tc>
          <w:tcPr>
            <w:tcW w:w="120" w:type="dxa"/>
            <w:vAlign w:val="bottom"/>
            <w:shd w:val="clear" w:color="auto" w:fill="E3F1DA"/>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shd w:val="clear" w:color="auto" w:fill="E3F1DA"/>
          </w:tcPr>
          <w:p>
            <w:pPr>
              <w:spacing w:after="0"/>
              <w:rPr>
                <w:sz w:val="17"/>
                <w:szCs w:val="17"/>
                <w:color w:val="auto"/>
              </w:rPr>
            </w:pPr>
          </w:p>
        </w:tc>
        <w:tc>
          <w:tcPr>
            <w:tcW w:w="13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10"/>
        </w:trPr>
        <w:tc>
          <w:tcPr>
            <w:tcW w:w="5580" w:type="dxa"/>
            <w:vAlign w:val="bottom"/>
            <w:gridSpan w:val="2"/>
          </w:tcPr>
          <w:p>
            <w:pPr>
              <w:spacing w:after="0" w:line="203" w:lineRule="exact"/>
              <w:rPr>
                <w:sz w:val="20"/>
                <w:szCs w:val="20"/>
                <w:color w:val="auto"/>
              </w:rPr>
            </w:pPr>
            <w:r>
              <w:rPr>
                <w:rFonts w:ascii="Arial" w:cs="Arial" w:eastAsia="Arial" w:hAnsi="Arial"/>
                <w:sz w:val="18"/>
                <w:szCs w:val="18"/>
                <w:color w:val="auto"/>
              </w:rPr>
              <w:t>Funded status, end of year</w:t>
            </w:r>
          </w:p>
        </w:tc>
        <w:tc>
          <w:tcPr>
            <w:tcW w:w="120" w:type="dxa"/>
            <w:vAlign w:val="bottom"/>
            <w:shd w:val="clear" w:color="auto" w:fill="E3F1DA"/>
          </w:tcPr>
          <w:p>
            <w:pPr>
              <w:jc w:val="right"/>
              <w:spacing w:after="0" w:line="203" w:lineRule="exact"/>
              <w:rPr>
                <w:sz w:val="20"/>
                <w:szCs w:val="20"/>
                <w:color w:val="auto"/>
              </w:rPr>
            </w:pPr>
            <w:r>
              <w:rPr>
                <w:rFonts w:ascii="Arial" w:cs="Arial" w:eastAsia="Arial" w:hAnsi="Arial"/>
                <w:sz w:val="18"/>
                <w:szCs w:val="18"/>
                <w:color w:val="86B6A5"/>
                <w:w w:val="79"/>
              </w:rPr>
              <w:t>$</w:t>
            </w:r>
          </w:p>
        </w:tc>
        <w:tc>
          <w:tcPr>
            <w:tcW w:w="1260" w:type="dxa"/>
            <w:vAlign w:val="bottom"/>
          </w:tcPr>
          <w:p>
            <w:pPr>
              <w:jc w:val="right"/>
              <w:spacing w:after="0" w:line="203" w:lineRule="exact"/>
              <w:rPr>
                <w:sz w:val="20"/>
                <w:szCs w:val="20"/>
                <w:color w:val="auto"/>
              </w:rPr>
            </w:pPr>
            <w:r>
              <w:rPr>
                <w:rFonts w:ascii="Arial" w:cs="Arial" w:eastAsia="Arial" w:hAnsi="Arial"/>
                <w:sz w:val="18"/>
                <w:szCs w:val="18"/>
                <w:color w:val="86B6A5"/>
              </w:rPr>
              <w:t>(19.8)</w:t>
            </w:r>
          </w:p>
        </w:tc>
        <w:tc>
          <w:tcPr>
            <w:tcW w:w="80" w:type="dxa"/>
            <w:vAlign w:val="bottom"/>
          </w:tcPr>
          <w:p>
            <w:pPr>
              <w:spacing w:after="0"/>
              <w:rPr>
                <w:sz w:val="18"/>
                <w:szCs w:val="18"/>
                <w:color w:val="auto"/>
              </w:rPr>
            </w:pPr>
          </w:p>
        </w:tc>
        <w:tc>
          <w:tcPr>
            <w:tcW w:w="280" w:type="dxa"/>
            <w:vAlign w:val="bottom"/>
          </w:tcPr>
          <w:p>
            <w:pPr>
              <w:jc w:val="right"/>
              <w:ind w:right="90"/>
              <w:spacing w:after="0" w:line="203" w:lineRule="exact"/>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(16.7)</w:t>
            </w:r>
          </w:p>
        </w:tc>
        <w:tc>
          <w:tcPr>
            <w:tcW w:w="80" w:type="dxa"/>
            <w:vAlign w:val="bottom"/>
          </w:tcPr>
          <w:p>
            <w:pPr>
              <w:spacing w:after="0"/>
              <w:rPr>
                <w:sz w:val="18"/>
                <w:szCs w:val="18"/>
                <w:color w:val="auto"/>
              </w:rPr>
            </w:pPr>
          </w:p>
        </w:tc>
        <w:tc>
          <w:tcPr>
            <w:tcW w:w="120" w:type="dxa"/>
            <w:vAlign w:val="bottom"/>
            <w:shd w:val="clear" w:color="auto" w:fill="E3F1DA"/>
          </w:tcPr>
          <w:p>
            <w:pPr>
              <w:jc w:val="right"/>
              <w:spacing w:after="0" w:line="203" w:lineRule="exact"/>
              <w:rPr>
                <w:sz w:val="20"/>
                <w:szCs w:val="20"/>
                <w:color w:val="auto"/>
              </w:rPr>
            </w:pPr>
            <w:r>
              <w:rPr>
                <w:rFonts w:ascii="Arial" w:cs="Arial" w:eastAsia="Arial" w:hAnsi="Arial"/>
                <w:sz w:val="18"/>
                <w:szCs w:val="18"/>
                <w:color w:val="86B6A5"/>
                <w:w w:val="79"/>
              </w:rPr>
              <w:t>$</w:t>
            </w:r>
          </w:p>
        </w:tc>
        <w:tc>
          <w:tcPr>
            <w:tcW w:w="1340" w:type="dxa"/>
            <w:vAlign w:val="bottom"/>
          </w:tcPr>
          <w:p>
            <w:pPr>
              <w:jc w:val="right"/>
              <w:ind w:right="70"/>
              <w:spacing w:after="0" w:line="203" w:lineRule="exact"/>
              <w:rPr>
                <w:sz w:val="20"/>
                <w:szCs w:val="20"/>
                <w:color w:val="auto"/>
              </w:rPr>
            </w:pPr>
            <w:r>
              <w:rPr>
                <w:rFonts w:ascii="Arial" w:cs="Arial" w:eastAsia="Arial" w:hAnsi="Arial"/>
                <w:sz w:val="18"/>
                <w:szCs w:val="18"/>
                <w:color w:val="86B6A5"/>
              </w:rPr>
              <w:t>(18.7)</w:t>
            </w:r>
          </w:p>
        </w:tc>
        <w:tc>
          <w:tcPr>
            <w:tcW w:w="440" w:type="dxa"/>
            <w:vAlign w:val="bottom"/>
          </w:tcPr>
          <w:p>
            <w:pPr>
              <w:jc w:val="right"/>
              <w:ind w:right="251"/>
              <w:spacing w:after="0" w:line="203" w:lineRule="exact"/>
              <w:rPr>
                <w:sz w:val="20"/>
                <w:szCs w:val="20"/>
                <w:color w:val="auto"/>
              </w:rPr>
            </w:pPr>
            <w:r>
              <w:rPr>
                <w:rFonts w:ascii="Arial" w:cs="Arial" w:eastAsia="Arial" w:hAnsi="Arial"/>
                <w:sz w:val="18"/>
                <w:szCs w:val="18"/>
                <w:color w:val="auto"/>
                <w:w w:val="79"/>
              </w:rPr>
              <w:t>$</w:t>
            </w:r>
          </w:p>
        </w:tc>
        <w:tc>
          <w:tcPr>
            <w:tcW w:w="860" w:type="dxa"/>
            <w:vAlign w:val="bottom"/>
            <w:gridSpan w:val="3"/>
          </w:tcPr>
          <w:p>
            <w:pPr>
              <w:jc w:val="right"/>
              <w:spacing w:after="0" w:line="203" w:lineRule="exact"/>
              <w:rPr>
                <w:sz w:val="20"/>
                <w:szCs w:val="20"/>
                <w:color w:val="auto"/>
              </w:rPr>
            </w:pPr>
            <w:r>
              <w:rPr>
                <w:rFonts w:ascii="Arial" w:cs="Arial" w:eastAsia="Arial" w:hAnsi="Arial"/>
                <w:sz w:val="18"/>
                <w:szCs w:val="18"/>
                <w:color w:val="auto"/>
              </w:rPr>
              <w:t>(25.0)</w:t>
            </w:r>
          </w:p>
        </w:tc>
      </w:tr>
      <w:tr>
        <w:trPr>
          <w:trHeight w:val="202"/>
        </w:trPr>
        <w:tc>
          <w:tcPr>
            <w:tcW w:w="20" w:type="dxa"/>
            <w:vAlign w:val="bottom"/>
          </w:tcPr>
          <w:p>
            <w:pPr>
              <w:spacing w:after="0"/>
              <w:rPr>
                <w:sz w:val="17"/>
                <w:szCs w:val="17"/>
                <w:color w:val="auto"/>
              </w:rPr>
            </w:pPr>
          </w:p>
        </w:tc>
        <w:tc>
          <w:tcPr>
            <w:tcW w:w="5560" w:type="dxa"/>
            <w:vAlign w:val="bottom"/>
            <w:tcBorders>
              <w:top w:val="single" w:sz="8" w:color="939598"/>
            </w:tcBorders>
          </w:tcPr>
          <w:p>
            <w:pPr>
              <w:spacing w:after="0" w:line="201" w:lineRule="exact"/>
              <w:rPr>
                <w:sz w:val="20"/>
                <w:szCs w:val="20"/>
                <w:color w:val="auto"/>
              </w:rPr>
            </w:pPr>
            <w:r>
              <w:rPr>
                <w:rFonts w:ascii="Arial" w:cs="Arial" w:eastAsia="Arial" w:hAnsi="Arial"/>
                <w:sz w:val="18"/>
                <w:szCs w:val="18"/>
                <w:b w:val="1"/>
                <w:bCs w:val="1"/>
                <w:color w:val="939598"/>
              </w:rPr>
              <w:t>Amounts Recognized</w:t>
            </w:r>
          </w:p>
        </w:tc>
        <w:tc>
          <w:tcPr>
            <w:tcW w:w="120" w:type="dxa"/>
            <w:vAlign w:val="bottom"/>
            <w:tcBorders>
              <w:top w:val="single" w:sz="8" w:color="939598"/>
            </w:tcBorders>
            <w:shd w:val="clear" w:color="auto" w:fill="E3F1DA"/>
          </w:tcPr>
          <w:p>
            <w:pPr>
              <w:spacing w:after="0"/>
              <w:rPr>
                <w:sz w:val="17"/>
                <w:szCs w:val="17"/>
                <w:color w:val="auto"/>
              </w:rPr>
            </w:pPr>
          </w:p>
        </w:tc>
        <w:tc>
          <w:tcPr>
            <w:tcW w:w="1260" w:type="dxa"/>
            <w:vAlign w:val="bottom"/>
            <w:tcBorders>
              <w:top w:val="single" w:sz="8" w:color="939598"/>
            </w:tcBorders>
          </w:tcPr>
          <w:p>
            <w:pPr>
              <w:spacing w:after="0"/>
              <w:rPr>
                <w:sz w:val="17"/>
                <w:szCs w:val="17"/>
                <w:color w:val="auto"/>
              </w:rPr>
            </w:pPr>
          </w:p>
        </w:tc>
        <w:tc>
          <w:tcPr>
            <w:tcW w:w="80" w:type="dxa"/>
            <w:vAlign w:val="bottom"/>
            <w:tcBorders>
              <w:top w:val="single" w:sz="8" w:color="939598"/>
            </w:tcBorders>
          </w:tcPr>
          <w:p>
            <w:pPr>
              <w:spacing w:after="0"/>
              <w:rPr>
                <w:sz w:val="17"/>
                <w:szCs w:val="17"/>
                <w:color w:val="auto"/>
              </w:rPr>
            </w:pPr>
          </w:p>
        </w:tc>
        <w:tc>
          <w:tcPr>
            <w:tcW w:w="280" w:type="dxa"/>
            <w:vAlign w:val="bottom"/>
            <w:tcBorders>
              <w:top w:val="single" w:sz="8" w:color="939598"/>
            </w:tcBorders>
          </w:tcPr>
          <w:p>
            <w:pPr>
              <w:spacing w:after="0"/>
              <w:rPr>
                <w:sz w:val="17"/>
                <w:szCs w:val="17"/>
                <w:color w:val="auto"/>
              </w:rPr>
            </w:pPr>
          </w:p>
        </w:tc>
        <w:tc>
          <w:tcPr>
            <w:tcW w:w="960" w:type="dxa"/>
            <w:vAlign w:val="bottom"/>
            <w:tcBorders>
              <w:top w:val="single" w:sz="8" w:color="939598"/>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939598"/>
            </w:tcBorders>
            <w:shd w:val="clear" w:color="auto" w:fill="E3F1DA"/>
          </w:tcPr>
          <w:p>
            <w:pPr>
              <w:spacing w:after="0"/>
              <w:rPr>
                <w:sz w:val="17"/>
                <w:szCs w:val="17"/>
                <w:color w:val="auto"/>
              </w:rPr>
            </w:pPr>
          </w:p>
        </w:tc>
        <w:tc>
          <w:tcPr>
            <w:tcW w:w="1340" w:type="dxa"/>
            <w:vAlign w:val="bottom"/>
            <w:tcBorders>
              <w:top w:val="single" w:sz="8" w:color="939598"/>
            </w:tcBorders>
          </w:tcPr>
          <w:p>
            <w:pPr>
              <w:spacing w:after="0"/>
              <w:rPr>
                <w:sz w:val="17"/>
                <w:szCs w:val="17"/>
                <w:color w:val="auto"/>
              </w:rPr>
            </w:pPr>
          </w:p>
        </w:tc>
        <w:tc>
          <w:tcPr>
            <w:tcW w:w="440" w:type="dxa"/>
            <w:vAlign w:val="bottom"/>
            <w:tcBorders>
              <w:top w:val="single" w:sz="8" w:color="939598"/>
            </w:tcBorders>
          </w:tcPr>
          <w:p>
            <w:pPr>
              <w:spacing w:after="0"/>
              <w:rPr>
                <w:sz w:val="17"/>
                <w:szCs w:val="17"/>
                <w:color w:val="auto"/>
              </w:rPr>
            </w:pPr>
          </w:p>
        </w:tc>
        <w:tc>
          <w:tcPr>
            <w:tcW w:w="800" w:type="dxa"/>
            <w:vAlign w:val="bottom"/>
            <w:tcBorders>
              <w:top w:val="single" w:sz="8" w:color="939598"/>
            </w:tcBorders>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3"/>
        </w:trPr>
        <w:tc>
          <w:tcPr>
            <w:tcW w:w="5580" w:type="dxa"/>
            <w:vAlign w:val="bottom"/>
            <w:gridSpan w:val="2"/>
          </w:tcPr>
          <w:p>
            <w:pPr>
              <w:spacing w:after="0" w:line="202" w:lineRule="exact"/>
              <w:rPr>
                <w:sz w:val="20"/>
                <w:szCs w:val="20"/>
                <w:color w:val="auto"/>
              </w:rPr>
            </w:pPr>
            <w:r>
              <w:rPr>
                <w:rFonts w:ascii="Arial" w:cs="Arial" w:eastAsia="Arial" w:hAnsi="Arial"/>
                <w:sz w:val="18"/>
                <w:szCs w:val="18"/>
                <w:color w:val="auto"/>
              </w:rPr>
              <w:t>Noncurrent assets</w:t>
            </w:r>
          </w:p>
        </w:tc>
        <w:tc>
          <w:tcPr>
            <w:tcW w:w="120" w:type="dxa"/>
            <w:vAlign w:val="bottom"/>
            <w:shd w:val="clear" w:color="auto" w:fill="E3F1DA"/>
          </w:tcPr>
          <w:p>
            <w:pPr>
              <w:jc w:val="right"/>
              <w:spacing w:after="0" w:line="202" w:lineRule="exact"/>
              <w:rPr>
                <w:sz w:val="20"/>
                <w:szCs w:val="20"/>
                <w:color w:val="auto"/>
              </w:rPr>
            </w:pPr>
            <w:r>
              <w:rPr>
                <w:rFonts w:ascii="Arial" w:cs="Arial" w:eastAsia="Arial" w:hAnsi="Arial"/>
                <w:sz w:val="18"/>
                <w:szCs w:val="18"/>
                <w:color w:val="86B6A5"/>
                <w:w w:val="79"/>
              </w:rPr>
              <w:t>$</w:t>
            </w:r>
          </w:p>
        </w:tc>
        <w:tc>
          <w:tcPr>
            <w:tcW w:w="1260" w:type="dxa"/>
            <w:vAlign w:val="bottom"/>
          </w:tcPr>
          <w:p>
            <w:pPr>
              <w:jc w:val="right"/>
              <w:ind w:right="50"/>
              <w:spacing w:after="0" w:line="202" w:lineRule="exact"/>
              <w:rPr>
                <w:sz w:val="20"/>
                <w:szCs w:val="20"/>
                <w:color w:val="auto"/>
              </w:rPr>
            </w:pPr>
            <w:r>
              <w:rPr>
                <w:rFonts w:ascii="Arial" w:cs="Arial" w:eastAsia="Arial" w:hAnsi="Arial"/>
                <w:sz w:val="18"/>
                <w:szCs w:val="18"/>
                <w:color w:val="86B6A5"/>
              </w:rPr>
              <w:t>14.3</w:t>
            </w:r>
          </w:p>
        </w:tc>
        <w:tc>
          <w:tcPr>
            <w:tcW w:w="80" w:type="dxa"/>
            <w:vAlign w:val="bottom"/>
          </w:tcPr>
          <w:p>
            <w:pPr>
              <w:spacing w:after="0"/>
              <w:rPr>
                <w:sz w:val="17"/>
                <w:szCs w:val="17"/>
                <w:color w:val="auto"/>
              </w:rPr>
            </w:pPr>
          </w:p>
        </w:tc>
        <w:tc>
          <w:tcPr>
            <w:tcW w:w="280" w:type="dxa"/>
            <w:vAlign w:val="bottom"/>
          </w:tcPr>
          <w:p>
            <w:pPr>
              <w:jc w:val="right"/>
              <w:ind w:right="90"/>
              <w:spacing w:after="0" w:line="202" w:lineRule="exact"/>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13.9</w:t>
            </w:r>
          </w:p>
        </w:tc>
        <w:tc>
          <w:tcPr>
            <w:tcW w:w="80" w:type="dxa"/>
            <w:vAlign w:val="bottom"/>
          </w:tcPr>
          <w:p>
            <w:pPr>
              <w:spacing w:after="0"/>
              <w:rPr>
                <w:sz w:val="17"/>
                <w:szCs w:val="17"/>
                <w:color w:val="auto"/>
              </w:rPr>
            </w:pPr>
          </w:p>
        </w:tc>
        <w:tc>
          <w:tcPr>
            <w:tcW w:w="120" w:type="dxa"/>
            <w:vAlign w:val="bottom"/>
            <w:shd w:val="clear" w:color="auto" w:fill="E3F1DA"/>
          </w:tcPr>
          <w:p>
            <w:pPr>
              <w:jc w:val="right"/>
              <w:spacing w:after="0" w:line="202" w:lineRule="exact"/>
              <w:rPr>
                <w:sz w:val="20"/>
                <w:szCs w:val="20"/>
                <w:color w:val="auto"/>
              </w:rPr>
            </w:pPr>
            <w:r>
              <w:rPr>
                <w:rFonts w:ascii="Arial" w:cs="Arial" w:eastAsia="Arial" w:hAnsi="Arial"/>
                <w:sz w:val="18"/>
                <w:szCs w:val="18"/>
                <w:color w:val="86B6A5"/>
                <w:w w:val="79"/>
              </w:rPr>
              <w:t>$</w:t>
            </w:r>
          </w:p>
        </w:tc>
        <w:tc>
          <w:tcPr>
            <w:tcW w:w="1340" w:type="dxa"/>
            <w:vAlign w:val="bottom"/>
          </w:tcPr>
          <w:p>
            <w:pPr>
              <w:jc w:val="right"/>
              <w:ind w:right="130"/>
              <w:spacing w:after="0" w:line="202" w:lineRule="exact"/>
              <w:rPr>
                <w:sz w:val="20"/>
                <w:szCs w:val="20"/>
                <w:color w:val="auto"/>
              </w:rPr>
            </w:pPr>
            <w:r>
              <w:rPr>
                <w:rFonts w:ascii="Arial" w:cs="Arial" w:eastAsia="Arial" w:hAnsi="Arial"/>
                <w:sz w:val="18"/>
                <w:szCs w:val="18"/>
                <w:color w:val="86B6A5"/>
              </w:rPr>
              <w:t>23.7</w:t>
            </w:r>
          </w:p>
        </w:tc>
        <w:tc>
          <w:tcPr>
            <w:tcW w:w="440" w:type="dxa"/>
            <w:vAlign w:val="bottom"/>
          </w:tcPr>
          <w:p>
            <w:pPr>
              <w:jc w:val="right"/>
              <w:ind w:right="251"/>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24.0</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3"/>
        </w:trPr>
        <w:tc>
          <w:tcPr>
            <w:tcW w:w="5580" w:type="dxa"/>
            <w:vAlign w:val="bottom"/>
            <w:gridSpan w:val="2"/>
          </w:tcPr>
          <w:p>
            <w:pPr>
              <w:spacing w:after="0" w:line="202" w:lineRule="exact"/>
              <w:rPr>
                <w:sz w:val="20"/>
                <w:szCs w:val="20"/>
                <w:color w:val="auto"/>
              </w:rPr>
            </w:pPr>
            <w:r>
              <w:rPr>
                <w:rFonts w:ascii="Arial" w:cs="Arial" w:eastAsia="Arial" w:hAnsi="Arial"/>
                <w:sz w:val="18"/>
                <w:szCs w:val="18"/>
                <w:color w:val="auto"/>
              </w:rPr>
              <w:t>Current liabilities</w:t>
            </w:r>
          </w:p>
        </w:tc>
        <w:tc>
          <w:tcPr>
            <w:tcW w:w="120" w:type="dxa"/>
            <w:vAlign w:val="bottom"/>
            <w:shd w:val="clear" w:color="auto" w:fill="E3F1DA"/>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86B6A5"/>
              </w:rPr>
              <w:t>(2.6)</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(2.4)</w:t>
            </w:r>
          </w:p>
        </w:tc>
        <w:tc>
          <w:tcPr>
            <w:tcW w:w="80" w:type="dxa"/>
            <w:vAlign w:val="bottom"/>
          </w:tcPr>
          <w:p>
            <w:pPr>
              <w:spacing w:after="0"/>
              <w:rPr>
                <w:sz w:val="17"/>
                <w:szCs w:val="17"/>
                <w:color w:val="auto"/>
              </w:rPr>
            </w:pPr>
          </w:p>
        </w:tc>
        <w:tc>
          <w:tcPr>
            <w:tcW w:w="120" w:type="dxa"/>
            <w:vAlign w:val="bottom"/>
            <w:shd w:val="clear" w:color="auto" w:fill="E3F1DA"/>
          </w:tcPr>
          <w:p>
            <w:pPr>
              <w:spacing w:after="0"/>
              <w:rPr>
                <w:sz w:val="17"/>
                <w:szCs w:val="17"/>
                <w:color w:val="auto"/>
              </w:rPr>
            </w:pPr>
          </w:p>
        </w:tc>
        <w:tc>
          <w:tcPr>
            <w:tcW w:w="1340" w:type="dxa"/>
            <w:vAlign w:val="bottom"/>
          </w:tcPr>
          <w:p>
            <w:pPr>
              <w:jc w:val="right"/>
              <w:ind w:right="70"/>
              <w:spacing w:after="0" w:line="202" w:lineRule="exact"/>
              <w:rPr>
                <w:sz w:val="20"/>
                <w:szCs w:val="20"/>
                <w:color w:val="auto"/>
              </w:rPr>
            </w:pPr>
            <w:r>
              <w:rPr>
                <w:rFonts w:ascii="Arial" w:cs="Arial" w:eastAsia="Arial" w:hAnsi="Arial"/>
                <w:sz w:val="18"/>
                <w:szCs w:val="18"/>
                <w:color w:val="86B6A5"/>
              </w:rPr>
              <w:t>(0.4)</w:t>
            </w:r>
          </w:p>
        </w:tc>
        <w:tc>
          <w:tcPr>
            <w:tcW w:w="440" w:type="dxa"/>
            <w:vAlign w:val="bottom"/>
          </w:tcPr>
          <w:p>
            <w:pPr>
              <w:spacing w:after="0"/>
              <w:rPr>
                <w:sz w:val="17"/>
                <w:szCs w:val="17"/>
                <w:color w:val="auto"/>
              </w:rPr>
            </w:pPr>
          </w:p>
        </w:tc>
        <w:tc>
          <w:tcPr>
            <w:tcW w:w="86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(0.5)</w:t>
            </w:r>
          </w:p>
        </w:tc>
      </w:tr>
      <w:tr>
        <w:trPr>
          <w:trHeight w:val="203"/>
        </w:trPr>
        <w:tc>
          <w:tcPr>
            <w:tcW w:w="5580" w:type="dxa"/>
            <w:vAlign w:val="bottom"/>
            <w:gridSpan w:val="2"/>
          </w:tcPr>
          <w:p>
            <w:pPr>
              <w:spacing w:after="0" w:line="202" w:lineRule="exact"/>
              <w:rPr>
                <w:sz w:val="20"/>
                <w:szCs w:val="20"/>
                <w:color w:val="auto"/>
              </w:rPr>
            </w:pPr>
            <w:r>
              <w:rPr>
                <w:rFonts w:ascii="Arial" w:cs="Arial" w:eastAsia="Arial" w:hAnsi="Arial"/>
                <w:sz w:val="18"/>
                <w:szCs w:val="18"/>
                <w:color w:val="auto"/>
              </w:rPr>
              <w:t>Noncurrent liabilities</w:t>
            </w:r>
          </w:p>
        </w:tc>
        <w:tc>
          <w:tcPr>
            <w:tcW w:w="120" w:type="dxa"/>
            <w:vAlign w:val="bottom"/>
            <w:shd w:val="clear" w:color="auto" w:fill="E3F1DA"/>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86B6A5"/>
              </w:rPr>
              <w:t>(31.5)</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(28.2)</w:t>
            </w:r>
          </w:p>
        </w:tc>
        <w:tc>
          <w:tcPr>
            <w:tcW w:w="80" w:type="dxa"/>
            <w:vAlign w:val="bottom"/>
          </w:tcPr>
          <w:p>
            <w:pPr>
              <w:spacing w:after="0"/>
              <w:rPr>
                <w:sz w:val="17"/>
                <w:szCs w:val="17"/>
                <w:color w:val="auto"/>
              </w:rPr>
            </w:pPr>
          </w:p>
        </w:tc>
        <w:tc>
          <w:tcPr>
            <w:tcW w:w="120" w:type="dxa"/>
            <w:vAlign w:val="bottom"/>
            <w:shd w:val="clear" w:color="auto" w:fill="E3F1DA"/>
          </w:tcPr>
          <w:p>
            <w:pPr>
              <w:spacing w:after="0"/>
              <w:rPr>
                <w:sz w:val="17"/>
                <w:szCs w:val="17"/>
                <w:color w:val="auto"/>
              </w:rPr>
            </w:pPr>
          </w:p>
        </w:tc>
        <w:tc>
          <w:tcPr>
            <w:tcW w:w="1340" w:type="dxa"/>
            <w:vAlign w:val="bottom"/>
          </w:tcPr>
          <w:p>
            <w:pPr>
              <w:jc w:val="right"/>
              <w:ind w:right="70"/>
              <w:spacing w:after="0" w:line="202" w:lineRule="exact"/>
              <w:rPr>
                <w:sz w:val="20"/>
                <w:szCs w:val="20"/>
                <w:color w:val="auto"/>
              </w:rPr>
            </w:pPr>
            <w:r>
              <w:rPr>
                <w:rFonts w:ascii="Arial" w:cs="Arial" w:eastAsia="Arial" w:hAnsi="Arial"/>
                <w:sz w:val="18"/>
                <w:szCs w:val="18"/>
                <w:color w:val="86B6A5"/>
              </w:rPr>
              <w:t>(42.0)</w:t>
            </w:r>
          </w:p>
        </w:tc>
        <w:tc>
          <w:tcPr>
            <w:tcW w:w="440" w:type="dxa"/>
            <w:vAlign w:val="bottom"/>
          </w:tcPr>
          <w:p>
            <w:pPr>
              <w:spacing w:after="0"/>
              <w:rPr>
                <w:sz w:val="17"/>
                <w:szCs w:val="17"/>
                <w:color w:val="auto"/>
              </w:rPr>
            </w:pPr>
          </w:p>
        </w:tc>
        <w:tc>
          <w:tcPr>
            <w:tcW w:w="86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(48.5)</w:t>
            </w:r>
          </w:p>
        </w:tc>
      </w:tr>
      <w:tr>
        <w:trPr>
          <w:trHeight w:val="204"/>
        </w:trPr>
        <w:tc>
          <w:tcPr>
            <w:tcW w:w="20" w:type="dxa"/>
            <w:vAlign w:val="bottom"/>
          </w:tcPr>
          <w:p>
            <w:pPr>
              <w:spacing w:after="0"/>
              <w:rPr>
                <w:sz w:val="17"/>
                <w:szCs w:val="17"/>
                <w:color w:val="auto"/>
              </w:rPr>
            </w:pPr>
          </w:p>
        </w:tc>
        <w:tc>
          <w:tcPr>
            <w:tcW w:w="5560" w:type="dxa"/>
            <w:vAlign w:val="bottom"/>
            <w:tcBorders>
              <w:top w:val="single" w:sz="8" w:color="939598"/>
              <w:bottom w:val="single" w:sz="8" w:color="939598"/>
            </w:tcBorders>
          </w:tcPr>
          <w:p>
            <w:pPr>
              <w:spacing w:after="0" w:line="197" w:lineRule="exact"/>
              <w:rPr>
                <w:sz w:val="20"/>
                <w:szCs w:val="20"/>
                <w:color w:val="auto"/>
              </w:rPr>
            </w:pPr>
            <w:r>
              <w:rPr>
                <w:rFonts w:ascii="Arial" w:cs="Arial" w:eastAsia="Arial" w:hAnsi="Arial"/>
                <w:sz w:val="18"/>
                <w:szCs w:val="18"/>
                <w:color w:val="auto"/>
              </w:rPr>
              <w:t>Net amount recognized</w:t>
            </w:r>
          </w:p>
        </w:tc>
        <w:tc>
          <w:tcPr>
            <w:tcW w:w="120" w:type="dxa"/>
            <w:vAlign w:val="bottom"/>
            <w:tcBorders>
              <w:top w:val="single" w:sz="8" w:color="939598"/>
              <w:bottom w:val="single" w:sz="8" w:color="939598"/>
            </w:tcBorders>
            <w:shd w:val="clear" w:color="auto" w:fill="E3F1DA"/>
          </w:tcPr>
          <w:p>
            <w:pPr>
              <w:jc w:val="right"/>
              <w:spacing w:after="0" w:line="197" w:lineRule="exact"/>
              <w:rPr>
                <w:sz w:val="20"/>
                <w:szCs w:val="20"/>
                <w:color w:val="auto"/>
              </w:rPr>
            </w:pPr>
            <w:r>
              <w:rPr>
                <w:rFonts w:ascii="Arial" w:cs="Arial" w:eastAsia="Arial" w:hAnsi="Arial"/>
                <w:sz w:val="18"/>
                <w:szCs w:val="18"/>
                <w:color w:val="86B6A5"/>
                <w:w w:val="79"/>
              </w:rPr>
              <w:t>$</w:t>
            </w:r>
          </w:p>
        </w:tc>
        <w:tc>
          <w:tcPr>
            <w:tcW w:w="1260" w:type="dxa"/>
            <w:vAlign w:val="bottom"/>
            <w:tcBorders>
              <w:top w:val="single" w:sz="8" w:color="939598"/>
              <w:bottom w:val="single" w:sz="8" w:color="939598"/>
            </w:tcBorders>
          </w:tcPr>
          <w:p>
            <w:pPr>
              <w:jc w:val="right"/>
              <w:spacing w:after="0" w:line="197" w:lineRule="exact"/>
              <w:rPr>
                <w:sz w:val="20"/>
                <w:szCs w:val="20"/>
                <w:color w:val="auto"/>
              </w:rPr>
            </w:pPr>
            <w:r>
              <w:rPr>
                <w:rFonts w:ascii="Arial" w:cs="Arial" w:eastAsia="Arial" w:hAnsi="Arial"/>
                <w:sz w:val="18"/>
                <w:szCs w:val="18"/>
                <w:color w:val="86B6A5"/>
              </w:rPr>
              <w:t>(19.8)</w:t>
            </w:r>
          </w:p>
        </w:tc>
        <w:tc>
          <w:tcPr>
            <w:tcW w:w="80" w:type="dxa"/>
            <w:vAlign w:val="bottom"/>
            <w:tcBorders>
              <w:top w:val="single" w:sz="8" w:color="939598"/>
              <w:bottom w:val="single" w:sz="8" w:color="939598"/>
            </w:tcBorders>
          </w:tcPr>
          <w:p>
            <w:pPr>
              <w:spacing w:after="0"/>
              <w:rPr>
                <w:sz w:val="17"/>
                <w:szCs w:val="17"/>
                <w:color w:val="auto"/>
              </w:rPr>
            </w:pPr>
          </w:p>
        </w:tc>
        <w:tc>
          <w:tcPr>
            <w:tcW w:w="280" w:type="dxa"/>
            <w:vAlign w:val="bottom"/>
            <w:tcBorders>
              <w:top w:val="single" w:sz="8" w:color="939598"/>
              <w:bottom w:val="single" w:sz="8" w:color="939598"/>
            </w:tcBorders>
          </w:tcPr>
          <w:p>
            <w:pPr>
              <w:jc w:val="right"/>
              <w:ind w:right="90"/>
              <w:spacing w:after="0" w:line="197"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939598"/>
              <w:bottom w:val="single" w:sz="8" w:color="939598"/>
            </w:tcBorders>
          </w:tcPr>
          <w:p>
            <w:pPr>
              <w:jc w:val="right"/>
              <w:spacing w:after="0" w:line="197" w:lineRule="exact"/>
              <w:rPr>
                <w:sz w:val="20"/>
                <w:szCs w:val="20"/>
                <w:color w:val="auto"/>
              </w:rPr>
            </w:pPr>
            <w:r>
              <w:rPr>
                <w:rFonts w:ascii="Arial" w:cs="Arial" w:eastAsia="Arial" w:hAnsi="Arial"/>
                <w:sz w:val="18"/>
                <w:szCs w:val="18"/>
                <w:color w:val="auto"/>
              </w:rPr>
              <w:t>(16.7</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7"/>
                <w:szCs w:val="17"/>
                <w:color w:val="auto"/>
              </w:rPr>
            </w:pPr>
          </w:p>
        </w:tc>
        <w:tc>
          <w:tcPr>
            <w:tcW w:w="120" w:type="dxa"/>
            <w:vAlign w:val="bottom"/>
            <w:tcBorders>
              <w:top w:val="single" w:sz="8" w:color="939598"/>
              <w:bottom w:val="single" w:sz="8" w:color="939598"/>
            </w:tcBorders>
            <w:shd w:val="clear" w:color="auto" w:fill="E3F1DA"/>
          </w:tcPr>
          <w:p>
            <w:pPr>
              <w:jc w:val="right"/>
              <w:spacing w:after="0" w:line="197" w:lineRule="exact"/>
              <w:rPr>
                <w:sz w:val="20"/>
                <w:szCs w:val="20"/>
                <w:color w:val="auto"/>
              </w:rPr>
            </w:pPr>
            <w:r>
              <w:rPr>
                <w:rFonts w:ascii="Arial" w:cs="Arial" w:eastAsia="Arial" w:hAnsi="Arial"/>
                <w:sz w:val="18"/>
                <w:szCs w:val="18"/>
                <w:color w:val="86B6A5"/>
                <w:w w:val="79"/>
              </w:rPr>
              <w:t>$</w:t>
            </w:r>
          </w:p>
        </w:tc>
        <w:tc>
          <w:tcPr>
            <w:tcW w:w="1340" w:type="dxa"/>
            <w:vAlign w:val="bottom"/>
            <w:tcBorders>
              <w:top w:val="single" w:sz="8" w:color="939598"/>
              <w:bottom w:val="single" w:sz="8" w:color="939598"/>
            </w:tcBorders>
          </w:tcPr>
          <w:p>
            <w:pPr>
              <w:jc w:val="right"/>
              <w:ind w:right="70"/>
              <w:spacing w:after="0" w:line="197" w:lineRule="exact"/>
              <w:rPr>
                <w:sz w:val="20"/>
                <w:szCs w:val="20"/>
                <w:color w:val="auto"/>
              </w:rPr>
            </w:pPr>
            <w:r>
              <w:rPr>
                <w:rFonts w:ascii="Arial" w:cs="Arial" w:eastAsia="Arial" w:hAnsi="Arial"/>
                <w:sz w:val="18"/>
                <w:szCs w:val="18"/>
                <w:color w:val="86B6A5"/>
              </w:rPr>
              <w:t>(18.7)</w:t>
            </w:r>
          </w:p>
        </w:tc>
        <w:tc>
          <w:tcPr>
            <w:tcW w:w="440" w:type="dxa"/>
            <w:vAlign w:val="bottom"/>
            <w:tcBorders>
              <w:top w:val="single" w:sz="8" w:color="939598"/>
              <w:bottom w:val="single" w:sz="8" w:color="939598"/>
            </w:tcBorders>
          </w:tcPr>
          <w:p>
            <w:pPr>
              <w:jc w:val="right"/>
              <w:ind w:right="251"/>
              <w:spacing w:after="0" w:line="197" w:lineRule="exact"/>
              <w:rPr>
                <w:sz w:val="20"/>
                <w:szCs w:val="20"/>
                <w:color w:val="auto"/>
              </w:rPr>
            </w:pPr>
            <w:r>
              <w:rPr>
                <w:rFonts w:ascii="Arial" w:cs="Arial" w:eastAsia="Arial" w:hAnsi="Arial"/>
                <w:sz w:val="18"/>
                <w:szCs w:val="18"/>
                <w:color w:val="auto"/>
                <w:w w:val="79"/>
              </w:rPr>
              <w:t>$</w:t>
            </w:r>
          </w:p>
        </w:tc>
        <w:tc>
          <w:tcPr>
            <w:tcW w:w="800" w:type="dxa"/>
            <w:vAlign w:val="bottom"/>
            <w:tcBorders>
              <w:top w:val="single" w:sz="8" w:color="939598"/>
              <w:bottom w:val="single" w:sz="8" w:color="939598"/>
            </w:tcBorders>
          </w:tcPr>
          <w:p>
            <w:pPr>
              <w:jc w:val="right"/>
              <w:spacing w:after="0" w:line="197" w:lineRule="exact"/>
              <w:rPr>
                <w:sz w:val="20"/>
                <w:szCs w:val="20"/>
                <w:color w:val="auto"/>
              </w:rPr>
            </w:pPr>
            <w:r>
              <w:rPr>
                <w:rFonts w:ascii="Arial" w:cs="Arial" w:eastAsia="Arial" w:hAnsi="Arial"/>
                <w:sz w:val="18"/>
                <w:szCs w:val="18"/>
                <w:color w:val="auto"/>
              </w:rPr>
              <w:t>(25.0</w:t>
            </w:r>
          </w:p>
        </w:tc>
        <w:tc>
          <w:tcPr>
            <w:tcW w:w="20" w:type="dxa"/>
            <w:vAlign w:val="bottom"/>
            <w:tcBorders>
              <w:top w:val="single" w:sz="8" w:color="939598"/>
            </w:tcBorders>
          </w:tcPr>
          <w:p>
            <w:pPr>
              <w:spacing w:after="0"/>
              <w:rPr>
                <w:sz w:val="17"/>
                <w:szCs w:val="17"/>
                <w:color w:val="auto"/>
              </w:rPr>
            </w:pPr>
          </w:p>
        </w:tc>
        <w:tc>
          <w:tcPr>
            <w:tcW w:w="40" w:type="dxa"/>
            <w:vAlign w:val="bottom"/>
          </w:tcPr>
          <w:p>
            <w:pPr>
              <w:jc w:val="right"/>
              <w:spacing w:after="0"/>
              <w:rPr>
                <w:sz w:val="20"/>
                <w:szCs w:val="20"/>
                <w:color w:val="auto"/>
              </w:rPr>
            </w:pPr>
            <w:r>
              <w:rPr>
                <w:rFonts w:ascii="Arial" w:cs="Arial" w:eastAsia="Arial" w:hAnsi="Arial"/>
                <w:sz w:val="8"/>
                <w:szCs w:val="8"/>
                <w:color w:val="auto"/>
                <w:w w:val="73"/>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3615690</wp:posOffset>
            </wp:positionH>
            <wp:positionV relativeFrom="paragraph">
              <wp:posOffset>-3695700</wp:posOffset>
            </wp:positionV>
            <wp:extent cx="857885" cy="36874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857885" cy="3687445"/>
                    </a:xfrm>
                    <a:prstGeom prst="rect">
                      <a:avLst/>
                    </a:prstGeom>
                    <a:noFill/>
                  </pic:spPr>
                </pic:pic>
              </a:graphicData>
            </a:graphic>
          </wp:anchor>
        </w:drawing>
        <w:drawing>
          <wp:anchor simplePos="0" relativeHeight="251657728" behindDoc="1" locked="0" layoutInCell="0" allowOverlap="1">
            <wp:simplePos x="0" y="0"/>
            <wp:positionH relativeFrom="column">
              <wp:posOffset>5467985</wp:posOffset>
            </wp:positionH>
            <wp:positionV relativeFrom="paragraph">
              <wp:posOffset>-3695700</wp:posOffset>
            </wp:positionV>
            <wp:extent cx="857885" cy="36874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857885" cy="3687445"/>
                    </a:xfrm>
                    <a:prstGeom prst="rect">
                      <a:avLst/>
                    </a:prstGeom>
                    <a:noFill/>
                  </pic:spPr>
                </pic:pic>
              </a:graphicData>
            </a:graphic>
          </wp:anchor>
        </w:drawing>
      </w:r>
    </w:p>
    <w:p>
      <w:pPr>
        <w:spacing w:after="0" w:line="195"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Effective January 1, 2009, we terminated our defined benefit plan in Japan and replaced it with a defined contribution plan, resulting in a curtailment and settlement gain of $4.3.</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Amounts recognized in Accumulated Other Comprehensive Income (Loss), net of tax, consist of:</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5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86B6A5"/>
              </w:rPr>
              <w:t>U.S. Plans</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60" w:type="dxa"/>
            <w:vAlign w:val="bottom"/>
            <w:gridSpan w:val="2"/>
          </w:tcPr>
          <w:p>
            <w:pPr>
              <w:jc w:val="right"/>
              <w:spacing w:after="0"/>
              <w:rPr>
                <w:sz w:val="20"/>
                <w:szCs w:val="20"/>
                <w:color w:val="auto"/>
              </w:rPr>
            </w:pPr>
            <w:r>
              <w:rPr>
                <w:rFonts w:ascii="Arial" w:cs="Arial" w:eastAsia="Arial" w:hAnsi="Arial"/>
                <w:sz w:val="16"/>
                <w:szCs w:val="16"/>
                <w:b w:val="1"/>
                <w:bCs w:val="1"/>
                <w:color w:val="86B6A5"/>
              </w:rPr>
              <w:t>Non-U.S.</w:t>
            </w:r>
          </w:p>
        </w:tc>
      </w:tr>
      <w:tr>
        <w:trPr>
          <w:trHeight w:val="214"/>
        </w:trPr>
        <w:tc>
          <w:tcPr>
            <w:tcW w:w="20" w:type="dxa"/>
            <w:vAlign w:val="bottom"/>
          </w:tcPr>
          <w:p>
            <w:pPr>
              <w:spacing w:after="0"/>
              <w:rPr>
                <w:sz w:val="18"/>
                <w:szCs w:val="18"/>
                <w:color w:val="auto"/>
              </w:rPr>
            </w:pPr>
          </w:p>
        </w:tc>
        <w:tc>
          <w:tcPr>
            <w:tcW w:w="5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6"/>
                <w:szCs w:val="16"/>
                <w:b w:val="1"/>
                <w:bCs w:val="1"/>
                <w:color w:val="86B6A5"/>
              </w:rPr>
              <w:t>Plans</w:t>
            </w:r>
          </w:p>
        </w:tc>
      </w:tr>
      <w:tr>
        <w:trPr>
          <w:trHeight w:val="210"/>
        </w:trPr>
        <w:tc>
          <w:tcPr>
            <w:tcW w:w="20" w:type="dxa"/>
            <w:vAlign w:val="bottom"/>
          </w:tcPr>
          <w:p>
            <w:pPr>
              <w:spacing w:after="0"/>
              <w:rPr>
                <w:sz w:val="18"/>
                <w:szCs w:val="18"/>
                <w:color w:val="auto"/>
              </w:rPr>
            </w:pPr>
          </w:p>
        </w:tc>
        <w:tc>
          <w:tcPr>
            <w:tcW w:w="5560" w:type="dxa"/>
            <w:vAlign w:val="bottom"/>
            <w:tcBorders>
              <w:top w:val="single" w:sz="8" w:color="86B6A5"/>
              <w:bottom w:val="single" w:sz="8" w:color="86B6A5"/>
            </w:tcBorders>
          </w:tcPr>
          <w:p>
            <w:pPr>
              <w:spacing w:after="0"/>
              <w:rPr>
                <w:sz w:val="20"/>
                <w:szCs w:val="20"/>
                <w:color w:val="auto"/>
              </w:rPr>
            </w:pPr>
            <w:r>
              <w:rPr>
                <w:rFonts w:ascii="Arial" w:cs="Arial" w:eastAsia="Arial" w:hAnsi="Arial"/>
                <w:sz w:val="16"/>
                <w:szCs w:val="16"/>
                <w:b w:val="1"/>
                <w:bCs w:val="1"/>
                <w:color w:val="86B6A5"/>
              </w:rPr>
              <w:t>Year Ended December 31</w:t>
            </w:r>
          </w:p>
        </w:tc>
        <w:tc>
          <w:tcPr>
            <w:tcW w:w="120" w:type="dxa"/>
            <w:vAlign w:val="bottom"/>
            <w:tcBorders>
              <w:top w:val="single" w:sz="8" w:color="86B6A5"/>
              <w:bottom w:val="single" w:sz="8" w:color="86B6A5"/>
            </w:tcBorders>
            <w:shd w:val="clear" w:color="auto" w:fill="86B6A5"/>
          </w:tcPr>
          <w:p>
            <w:pPr>
              <w:spacing w:after="0"/>
              <w:rPr>
                <w:sz w:val="18"/>
                <w:szCs w:val="18"/>
                <w:color w:val="auto"/>
              </w:rPr>
            </w:pPr>
          </w:p>
        </w:tc>
        <w:tc>
          <w:tcPr>
            <w:tcW w:w="1240" w:type="dxa"/>
            <w:vAlign w:val="bottom"/>
            <w:tcBorders>
              <w:top w:val="single" w:sz="8" w:color="86B6A5"/>
              <w:bottom w:val="single" w:sz="8" w:color="86B6A5"/>
            </w:tcBorders>
            <w:shd w:val="clear" w:color="auto" w:fill="86B6A5"/>
          </w:tcPr>
          <w:p>
            <w:pPr>
              <w:jc w:val="right"/>
              <w:ind w:right="32"/>
              <w:spacing w:after="0"/>
              <w:rPr>
                <w:sz w:val="20"/>
                <w:szCs w:val="20"/>
                <w:color w:val="auto"/>
              </w:rPr>
            </w:pPr>
            <w:r>
              <w:rPr>
                <w:rFonts w:ascii="Arial" w:cs="Arial" w:eastAsia="Arial" w:hAnsi="Arial"/>
                <w:sz w:val="16"/>
                <w:szCs w:val="16"/>
                <w:b w:val="1"/>
                <w:bCs w:val="1"/>
                <w:color w:val="FFFFFF"/>
              </w:rPr>
              <w:t>2010</w:t>
            </w:r>
          </w:p>
        </w:tc>
        <w:tc>
          <w:tcPr>
            <w:tcW w:w="100" w:type="dxa"/>
            <w:vAlign w:val="bottom"/>
            <w:tcBorders>
              <w:top w:val="single" w:sz="8" w:color="86B6A5"/>
              <w:bottom w:val="single" w:sz="8" w:color="86B6A5"/>
            </w:tcBorders>
            <w:shd w:val="clear" w:color="auto" w:fill="86B6A5"/>
          </w:tcPr>
          <w:p>
            <w:pPr>
              <w:spacing w:after="0"/>
              <w:rPr>
                <w:sz w:val="18"/>
                <w:szCs w:val="18"/>
                <w:color w:val="auto"/>
              </w:rPr>
            </w:pPr>
          </w:p>
        </w:tc>
        <w:tc>
          <w:tcPr>
            <w:tcW w:w="280" w:type="dxa"/>
            <w:vAlign w:val="bottom"/>
            <w:tcBorders>
              <w:top w:val="single" w:sz="8" w:color="86B6A5"/>
              <w:bottom w:val="single" w:sz="8" w:color="86B6A5"/>
            </w:tcBorders>
          </w:tcPr>
          <w:p>
            <w:pPr>
              <w:spacing w:after="0"/>
              <w:rPr>
                <w:sz w:val="18"/>
                <w:szCs w:val="18"/>
                <w:color w:val="auto"/>
              </w:rPr>
            </w:pPr>
          </w:p>
        </w:tc>
        <w:tc>
          <w:tcPr>
            <w:tcW w:w="960" w:type="dxa"/>
            <w:vAlign w:val="bottom"/>
            <w:tcBorders>
              <w:top w:val="single" w:sz="8" w:color="86B6A5"/>
              <w:bottom w:val="single" w:sz="8" w:color="86B6A5"/>
            </w:tcBorders>
          </w:tcPr>
          <w:p>
            <w:pPr>
              <w:jc w:val="right"/>
              <w:spacing w:after="0"/>
              <w:rPr>
                <w:sz w:val="20"/>
                <w:szCs w:val="20"/>
                <w:color w:val="auto"/>
              </w:rPr>
            </w:pPr>
            <w:r>
              <w:rPr>
                <w:rFonts w:ascii="Arial" w:cs="Arial" w:eastAsia="Arial" w:hAnsi="Arial"/>
                <w:sz w:val="16"/>
                <w:szCs w:val="16"/>
                <w:b w:val="1"/>
                <w:bCs w:val="1"/>
                <w:color w:val="86B6A5"/>
              </w:rPr>
              <w:t>2009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86B6A5"/>
              <w:bottom w:val="single" w:sz="8" w:color="86B6A5"/>
            </w:tcBorders>
            <w:shd w:val="clear" w:color="auto" w:fill="86B6A5"/>
          </w:tcPr>
          <w:p>
            <w:pPr>
              <w:spacing w:after="0"/>
              <w:rPr>
                <w:sz w:val="18"/>
                <w:szCs w:val="18"/>
                <w:color w:val="auto"/>
              </w:rPr>
            </w:pPr>
          </w:p>
        </w:tc>
        <w:tc>
          <w:tcPr>
            <w:tcW w:w="1340" w:type="dxa"/>
            <w:vAlign w:val="bottom"/>
            <w:tcBorders>
              <w:top w:val="single" w:sz="8" w:color="86B6A5"/>
              <w:bottom w:val="single" w:sz="8" w:color="86B6A5"/>
            </w:tcBorders>
            <w:shd w:val="clear" w:color="auto" w:fill="86B6A5"/>
          </w:tcPr>
          <w:p>
            <w:pPr>
              <w:jc w:val="right"/>
              <w:ind w:right="132"/>
              <w:spacing w:after="0"/>
              <w:rPr>
                <w:sz w:val="20"/>
                <w:szCs w:val="20"/>
                <w:color w:val="auto"/>
              </w:rPr>
            </w:pPr>
            <w:r>
              <w:rPr>
                <w:rFonts w:ascii="Arial" w:cs="Arial" w:eastAsia="Arial" w:hAnsi="Arial"/>
                <w:sz w:val="16"/>
                <w:szCs w:val="16"/>
                <w:b w:val="1"/>
                <w:bCs w:val="1"/>
                <w:color w:val="FFFFFF"/>
              </w:rPr>
              <w:t>2010</w:t>
            </w:r>
          </w:p>
        </w:tc>
        <w:tc>
          <w:tcPr>
            <w:tcW w:w="340" w:type="dxa"/>
            <w:vAlign w:val="bottom"/>
            <w:tcBorders>
              <w:top w:val="single" w:sz="8" w:color="86B6A5"/>
              <w:bottom w:val="single" w:sz="8" w:color="86B6A5"/>
            </w:tcBorders>
          </w:tcPr>
          <w:p>
            <w:pPr>
              <w:spacing w:after="0"/>
              <w:rPr>
                <w:sz w:val="18"/>
                <w:szCs w:val="18"/>
                <w:color w:val="auto"/>
              </w:rPr>
            </w:pPr>
          </w:p>
        </w:tc>
        <w:tc>
          <w:tcPr>
            <w:tcW w:w="900" w:type="dxa"/>
            <w:vAlign w:val="bottom"/>
            <w:tcBorders>
              <w:top w:val="single" w:sz="8" w:color="86B6A5"/>
              <w:bottom w:val="single" w:sz="8" w:color="86B6A5"/>
            </w:tcBorders>
          </w:tcPr>
          <w:p>
            <w:pPr>
              <w:jc w:val="right"/>
              <w:spacing w:after="0"/>
              <w:rPr>
                <w:sz w:val="20"/>
                <w:szCs w:val="20"/>
                <w:color w:val="auto"/>
              </w:rPr>
            </w:pPr>
            <w:r>
              <w:rPr>
                <w:rFonts w:ascii="Arial" w:cs="Arial" w:eastAsia="Arial" w:hAnsi="Arial"/>
                <w:sz w:val="16"/>
                <w:szCs w:val="16"/>
                <w:b w:val="1"/>
                <w:bCs w:val="1"/>
                <w:color w:val="86B6A5"/>
              </w:rPr>
              <w:t>2009</w:t>
            </w:r>
          </w:p>
        </w:tc>
        <w:tc>
          <w:tcPr>
            <w:tcW w:w="6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5560" w:type="dxa"/>
            <w:vAlign w:val="bottom"/>
          </w:tcPr>
          <w:p>
            <w:pPr>
              <w:spacing w:after="0" w:line="201" w:lineRule="exact"/>
              <w:rPr>
                <w:sz w:val="20"/>
                <w:szCs w:val="20"/>
                <w:color w:val="auto"/>
              </w:rPr>
            </w:pPr>
            <w:r>
              <w:rPr>
                <w:rFonts w:ascii="Arial" w:cs="Arial" w:eastAsia="Arial" w:hAnsi="Arial"/>
                <w:sz w:val="18"/>
                <w:szCs w:val="18"/>
                <w:color w:val="auto"/>
              </w:rPr>
              <w:t>Net loss (gain)</w:t>
            </w:r>
          </w:p>
        </w:tc>
        <w:tc>
          <w:tcPr>
            <w:tcW w:w="120" w:type="dxa"/>
            <w:vAlign w:val="bottom"/>
            <w:shd w:val="clear" w:color="auto" w:fill="E3F1DA"/>
          </w:tcPr>
          <w:p>
            <w:pPr>
              <w:jc w:val="right"/>
              <w:spacing w:after="0" w:line="201" w:lineRule="exact"/>
              <w:rPr>
                <w:sz w:val="20"/>
                <w:szCs w:val="20"/>
                <w:color w:val="auto"/>
              </w:rPr>
            </w:pPr>
            <w:r>
              <w:rPr>
                <w:rFonts w:ascii="Arial" w:cs="Arial" w:eastAsia="Arial" w:hAnsi="Arial"/>
                <w:sz w:val="18"/>
                <w:szCs w:val="18"/>
                <w:color w:val="86B6A5"/>
                <w:w w:val="79"/>
              </w:rPr>
              <w:t>$</w:t>
            </w:r>
          </w:p>
        </w:tc>
        <w:tc>
          <w:tcPr>
            <w:tcW w:w="1240" w:type="dxa"/>
            <w:vAlign w:val="bottom"/>
            <w:shd w:val="clear" w:color="auto" w:fill="E3F1DA"/>
          </w:tcPr>
          <w:p>
            <w:pPr>
              <w:ind w:left="880"/>
              <w:spacing w:after="0" w:line="201" w:lineRule="exact"/>
              <w:rPr>
                <w:sz w:val="20"/>
                <w:szCs w:val="20"/>
                <w:color w:val="auto"/>
              </w:rPr>
            </w:pPr>
            <w:r>
              <w:rPr>
                <w:rFonts w:ascii="Arial" w:cs="Arial" w:eastAsia="Arial" w:hAnsi="Arial"/>
                <w:sz w:val="18"/>
                <w:szCs w:val="18"/>
                <w:color w:val="86B6A5"/>
              </w:rPr>
              <w:t>9.3</w:t>
            </w:r>
          </w:p>
        </w:tc>
        <w:tc>
          <w:tcPr>
            <w:tcW w:w="100" w:type="dxa"/>
            <w:vAlign w:val="bottom"/>
            <w:shd w:val="clear" w:color="auto" w:fill="E3F1DA"/>
          </w:tcPr>
          <w:p>
            <w:pPr>
              <w:spacing w:after="0"/>
              <w:rPr>
                <w:sz w:val="17"/>
                <w:szCs w:val="17"/>
                <w:color w:val="auto"/>
              </w:rPr>
            </w:pPr>
          </w:p>
        </w:tc>
        <w:tc>
          <w:tcPr>
            <w:tcW w:w="280" w:type="dxa"/>
            <w:vAlign w:val="bottom"/>
          </w:tcPr>
          <w:p>
            <w:pPr>
              <w:jc w:val="right"/>
              <w:ind w:right="90"/>
              <w:spacing w:after="0" w:line="201" w:lineRule="exact"/>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line="201" w:lineRule="exact"/>
              <w:rPr>
                <w:sz w:val="20"/>
                <w:szCs w:val="20"/>
                <w:color w:val="auto"/>
              </w:rPr>
            </w:pPr>
            <w:r>
              <w:rPr>
                <w:rFonts w:ascii="Arial" w:cs="Arial" w:eastAsia="Arial" w:hAnsi="Arial"/>
                <w:sz w:val="18"/>
                <w:szCs w:val="18"/>
                <w:color w:val="auto"/>
              </w:rPr>
              <w:t>6.0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shd w:val="clear" w:color="auto" w:fill="E3F1DA"/>
          </w:tcPr>
          <w:p>
            <w:pPr>
              <w:jc w:val="right"/>
              <w:spacing w:after="0" w:line="201" w:lineRule="exact"/>
              <w:rPr>
                <w:sz w:val="20"/>
                <w:szCs w:val="20"/>
                <w:color w:val="auto"/>
              </w:rPr>
            </w:pPr>
            <w:r>
              <w:rPr>
                <w:rFonts w:ascii="Arial" w:cs="Arial" w:eastAsia="Arial" w:hAnsi="Arial"/>
                <w:sz w:val="18"/>
                <w:szCs w:val="18"/>
                <w:color w:val="86B6A5"/>
                <w:w w:val="79"/>
              </w:rPr>
              <w:t>$</w:t>
            </w:r>
          </w:p>
        </w:tc>
        <w:tc>
          <w:tcPr>
            <w:tcW w:w="1340" w:type="dxa"/>
            <w:vAlign w:val="bottom"/>
            <w:shd w:val="clear" w:color="auto" w:fill="E3F1DA"/>
          </w:tcPr>
          <w:p>
            <w:pPr>
              <w:jc w:val="right"/>
              <w:ind w:right="132"/>
              <w:spacing w:after="0" w:line="201" w:lineRule="exact"/>
              <w:rPr>
                <w:sz w:val="20"/>
                <w:szCs w:val="20"/>
                <w:color w:val="auto"/>
              </w:rPr>
            </w:pPr>
            <w:r>
              <w:rPr>
                <w:rFonts w:ascii="Arial" w:cs="Arial" w:eastAsia="Arial" w:hAnsi="Arial"/>
                <w:sz w:val="18"/>
                <w:szCs w:val="18"/>
                <w:color w:val="86B6A5"/>
              </w:rPr>
              <w:t>2.4</w:t>
            </w:r>
          </w:p>
        </w:tc>
        <w:tc>
          <w:tcPr>
            <w:tcW w:w="340" w:type="dxa"/>
            <w:vAlign w:val="bottom"/>
          </w:tcPr>
          <w:p>
            <w:pPr>
              <w:jc w:val="right"/>
              <w:ind w:right="150"/>
              <w:spacing w:after="0" w:line="201" w:lineRule="exact"/>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line="201" w:lineRule="exact"/>
              <w:rPr>
                <w:sz w:val="20"/>
                <w:szCs w:val="20"/>
                <w:color w:val="auto"/>
              </w:rPr>
            </w:pPr>
            <w:r>
              <w:rPr>
                <w:rFonts w:ascii="Arial" w:cs="Arial" w:eastAsia="Arial" w:hAnsi="Arial"/>
                <w:sz w:val="18"/>
                <w:szCs w:val="18"/>
                <w:color w:val="auto"/>
              </w:rPr>
              <w:t>(0.6</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3"/>
        </w:trPr>
        <w:tc>
          <w:tcPr>
            <w:tcW w:w="5580" w:type="dxa"/>
            <w:vAlign w:val="bottom"/>
            <w:gridSpan w:val="2"/>
          </w:tcPr>
          <w:p>
            <w:pPr>
              <w:spacing w:after="0" w:line="203" w:lineRule="exact"/>
              <w:rPr>
                <w:sz w:val="20"/>
                <w:szCs w:val="20"/>
                <w:color w:val="auto"/>
              </w:rPr>
            </w:pPr>
            <w:r>
              <w:rPr>
                <w:rFonts w:ascii="Arial" w:cs="Arial" w:eastAsia="Arial" w:hAnsi="Arial"/>
                <w:sz w:val="18"/>
                <w:szCs w:val="18"/>
                <w:color w:val="auto"/>
              </w:rPr>
              <w:t>Prior service cost</w:t>
            </w:r>
          </w:p>
        </w:tc>
        <w:tc>
          <w:tcPr>
            <w:tcW w:w="120" w:type="dxa"/>
            <w:vAlign w:val="bottom"/>
            <w:shd w:val="clear" w:color="auto" w:fill="E3F1DA"/>
          </w:tcPr>
          <w:p>
            <w:pPr>
              <w:spacing w:after="0"/>
              <w:rPr>
                <w:sz w:val="17"/>
                <w:szCs w:val="17"/>
                <w:color w:val="auto"/>
              </w:rPr>
            </w:pPr>
          </w:p>
        </w:tc>
        <w:tc>
          <w:tcPr>
            <w:tcW w:w="1240" w:type="dxa"/>
            <w:vAlign w:val="bottom"/>
            <w:shd w:val="clear" w:color="auto" w:fill="E3F1DA"/>
          </w:tcPr>
          <w:p>
            <w:pPr>
              <w:ind w:left="880"/>
              <w:spacing w:after="0" w:line="203" w:lineRule="exact"/>
              <w:rPr>
                <w:sz w:val="20"/>
                <w:szCs w:val="20"/>
                <w:color w:val="auto"/>
              </w:rPr>
            </w:pPr>
            <w:r>
              <w:rPr>
                <w:rFonts w:ascii="Arial" w:cs="Arial" w:eastAsia="Arial" w:hAnsi="Arial"/>
                <w:sz w:val="18"/>
                <w:szCs w:val="18"/>
                <w:color w:val="86B6A5"/>
              </w:rPr>
              <w:t>0.2</w:t>
            </w:r>
          </w:p>
        </w:tc>
        <w:tc>
          <w:tcPr>
            <w:tcW w:w="100" w:type="dxa"/>
            <w:vAlign w:val="bottom"/>
            <w:shd w:val="clear" w:color="auto" w:fill="E3F1DA"/>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gridSpan w:val="2"/>
          </w:tcPr>
          <w:p>
            <w:pPr>
              <w:jc w:val="right"/>
              <w:ind w:right="120"/>
              <w:spacing w:after="0" w:line="203" w:lineRule="exact"/>
              <w:rPr>
                <w:sz w:val="20"/>
                <w:szCs w:val="20"/>
                <w:color w:val="auto"/>
              </w:rPr>
            </w:pPr>
            <w:r>
              <w:rPr>
                <w:rFonts w:ascii="Arial" w:cs="Arial" w:eastAsia="Arial" w:hAnsi="Arial"/>
                <w:sz w:val="18"/>
                <w:szCs w:val="18"/>
                <w:color w:val="auto"/>
              </w:rPr>
              <w:t>0.3</w:t>
            </w:r>
          </w:p>
        </w:tc>
        <w:tc>
          <w:tcPr>
            <w:tcW w:w="100" w:type="dxa"/>
            <w:vAlign w:val="bottom"/>
          </w:tcPr>
          <w:p>
            <w:pPr>
              <w:spacing w:after="0"/>
              <w:rPr>
                <w:sz w:val="17"/>
                <w:szCs w:val="17"/>
                <w:color w:val="auto"/>
              </w:rPr>
            </w:pPr>
          </w:p>
        </w:tc>
        <w:tc>
          <w:tcPr>
            <w:tcW w:w="120" w:type="dxa"/>
            <w:vAlign w:val="bottom"/>
            <w:shd w:val="clear" w:color="auto" w:fill="E3F1DA"/>
          </w:tcPr>
          <w:p>
            <w:pPr>
              <w:spacing w:after="0"/>
              <w:rPr>
                <w:sz w:val="17"/>
                <w:szCs w:val="17"/>
                <w:color w:val="auto"/>
              </w:rPr>
            </w:pPr>
          </w:p>
        </w:tc>
        <w:tc>
          <w:tcPr>
            <w:tcW w:w="1340" w:type="dxa"/>
            <w:vAlign w:val="bottom"/>
            <w:shd w:val="clear" w:color="auto" w:fill="E3F1DA"/>
          </w:tcPr>
          <w:p>
            <w:pPr>
              <w:jc w:val="right"/>
              <w:ind w:right="132"/>
              <w:spacing w:after="0" w:line="203" w:lineRule="exact"/>
              <w:rPr>
                <w:sz w:val="20"/>
                <w:szCs w:val="20"/>
                <w:color w:val="auto"/>
              </w:rPr>
            </w:pPr>
            <w:r>
              <w:rPr>
                <w:rFonts w:ascii="Arial" w:cs="Arial" w:eastAsia="Arial" w:hAnsi="Arial"/>
                <w:sz w:val="18"/>
                <w:szCs w:val="18"/>
                <w:color w:val="86B6A5"/>
              </w:rPr>
              <w:t>7.2</w:t>
            </w:r>
          </w:p>
        </w:tc>
        <w:tc>
          <w:tcPr>
            <w:tcW w:w="340" w:type="dxa"/>
            <w:vAlign w:val="bottom"/>
          </w:tcPr>
          <w:p>
            <w:pPr>
              <w:spacing w:after="0"/>
              <w:rPr>
                <w:sz w:val="17"/>
                <w:szCs w:val="17"/>
                <w:color w:val="auto"/>
              </w:rPr>
            </w:pPr>
          </w:p>
        </w:tc>
        <w:tc>
          <w:tcPr>
            <w:tcW w:w="96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7.5</w:t>
            </w:r>
          </w:p>
        </w:tc>
      </w:tr>
      <w:tr>
        <w:trPr>
          <w:trHeight w:val="203"/>
        </w:trPr>
        <w:tc>
          <w:tcPr>
            <w:tcW w:w="20" w:type="dxa"/>
            <w:vAlign w:val="bottom"/>
          </w:tcPr>
          <w:p>
            <w:pPr>
              <w:spacing w:after="0"/>
              <w:rPr>
                <w:sz w:val="17"/>
                <w:szCs w:val="17"/>
                <w:color w:val="auto"/>
              </w:rPr>
            </w:pPr>
          </w:p>
        </w:tc>
        <w:tc>
          <w:tcPr>
            <w:tcW w:w="5560" w:type="dxa"/>
            <w:vAlign w:val="bottom"/>
            <w:tcBorders>
              <w:top w:val="single" w:sz="8" w:color="939598"/>
              <w:bottom w:val="single" w:sz="8" w:color="939598"/>
            </w:tcBorders>
          </w:tcPr>
          <w:p>
            <w:pPr>
              <w:spacing w:after="0" w:line="196" w:lineRule="exact"/>
              <w:rPr>
                <w:sz w:val="20"/>
                <w:szCs w:val="20"/>
                <w:color w:val="auto"/>
              </w:rPr>
            </w:pPr>
            <w:r>
              <w:rPr>
                <w:rFonts w:ascii="Arial" w:cs="Arial" w:eastAsia="Arial" w:hAnsi="Arial"/>
                <w:sz w:val="18"/>
                <w:szCs w:val="18"/>
                <w:color w:val="auto"/>
              </w:rPr>
              <w:t>Total</w:t>
            </w:r>
          </w:p>
        </w:tc>
        <w:tc>
          <w:tcPr>
            <w:tcW w:w="120" w:type="dxa"/>
            <w:vAlign w:val="bottom"/>
            <w:tcBorders>
              <w:top w:val="single" w:sz="8" w:color="939598"/>
              <w:bottom w:val="single" w:sz="8" w:color="939598"/>
            </w:tcBorders>
            <w:shd w:val="clear" w:color="auto" w:fill="E3F1DA"/>
          </w:tcPr>
          <w:p>
            <w:pPr>
              <w:jc w:val="right"/>
              <w:spacing w:after="0" w:line="196" w:lineRule="exact"/>
              <w:rPr>
                <w:sz w:val="20"/>
                <w:szCs w:val="20"/>
                <w:color w:val="auto"/>
              </w:rPr>
            </w:pPr>
            <w:r>
              <w:rPr>
                <w:rFonts w:ascii="Arial" w:cs="Arial" w:eastAsia="Arial" w:hAnsi="Arial"/>
                <w:sz w:val="18"/>
                <w:szCs w:val="18"/>
                <w:color w:val="86B6A5"/>
                <w:w w:val="79"/>
              </w:rPr>
              <w:t>$</w:t>
            </w:r>
          </w:p>
        </w:tc>
        <w:tc>
          <w:tcPr>
            <w:tcW w:w="1240" w:type="dxa"/>
            <w:vAlign w:val="bottom"/>
            <w:tcBorders>
              <w:top w:val="single" w:sz="8" w:color="939598"/>
              <w:bottom w:val="single" w:sz="8" w:color="939598"/>
            </w:tcBorders>
            <w:shd w:val="clear" w:color="auto" w:fill="E3F1DA"/>
          </w:tcPr>
          <w:p>
            <w:pPr>
              <w:ind w:left="880"/>
              <w:spacing w:after="0" w:line="196" w:lineRule="exact"/>
              <w:rPr>
                <w:sz w:val="20"/>
                <w:szCs w:val="20"/>
                <w:color w:val="auto"/>
              </w:rPr>
            </w:pPr>
            <w:r>
              <w:rPr>
                <w:rFonts w:ascii="Arial" w:cs="Arial" w:eastAsia="Arial" w:hAnsi="Arial"/>
                <w:sz w:val="18"/>
                <w:szCs w:val="18"/>
                <w:color w:val="86B6A5"/>
              </w:rPr>
              <w:t>9.5</w:t>
            </w:r>
          </w:p>
        </w:tc>
        <w:tc>
          <w:tcPr>
            <w:tcW w:w="100" w:type="dxa"/>
            <w:vAlign w:val="bottom"/>
            <w:tcBorders>
              <w:top w:val="single" w:sz="8" w:color="939598"/>
              <w:bottom w:val="single" w:sz="8" w:color="939598"/>
            </w:tcBorders>
            <w:shd w:val="clear" w:color="auto" w:fill="E3F1DA"/>
          </w:tcPr>
          <w:p>
            <w:pPr>
              <w:spacing w:after="0"/>
              <w:rPr>
                <w:sz w:val="17"/>
                <w:szCs w:val="17"/>
                <w:color w:val="auto"/>
              </w:rPr>
            </w:pPr>
          </w:p>
        </w:tc>
        <w:tc>
          <w:tcPr>
            <w:tcW w:w="280" w:type="dxa"/>
            <w:vAlign w:val="bottom"/>
            <w:tcBorders>
              <w:top w:val="single" w:sz="8" w:color="939598"/>
              <w:bottom w:val="single" w:sz="8" w:color="939598"/>
            </w:tcBorders>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939598"/>
              <w:bottom w:val="single" w:sz="8" w:color="939598"/>
            </w:tcBorders>
          </w:tcPr>
          <w:p>
            <w:pPr>
              <w:jc w:val="right"/>
              <w:spacing w:after="0" w:line="196" w:lineRule="exact"/>
              <w:rPr>
                <w:sz w:val="20"/>
                <w:szCs w:val="20"/>
                <w:color w:val="auto"/>
              </w:rPr>
            </w:pPr>
            <w:r>
              <w:rPr>
                <w:rFonts w:ascii="Arial" w:cs="Arial" w:eastAsia="Arial" w:hAnsi="Arial"/>
                <w:sz w:val="18"/>
                <w:szCs w:val="18"/>
                <w:color w:val="auto"/>
              </w:rPr>
              <w:t>6.3</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939598"/>
              <w:bottom w:val="single" w:sz="8" w:color="939598"/>
            </w:tcBorders>
            <w:shd w:val="clear" w:color="auto" w:fill="E3F1DA"/>
          </w:tcPr>
          <w:p>
            <w:pPr>
              <w:jc w:val="right"/>
              <w:spacing w:after="0" w:line="196" w:lineRule="exact"/>
              <w:rPr>
                <w:sz w:val="20"/>
                <w:szCs w:val="20"/>
                <w:color w:val="auto"/>
              </w:rPr>
            </w:pPr>
            <w:r>
              <w:rPr>
                <w:rFonts w:ascii="Arial" w:cs="Arial" w:eastAsia="Arial" w:hAnsi="Arial"/>
                <w:sz w:val="18"/>
                <w:szCs w:val="18"/>
                <w:color w:val="86B6A5"/>
                <w:w w:val="79"/>
              </w:rPr>
              <w:t>$</w:t>
            </w:r>
          </w:p>
        </w:tc>
        <w:tc>
          <w:tcPr>
            <w:tcW w:w="1340" w:type="dxa"/>
            <w:vAlign w:val="bottom"/>
            <w:tcBorders>
              <w:top w:val="single" w:sz="8" w:color="939598"/>
              <w:bottom w:val="single" w:sz="8" w:color="939598"/>
            </w:tcBorders>
            <w:shd w:val="clear" w:color="auto" w:fill="E3F1DA"/>
          </w:tcPr>
          <w:p>
            <w:pPr>
              <w:jc w:val="right"/>
              <w:ind w:right="132"/>
              <w:spacing w:after="0" w:line="196" w:lineRule="exact"/>
              <w:rPr>
                <w:sz w:val="20"/>
                <w:szCs w:val="20"/>
                <w:color w:val="auto"/>
              </w:rPr>
            </w:pPr>
            <w:r>
              <w:rPr>
                <w:rFonts w:ascii="Arial" w:cs="Arial" w:eastAsia="Arial" w:hAnsi="Arial"/>
                <w:sz w:val="18"/>
                <w:szCs w:val="18"/>
                <w:color w:val="86B6A5"/>
              </w:rPr>
              <w:t>9.6</w:t>
            </w:r>
          </w:p>
        </w:tc>
        <w:tc>
          <w:tcPr>
            <w:tcW w:w="340" w:type="dxa"/>
            <w:vAlign w:val="bottom"/>
            <w:tcBorders>
              <w:top w:val="single" w:sz="8" w:color="939598"/>
              <w:bottom w:val="single" w:sz="8" w:color="939598"/>
            </w:tcBorders>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939598"/>
              <w:bottom w:val="single" w:sz="8" w:color="939598"/>
            </w:tcBorders>
          </w:tcPr>
          <w:p>
            <w:pPr>
              <w:jc w:val="right"/>
              <w:spacing w:after="0" w:line="196" w:lineRule="exact"/>
              <w:rPr>
                <w:sz w:val="20"/>
                <w:szCs w:val="20"/>
                <w:color w:val="auto"/>
              </w:rPr>
            </w:pPr>
            <w:r>
              <w:rPr>
                <w:rFonts w:ascii="Arial" w:cs="Arial" w:eastAsia="Arial" w:hAnsi="Arial"/>
                <w:sz w:val="18"/>
                <w:szCs w:val="18"/>
                <w:color w:val="auto"/>
              </w:rPr>
              <w:t>6.9</w:t>
            </w:r>
          </w:p>
        </w:tc>
        <w:tc>
          <w:tcPr>
            <w:tcW w:w="60" w:type="dxa"/>
            <w:vAlign w:val="bottom"/>
          </w:tcPr>
          <w:p>
            <w:pPr>
              <w:spacing w:after="0"/>
              <w:rPr>
                <w:sz w:val="17"/>
                <w:szCs w:val="17"/>
                <w:color w:val="auto"/>
              </w:rPr>
            </w:pPr>
          </w:p>
        </w:tc>
      </w:tr>
    </w:tbl>
    <w:p>
      <w:pPr>
        <w:spacing w:after="0" w:line="198"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939598"/>
        </w:rPr>
        <w:t xml:space="preserve">Notes to Consolidated Financial Statements </w:t>
      </w:r>
      <w:r>
        <w:rPr>
          <w:rFonts w:ascii="Arial" w:cs="Arial" w:eastAsia="Arial" w:hAnsi="Arial"/>
          <w:sz w:val="16"/>
          <w:szCs w:val="16"/>
          <w:color w:val="4D8ABE"/>
        </w:rPr>
        <w:t>Manpower 2010 Annual Report</w:t>
      </w:r>
      <w:r>
        <w:rPr>
          <w:rFonts w:ascii="Arial" w:cs="Arial" w:eastAsia="Arial" w:hAnsi="Arial"/>
          <w:sz w:val="16"/>
          <w:szCs w:val="16"/>
          <w:b w:val="1"/>
          <w:bCs w:val="1"/>
          <w:color w:val="939598"/>
        </w:rPr>
        <w:t xml:space="preserve"> </w:t>
      </w:r>
      <w:r>
        <w:rPr>
          <w:rFonts w:ascii="Arial" w:cs="Arial" w:eastAsia="Arial" w:hAnsi="Arial"/>
          <w:sz w:val="16"/>
          <w:szCs w:val="16"/>
          <w:b w:val="1"/>
          <w:bCs w:val="1"/>
          <w:color w:val="4D8ABE"/>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wp:posOffset>
            </wp:positionV>
            <wp:extent cx="7267575" cy="469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ectPr>
          <w:pgSz w:w="11900" w:h="16838" w:orient="portrait"/>
          <w:cols w:equalWidth="0" w:num="1">
            <w:col w:w="11420"/>
          </w:cols>
          <w:pgMar w:left="240" w:top="352" w:right="239" w:bottom="1440" w:gutter="0" w:footer="0" w:header="0"/>
        </w:sectPr>
      </w:pPr>
    </w:p>
    <w:bookmarkStart w:id="96" w:name="page97"/>
    <w:bookmarkEnd w:id="96"/>
    <w:p>
      <w:pPr>
        <w:spacing w:after="0"/>
        <w:rPr>
          <w:sz w:val="20"/>
          <w:szCs w:val="20"/>
          <w:color w:val="auto"/>
        </w:rPr>
      </w:pPr>
      <w:r>
        <w:rPr>
          <w:rFonts w:ascii="Arial" w:cs="Arial" w:eastAsia="Arial" w:hAnsi="Arial"/>
          <w:sz w:val="22"/>
          <w:szCs w:val="22"/>
          <w:color w:val="4D8ABE"/>
        </w:rPr>
        <w:t>Notes To Consolidated Financial Statements</w:t>
      </w:r>
    </w:p>
    <w:p>
      <w:pPr>
        <w:spacing w:after="0"/>
        <w:rPr>
          <w:sz w:val="20"/>
          <w:szCs w:val="20"/>
          <w:color w:val="auto"/>
        </w:rPr>
      </w:pPr>
      <w:r>
        <w:rPr>
          <w:rFonts w:ascii="Arial" w:cs="Arial" w:eastAsia="Arial" w:hAnsi="Arial"/>
          <w:sz w:val="18"/>
          <w:szCs w:val="18"/>
          <w:color w:val="4D8ABE"/>
        </w:rPr>
        <w:t>in millions, except share and per share data</w:t>
      </w:r>
    </w:p>
    <w:p>
      <w:pPr>
        <w:spacing w:after="0" w:line="212"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The accumulated benefit obligation for our plans that have plan assets was $214.9 and $195.7 as of December 31, 2010 and 2009, respectively. The accumulated benefit obligation for certain of our plans exceeded the fair value of plan assets as follows: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040" w:type="dxa"/>
            <w:vAlign w:val="bottom"/>
            <w:gridSpan w:val="2"/>
          </w:tcPr>
          <w:p>
            <w:pPr>
              <w:spacing w:after="0"/>
              <w:rPr>
                <w:sz w:val="20"/>
                <w:szCs w:val="20"/>
                <w:color w:val="auto"/>
              </w:rPr>
            </w:pPr>
            <w:r>
              <w:rPr>
                <w:rFonts w:ascii="Arial" w:cs="Arial" w:eastAsia="Arial" w:hAnsi="Arial"/>
                <w:sz w:val="16"/>
                <w:szCs w:val="16"/>
                <w:b w:val="1"/>
                <w:bCs w:val="1"/>
                <w:color w:val="86B6A5"/>
              </w:rPr>
              <w:t>December 31</w:t>
            </w:r>
          </w:p>
        </w:tc>
        <w:tc>
          <w:tcPr>
            <w:tcW w:w="120" w:type="dxa"/>
            <w:vAlign w:val="bottom"/>
            <w:shd w:val="clear" w:color="auto" w:fill="86B6A5"/>
          </w:tcPr>
          <w:p>
            <w:pPr>
              <w:spacing w:after="0"/>
              <w:rPr>
                <w:sz w:val="18"/>
                <w:szCs w:val="18"/>
                <w:color w:val="auto"/>
              </w:rPr>
            </w:pPr>
          </w:p>
        </w:tc>
        <w:tc>
          <w:tcPr>
            <w:tcW w:w="1580" w:type="dxa"/>
            <w:vAlign w:val="bottom"/>
            <w:shd w:val="clear" w:color="auto" w:fill="86B6A5"/>
          </w:tcPr>
          <w:p>
            <w:pPr>
              <w:jc w:val="right"/>
              <w:ind w:right="133"/>
              <w:spacing w:after="0"/>
              <w:rPr>
                <w:sz w:val="20"/>
                <w:szCs w:val="20"/>
                <w:color w:val="auto"/>
              </w:rPr>
            </w:pPr>
            <w:r>
              <w:rPr>
                <w:rFonts w:ascii="Arial" w:cs="Arial" w:eastAsia="Arial" w:hAnsi="Arial"/>
                <w:sz w:val="16"/>
                <w:szCs w:val="16"/>
                <w:b w:val="1"/>
                <w:bCs w:val="1"/>
                <w:color w:val="FFFFFF"/>
              </w:rPr>
              <w:t>2010</w:t>
            </w:r>
          </w:p>
        </w:tc>
        <w:tc>
          <w:tcPr>
            <w:tcW w:w="5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86B6A5"/>
              </w:rPr>
              <w:t>2009</w:t>
            </w:r>
          </w:p>
        </w:tc>
        <w:tc>
          <w:tcPr>
            <w:tcW w:w="2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8020" w:type="dxa"/>
            <w:vAlign w:val="bottom"/>
            <w:tcBorders>
              <w:top w:val="single" w:sz="8" w:color="86B6A5"/>
            </w:tcBorders>
          </w:tcPr>
          <w:p>
            <w:pPr>
              <w:spacing w:after="0" w:line="201" w:lineRule="exact"/>
              <w:rPr>
                <w:sz w:val="20"/>
                <w:szCs w:val="20"/>
                <w:color w:val="auto"/>
              </w:rPr>
            </w:pPr>
            <w:r>
              <w:rPr>
                <w:rFonts w:ascii="Arial" w:cs="Arial" w:eastAsia="Arial" w:hAnsi="Arial"/>
                <w:sz w:val="18"/>
                <w:szCs w:val="18"/>
                <w:color w:val="auto"/>
              </w:rPr>
              <w:t>Accumulated benefit obligation</w:t>
            </w:r>
          </w:p>
        </w:tc>
        <w:tc>
          <w:tcPr>
            <w:tcW w:w="120" w:type="dxa"/>
            <w:vAlign w:val="bottom"/>
            <w:tcBorders>
              <w:top w:val="single" w:sz="8" w:color="86B6A5"/>
            </w:tcBorders>
            <w:shd w:val="clear" w:color="auto" w:fill="E3F1DA"/>
          </w:tcPr>
          <w:p>
            <w:pPr>
              <w:jc w:val="right"/>
              <w:spacing w:after="0" w:line="201" w:lineRule="exact"/>
              <w:rPr>
                <w:sz w:val="20"/>
                <w:szCs w:val="20"/>
                <w:color w:val="auto"/>
              </w:rPr>
            </w:pPr>
            <w:r>
              <w:rPr>
                <w:rFonts w:ascii="Arial" w:cs="Arial" w:eastAsia="Arial" w:hAnsi="Arial"/>
                <w:sz w:val="18"/>
                <w:szCs w:val="18"/>
                <w:color w:val="86B6A5"/>
                <w:w w:val="79"/>
              </w:rPr>
              <w:t>$</w:t>
            </w:r>
          </w:p>
        </w:tc>
        <w:tc>
          <w:tcPr>
            <w:tcW w:w="1580" w:type="dxa"/>
            <w:vAlign w:val="bottom"/>
            <w:tcBorders>
              <w:top w:val="single" w:sz="8" w:color="86B6A5"/>
            </w:tcBorders>
            <w:shd w:val="clear" w:color="auto" w:fill="E3F1DA"/>
          </w:tcPr>
          <w:p>
            <w:pPr>
              <w:jc w:val="right"/>
              <w:ind w:right="133"/>
              <w:spacing w:after="0" w:line="201" w:lineRule="exact"/>
              <w:rPr>
                <w:sz w:val="20"/>
                <w:szCs w:val="20"/>
                <w:color w:val="auto"/>
              </w:rPr>
            </w:pPr>
            <w:r>
              <w:rPr>
                <w:rFonts w:ascii="Arial" w:cs="Arial" w:eastAsia="Arial" w:hAnsi="Arial"/>
                <w:sz w:val="18"/>
                <w:szCs w:val="18"/>
                <w:color w:val="86B6A5"/>
              </w:rPr>
              <w:t>5.8</w:t>
            </w:r>
          </w:p>
        </w:tc>
        <w:tc>
          <w:tcPr>
            <w:tcW w:w="560" w:type="dxa"/>
            <w:vAlign w:val="bottom"/>
            <w:tcBorders>
              <w:top w:val="single" w:sz="8" w:color="86B6A5"/>
            </w:tcBorders>
          </w:tcPr>
          <w:p>
            <w:pPr>
              <w:jc w:val="right"/>
              <w:ind w:right="370"/>
              <w:spacing w:after="0" w:line="201"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86B6A5"/>
            </w:tcBorders>
          </w:tcPr>
          <w:p>
            <w:pPr>
              <w:jc w:val="right"/>
              <w:spacing w:after="0" w:line="201" w:lineRule="exact"/>
              <w:rPr>
                <w:sz w:val="20"/>
                <w:szCs w:val="20"/>
                <w:color w:val="auto"/>
              </w:rPr>
            </w:pPr>
            <w:r>
              <w:rPr>
                <w:rFonts w:ascii="Arial" w:cs="Arial" w:eastAsia="Arial" w:hAnsi="Arial"/>
                <w:sz w:val="18"/>
                <w:szCs w:val="18"/>
                <w:color w:val="auto"/>
              </w:rPr>
              <w:t>122.7</w:t>
            </w:r>
          </w:p>
        </w:tc>
        <w:tc>
          <w:tcPr>
            <w:tcW w:w="20" w:type="dxa"/>
            <w:vAlign w:val="bottom"/>
          </w:tcPr>
          <w:p>
            <w:pPr>
              <w:spacing w:after="0"/>
              <w:rPr>
                <w:sz w:val="17"/>
                <w:szCs w:val="17"/>
                <w:color w:val="auto"/>
              </w:rPr>
            </w:pPr>
          </w:p>
        </w:tc>
      </w:tr>
      <w:tr>
        <w:trPr>
          <w:trHeight w:val="203"/>
        </w:trPr>
        <w:tc>
          <w:tcPr>
            <w:tcW w:w="8040" w:type="dxa"/>
            <w:vAlign w:val="bottom"/>
            <w:gridSpan w:val="2"/>
          </w:tcPr>
          <w:p>
            <w:pPr>
              <w:spacing w:after="0" w:line="203" w:lineRule="exact"/>
              <w:rPr>
                <w:sz w:val="20"/>
                <w:szCs w:val="20"/>
                <w:color w:val="auto"/>
              </w:rPr>
            </w:pPr>
            <w:r>
              <w:rPr>
                <w:rFonts w:ascii="Arial" w:cs="Arial" w:eastAsia="Arial" w:hAnsi="Arial"/>
                <w:sz w:val="18"/>
                <w:szCs w:val="18"/>
                <w:color w:val="auto"/>
              </w:rPr>
              <w:t>Plan assets</w:t>
            </w:r>
          </w:p>
        </w:tc>
        <w:tc>
          <w:tcPr>
            <w:tcW w:w="120" w:type="dxa"/>
            <w:vAlign w:val="bottom"/>
            <w:shd w:val="clear" w:color="auto" w:fill="E3F1DA"/>
          </w:tcPr>
          <w:p>
            <w:pPr>
              <w:spacing w:after="0"/>
              <w:rPr>
                <w:sz w:val="17"/>
                <w:szCs w:val="17"/>
                <w:color w:val="auto"/>
              </w:rPr>
            </w:pPr>
          </w:p>
        </w:tc>
        <w:tc>
          <w:tcPr>
            <w:tcW w:w="1580" w:type="dxa"/>
            <w:vAlign w:val="bottom"/>
            <w:shd w:val="clear" w:color="auto" w:fill="E3F1DA"/>
          </w:tcPr>
          <w:p>
            <w:pPr>
              <w:jc w:val="right"/>
              <w:ind w:right="133"/>
              <w:spacing w:after="0" w:line="203" w:lineRule="exact"/>
              <w:rPr>
                <w:sz w:val="20"/>
                <w:szCs w:val="20"/>
                <w:color w:val="auto"/>
              </w:rPr>
            </w:pPr>
            <w:r>
              <w:rPr>
                <w:rFonts w:ascii="Arial" w:cs="Arial" w:eastAsia="Arial" w:hAnsi="Arial"/>
                <w:sz w:val="18"/>
                <w:szCs w:val="18"/>
                <w:color w:val="86B6A5"/>
              </w:rPr>
              <w:t>5.7</w:t>
            </w:r>
          </w:p>
        </w:tc>
        <w:tc>
          <w:tcPr>
            <w:tcW w:w="560" w:type="dxa"/>
            <w:vAlign w:val="bottom"/>
          </w:tcPr>
          <w:p>
            <w:pPr>
              <w:spacing w:after="0"/>
              <w:rPr>
                <w:sz w:val="17"/>
                <w:szCs w:val="17"/>
                <w:color w:val="auto"/>
              </w:rPr>
            </w:pPr>
          </w:p>
        </w:tc>
        <w:tc>
          <w:tcPr>
            <w:tcW w:w="920" w:type="dxa"/>
            <w:vAlign w:val="bottom"/>
            <w:gridSpan w:val="2"/>
          </w:tcPr>
          <w:p>
            <w:pPr>
              <w:jc w:val="right"/>
              <w:ind w:right="20"/>
              <w:spacing w:after="0" w:line="203" w:lineRule="exact"/>
              <w:rPr>
                <w:sz w:val="20"/>
                <w:szCs w:val="20"/>
                <w:color w:val="auto"/>
              </w:rPr>
            </w:pPr>
            <w:r>
              <w:rPr>
                <w:rFonts w:ascii="Arial" w:cs="Arial" w:eastAsia="Arial" w:hAnsi="Arial"/>
                <w:sz w:val="18"/>
                <w:szCs w:val="18"/>
                <w:color w:val="auto"/>
              </w:rPr>
              <w:t>115.8</w:t>
            </w:r>
          </w:p>
        </w:tc>
      </w:tr>
      <w:tr>
        <w:trPr>
          <w:trHeight w:val="27"/>
        </w:trPr>
        <w:tc>
          <w:tcPr>
            <w:tcW w:w="20" w:type="dxa"/>
            <w:vAlign w:val="bottom"/>
          </w:tcPr>
          <w:p>
            <w:pPr>
              <w:spacing w:after="0"/>
              <w:rPr>
                <w:sz w:val="2"/>
                <w:szCs w:val="2"/>
                <w:color w:val="auto"/>
              </w:rPr>
            </w:pPr>
          </w:p>
        </w:tc>
        <w:tc>
          <w:tcPr>
            <w:tcW w:w="8020" w:type="dxa"/>
            <w:vAlign w:val="bottom"/>
            <w:shd w:val="clear" w:color="auto" w:fill="939598"/>
          </w:tcPr>
          <w:p>
            <w:pPr>
              <w:spacing w:after="0"/>
              <w:rPr>
                <w:sz w:val="2"/>
                <w:szCs w:val="2"/>
                <w:color w:val="auto"/>
              </w:rPr>
            </w:pPr>
          </w:p>
        </w:tc>
        <w:tc>
          <w:tcPr>
            <w:tcW w:w="120" w:type="dxa"/>
            <w:vAlign w:val="bottom"/>
            <w:shd w:val="clear" w:color="auto" w:fill="939598"/>
          </w:tcPr>
          <w:p>
            <w:pPr>
              <w:spacing w:after="0"/>
              <w:rPr>
                <w:sz w:val="2"/>
                <w:szCs w:val="2"/>
                <w:color w:val="auto"/>
              </w:rPr>
            </w:pPr>
          </w:p>
        </w:tc>
        <w:tc>
          <w:tcPr>
            <w:tcW w:w="1580" w:type="dxa"/>
            <w:vAlign w:val="bottom"/>
            <w:shd w:val="clear" w:color="auto" w:fill="939598"/>
          </w:tcPr>
          <w:p>
            <w:pPr>
              <w:spacing w:after="0"/>
              <w:rPr>
                <w:sz w:val="2"/>
                <w:szCs w:val="2"/>
                <w:color w:val="auto"/>
              </w:rPr>
            </w:pPr>
          </w:p>
        </w:tc>
        <w:tc>
          <w:tcPr>
            <w:tcW w:w="560" w:type="dxa"/>
            <w:vAlign w:val="bottom"/>
            <w:shd w:val="clear" w:color="auto" w:fill="939598"/>
          </w:tcPr>
          <w:p>
            <w:pPr>
              <w:spacing w:after="0"/>
              <w:rPr>
                <w:sz w:val="2"/>
                <w:szCs w:val="2"/>
                <w:color w:val="auto"/>
              </w:rPr>
            </w:pPr>
          </w:p>
        </w:tc>
        <w:tc>
          <w:tcPr>
            <w:tcW w:w="900" w:type="dxa"/>
            <w:vAlign w:val="bottom"/>
            <w:shd w:val="clear" w:color="auto" w:fill="939598"/>
          </w:tcPr>
          <w:p>
            <w:pPr>
              <w:spacing w:after="0"/>
              <w:rPr>
                <w:sz w:val="2"/>
                <w:szCs w:val="2"/>
                <w:color w:val="auto"/>
              </w:rPr>
            </w:pPr>
          </w:p>
        </w:tc>
        <w:tc>
          <w:tcPr>
            <w:tcW w:w="20" w:type="dxa"/>
            <w:vAlign w:val="bottom"/>
          </w:tcPr>
          <w:p>
            <w:pPr>
              <w:spacing w:after="0"/>
              <w:rPr>
                <w:sz w:val="2"/>
                <w:szCs w:val="2"/>
                <w:color w:val="auto"/>
              </w:rPr>
            </w:pPr>
          </w:p>
        </w:tc>
      </w:tr>
    </w:tbl>
    <w:p>
      <w:pPr>
        <w:spacing w:after="0" w:line="215"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In 2010, our largest plan saw an improvement in its funded status and its accumulated benefit obligation no longer exceeds its plan assets as of December 31, 2010. As a result, this significant plan is included in the amounts disclosed above for 2009 but not for 2010.</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projected benefit obligation for certain of our plans exceeded the fair value of plan assets as follows: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040" w:type="dxa"/>
            <w:vAlign w:val="bottom"/>
            <w:gridSpan w:val="2"/>
          </w:tcPr>
          <w:p>
            <w:pPr>
              <w:spacing w:after="0"/>
              <w:rPr>
                <w:sz w:val="20"/>
                <w:szCs w:val="20"/>
                <w:color w:val="auto"/>
              </w:rPr>
            </w:pPr>
            <w:r>
              <w:rPr>
                <w:rFonts w:ascii="Arial" w:cs="Arial" w:eastAsia="Arial" w:hAnsi="Arial"/>
                <w:sz w:val="16"/>
                <w:szCs w:val="16"/>
                <w:b w:val="1"/>
                <w:bCs w:val="1"/>
                <w:color w:val="86B6A5"/>
              </w:rPr>
              <w:t>December 31</w:t>
            </w:r>
          </w:p>
        </w:tc>
        <w:tc>
          <w:tcPr>
            <w:tcW w:w="120" w:type="dxa"/>
            <w:vAlign w:val="bottom"/>
            <w:shd w:val="clear" w:color="auto" w:fill="86B6A5"/>
          </w:tcPr>
          <w:p>
            <w:pPr>
              <w:spacing w:after="0"/>
              <w:rPr>
                <w:sz w:val="18"/>
                <w:szCs w:val="18"/>
                <w:color w:val="auto"/>
              </w:rPr>
            </w:pPr>
          </w:p>
        </w:tc>
        <w:tc>
          <w:tcPr>
            <w:tcW w:w="1580" w:type="dxa"/>
            <w:vAlign w:val="bottom"/>
            <w:shd w:val="clear" w:color="auto" w:fill="86B6A5"/>
          </w:tcPr>
          <w:p>
            <w:pPr>
              <w:jc w:val="right"/>
              <w:ind w:right="133"/>
              <w:spacing w:after="0"/>
              <w:rPr>
                <w:sz w:val="20"/>
                <w:szCs w:val="20"/>
                <w:color w:val="auto"/>
              </w:rPr>
            </w:pPr>
            <w:r>
              <w:rPr>
                <w:rFonts w:ascii="Arial" w:cs="Arial" w:eastAsia="Arial" w:hAnsi="Arial"/>
                <w:sz w:val="16"/>
                <w:szCs w:val="16"/>
                <w:b w:val="1"/>
                <w:bCs w:val="1"/>
                <w:color w:val="FFFFFF"/>
              </w:rPr>
              <w:t>2010</w:t>
            </w:r>
          </w:p>
        </w:tc>
        <w:tc>
          <w:tcPr>
            <w:tcW w:w="5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86B6A5"/>
              </w:rPr>
              <w:t>2009</w:t>
            </w:r>
          </w:p>
        </w:tc>
        <w:tc>
          <w:tcPr>
            <w:tcW w:w="2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8020" w:type="dxa"/>
            <w:vAlign w:val="bottom"/>
            <w:tcBorders>
              <w:top w:val="single" w:sz="8" w:color="86B6A5"/>
            </w:tcBorders>
          </w:tcPr>
          <w:p>
            <w:pPr>
              <w:spacing w:after="0" w:line="201" w:lineRule="exact"/>
              <w:rPr>
                <w:sz w:val="20"/>
                <w:szCs w:val="20"/>
                <w:color w:val="auto"/>
              </w:rPr>
            </w:pPr>
            <w:r>
              <w:rPr>
                <w:rFonts w:ascii="Arial" w:cs="Arial" w:eastAsia="Arial" w:hAnsi="Arial"/>
                <w:sz w:val="18"/>
                <w:szCs w:val="18"/>
                <w:color w:val="auto"/>
              </w:rPr>
              <w:t>Projected benefit obligation</w:t>
            </w:r>
          </w:p>
        </w:tc>
        <w:tc>
          <w:tcPr>
            <w:tcW w:w="120" w:type="dxa"/>
            <w:vAlign w:val="bottom"/>
            <w:tcBorders>
              <w:top w:val="single" w:sz="8" w:color="86B6A5"/>
            </w:tcBorders>
            <w:shd w:val="clear" w:color="auto" w:fill="E3F1DA"/>
          </w:tcPr>
          <w:p>
            <w:pPr>
              <w:jc w:val="right"/>
              <w:spacing w:after="0" w:line="201" w:lineRule="exact"/>
              <w:rPr>
                <w:sz w:val="20"/>
                <w:szCs w:val="20"/>
                <w:color w:val="auto"/>
              </w:rPr>
            </w:pPr>
            <w:r>
              <w:rPr>
                <w:rFonts w:ascii="Arial" w:cs="Arial" w:eastAsia="Arial" w:hAnsi="Arial"/>
                <w:sz w:val="18"/>
                <w:szCs w:val="18"/>
                <w:color w:val="86B6A5"/>
                <w:w w:val="79"/>
              </w:rPr>
              <w:t>$</w:t>
            </w:r>
          </w:p>
        </w:tc>
        <w:tc>
          <w:tcPr>
            <w:tcW w:w="1580" w:type="dxa"/>
            <w:vAlign w:val="bottom"/>
            <w:tcBorders>
              <w:top w:val="single" w:sz="8" w:color="86B6A5"/>
            </w:tcBorders>
            <w:shd w:val="clear" w:color="auto" w:fill="E3F1DA"/>
          </w:tcPr>
          <w:p>
            <w:pPr>
              <w:jc w:val="right"/>
              <w:ind w:right="133"/>
              <w:spacing w:after="0" w:line="201" w:lineRule="exact"/>
              <w:rPr>
                <w:sz w:val="20"/>
                <w:szCs w:val="20"/>
                <w:color w:val="auto"/>
              </w:rPr>
            </w:pPr>
            <w:r>
              <w:rPr>
                <w:rFonts w:ascii="Arial" w:cs="Arial" w:eastAsia="Arial" w:hAnsi="Arial"/>
                <w:sz w:val="18"/>
                <w:szCs w:val="18"/>
                <w:color w:val="86B6A5"/>
              </w:rPr>
              <w:t>173.7</w:t>
            </w:r>
          </w:p>
        </w:tc>
        <w:tc>
          <w:tcPr>
            <w:tcW w:w="560" w:type="dxa"/>
            <w:vAlign w:val="bottom"/>
            <w:tcBorders>
              <w:top w:val="single" w:sz="8" w:color="86B6A5"/>
            </w:tcBorders>
          </w:tcPr>
          <w:p>
            <w:pPr>
              <w:jc w:val="right"/>
              <w:ind w:right="370"/>
              <w:spacing w:after="0" w:line="201"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86B6A5"/>
            </w:tcBorders>
          </w:tcPr>
          <w:p>
            <w:pPr>
              <w:jc w:val="right"/>
              <w:spacing w:after="0" w:line="201" w:lineRule="exact"/>
              <w:rPr>
                <w:sz w:val="20"/>
                <w:szCs w:val="20"/>
                <w:color w:val="auto"/>
              </w:rPr>
            </w:pPr>
            <w:r>
              <w:rPr>
                <w:rFonts w:ascii="Arial" w:cs="Arial" w:eastAsia="Arial" w:hAnsi="Arial"/>
                <w:sz w:val="18"/>
                <w:szCs w:val="18"/>
                <w:color w:val="auto"/>
              </w:rPr>
              <w:t>160.3</w:t>
            </w:r>
          </w:p>
        </w:tc>
        <w:tc>
          <w:tcPr>
            <w:tcW w:w="20" w:type="dxa"/>
            <w:vAlign w:val="bottom"/>
          </w:tcPr>
          <w:p>
            <w:pPr>
              <w:spacing w:after="0"/>
              <w:rPr>
                <w:sz w:val="17"/>
                <w:szCs w:val="17"/>
                <w:color w:val="auto"/>
              </w:rPr>
            </w:pPr>
          </w:p>
        </w:tc>
      </w:tr>
      <w:tr>
        <w:trPr>
          <w:trHeight w:val="203"/>
        </w:trPr>
        <w:tc>
          <w:tcPr>
            <w:tcW w:w="8040" w:type="dxa"/>
            <w:vAlign w:val="bottom"/>
            <w:gridSpan w:val="2"/>
          </w:tcPr>
          <w:p>
            <w:pPr>
              <w:spacing w:after="0" w:line="203" w:lineRule="exact"/>
              <w:rPr>
                <w:sz w:val="20"/>
                <w:szCs w:val="20"/>
                <w:color w:val="auto"/>
              </w:rPr>
            </w:pPr>
            <w:r>
              <w:rPr>
                <w:rFonts w:ascii="Arial" w:cs="Arial" w:eastAsia="Arial" w:hAnsi="Arial"/>
                <w:sz w:val="18"/>
                <w:szCs w:val="18"/>
                <w:color w:val="auto"/>
              </w:rPr>
              <w:t>Plan assets</w:t>
            </w:r>
          </w:p>
        </w:tc>
        <w:tc>
          <w:tcPr>
            <w:tcW w:w="120" w:type="dxa"/>
            <w:vAlign w:val="bottom"/>
            <w:shd w:val="clear" w:color="auto" w:fill="E3F1DA"/>
          </w:tcPr>
          <w:p>
            <w:pPr>
              <w:spacing w:after="0"/>
              <w:rPr>
                <w:sz w:val="17"/>
                <w:szCs w:val="17"/>
                <w:color w:val="auto"/>
              </w:rPr>
            </w:pPr>
          </w:p>
        </w:tc>
        <w:tc>
          <w:tcPr>
            <w:tcW w:w="1580" w:type="dxa"/>
            <w:vAlign w:val="bottom"/>
            <w:shd w:val="clear" w:color="auto" w:fill="E3F1DA"/>
          </w:tcPr>
          <w:p>
            <w:pPr>
              <w:jc w:val="right"/>
              <w:ind w:right="133"/>
              <w:spacing w:after="0" w:line="203" w:lineRule="exact"/>
              <w:rPr>
                <w:sz w:val="20"/>
                <w:szCs w:val="20"/>
                <w:color w:val="auto"/>
              </w:rPr>
            </w:pPr>
            <w:r>
              <w:rPr>
                <w:rFonts w:ascii="Arial" w:cs="Arial" w:eastAsia="Arial" w:hAnsi="Arial"/>
                <w:sz w:val="18"/>
                <w:szCs w:val="18"/>
                <w:color w:val="86B6A5"/>
              </w:rPr>
              <w:t>163.8</w:t>
            </w:r>
          </w:p>
        </w:tc>
        <w:tc>
          <w:tcPr>
            <w:tcW w:w="560" w:type="dxa"/>
            <w:vAlign w:val="bottom"/>
          </w:tcPr>
          <w:p>
            <w:pPr>
              <w:spacing w:after="0"/>
              <w:rPr>
                <w:sz w:val="17"/>
                <w:szCs w:val="17"/>
                <w:color w:val="auto"/>
              </w:rPr>
            </w:pPr>
          </w:p>
        </w:tc>
        <w:tc>
          <w:tcPr>
            <w:tcW w:w="920" w:type="dxa"/>
            <w:vAlign w:val="bottom"/>
            <w:gridSpan w:val="2"/>
          </w:tcPr>
          <w:p>
            <w:pPr>
              <w:jc w:val="right"/>
              <w:ind w:right="20"/>
              <w:spacing w:after="0" w:line="203" w:lineRule="exact"/>
              <w:rPr>
                <w:sz w:val="20"/>
                <w:szCs w:val="20"/>
                <w:color w:val="auto"/>
              </w:rPr>
            </w:pPr>
            <w:r>
              <w:rPr>
                <w:rFonts w:ascii="Arial" w:cs="Arial" w:eastAsia="Arial" w:hAnsi="Arial"/>
                <w:sz w:val="18"/>
                <w:szCs w:val="18"/>
                <w:color w:val="auto"/>
              </w:rPr>
              <w:t>144.9</w:t>
            </w:r>
          </w:p>
        </w:tc>
      </w:tr>
      <w:tr>
        <w:trPr>
          <w:trHeight w:val="27"/>
        </w:trPr>
        <w:tc>
          <w:tcPr>
            <w:tcW w:w="20" w:type="dxa"/>
            <w:vAlign w:val="bottom"/>
          </w:tcPr>
          <w:p>
            <w:pPr>
              <w:spacing w:after="0"/>
              <w:rPr>
                <w:sz w:val="2"/>
                <w:szCs w:val="2"/>
                <w:color w:val="auto"/>
              </w:rPr>
            </w:pPr>
          </w:p>
        </w:tc>
        <w:tc>
          <w:tcPr>
            <w:tcW w:w="8020" w:type="dxa"/>
            <w:vAlign w:val="bottom"/>
            <w:shd w:val="clear" w:color="auto" w:fill="939598"/>
          </w:tcPr>
          <w:p>
            <w:pPr>
              <w:spacing w:after="0"/>
              <w:rPr>
                <w:sz w:val="2"/>
                <w:szCs w:val="2"/>
                <w:color w:val="auto"/>
              </w:rPr>
            </w:pPr>
          </w:p>
        </w:tc>
        <w:tc>
          <w:tcPr>
            <w:tcW w:w="120" w:type="dxa"/>
            <w:vAlign w:val="bottom"/>
            <w:shd w:val="clear" w:color="auto" w:fill="939598"/>
          </w:tcPr>
          <w:p>
            <w:pPr>
              <w:spacing w:after="0"/>
              <w:rPr>
                <w:sz w:val="2"/>
                <w:szCs w:val="2"/>
                <w:color w:val="auto"/>
              </w:rPr>
            </w:pPr>
          </w:p>
        </w:tc>
        <w:tc>
          <w:tcPr>
            <w:tcW w:w="1580" w:type="dxa"/>
            <w:vAlign w:val="bottom"/>
            <w:shd w:val="clear" w:color="auto" w:fill="939598"/>
          </w:tcPr>
          <w:p>
            <w:pPr>
              <w:spacing w:after="0"/>
              <w:rPr>
                <w:sz w:val="2"/>
                <w:szCs w:val="2"/>
                <w:color w:val="auto"/>
              </w:rPr>
            </w:pPr>
          </w:p>
        </w:tc>
        <w:tc>
          <w:tcPr>
            <w:tcW w:w="560" w:type="dxa"/>
            <w:vAlign w:val="bottom"/>
            <w:shd w:val="clear" w:color="auto" w:fill="939598"/>
          </w:tcPr>
          <w:p>
            <w:pPr>
              <w:spacing w:after="0"/>
              <w:rPr>
                <w:sz w:val="2"/>
                <w:szCs w:val="2"/>
                <w:color w:val="auto"/>
              </w:rPr>
            </w:pPr>
          </w:p>
        </w:tc>
        <w:tc>
          <w:tcPr>
            <w:tcW w:w="900" w:type="dxa"/>
            <w:vAlign w:val="bottom"/>
            <w:shd w:val="clear" w:color="auto" w:fill="939598"/>
          </w:tcPr>
          <w:p>
            <w:pPr>
              <w:spacing w:after="0"/>
              <w:rPr>
                <w:sz w:val="2"/>
                <w:szCs w:val="2"/>
                <w:color w:val="auto"/>
              </w:rPr>
            </w:pPr>
          </w:p>
        </w:tc>
        <w:tc>
          <w:tcPr>
            <w:tcW w:w="20" w:type="dxa"/>
            <w:vAlign w:val="bottom"/>
          </w:tcPr>
          <w:p>
            <w:pPr>
              <w:spacing w:after="0"/>
              <w:rPr>
                <w:sz w:val="2"/>
                <w:szCs w:val="2"/>
                <w:color w:val="auto"/>
              </w:rPr>
            </w:pPr>
          </w:p>
        </w:tc>
      </w:tr>
    </w:tbl>
    <w:p>
      <w:pPr>
        <w:spacing w:after="0" w:line="215" w:lineRule="exact"/>
        <w:rPr>
          <w:sz w:val="20"/>
          <w:szCs w:val="20"/>
          <w:color w:val="auto"/>
        </w:rPr>
      </w:pPr>
    </w:p>
    <w:p>
      <w:pPr>
        <w:ind w:right="20"/>
        <w:spacing w:after="0" w:line="234" w:lineRule="auto"/>
        <w:rPr>
          <w:sz w:val="20"/>
          <w:szCs w:val="20"/>
          <w:color w:val="auto"/>
        </w:rPr>
      </w:pPr>
      <w:r>
        <w:rPr>
          <w:rFonts w:ascii="Arial" w:cs="Arial" w:eastAsia="Arial" w:hAnsi="Arial"/>
          <w:sz w:val="18"/>
          <w:szCs w:val="18"/>
          <w:color w:val="auto"/>
        </w:rPr>
        <w:t>By their nature, certain of our plans do not have plan assets. The accumulated benefit obligation for these plans was $57.1 and $53.1 as of December 31, 2010 and 2009, respectively.</w:t>
      </w:r>
    </w:p>
    <w:p>
      <w:pPr>
        <w:spacing w:after="0" w:line="2"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The components of the net periodic benefit cost and other amounts recognized in Other Comprehensive Loss (Income) for all plans are as follows: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040" w:type="dxa"/>
            <w:vAlign w:val="bottom"/>
            <w:gridSpan w:val="2"/>
          </w:tcPr>
          <w:p>
            <w:pPr>
              <w:spacing w:after="0"/>
              <w:rPr>
                <w:sz w:val="20"/>
                <w:szCs w:val="20"/>
                <w:color w:val="auto"/>
              </w:rPr>
            </w:pPr>
            <w:r>
              <w:rPr>
                <w:rFonts w:ascii="Arial" w:cs="Arial" w:eastAsia="Arial" w:hAnsi="Arial"/>
                <w:sz w:val="16"/>
                <w:szCs w:val="16"/>
                <w:b w:val="1"/>
                <w:bCs w:val="1"/>
                <w:color w:val="86B6A5"/>
              </w:rPr>
              <w:t>Year Ended December 31</w:t>
            </w:r>
          </w:p>
        </w:tc>
        <w:tc>
          <w:tcPr>
            <w:tcW w:w="120" w:type="dxa"/>
            <w:vAlign w:val="bottom"/>
            <w:shd w:val="clear" w:color="auto" w:fill="86B6A5"/>
          </w:tcPr>
          <w:p>
            <w:pPr>
              <w:spacing w:after="0"/>
              <w:rPr>
                <w:sz w:val="18"/>
                <w:szCs w:val="18"/>
                <w:color w:val="auto"/>
              </w:rPr>
            </w:pPr>
          </w:p>
        </w:tc>
        <w:tc>
          <w:tcPr>
            <w:tcW w:w="1340" w:type="dxa"/>
            <w:vAlign w:val="bottom"/>
            <w:shd w:val="clear" w:color="auto" w:fill="86B6A5"/>
          </w:tcPr>
          <w:p>
            <w:pPr>
              <w:jc w:val="right"/>
              <w:ind w:right="131"/>
              <w:spacing w:after="0"/>
              <w:rPr>
                <w:sz w:val="20"/>
                <w:szCs w:val="20"/>
                <w:color w:val="auto"/>
              </w:rPr>
            </w:pPr>
            <w:r>
              <w:rPr>
                <w:rFonts w:ascii="Arial" w:cs="Arial" w:eastAsia="Arial" w:hAnsi="Arial"/>
                <w:sz w:val="16"/>
                <w:szCs w:val="16"/>
                <w:b w:val="1"/>
                <w:bCs w:val="1"/>
                <w:color w:val="FFFFFF"/>
              </w:rPr>
              <w:t>2010</w:t>
            </w:r>
          </w:p>
        </w:tc>
        <w:tc>
          <w:tcPr>
            <w:tcW w:w="460" w:type="dxa"/>
            <w:vAlign w:val="bottom"/>
          </w:tcPr>
          <w:p>
            <w:pPr>
              <w:spacing w:after="0"/>
              <w:rPr>
                <w:sz w:val="18"/>
                <w:szCs w:val="18"/>
                <w:color w:val="auto"/>
              </w:rPr>
            </w:pPr>
          </w:p>
        </w:tc>
        <w:tc>
          <w:tcPr>
            <w:tcW w:w="920" w:type="dxa"/>
            <w:vAlign w:val="bottom"/>
          </w:tcPr>
          <w:p>
            <w:pPr>
              <w:jc w:val="right"/>
              <w:ind w:right="51"/>
              <w:spacing w:after="0"/>
              <w:rPr>
                <w:sz w:val="20"/>
                <w:szCs w:val="20"/>
                <w:color w:val="auto"/>
              </w:rPr>
            </w:pPr>
            <w:r>
              <w:rPr>
                <w:rFonts w:ascii="Arial" w:cs="Arial" w:eastAsia="Arial" w:hAnsi="Arial"/>
                <w:sz w:val="16"/>
                <w:szCs w:val="16"/>
                <w:b w:val="1"/>
                <w:bCs w:val="1"/>
                <w:color w:val="86B6A5"/>
              </w:rPr>
              <w:t>2009</w:t>
            </w:r>
          </w:p>
        </w:tc>
        <w:tc>
          <w:tcPr>
            <w:tcW w:w="5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86B6A5"/>
              </w:rPr>
              <w:t>2008</w:t>
            </w:r>
          </w:p>
        </w:tc>
        <w:tc>
          <w:tcPr>
            <w:tcW w:w="6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7020" w:type="dxa"/>
            <w:vAlign w:val="bottom"/>
            <w:tcBorders>
              <w:top w:val="single" w:sz="8" w:color="86B6A5"/>
            </w:tcBorders>
          </w:tcPr>
          <w:p>
            <w:pPr>
              <w:spacing w:after="0" w:line="201" w:lineRule="exact"/>
              <w:rPr>
                <w:sz w:val="20"/>
                <w:szCs w:val="20"/>
                <w:color w:val="auto"/>
              </w:rPr>
            </w:pPr>
            <w:r>
              <w:rPr>
                <w:rFonts w:ascii="Arial" w:cs="Arial" w:eastAsia="Arial" w:hAnsi="Arial"/>
                <w:sz w:val="18"/>
                <w:szCs w:val="18"/>
                <w:color w:val="auto"/>
              </w:rPr>
              <w:t>Service cost</w:t>
            </w:r>
          </w:p>
        </w:tc>
        <w:tc>
          <w:tcPr>
            <w:tcW w:w="120" w:type="dxa"/>
            <w:vAlign w:val="bottom"/>
            <w:tcBorders>
              <w:top w:val="single" w:sz="8" w:color="86B6A5"/>
            </w:tcBorders>
            <w:shd w:val="clear" w:color="auto" w:fill="E3F1DA"/>
          </w:tcPr>
          <w:p>
            <w:pPr>
              <w:jc w:val="right"/>
              <w:spacing w:after="0" w:line="201" w:lineRule="exact"/>
              <w:rPr>
                <w:sz w:val="20"/>
                <w:szCs w:val="20"/>
                <w:color w:val="auto"/>
              </w:rPr>
            </w:pPr>
            <w:r>
              <w:rPr>
                <w:rFonts w:ascii="Arial" w:cs="Arial" w:eastAsia="Arial" w:hAnsi="Arial"/>
                <w:sz w:val="18"/>
                <w:szCs w:val="18"/>
                <w:color w:val="86B6A5"/>
                <w:w w:val="79"/>
              </w:rPr>
              <w:t>$</w:t>
            </w:r>
          </w:p>
        </w:tc>
        <w:tc>
          <w:tcPr>
            <w:tcW w:w="1340" w:type="dxa"/>
            <w:vAlign w:val="bottom"/>
            <w:tcBorders>
              <w:top w:val="single" w:sz="8" w:color="86B6A5"/>
            </w:tcBorders>
            <w:shd w:val="clear" w:color="auto" w:fill="E3F1DA"/>
          </w:tcPr>
          <w:p>
            <w:pPr>
              <w:jc w:val="right"/>
              <w:ind w:right="131"/>
              <w:spacing w:after="0" w:line="201" w:lineRule="exact"/>
              <w:rPr>
                <w:sz w:val="20"/>
                <w:szCs w:val="20"/>
                <w:color w:val="auto"/>
              </w:rPr>
            </w:pPr>
            <w:r>
              <w:rPr>
                <w:rFonts w:ascii="Arial" w:cs="Arial" w:eastAsia="Arial" w:hAnsi="Arial"/>
                <w:sz w:val="18"/>
                <w:szCs w:val="18"/>
                <w:color w:val="86B6A5"/>
              </w:rPr>
              <w:t>8.6</w:t>
            </w:r>
          </w:p>
        </w:tc>
        <w:tc>
          <w:tcPr>
            <w:tcW w:w="460" w:type="dxa"/>
            <w:vAlign w:val="bottom"/>
            <w:tcBorders>
              <w:top w:val="single" w:sz="8" w:color="86B6A5"/>
            </w:tcBorders>
          </w:tcPr>
          <w:p>
            <w:pPr>
              <w:jc w:val="right"/>
              <w:ind w:right="270"/>
              <w:spacing w:after="0" w:line="201"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86B6A5"/>
            </w:tcBorders>
          </w:tcPr>
          <w:p>
            <w:pPr>
              <w:jc w:val="right"/>
              <w:ind w:right="51"/>
              <w:spacing w:after="0" w:line="201" w:lineRule="exact"/>
              <w:rPr>
                <w:sz w:val="20"/>
                <w:szCs w:val="20"/>
                <w:color w:val="auto"/>
              </w:rPr>
            </w:pPr>
            <w:r>
              <w:rPr>
                <w:rFonts w:ascii="Arial" w:cs="Arial" w:eastAsia="Arial" w:hAnsi="Arial"/>
                <w:sz w:val="18"/>
                <w:szCs w:val="18"/>
                <w:color w:val="auto"/>
              </w:rPr>
              <w:t>11.1</w:t>
            </w:r>
          </w:p>
        </w:tc>
        <w:tc>
          <w:tcPr>
            <w:tcW w:w="540" w:type="dxa"/>
            <w:vAlign w:val="bottom"/>
            <w:tcBorders>
              <w:top w:val="single" w:sz="8" w:color="86B6A5"/>
            </w:tcBorders>
          </w:tcPr>
          <w:p>
            <w:pPr>
              <w:jc w:val="right"/>
              <w:ind w:right="270"/>
              <w:spacing w:after="0" w:line="201" w:lineRule="exact"/>
              <w:rPr>
                <w:sz w:val="20"/>
                <w:szCs w:val="20"/>
                <w:color w:val="auto"/>
              </w:rPr>
            </w:pPr>
            <w:r>
              <w:rPr>
                <w:rFonts w:ascii="Arial" w:cs="Arial" w:eastAsia="Arial" w:hAnsi="Arial"/>
                <w:sz w:val="18"/>
                <w:szCs w:val="18"/>
                <w:color w:val="auto"/>
              </w:rPr>
              <w:t>$</w:t>
            </w:r>
          </w:p>
        </w:tc>
        <w:tc>
          <w:tcPr>
            <w:tcW w:w="780" w:type="dxa"/>
            <w:vAlign w:val="bottom"/>
            <w:tcBorders>
              <w:top w:val="single" w:sz="8" w:color="86B6A5"/>
            </w:tcBorders>
          </w:tcPr>
          <w:p>
            <w:pPr>
              <w:jc w:val="right"/>
              <w:spacing w:after="0" w:line="201" w:lineRule="exact"/>
              <w:rPr>
                <w:sz w:val="20"/>
                <w:szCs w:val="20"/>
                <w:color w:val="auto"/>
              </w:rPr>
            </w:pPr>
            <w:r>
              <w:rPr>
                <w:rFonts w:ascii="Arial" w:cs="Arial" w:eastAsia="Arial" w:hAnsi="Arial"/>
                <w:sz w:val="18"/>
                <w:szCs w:val="18"/>
                <w:color w:val="auto"/>
              </w:rPr>
              <w:t>14.4</w:t>
            </w:r>
          </w:p>
        </w:tc>
        <w:tc>
          <w:tcPr>
            <w:tcW w:w="60" w:type="dxa"/>
            <w:vAlign w:val="bottom"/>
          </w:tcPr>
          <w:p>
            <w:pPr>
              <w:spacing w:after="0"/>
              <w:rPr>
                <w:sz w:val="17"/>
                <w:szCs w:val="17"/>
                <w:color w:val="auto"/>
              </w:rPr>
            </w:pPr>
          </w:p>
        </w:tc>
      </w:tr>
      <w:tr>
        <w:trPr>
          <w:trHeight w:val="203"/>
        </w:trPr>
        <w:tc>
          <w:tcPr>
            <w:tcW w:w="7040" w:type="dxa"/>
            <w:vAlign w:val="bottom"/>
            <w:gridSpan w:val="2"/>
          </w:tcPr>
          <w:p>
            <w:pPr>
              <w:spacing w:after="0" w:line="202" w:lineRule="exact"/>
              <w:rPr>
                <w:sz w:val="20"/>
                <w:szCs w:val="20"/>
                <w:color w:val="auto"/>
              </w:rPr>
            </w:pPr>
            <w:r>
              <w:rPr>
                <w:rFonts w:ascii="Arial" w:cs="Arial" w:eastAsia="Arial" w:hAnsi="Arial"/>
                <w:sz w:val="18"/>
                <w:szCs w:val="18"/>
                <w:color w:val="auto"/>
              </w:rPr>
              <w:t>Interest cost</w:t>
            </w:r>
          </w:p>
        </w:tc>
        <w:tc>
          <w:tcPr>
            <w:tcW w:w="120" w:type="dxa"/>
            <w:vAlign w:val="bottom"/>
            <w:shd w:val="clear" w:color="auto" w:fill="E3F1DA"/>
          </w:tcPr>
          <w:p>
            <w:pPr>
              <w:spacing w:after="0"/>
              <w:rPr>
                <w:sz w:val="17"/>
                <w:szCs w:val="17"/>
                <w:color w:val="auto"/>
              </w:rPr>
            </w:pPr>
          </w:p>
        </w:tc>
        <w:tc>
          <w:tcPr>
            <w:tcW w:w="1340" w:type="dxa"/>
            <w:vAlign w:val="bottom"/>
            <w:shd w:val="clear" w:color="auto" w:fill="E3F1DA"/>
          </w:tcPr>
          <w:p>
            <w:pPr>
              <w:jc w:val="right"/>
              <w:ind w:right="131"/>
              <w:spacing w:after="0" w:line="202" w:lineRule="exact"/>
              <w:rPr>
                <w:sz w:val="20"/>
                <w:szCs w:val="20"/>
                <w:color w:val="auto"/>
              </w:rPr>
            </w:pPr>
            <w:r>
              <w:rPr>
                <w:rFonts w:ascii="Arial" w:cs="Arial" w:eastAsia="Arial" w:hAnsi="Arial"/>
                <w:sz w:val="18"/>
                <w:szCs w:val="18"/>
                <w:color w:val="86B6A5"/>
              </w:rPr>
              <w:t>14.5</w:t>
            </w:r>
          </w:p>
        </w:tc>
        <w:tc>
          <w:tcPr>
            <w:tcW w:w="460" w:type="dxa"/>
            <w:vAlign w:val="bottom"/>
          </w:tcPr>
          <w:p>
            <w:pPr>
              <w:spacing w:after="0"/>
              <w:rPr>
                <w:sz w:val="17"/>
                <w:szCs w:val="17"/>
                <w:color w:val="auto"/>
              </w:rPr>
            </w:pPr>
          </w:p>
        </w:tc>
        <w:tc>
          <w:tcPr>
            <w:tcW w:w="920" w:type="dxa"/>
            <w:vAlign w:val="bottom"/>
          </w:tcPr>
          <w:p>
            <w:pPr>
              <w:jc w:val="right"/>
              <w:ind w:right="51"/>
              <w:spacing w:after="0" w:line="202" w:lineRule="exact"/>
              <w:rPr>
                <w:sz w:val="20"/>
                <w:szCs w:val="20"/>
                <w:color w:val="auto"/>
              </w:rPr>
            </w:pPr>
            <w:r>
              <w:rPr>
                <w:rFonts w:ascii="Arial" w:cs="Arial" w:eastAsia="Arial" w:hAnsi="Arial"/>
                <w:sz w:val="18"/>
                <w:szCs w:val="18"/>
                <w:color w:val="auto"/>
              </w:rPr>
              <w:t>14.1</w:t>
            </w:r>
          </w:p>
        </w:tc>
        <w:tc>
          <w:tcPr>
            <w:tcW w:w="54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15.3</w:t>
            </w:r>
          </w:p>
        </w:tc>
        <w:tc>
          <w:tcPr>
            <w:tcW w:w="60" w:type="dxa"/>
            <w:vAlign w:val="bottom"/>
          </w:tcPr>
          <w:p>
            <w:pPr>
              <w:spacing w:after="0"/>
              <w:rPr>
                <w:sz w:val="17"/>
                <w:szCs w:val="17"/>
                <w:color w:val="auto"/>
              </w:rPr>
            </w:pPr>
          </w:p>
        </w:tc>
      </w:tr>
      <w:tr>
        <w:trPr>
          <w:trHeight w:val="202"/>
        </w:trPr>
        <w:tc>
          <w:tcPr>
            <w:tcW w:w="7040" w:type="dxa"/>
            <w:vAlign w:val="bottom"/>
            <w:gridSpan w:val="2"/>
          </w:tcPr>
          <w:p>
            <w:pPr>
              <w:spacing w:after="0" w:line="201" w:lineRule="exact"/>
              <w:rPr>
                <w:sz w:val="20"/>
                <w:szCs w:val="20"/>
                <w:color w:val="auto"/>
              </w:rPr>
            </w:pPr>
            <w:r>
              <w:rPr>
                <w:rFonts w:ascii="Arial" w:cs="Arial" w:eastAsia="Arial" w:hAnsi="Arial"/>
                <w:sz w:val="18"/>
                <w:szCs w:val="18"/>
                <w:color w:val="auto"/>
              </w:rPr>
              <w:t>Expected return on assets</w:t>
            </w:r>
          </w:p>
        </w:tc>
        <w:tc>
          <w:tcPr>
            <w:tcW w:w="120" w:type="dxa"/>
            <w:vAlign w:val="bottom"/>
            <w:shd w:val="clear" w:color="auto" w:fill="E3F1DA"/>
          </w:tcPr>
          <w:p>
            <w:pPr>
              <w:spacing w:after="0"/>
              <w:rPr>
                <w:sz w:val="17"/>
                <w:szCs w:val="17"/>
                <w:color w:val="auto"/>
              </w:rPr>
            </w:pPr>
          </w:p>
        </w:tc>
        <w:tc>
          <w:tcPr>
            <w:tcW w:w="1340" w:type="dxa"/>
            <w:vAlign w:val="bottom"/>
          </w:tcPr>
          <w:p>
            <w:pPr>
              <w:jc w:val="right"/>
              <w:ind w:right="71"/>
              <w:spacing w:after="0" w:line="201" w:lineRule="exact"/>
              <w:rPr>
                <w:sz w:val="20"/>
                <w:szCs w:val="20"/>
                <w:color w:val="auto"/>
              </w:rPr>
            </w:pPr>
            <w:r>
              <w:rPr>
                <w:rFonts w:ascii="Arial" w:cs="Arial" w:eastAsia="Arial" w:hAnsi="Arial"/>
                <w:sz w:val="18"/>
                <w:szCs w:val="18"/>
                <w:color w:val="86B6A5"/>
              </w:rPr>
              <w:t>(13.4)</w:t>
            </w:r>
          </w:p>
        </w:tc>
        <w:tc>
          <w:tcPr>
            <w:tcW w:w="460" w:type="dxa"/>
            <w:vAlign w:val="bottom"/>
          </w:tcPr>
          <w:p>
            <w:pPr>
              <w:spacing w:after="0"/>
              <w:rPr>
                <w:sz w:val="17"/>
                <w:szCs w:val="17"/>
                <w:color w:val="auto"/>
              </w:rPr>
            </w:pPr>
          </w:p>
        </w:tc>
        <w:tc>
          <w:tcPr>
            <w:tcW w:w="920" w:type="dxa"/>
            <w:vAlign w:val="bottom"/>
          </w:tcPr>
          <w:p>
            <w:pPr>
              <w:jc w:val="right"/>
              <w:spacing w:after="0" w:line="201" w:lineRule="exact"/>
              <w:rPr>
                <w:sz w:val="20"/>
                <w:szCs w:val="20"/>
                <w:color w:val="auto"/>
              </w:rPr>
            </w:pPr>
            <w:r>
              <w:rPr>
                <w:rFonts w:ascii="Arial" w:cs="Arial" w:eastAsia="Arial" w:hAnsi="Arial"/>
                <w:sz w:val="18"/>
                <w:szCs w:val="18"/>
                <w:color w:val="auto"/>
              </w:rPr>
              <w:t>(12.6)</w:t>
            </w:r>
          </w:p>
        </w:tc>
        <w:tc>
          <w:tcPr>
            <w:tcW w:w="540" w:type="dxa"/>
            <w:vAlign w:val="bottom"/>
          </w:tcPr>
          <w:p>
            <w:pPr>
              <w:spacing w:after="0"/>
              <w:rPr>
                <w:sz w:val="17"/>
                <w:szCs w:val="17"/>
                <w:color w:val="auto"/>
              </w:rPr>
            </w:pPr>
          </w:p>
        </w:tc>
        <w:tc>
          <w:tcPr>
            <w:tcW w:w="84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(13.9)</w:t>
            </w:r>
          </w:p>
        </w:tc>
      </w:tr>
      <w:tr>
        <w:trPr>
          <w:trHeight w:val="203"/>
        </w:trPr>
        <w:tc>
          <w:tcPr>
            <w:tcW w:w="7040" w:type="dxa"/>
            <w:vAlign w:val="bottom"/>
            <w:gridSpan w:val="2"/>
          </w:tcPr>
          <w:p>
            <w:pPr>
              <w:spacing w:after="0" w:line="202" w:lineRule="exact"/>
              <w:rPr>
                <w:sz w:val="20"/>
                <w:szCs w:val="20"/>
                <w:color w:val="auto"/>
              </w:rPr>
            </w:pPr>
            <w:r>
              <w:rPr>
                <w:rFonts w:ascii="Arial" w:cs="Arial" w:eastAsia="Arial" w:hAnsi="Arial"/>
                <w:sz w:val="18"/>
                <w:szCs w:val="18"/>
                <w:color w:val="auto"/>
              </w:rPr>
              <w:t>Curtailment and settlement</w:t>
            </w:r>
          </w:p>
        </w:tc>
        <w:tc>
          <w:tcPr>
            <w:tcW w:w="120" w:type="dxa"/>
            <w:vAlign w:val="bottom"/>
            <w:shd w:val="clear" w:color="auto" w:fill="E3F1DA"/>
          </w:tcPr>
          <w:p>
            <w:pPr>
              <w:spacing w:after="0"/>
              <w:rPr>
                <w:sz w:val="17"/>
                <w:szCs w:val="17"/>
                <w:color w:val="auto"/>
              </w:rPr>
            </w:pPr>
          </w:p>
        </w:tc>
        <w:tc>
          <w:tcPr>
            <w:tcW w:w="1340" w:type="dxa"/>
            <w:vAlign w:val="bottom"/>
          </w:tcPr>
          <w:p>
            <w:pPr>
              <w:jc w:val="right"/>
              <w:ind w:right="131"/>
              <w:spacing w:after="0" w:line="202" w:lineRule="exact"/>
              <w:rPr>
                <w:sz w:val="20"/>
                <w:szCs w:val="20"/>
                <w:color w:val="auto"/>
              </w:rPr>
            </w:pPr>
            <w:r>
              <w:rPr>
                <w:rFonts w:ascii="Arial" w:cs="Arial" w:eastAsia="Arial" w:hAnsi="Arial"/>
                <w:sz w:val="18"/>
                <w:szCs w:val="18"/>
                <w:color w:val="86B6A5"/>
              </w:rPr>
              <w:t>–</w:t>
            </w:r>
          </w:p>
        </w:tc>
        <w:tc>
          <w:tcPr>
            <w:tcW w:w="46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(4.3)</w:t>
            </w:r>
          </w:p>
        </w:tc>
        <w:tc>
          <w:tcPr>
            <w:tcW w:w="540" w:type="dxa"/>
            <w:vAlign w:val="bottom"/>
          </w:tcPr>
          <w:p>
            <w:pPr>
              <w:spacing w:after="0"/>
              <w:rPr>
                <w:sz w:val="17"/>
                <w:szCs w:val="17"/>
                <w:color w:val="auto"/>
              </w:rPr>
            </w:pPr>
          </w:p>
        </w:tc>
        <w:tc>
          <w:tcPr>
            <w:tcW w:w="8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3"/>
        </w:trPr>
        <w:tc>
          <w:tcPr>
            <w:tcW w:w="7040" w:type="dxa"/>
            <w:vAlign w:val="bottom"/>
            <w:gridSpan w:val="2"/>
          </w:tcPr>
          <w:p>
            <w:pPr>
              <w:spacing w:after="0" w:line="202" w:lineRule="exact"/>
              <w:rPr>
                <w:sz w:val="20"/>
                <w:szCs w:val="20"/>
                <w:color w:val="auto"/>
              </w:rPr>
            </w:pPr>
            <w:r>
              <w:rPr>
                <w:rFonts w:ascii="Arial" w:cs="Arial" w:eastAsia="Arial" w:hAnsi="Arial"/>
                <w:sz w:val="18"/>
                <w:szCs w:val="18"/>
                <w:color w:val="auto"/>
              </w:rPr>
              <w:t>Net gain</w:t>
            </w:r>
          </w:p>
        </w:tc>
        <w:tc>
          <w:tcPr>
            <w:tcW w:w="120" w:type="dxa"/>
            <w:vAlign w:val="bottom"/>
            <w:shd w:val="clear" w:color="auto" w:fill="E3F1DA"/>
          </w:tcPr>
          <w:p>
            <w:pPr>
              <w:spacing w:after="0"/>
              <w:rPr>
                <w:sz w:val="17"/>
                <w:szCs w:val="17"/>
                <w:color w:val="auto"/>
              </w:rPr>
            </w:pPr>
          </w:p>
        </w:tc>
        <w:tc>
          <w:tcPr>
            <w:tcW w:w="1340" w:type="dxa"/>
            <w:vAlign w:val="bottom"/>
          </w:tcPr>
          <w:p>
            <w:pPr>
              <w:jc w:val="right"/>
              <w:ind w:right="71"/>
              <w:spacing w:after="0" w:line="202" w:lineRule="exact"/>
              <w:rPr>
                <w:sz w:val="20"/>
                <w:szCs w:val="20"/>
                <w:color w:val="auto"/>
              </w:rPr>
            </w:pPr>
            <w:r>
              <w:rPr>
                <w:rFonts w:ascii="Arial" w:cs="Arial" w:eastAsia="Arial" w:hAnsi="Arial"/>
                <w:sz w:val="18"/>
                <w:szCs w:val="18"/>
                <w:color w:val="86B6A5"/>
              </w:rPr>
              <w:t>(1.2)</w:t>
            </w:r>
          </w:p>
        </w:tc>
        <w:tc>
          <w:tcPr>
            <w:tcW w:w="46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(2.1)</w:t>
            </w:r>
          </w:p>
        </w:tc>
        <w:tc>
          <w:tcPr>
            <w:tcW w:w="540" w:type="dxa"/>
            <w:vAlign w:val="bottom"/>
          </w:tcPr>
          <w:p>
            <w:pPr>
              <w:spacing w:after="0"/>
              <w:rPr>
                <w:sz w:val="17"/>
                <w:szCs w:val="17"/>
                <w:color w:val="auto"/>
              </w:rPr>
            </w:pPr>
          </w:p>
        </w:tc>
        <w:tc>
          <w:tcPr>
            <w:tcW w:w="8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(0.8)</w:t>
            </w:r>
          </w:p>
        </w:tc>
      </w:tr>
      <w:tr>
        <w:trPr>
          <w:trHeight w:val="210"/>
        </w:trPr>
        <w:tc>
          <w:tcPr>
            <w:tcW w:w="7040" w:type="dxa"/>
            <w:vAlign w:val="bottom"/>
            <w:gridSpan w:val="2"/>
          </w:tcPr>
          <w:p>
            <w:pPr>
              <w:spacing w:after="0" w:line="203" w:lineRule="exact"/>
              <w:rPr>
                <w:sz w:val="20"/>
                <w:szCs w:val="20"/>
                <w:color w:val="auto"/>
              </w:rPr>
            </w:pPr>
            <w:r>
              <w:rPr>
                <w:rFonts w:ascii="Arial" w:cs="Arial" w:eastAsia="Arial" w:hAnsi="Arial"/>
                <w:sz w:val="18"/>
                <w:szCs w:val="18"/>
                <w:color w:val="auto"/>
              </w:rPr>
              <w:t>Prior service cost</w:t>
            </w:r>
          </w:p>
        </w:tc>
        <w:tc>
          <w:tcPr>
            <w:tcW w:w="120" w:type="dxa"/>
            <w:vAlign w:val="bottom"/>
            <w:shd w:val="clear" w:color="auto" w:fill="E3F1DA"/>
          </w:tcPr>
          <w:p>
            <w:pPr>
              <w:spacing w:after="0"/>
              <w:rPr>
                <w:sz w:val="18"/>
                <w:szCs w:val="18"/>
                <w:color w:val="auto"/>
              </w:rPr>
            </w:pPr>
          </w:p>
        </w:tc>
        <w:tc>
          <w:tcPr>
            <w:tcW w:w="1340" w:type="dxa"/>
            <w:vAlign w:val="bottom"/>
          </w:tcPr>
          <w:p>
            <w:pPr>
              <w:jc w:val="right"/>
              <w:ind w:right="131"/>
              <w:spacing w:after="0" w:line="203" w:lineRule="exact"/>
              <w:rPr>
                <w:sz w:val="20"/>
                <w:szCs w:val="20"/>
                <w:color w:val="auto"/>
              </w:rPr>
            </w:pPr>
            <w:r>
              <w:rPr>
                <w:rFonts w:ascii="Arial" w:cs="Arial" w:eastAsia="Arial" w:hAnsi="Arial"/>
                <w:sz w:val="18"/>
                <w:szCs w:val="18"/>
                <w:color w:val="86B6A5"/>
              </w:rPr>
              <w:t>0.7</w:t>
            </w:r>
          </w:p>
        </w:tc>
        <w:tc>
          <w:tcPr>
            <w:tcW w:w="460" w:type="dxa"/>
            <w:vAlign w:val="bottom"/>
          </w:tcPr>
          <w:p>
            <w:pPr>
              <w:spacing w:after="0"/>
              <w:rPr>
                <w:sz w:val="18"/>
                <w:szCs w:val="18"/>
                <w:color w:val="auto"/>
              </w:rPr>
            </w:pPr>
          </w:p>
        </w:tc>
        <w:tc>
          <w:tcPr>
            <w:tcW w:w="920" w:type="dxa"/>
            <w:vAlign w:val="bottom"/>
          </w:tcPr>
          <w:p>
            <w:pPr>
              <w:jc w:val="right"/>
              <w:ind w:right="51"/>
              <w:spacing w:after="0" w:line="203" w:lineRule="exact"/>
              <w:rPr>
                <w:sz w:val="20"/>
                <w:szCs w:val="20"/>
                <w:color w:val="auto"/>
              </w:rPr>
            </w:pPr>
            <w:r>
              <w:rPr>
                <w:rFonts w:ascii="Arial" w:cs="Arial" w:eastAsia="Arial" w:hAnsi="Arial"/>
                <w:sz w:val="18"/>
                <w:szCs w:val="18"/>
                <w:color w:val="auto"/>
              </w:rPr>
              <w:t>0.5</w:t>
            </w:r>
          </w:p>
        </w:tc>
        <w:tc>
          <w:tcPr>
            <w:tcW w:w="540" w:type="dxa"/>
            <w:vAlign w:val="bottom"/>
          </w:tcPr>
          <w:p>
            <w:pPr>
              <w:spacing w:after="0"/>
              <w:rPr>
                <w:sz w:val="18"/>
                <w:szCs w:val="18"/>
                <w:color w:val="auto"/>
              </w:rPr>
            </w:pPr>
          </w:p>
        </w:tc>
        <w:tc>
          <w:tcPr>
            <w:tcW w:w="840" w:type="dxa"/>
            <w:vAlign w:val="bottom"/>
            <w:gridSpan w:val="2"/>
          </w:tcPr>
          <w:p>
            <w:pPr>
              <w:jc w:val="right"/>
              <w:ind w:right="60"/>
              <w:spacing w:after="0" w:line="203" w:lineRule="exact"/>
              <w:rPr>
                <w:sz w:val="20"/>
                <w:szCs w:val="20"/>
                <w:color w:val="auto"/>
              </w:rPr>
            </w:pPr>
            <w:r>
              <w:rPr>
                <w:rFonts w:ascii="Arial" w:cs="Arial" w:eastAsia="Arial" w:hAnsi="Arial"/>
                <w:sz w:val="18"/>
                <w:szCs w:val="18"/>
                <w:color w:val="auto"/>
              </w:rPr>
              <w:t>0.5</w:t>
            </w:r>
          </w:p>
        </w:tc>
      </w:tr>
      <w:tr>
        <w:trPr>
          <w:trHeight w:val="210"/>
        </w:trPr>
        <w:tc>
          <w:tcPr>
            <w:tcW w:w="7040" w:type="dxa"/>
            <w:vAlign w:val="bottom"/>
            <w:tcBorders>
              <w:top w:val="single" w:sz="8" w:color="939598"/>
              <w:bottom w:val="single" w:sz="8" w:color="939598"/>
            </w:tcBorders>
            <w:gridSpan w:val="2"/>
          </w:tcPr>
          <w:p>
            <w:pPr>
              <w:spacing w:after="0" w:line="202" w:lineRule="exact"/>
              <w:rPr>
                <w:sz w:val="20"/>
                <w:szCs w:val="20"/>
                <w:color w:val="auto"/>
              </w:rPr>
            </w:pPr>
            <w:r>
              <w:rPr>
                <w:rFonts w:ascii="Arial" w:cs="Arial" w:eastAsia="Arial" w:hAnsi="Arial"/>
                <w:sz w:val="18"/>
                <w:szCs w:val="18"/>
                <w:color w:val="auto"/>
              </w:rPr>
              <w:t>Net periodic benefit cost</w:t>
            </w:r>
          </w:p>
        </w:tc>
        <w:tc>
          <w:tcPr>
            <w:tcW w:w="120" w:type="dxa"/>
            <w:vAlign w:val="bottom"/>
            <w:tcBorders>
              <w:top w:val="single" w:sz="8" w:color="939598"/>
              <w:bottom w:val="single" w:sz="8" w:color="939598"/>
            </w:tcBorders>
            <w:shd w:val="clear" w:color="auto" w:fill="E3F1DA"/>
          </w:tcPr>
          <w:p>
            <w:pPr>
              <w:spacing w:after="0"/>
              <w:rPr>
                <w:sz w:val="18"/>
                <w:szCs w:val="18"/>
                <w:color w:val="auto"/>
              </w:rPr>
            </w:pPr>
          </w:p>
        </w:tc>
        <w:tc>
          <w:tcPr>
            <w:tcW w:w="1340" w:type="dxa"/>
            <w:vAlign w:val="bottom"/>
            <w:tcBorders>
              <w:top w:val="single" w:sz="8" w:color="939598"/>
              <w:bottom w:val="single" w:sz="8" w:color="939598"/>
            </w:tcBorders>
          </w:tcPr>
          <w:p>
            <w:pPr>
              <w:jc w:val="right"/>
              <w:ind w:right="131"/>
              <w:spacing w:after="0" w:line="202" w:lineRule="exact"/>
              <w:rPr>
                <w:sz w:val="20"/>
                <w:szCs w:val="20"/>
                <w:color w:val="auto"/>
              </w:rPr>
            </w:pPr>
            <w:r>
              <w:rPr>
                <w:rFonts w:ascii="Arial" w:cs="Arial" w:eastAsia="Arial" w:hAnsi="Arial"/>
                <w:sz w:val="18"/>
                <w:szCs w:val="18"/>
                <w:color w:val="86B6A5"/>
              </w:rPr>
              <w:t>9.2</w:t>
            </w:r>
          </w:p>
        </w:tc>
        <w:tc>
          <w:tcPr>
            <w:tcW w:w="460" w:type="dxa"/>
            <w:vAlign w:val="bottom"/>
            <w:tcBorders>
              <w:top w:val="single" w:sz="8" w:color="939598"/>
              <w:bottom w:val="single" w:sz="8" w:color="939598"/>
            </w:tcBorders>
          </w:tcPr>
          <w:p>
            <w:pPr>
              <w:spacing w:after="0"/>
              <w:rPr>
                <w:sz w:val="18"/>
                <w:szCs w:val="18"/>
                <w:color w:val="auto"/>
              </w:rPr>
            </w:pPr>
          </w:p>
        </w:tc>
        <w:tc>
          <w:tcPr>
            <w:tcW w:w="920" w:type="dxa"/>
            <w:vAlign w:val="bottom"/>
            <w:tcBorders>
              <w:top w:val="single" w:sz="8" w:color="939598"/>
              <w:bottom w:val="single" w:sz="8" w:color="939598"/>
            </w:tcBorders>
          </w:tcPr>
          <w:p>
            <w:pPr>
              <w:jc w:val="right"/>
              <w:ind w:right="51"/>
              <w:spacing w:after="0" w:line="202" w:lineRule="exact"/>
              <w:rPr>
                <w:sz w:val="20"/>
                <w:szCs w:val="20"/>
                <w:color w:val="auto"/>
              </w:rPr>
            </w:pPr>
            <w:r>
              <w:rPr>
                <w:rFonts w:ascii="Arial" w:cs="Arial" w:eastAsia="Arial" w:hAnsi="Arial"/>
                <w:sz w:val="18"/>
                <w:szCs w:val="18"/>
                <w:color w:val="auto"/>
              </w:rPr>
              <w:t>6.7</w:t>
            </w:r>
          </w:p>
        </w:tc>
        <w:tc>
          <w:tcPr>
            <w:tcW w:w="540" w:type="dxa"/>
            <w:vAlign w:val="bottom"/>
            <w:tcBorders>
              <w:top w:val="single" w:sz="8" w:color="939598"/>
              <w:bottom w:val="single" w:sz="8" w:color="939598"/>
            </w:tcBorders>
          </w:tcPr>
          <w:p>
            <w:pPr>
              <w:spacing w:after="0"/>
              <w:rPr>
                <w:sz w:val="18"/>
                <w:szCs w:val="18"/>
                <w:color w:val="auto"/>
              </w:rPr>
            </w:pPr>
          </w:p>
        </w:tc>
        <w:tc>
          <w:tcPr>
            <w:tcW w:w="780" w:type="dxa"/>
            <w:vAlign w:val="bottom"/>
            <w:tcBorders>
              <w:top w:val="single" w:sz="8" w:color="939598"/>
              <w:bottom w:val="single" w:sz="8" w:color="939598"/>
            </w:tcBorders>
          </w:tcPr>
          <w:p>
            <w:pPr>
              <w:jc w:val="right"/>
              <w:spacing w:after="0" w:line="202" w:lineRule="exact"/>
              <w:rPr>
                <w:sz w:val="20"/>
                <w:szCs w:val="20"/>
                <w:color w:val="auto"/>
              </w:rPr>
            </w:pPr>
            <w:r>
              <w:rPr>
                <w:rFonts w:ascii="Arial" w:cs="Arial" w:eastAsia="Arial" w:hAnsi="Arial"/>
                <w:sz w:val="18"/>
                <w:szCs w:val="18"/>
                <w:color w:val="auto"/>
              </w:rPr>
              <w:t>15.5</w:t>
            </w:r>
          </w:p>
        </w:tc>
        <w:tc>
          <w:tcPr>
            <w:tcW w:w="60" w:type="dxa"/>
            <w:vAlign w:val="bottom"/>
          </w:tcPr>
          <w:p>
            <w:pPr>
              <w:spacing w:after="0"/>
              <w:rPr>
                <w:sz w:val="18"/>
                <w:szCs w:val="18"/>
                <w:color w:val="auto"/>
              </w:rPr>
            </w:pPr>
          </w:p>
        </w:tc>
      </w:tr>
      <w:tr>
        <w:trPr>
          <w:trHeight w:val="180"/>
        </w:trPr>
        <w:tc>
          <w:tcPr>
            <w:tcW w:w="7040" w:type="dxa"/>
            <w:vAlign w:val="bottom"/>
            <w:gridSpan w:val="2"/>
          </w:tcPr>
          <w:p>
            <w:pPr>
              <w:spacing w:after="0" w:line="180" w:lineRule="exact"/>
              <w:rPr>
                <w:sz w:val="20"/>
                <w:szCs w:val="20"/>
                <w:color w:val="auto"/>
              </w:rPr>
            </w:pPr>
            <w:r>
              <w:rPr>
                <w:rFonts w:ascii="Arial" w:cs="Arial" w:eastAsia="Arial" w:hAnsi="Arial"/>
                <w:sz w:val="18"/>
                <w:szCs w:val="18"/>
                <w:b w:val="1"/>
                <w:bCs w:val="1"/>
                <w:color w:val="auto"/>
              </w:rPr>
              <w:t>Other Changes in Plan Assets and Benefit Obligations</w:t>
            </w:r>
          </w:p>
        </w:tc>
        <w:tc>
          <w:tcPr>
            <w:tcW w:w="120" w:type="dxa"/>
            <w:vAlign w:val="bottom"/>
            <w:shd w:val="clear" w:color="auto" w:fill="E3F1DA"/>
          </w:tcPr>
          <w:p>
            <w:pPr>
              <w:spacing w:after="0"/>
              <w:rPr>
                <w:sz w:val="15"/>
                <w:szCs w:val="15"/>
                <w:color w:val="auto"/>
              </w:rPr>
            </w:pPr>
          </w:p>
        </w:tc>
        <w:tc>
          <w:tcPr>
            <w:tcW w:w="13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25"/>
        </w:trPr>
        <w:tc>
          <w:tcPr>
            <w:tcW w:w="7040" w:type="dxa"/>
            <w:vAlign w:val="bottom"/>
            <w:gridSpan w:val="2"/>
          </w:tcPr>
          <w:p>
            <w:pPr>
              <w:spacing w:after="0"/>
              <w:rPr>
                <w:sz w:val="20"/>
                <w:szCs w:val="20"/>
                <w:color w:val="auto"/>
              </w:rPr>
            </w:pPr>
            <w:r>
              <w:rPr>
                <w:rFonts w:ascii="Arial" w:cs="Arial" w:eastAsia="Arial" w:hAnsi="Arial"/>
                <w:sz w:val="18"/>
                <w:szCs w:val="18"/>
                <w:b w:val="1"/>
                <w:bCs w:val="1"/>
                <w:color w:val="auto"/>
              </w:rPr>
              <w:t>Recognized in Other Comprehensive Loss (Income)</w:t>
            </w:r>
          </w:p>
        </w:tc>
        <w:tc>
          <w:tcPr>
            <w:tcW w:w="120" w:type="dxa"/>
            <w:vAlign w:val="bottom"/>
            <w:shd w:val="clear" w:color="auto" w:fill="E3F1DA"/>
          </w:tcPr>
          <w:p>
            <w:pPr>
              <w:spacing w:after="0"/>
              <w:rPr>
                <w:sz w:val="19"/>
                <w:szCs w:val="19"/>
                <w:color w:val="auto"/>
              </w:rPr>
            </w:pPr>
          </w:p>
        </w:tc>
        <w:tc>
          <w:tcPr>
            <w:tcW w:w="13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03"/>
        </w:trPr>
        <w:tc>
          <w:tcPr>
            <w:tcW w:w="7040" w:type="dxa"/>
            <w:vAlign w:val="bottom"/>
            <w:gridSpan w:val="2"/>
          </w:tcPr>
          <w:p>
            <w:pPr>
              <w:spacing w:after="0" w:line="202" w:lineRule="exact"/>
              <w:rPr>
                <w:sz w:val="20"/>
                <w:szCs w:val="20"/>
                <w:color w:val="auto"/>
              </w:rPr>
            </w:pPr>
            <w:r>
              <w:rPr>
                <w:rFonts w:ascii="Arial" w:cs="Arial" w:eastAsia="Arial" w:hAnsi="Arial"/>
                <w:sz w:val="18"/>
                <w:szCs w:val="18"/>
                <w:color w:val="auto"/>
              </w:rPr>
              <w:t>Net loss (gain)</w:t>
            </w:r>
          </w:p>
        </w:tc>
        <w:tc>
          <w:tcPr>
            <w:tcW w:w="120" w:type="dxa"/>
            <w:vAlign w:val="bottom"/>
            <w:shd w:val="clear" w:color="auto" w:fill="E3F1DA"/>
          </w:tcPr>
          <w:p>
            <w:pPr>
              <w:spacing w:after="0"/>
              <w:rPr>
                <w:sz w:val="17"/>
                <w:szCs w:val="17"/>
                <w:color w:val="auto"/>
              </w:rPr>
            </w:pPr>
          </w:p>
        </w:tc>
        <w:tc>
          <w:tcPr>
            <w:tcW w:w="1340" w:type="dxa"/>
            <w:vAlign w:val="bottom"/>
          </w:tcPr>
          <w:p>
            <w:pPr>
              <w:jc w:val="right"/>
              <w:ind w:right="131"/>
              <w:spacing w:after="0" w:line="202" w:lineRule="exact"/>
              <w:rPr>
                <w:sz w:val="20"/>
                <w:szCs w:val="20"/>
                <w:color w:val="auto"/>
              </w:rPr>
            </w:pPr>
            <w:r>
              <w:rPr>
                <w:rFonts w:ascii="Arial" w:cs="Arial" w:eastAsia="Arial" w:hAnsi="Arial"/>
                <w:sz w:val="18"/>
                <w:szCs w:val="18"/>
                <w:color w:val="86B6A5"/>
              </w:rPr>
              <w:t>8.5</w:t>
            </w:r>
          </w:p>
        </w:tc>
        <w:tc>
          <w:tcPr>
            <w:tcW w:w="46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(9.0)</w:t>
            </w:r>
          </w:p>
        </w:tc>
        <w:tc>
          <w:tcPr>
            <w:tcW w:w="540" w:type="dxa"/>
            <w:vAlign w:val="bottom"/>
          </w:tcPr>
          <w:p>
            <w:pPr>
              <w:spacing w:after="0"/>
              <w:rPr>
                <w:sz w:val="17"/>
                <w:szCs w:val="17"/>
                <w:color w:val="auto"/>
              </w:rPr>
            </w:pPr>
          </w:p>
        </w:tc>
        <w:tc>
          <w:tcPr>
            <w:tcW w:w="8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9.7</w:t>
            </w:r>
          </w:p>
        </w:tc>
      </w:tr>
      <w:tr>
        <w:trPr>
          <w:trHeight w:val="203"/>
        </w:trPr>
        <w:tc>
          <w:tcPr>
            <w:tcW w:w="7040" w:type="dxa"/>
            <w:vAlign w:val="bottom"/>
            <w:gridSpan w:val="2"/>
          </w:tcPr>
          <w:p>
            <w:pPr>
              <w:spacing w:after="0" w:line="202" w:lineRule="exact"/>
              <w:rPr>
                <w:sz w:val="20"/>
                <w:szCs w:val="20"/>
                <w:color w:val="auto"/>
              </w:rPr>
            </w:pPr>
            <w:r>
              <w:rPr>
                <w:rFonts w:ascii="Arial" w:cs="Arial" w:eastAsia="Arial" w:hAnsi="Arial"/>
                <w:sz w:val="18"/>
                <w:szCs w:val="18"/>
                <w:color w:val="auto"/>
              </w:rPr>
              <w:t>Amortization of net gain</w:t>
            </w:r>
          </w:p>
        </w:tc>
        <w:tc>
          <w:tcPr>
            <w:tcW w:w="120" w:type="dxa"/>
            <w:vAlign w:val="bottom"/>
            <w:shd w:val="clear" w:color="auto" w:fill="E3F1DA"/>
          </w:tcPr>
          <w:p>
            <w:pPr>
              <w:spacing w:after="0"/>
              <w:rPr>
                <w:sz w:val="17"/>
                <w:szCs w:val="17"/>
                <w:color w:val="auto"/>
              </w:rPr>
            </w:pPr>
          </w:p>
        </w:tc>
        <w:tc>
          <w:tcPr>
            <w:tcW w:w="1340" w:type="dxa"/>
            <w:vAlign w:val="bottom"/>
          </w:tcPr>
          <w:p>
            <w:pPr>
              <w:jc w:val="right"/>
              <w:ind w:right="131"/>
              <w:spacing w:after="0" w:line="202" w:lineRule="exact"/>
              <w:rPr>
                <w:sz w:val="20"/>
                <w:szCs w:val="20"/>
                <w:color w:val="auto"/>
              </w:rPr>
            </w:pPr>
            <w:r>
              <w:rPr>
                <w:rFonts w:ascii="Arial" w:cs="Arial" w:eastAsia="Arial" w:hAnsi="Arial"/>
                <w:sz w:val="18"/>
                <w:szCs w:val="18"/>
                <w:color w:val="86B6A5"/>
              </w:rPr>
              <w:t>1.2</w:t>
            </w:r>
          </w:p>
        </w:tc>
        <w:tc>
          <w:tcPr>
            <w:tcW w:w="460" w:type="dxa"/>
            <w:vAlign w:val="bottom"/>
          </w:tcPr>
          <w:p>
            <w:pPr>
              <w:spacing w:after="0"/>
              <w:rPr>
                <w:sz w:val="17"/>
                <w:szCs w:val="17"/>
                <w:color w:val="auto"/>
              </w:rPr>
            </w:pPr>
          </w:p>
        </w:tc>
        <w:tc>
          <w:tcPr>
            <w:tcW w:w="920" w:type="dxa"/>
            <w:vAlign w:val="bottom"/>
          </w:tcPr>
          <w:p>
            <w:pPr>
              <w:jc w:val="right"/>
              <w:ind w:right="51"/>
              <w:spacing w:after="0" w:line="202" w:lineRule="exact"/>
              <w:rPr>
                <w:sz w:val="20"/>
                <w:szCs w:val="20"/>
                <w:color w:val="auto"/>
              </w:rPr>
            </w:pPr>
            <w:r>
              <w:rPr>
                <w:rFonts w:ascii="Arial" w:cs="Arial" w:eastAsia="Arial" w:hAnsi="Arial"/>
                <w:sz w:val="18"/>
                <w:szCs w:val="18"/>
                <w:color w:val="auto"/>
              </w:rPr>
              <w:t>3.0</w:t>
            </w:r>
          </w:p>
        </w:tc>
        <w:tc>
          <w:tcPr>
            <w:tcW w:w="540" w:type="dxa"/>
            <w:vAlign w:val="bottom"/>
          </w:tcPr>
          <w:p>
            <w:pPr>
              <w:spacing w:after="0"/>
              <w:rPr>
                <w:sz w:val="17"/>
                <w:szCs w:val="17"/>
                <w:color w:val="auto"/>
              </w:rPr>
            </w:pPr>
          </w:p>
        </w:tc>
        <w:tc>
          <w:tcPr>
            <w:tcW w:w="8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0.9</w:t>
            </w:r>
          </w:p>
        </w:tc>
      </w:tr>
      <w:tr>
        <w:trPr>
          <w:trHeight w:val="203"/>
        </w:trPr>
        <w:tc>
          <w:tcPr>
            <w:tcW w:w="7040" w:type="dxa"/>
            <w:vAlign w:val="bottom"/>
            <w:gridSpan w:val="2"/>
          </w:tcPr>
          <w:p>
            <w:pPr>
              <w:spacing w:after="0" w:line="202" w:lineRule="exact"/>
              <w:rPr>
                <w:sz w:val="20"/>
                <w:szCs w:val="20"/>
                <w:color w:val="auto"/>
              </w:rPr>
            </w:pPr>
            <w:r>
              <w:rPr>
                <w:rFonts w:ascii="Arial" w:cs="Arial" w:eastAsia="Arial" w:hAnsi="Arial"/>
                <w:sz w:val="18"/>
                <w:szCs w:val="18"/>
                <w:color w:val="auto"/>
              </w:rPr>
              <w:t>Prior service cost</w:t>
            </w:r>
          </w:p>
        </w:tc>
        <w:tc>
          <w:tcPr>
            <w:tcW w:w="120" w:type="dxa"/>
            <w:vAlign w:val="bottom"/>
            <w:shd w:val="clear" w:color="auto" w:fill="E3F1DA"/>
          </w:tcPr>
          <w:p>
            <w:pPr>
              <w:spacing w:after="0"/>
              <w:rPr>
                <w:sz w:val="17"/>
                <w:szCs w:val="17"/>
                <w:color w:val="auto"/>
              </w:rPr>
            </w:pPr>
          </w:p>
        </w:tc>
        <w:tc>
          <w:tcPr>
            <w:tcW w:w="1340" w:type="dxa"/>
            <w:vAlign w:val="bottom"/>
          </w:tcPr>
          <w:p>
            <w:pPr>
              <w:jc w:val="right"/>
              <w:ind w:right="131"/>
              <w:spacing w:after="0" w:line="202" w:lineRule="exact"/>
              <w:rPr>
                <w:sz w:val="20"/>
                <w:szCs w:val="20"/>
                <w:color w:val="auto"/>
              </w:rPr>
            </w:pPr>
            <w:r>
              <w:rPr>
                <w:rFonts w:ascii="Arial" w:cs="Arial" w:eastAsia="Arial" w:hAnsi="Arial"/>
                <w:sz w:val="18"/>
                <w:szCs w:val="18"/>
                <w:color w:val="86B6A5"/>
              </w:rPr>
              <w:t>–</w:t>
            </w:r>
          </w:p>
        </w:tc>
        <w:tc>
          <w:tcPr>
            <w:tcW w:w="460" w:type="dxa"/>
            <w:vAlign w:val="bottom"/>
          </w:tcPr>
          <w:p>
            <w:pPr>
              <w:spacing w:after="0"/>
              <w:rPr>
                <w:sz w:val="17"/>
                <w:szCs w:val="17"/>
                <w:color w:val="auto"/>
              </w:rPr>
            </w:pPr>
          </w:p>
        </w:tc>
        <w:tc>
          <w:tcPr>
            <w:tcW w:w="920" w:type="dxa"/>
            <w:vAlign w:val="bottom"/>
          </w:tcPr>
          <w:p>
            <w:pPr>
              <w:jc w:val="right"/>
              <w:ind w:right="51"/>
              <w:spacing w:after="0" w:line="202" w:lineRule="exact"/>
              <w:rPr>
                <w:sz w:val="20"/>
                <w:szCs w:val="20"/>
                <w:color w:val="auto"/>
              </w:rPr>
            </w:pPr>
            <w:r>
              <w:rPr>
                <w:rFonts w:ascii="Arial" w:cs="Arial" w:eastAsia="Arial" w:hAnsi="Arial"/>
                <w:sz w:val="18"/>
                <w:szCs w:val="18"/>
                <w:color w:val="auto"/>
              </w:rPr>
              <w:t>–</w:t>
            </w:r>
          </w:p>
        </w:tc>
        <w:tc>
          <w:tcPr>
            <w:tcW w:w="54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10.4</w:t>
            </w:r>
          </w:p>
        </w:tc>
        <w:tc>
          <w:tcPr>
            <w:tcW w:w="60" w:type="dxa"/>
            <w:vAlign w:val="bottom"/>
          </w:tcPr>
          <w:p>
            <w:pPr>
              <w:spacing w:after="0"/>
              <w:rPr>
                <w:sz w:val="17"/>
                <w:szCs w:val="17"/>
                <w:color w:val="auto"/>
              </w:rPr>
            </w:pPr>
          </w:p>
        </w:tc>
      </w:tr>
      <w:tr>
        <w:trPr>
          <w:trHeight w:val="203"/>
        </w:trPr>
        <w:tc>
          <w:tcPr>
            <w:tcW w:w="7040" w:type="dxa"/>
            <w:vAlign w:val="bottom"/>
            <w:gridSpan w:val="2"/>
          </w:tcPr>
          <w:p>
            <w:pPr>
              <w:spacing w:after="0" w:line="203" w:lineRule="exact"/>
              <w:rPr>
                <w:sz w:val="20"/>
                <w:szCs w:val="20"/>
                <w:color w:val="auto"/>
              </w:rPr>
            </w:pPr>
            <w:r>
              <w:rPr>
                <w:rFonts w:ascii="Arial" w:cs="Arial" w:eastAsia="Arial" w:hAnsi="Arial"/>
                <w:sz w:val="18"/>
                <w:szCs w:val="18"/>
                <w:color w:val="auto"/>
              </w:rPr>
              <w:t>Amortization of prior service cost</w:t>
            </w:r>
          </w:p>
        </w:tc>
        <w:tc>
          <w:tcPr>
            <w:tcW w:w="120" w:type="dxa"/>
            <w:vAlign w:val="bottom"/>
            <w:shd w:val="clear" w:color="auto" w:fill="E3F1DA"/>
          </w:tcPr>
          <w:p>
            <w:pPr>
              <w:spacing w:after="0"/>
              <w:rPr>
                <w:sz w:val="17"/>
                <w:szCs w:val="17"/>
                <w:color w:val="auto"/>
              </w:rPr>
            </w:pPr>
          </w:p>
        </w:tc>
        <w:tc>
          <w:tcPr>
            <w:tcW w:w="1340" w:type="dxa"/>
            <w:vAlign w:val="bottom"/>
          </w:tcPr>
          <w:p>
            <w:pPr>
              <w:jc w:val="right"/>
              <w:ind w:right="71"/>
              <w:spacing w:after="0" w:line="203" w:lineRule="exact"/>
              <w:rPr>
                <w:sz w:val="20"/>
                <w:szCs w:val="20"/>
                <w:color w:val="auto"/>
              </w:rPr>
            </w:pPr>
            <w:r>
              <w:rPr>
                <w:rFonts w:ascii="Arial" w:cs="Arial" w:eastAsia="Arial" w:hAnsi="Arial"/>
                <w:sz w:val="18"/>
                <w:szCs w:val="18"/>
                <w:color w:val="86B6A5"/>
              </w:rPr>
              <w:t>(0.7)</w:t>
            </w:r>
          </w:p>
        </w:tc>
        <w:tc>
          <w:tcPr>
            <w:tcW w:w="460" w:type="dxa"/>
            <w:vAlign w:val="bottom"/>
          </w:tcPr>
          <w:p>
            <w:pPr>
              <w:spacing w:after="0"/>
              <w:rPr>
                <w:sz w:val="17"/>
                <w:szCs w:val="17"/>
                <w:color w:val="auto"/>
              </w:rPr>
            </w:pPr>
          </w:p>
        </w:tc>
        <w:tc>
          <w:tcPr>
            <w:tcW w:w="920" w:type="dxa"/>
            <w:vAlign w:val="bottom"/>
          </w:tcPr>
          <w:p>
            <w:pPr>
              <w:jc w:val="right"/>
              <w:spacing w:after="0" w:line="203" w:lineRule="exact"/>
              <w:rPr>
                <w:sz w:val="20"/>
                <w:szCs w:val="20"/>
                <w:color w:val="auto"/>
              </w:rPr>
            </w:pPr>
            <w:r>
              <w:rPr>
                <w:rFonts w:ascii="Arial" w:cs="Arial" w:eastAsia="Arial" w:hAnsi="Arial"/>
                <w:sz w:val="18"/>
                <w:szCs w:val="18"/>
                <w:color w:val="auto"/>
              </w:rPr>
              <w:t>(0.8)</w:t>
            </w:r>
          </w:p>
        </w:tc>
        <w:tc>
          <w:tcPr>
            <w:tcW w:w="540" w:type="dxa"/>
            <w:vAlign w:val="bottom"/>
          </w:tcPr>
          <w:p>
            <w:pPr>
              <w:spacing w:after="0"/>
              <w:rPr>
                <w:sz w:val="17"/>
                <w:szCs w:val="17"/>
                <w:color w:val="auto"/>
              </w:rPr>
            </w:pPr>
          </w:p>
        </w:tc>
        <w:tc>
          <w:tcPr>
            <w:tcW w:w="84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(0.6)</w:t>
            </w:r>
          </w:p>
        </w:tc>
      </w:tr>
      <w:tr>
        <w:trPr>
          <w:trHeight w:val="196"/>
        </w:trPr>
        <w:tc>
          <w:tcPr>
            <w:tcW w:w="7040" w:type="dxa"/>
            <w:vAlign w:val="bottom"/>
            <w:tcBorders>
              <w:top w:val="single" w:sz="8" w:color="939598"/>
              <w:bottom w:val="single" w:sz="8" w:color="939598"/>
            </w:tcBorders>
            <w:gridSpan w:val="2"/>
          </w:tcPr>
          <w:p>
            <w:pPr>
              <w:spacing w:after="0" w:line="196" w:lineRule="exact"/>
              <w:rPr>
                <w:sz w:val="20"/>
                <w:szCs w:val="20"/>
                <w:color w:val="auto"/>
              </w:rPr>
            </w:pPr>
            <w:r>
              <w:rPr>
                <w:rFonts w:ascii="Arial" w:cs="Arial" w:eastAsia="Arial" w:hAnsi="Arial"/>
                <w:sz w:val="18"/>
                <w:szCs w:val="18"/>
                <w:color w:val="auto"/>
              </w:rPr>
              <w:t>Total recognized in other comprehensive loss (income)</w:t>
            </w:r>
          </w:p>
        </w:tc>
        <w:tc>
          <w:tcPr>
            <w:tcW w:w="120" w:type="dxa"/>
            <w:vAlign w:val="bottom"/>
            <w:tcBorders>
              <w:top w:val="single" w:sz="8" w:color="939598"/>
              <w:bottom w:val="single" w:sz="8" w:color="939598"/>
            </w:tcBorders>
            <w:shd w:val="clear" w:color="auto" w:fill="E3F1DA"/>
          </w:tcPr>
          <w:p>
            <w:pPr>
              <w:spacing w:after="0"/>
              <w:rPr>
                <w:sz w:val="17"/>
                <w:szCs w:val="17"/>
                <w:color w:val="auto"/>
              </w:rPr>
            </w:pPr>
          </w:p>
        </w:tc>
        <w:tc>
          <w:tcPr>
            <w:tcW w:w="1340" w:type="dxa"/>
            <w:vAlign w:val="bottom"/>
            <w:tcBorders>
              <w:top w:val="single" w:sz="8" w:color="939598"/>
              <w:bottom w:val="single" w:sz="8" w:color="939598"/>
            </w:tcBorders>
          </w:tcPr>
          <w:p>
            <w:pPr>
              <w:jc w:val="right"/>
              <w:ind w:right="131"/>
              <w:spacing w:after="0" w:line="196" w:lineRule="exact"/>
              <w:rPr>
                <w:sz w:val="20"/>
                <w:szCs w:val="20"/>
                <w:color w:val="auto"/>
              </w:rPr>
            </w:pPr>
            <w:r>
              <w:rPr>
                <w:rFonts w:ascii="Arial" w:cs="Arial" w:eastAsia="Arial" w:hAnsi="Arial"/>
                <w:sz w:val="18"/>
                <w:szCs w:val="18"/>
                <w:color w:val="86B6A5"/>
              </w:rPr>
              <w:t>9.0</w:t>
            </w:r>
          </w:p>
        </w:tc>
        <w:tc>
          <w:tcPr>
            <w:tcW w:w="460" w:type="dxa"/>
            <w:vAlign w:val="bottom"/>
            <w:tcBorders>
              <w:top w:val="single" w:sz="8" w:color="939598"/>
              <w:bottom w:val="single" w:sz="8" w:color="939598"/>
            </w:tcBorders>
          </w:tcPr>
          <w:p>
            <w:pPr>
              <w:spacing w:after="0"/>
              <w:rPr>
                <w:sz w:val="17"/>
                <w:szCs w:val="17"/>
                <w:color w:val="auto"/>
              </w:rPr>
            </w:pPr>
          </w:p>
        </w:tc>
        <w:tc>
          <w:tcPr>
            <w:tcW w:w="920" w:type="dxa"/>
            <w:vAlign w:val="bottom"/>
            <w:tcBorders>
              <w:top w:val="single" w:sz="8" w:color="939598"/>
              <w:bottom w:val="single" w:sz="8" w:color="939598"/>
            </w:tcBorders>
          </w:tcPr>
          <w:p>
            <w:pPr>
              <w:jc w:val="right"/>
              <w:spacing w:after="0" w:line="196" w:lineRule="exact"/>
              <w:rPr>
                <w:sz w:val="20"/>
                <w:szCs w:val="20"/>
                <w:color w:val="auto"/>
              </w:rPr>
            </w:pPr>
            <w:r>
              <w:rPr>
                <w:rFonts w:ascii="Arial" w:cs="Arial" w:eastAsia="Arial" w:hAnsi="Arial"/>
                <w:sz w:val="18"/>
                <w:szCs w:val="18"/>
                <w:color w:val="auto"/>
              </w:rPr>
              <w:t>(6.8)</w:t>
            </w:r>
          </w:p>
        </w:tc>
        <w:tc>
          <w:tcPr>
            <w:tcW w:w="540" w:type="dxa"/>
            <w:vAlign w:val="bottom"/>
            <w:tcBorders>
              <w:top w:val="single" w:sz="8" w:color="939598"/>
              <w:bottom w:val="single" w:sz="8" w:color="939598"/>
            </w:tcBorders>
          </w:tcPr>
          <w:p>
            <w:pPr>
              <w:spacing w:after="0"/>
              <w:rPr>
                <w:sz w:val="17"/>
                <w:szCs w:val="17"/>
                <w:color w:val="auto"/>
              </w:rPr>
            </w:pPr>
          </w:p>
        </w:tc>
        <w:tc>
          <w:tcPr>
            <w:tcW w:w="780" w:type="dxa"/>
            <w:vAlign w:val="bottom"/>
            <w:tcBorders>
              <w:top w:val="single" w:sz="8" w:color="939598"/>
              <w:bottom w:val="single" w:sz="8" w:color="939598"/>
            </w:tcBorders>
          </w:tcPr>
          <w:p>
            <w:pPr>
              <w:jc w:val="right"/>
              <w:spacing w:after="0" w:line="196" w:lineRule="exact"/>
              <w:rPr>
                <w:sz w:val="20"/>
                <w:szCs w:val="20"/>
                <w:color w:val="auto"/>
              </w:rPr>
            </w:pPr>
            <w:r>
              <w:rPr>
                <w:rFonts w:ascii="Arial" w:cs="Arial" w:eastAsia="Arial" w:hAnsi="Arial"/>
                <w:sz w:val="18"/>
                <w:szCs w:val="18"/>
                <w:color w:val="auto"/>
              </w:rPr>
              <w:t>20.4</w:t>
            </w:r>
          </w:p>
        </w:tc>
        <w:tc>
          <w:tcPr>
            <w:tcW w:w="60" w:type="dxa"/>
            <w:vAlign w:val="bottom"/>
          </w:tcPr>
          <w:p>
            <w:pPr>
              <w:spacing w:after="0"/>
              <w:rPr>
                <w:sz w:val="17"/>
                <w:szCs w:val="17"/>
                <w:color w:val="auto"/>
              </w:rPr>
            </w:pPr>
          </w:p>
        </w:tc>
      </w:tr>
      <w:tr>
        <w:trPr>
          <w:trHeight w:val="196"/>
        </w:trPr>
        <w:tc>
          <w:tcPr>
            <w:tcW w:w="7040" w:type="dxa"/>
            <w:vAlign w:val="bottom"/>
            <w:gridSpan w:val="2"/>
          </w:tcPr>
          <w:p>
            <w:pPr>
              <w:spacing w:after="0" w:line="196" w:lineRule="exact"/>
              <w:rPr>
                <w:sz w:val="20"/>
                <w:szCs w:val="20"/>
                <w:color w:val="auto"/>
              </w:rPr>
            </w:pPr>
            <w:r>
              <w:rPr>
                <w:rFonts w:ascii="Arial" w:cs="Arial" w:eastAsia="Arial" w:hAnsi="Arial"/>
                <w:sz w:val="18"/>
                <w:szCs w:val="18"/>
                <w:color w:val="auto"/>
              </w:rPr>
              <w:t>Total recognized in net periodic benefit cost and other comprehensive loss (income)</w:t>
            </w:r>
          </w:p>
        </w:tc>
        <w:tc>
          <w:tcPr>
            <w:tcW w:w="120" w:type="dxa"/>
            <w:vAlign w:val="bottom"/>
            <w:shd w:val="clear" w:color="auto" w:fill="E3F1DA"/>
          </w:tcPr>
          <w:p>
            <w:pPr>
              <w:jc w:val="right"/>
              <w:spacing w:after="0" w:line="196" w:lineRule="exact"/>
              <w:rPr>
                <w:sz w:val="20"/>
                <w:szCs w:val="20"/>
                <w:color w:val="auto"/>
              </w:rPr>
            </w:pPr>
            <w:r>
              <w:rPr>
                <w:rFonts w:ascii="Arial" w:cs="Arial" w:eastAsia="Arial" w:hAnsi="Arial"/>
                <w:sz w:val="18"/>
                <w:szCs w:val="18"/>
                <w:color w:val="86B6A5"/>
                <w:w w:val="79"/>
              </w:rPr>
              <w:t>$</w:t>
            </w:r>
          </w:p>
        </w:tc>
        <w:tc>
          <w:tcPr>
            <w:tcW w:w="1340" w:type="dxa"/>
            <w:vAlign w:val="bottom"/>
          </w:tcPr>
          <w:p>
            <w:pPr>
              <w:jc w:val="right"/>
              <w:ind w:right="131"/>
              <w:spacing w:after="0" w:line="196" w:lineRule="exact"/>
              <w:rPr>
                <w:sz w:val="20"/>
                <w:szCs w:val="20"/>
                <w:color w:val="auto"/>
              </w:rPr>
            </w:pPr>
            <w:r>
              <w:rPr>
                <w:rFonts w:ascii="Arial" w:cs="Arial" w:eastAsia="Arial" w:hAnsi="Arial"/>
                <w:sz w:val="18"/>
                <w:szCs w:val="18"/>
                <w:color w:val="86B6A5"/>
              </w:rPr>
              <w:t>18.2</w:t>
            </w:r>
          </w:p>
        </w:tc>
        <w:tc>
          <w:tcPr>
            <w:tcW w:w="460" w:type="dxa"/>
            <w:vAlign w:val="bottom"/>
          </w:tcPr>
          <w:p>
            <w:pPr>
              <w:jc w:val="right"/>
              <w:ind w:right="27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(0.1)</w:t>
            </w:r>
          </w:p>
        </w:tc>
        <w:tc>
          <w:tcPr>
            <w:tcW w:w="540" w:type="dxa"/>
            <w:vAlign w:val="bottom"/>
          </w:tcPr>
          <w:p>
            <w:pPr>
              <w:jc w:val="right"/>
              <w:ind w:right="270"/>
              <w:spacing w:after="0" w:line="196" w:lineRule="exact"/>
              <w:rPr>
                <w:sz w:val="20"/>
                <w:szCs w:val="20"/>
                <w:color w:val="auto"/>
              </w:rPr>
            </w:pPr>
            <w:r>
              <w:rPr>
                <w:rFonts w:ascii="Arial" w:cs="Arial" w:eastAsia="Arial" w:hAnsi="Arial"/>
                <w:sz w:val="18"/>
                <w:szCs w:val="18"/>
                <w:color w:val="auto"/>
              </w:rPr>
              <w:t>$</w:t>
            </w: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35.9</w:t>
            </w:r>
          </w:p>
        </w:tc>
        <w:tc>
          <w:tcPr>
            <w:tcW w:w="60" w:type="dxa"/>
            <w:vAlign w:val="bottom"/>
          </w:tcPr>
          <w:p>
            <w:pPr>
              <w:spacing w:after="0"/>
              <w:rPr>
                <w:sz w:val="17"/>
                <w:szCs w:val="17"/>
                <w:color w:val="auto"/>
              </w:rPr>
            </w:pPr>
          </w:p>
        </w:tc>
      </w:tr>
      <w:tr>
        <w:trPr>
          <w:trHeight w:val="27"/>
        </w:trPr>
        <w:tc>
          <w:tcPr>
            <w:tcW w:w="20" w:type="dxa"/>
            <w:vAlign w:val="bottom"/>
          </w:tcPr>
          <w:p>
            <w:pPr>
              <w:spacing w:after="0"/>
              <w:rPr>
                <w:sz w:val="2"/>
                <w:szCs w:val="2"/>
                <w:color w:val="auto"/>
              </w:rPr>
            </w:pPr>
          </w:p>
        </w:tc>
        <w:tc>
          <w:tcPr>
            <w:tcW w:w="7020" w:type="dxa"/>
            <w:vAlign w:val="bottom"/>
            <w:shd w:val="clear" w:color="auto" w:fill="939598"/>
          </w:tcPr>
          <w:p>
            <w:pPr>
              <w:spacing w:after="0"/>
              <w:rPr>
                <w:sz w:val="2"/>
                <w:szCs w:val="2"/>
                <w:color w:val="auto"/>
              </w:rPr>
            </w:pPr>
          </w:p>
        </w:tc>
        <w:tc>
          <w:tcPr>
            <w:tcW w:w="120" w:type="dxa"/>
            <w:vAlign w:val="bottom"/>
            <w:shd w:val="clear" w:color="auto" w:fill="939598"/>
          </w:tcPr>
          <w:p>
            <w:pPr>
              <w:spacing w:after="0"/>
              <w:rPr>
                <w:sz w:val="2"/>
                <w:szCs w:val="2"/>
                <w:color w:val="auto"/>
              </w:rPr>
            </w:pPr>
          </w:p>
        </w:tc>
        <w:tc>
          <w:tcPr>
            <w:tcW w:w="1340" w:type="dxa"/>
            <w:vAlign w:val="bottom"/>
            <w:shd w:val="clear" w:color="auto" w:fill="939598"/>
          </w:tcPr>
          <w:p>
            <w:pPr>
              <w:spacing w:after="0"/>
              <w:rPr>
                <w:sz w:val="2"/>
                <w:szCs w:val="2"/>
                <w:color w:val="auto"/>
              </w:rPr>
            </w:pPr>
          </w:p>
        </w:tc>
        <w:tc>
          <w:tcPr>
            <w:tcW w:w="460" w:type="dxa"/>
            <w:vAlign w:val="bottom"/>
            <w:shd w:val="clear" w:color="auto" w:fill="939598"/>
          </w:tcPr>
          <w:p>
            <w:pPr>
              <w:spacing w:after="0"/>
              <w:rPr>
                <w:sz w:val="2"/>
                <w:szCs w:val="2"/>
                <w:color w:val="auto"/>
              </w:rPr>
            </w:pPr>
          </w:p>
        </w:tc>
        <w:tc>
          <w:tcPr>
            <w:tcW w:w="920" w:type="dxa"/>
            <w:vAlign w:val="bottom"/>
            <w:shd w:val="clear" w:color="auto" w:fill="939598"/>
          </w:tcPr>
          <w:p>
            <w:pPr>
              <w:spacing w:after="0"/>
              <w:rPr>
                <w:sz w:val="2"/>
                <w:szCs w:val="2"/>
                <w:color w:val="auto"/>
              </w:rPr>
            </w:pPr>
          </w:p>
        </w:tc>
        <w:tc>
          <w:tcPr>
            <w:tcW w:w="540" w:type="dxa"/>
            <w:vAlign w:val="bottom"/>
            <w:shd w:val="clear" w:color="auto" w:fill="939598"/>
          </w:tcPr>
          <w:p>
            <w:pPr>
              <w:spacing w:after="0"/>
              <w:rPr>
                <w:sz w:val="2"/>
                <w:szCs w:val="2"/>
                <w:color w:val="auto"/>
              </w:rPr>
            </w:pPr>
          </w:p>
        </w:tc>
        <w:tc>
          <w:tcPr>
            <w:tcW w:w="780" w:type="dxa"/>
            <w:vAlign w:val="bottom"/>
            <w:shd w:val="clear" w:color="auto" w:fill="939598"/>
          </w:tcPr>
          <w:p>
            <w:pPr>
              <w:spacing w:after="0"/>
              <w:rPr>
                <w:sz w:val="2"/>
                <w:szCs w:val="2"/>
                <w:color w:val="auto"/>
              </w:rPr>
            </w:pPr>
          </w:p>
        </w:tc>
        <w:tc>
          <w:tcPr>
            <w:tcW w:w="6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4541520</wp:posOffset>
            </wp:positionH>
            <wp:positionV relativeFrom="paragraph">
              <wp:posOffset>-1868805</wp:posOffset>
            </wp:positionV>
            <wp:extent cx="857885" cy="186118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857885" cy="1861185"/>
                    </a:xfrm>
                    <a:prstGeom prst="rect">
                      <a:avLst/>
                    </a:prstGeom>
                    <a:noFill/>
                  </pic:spPr>
                </pic:pic>
              </a:graphicData>
            </a:graphic>
          </wp:anchor>
        </w:drawing>
      </w:r>
    </w:p>
    <w:p>
      <w:pPr>
        <w:spacing w:after="0" w:line="195"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The estimated net gain and prior service cost for the defined benefit pension plans that will be amortized from Accumulated Other Comprehensive Income (Loss) into net periodic benefit cost during 2011 are $0.2 and $0.7, respectively.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weighted-average assumptions used in the measurement of the benefit obligation are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55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86B6A5"/>
              </w:rPr>
              <w:t>U.S. Plans</w:t>
            </w:r>
          </w:p>
        </w:tc>
        <w:tc>
          <w:tcPr>
            <w:tcW w:w="1460" w:type="dxa"/>
            <w:vAlign w:val="bottom"/>
          </w:tcPr>
          <w:p>
            <w:pPr>
              <w:spacing w:after="0"/>
              <w:rPr>
                <w:sz w:val="16"/>
                <w:szCs w:val="16"/>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6"/>
                <w:szCs w:val="16"/>
                <w:b w:val="1"/>
                <w:bCs w:val="1"/>
                <w:color w:val="86B6A5"/>
              </w:rPr>
              <w:t>Non-U.S.</w:t>
            </w:r>
          </w:p>
        </w:tc>
      </w:tr>
      <w:tr>
        <w:trPr>
          <w:trHeight w:val="214"/>
        </w:trPr>
        <w:tc>
          <w:tcPr>
            <w:tcW w:w="20" w:type="dxa"/>
            <w:vAlign w:val="bottom"/>
          </w:tcPr>
          <w:p>
            <w:pPr>
              <w:spacing w:after="0"/>
              <w:rPr>
                <w:sz w:val="18"/>
                <w:szCs w:val="18"/>
                <w:color w:val="auto"/>
              </w:rPr>
            </w:pPr>
          </w:p>
        </w:tc>
        <w:tc>
          <w:tcPr>
            <w:tcW w:w="55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6"/>
                <w:szCs w:val="16"/>
                <w:b w:val="1"/>
                <w:bCs w:val="1"/>
                <w:color w:val="86B6A5"/>
              </w:rPr>
              <w:t>Plans</w:t>
            </w:r>
          </w:p>
        </w:tc>
      </w:tr>
      <w:tr>
        <w:trPr>
          <w:trHeight w:val="210"/>
        </w:trPr>
        <w:tc>
          <w:tcPr>
            <w:tcW w:w="20" w:type="dxa"/>
            <w:vAlign w:val="bottom"/>
          </w:tcPr>
          <w:p>
            <w:pPr>
              <w:spacing w:after="0"/>
              <w:rPr>
                <w:sz w:val="18"/>
                <w:szCs w:val="18"/>
                <w:color w:val="auto"/>
              </w:rPr>
            </w:pPr>
          </w:p>
        </w:tc>
        <w:tc>
          <w:tcPr>
            <w:tcW w:w="5560" w:type="dxa"/>
            <w:vAlign w:val="bottom"/>
            <w:tcBorders>
              <w:top w:val="single" w:sz="8" w:color="86B6A5"/>
              <w:bottom w:val="single" w:sz="8" w:color="86B6A5"/>
            </w:tcBorders>
          </w:tcPr>
          <w:p>
            <w:pPr>
              <w:spacing w:after="0"/>
              <w:rPr>
                <w:sz w:val="20"/>
                <w:szCs w:val="20"/>
                <w:color w:val="auto"/>
              </w:rPr>
            </w:pPr>
            <w:r>
              <w:rPr>
                <w:rFonts w:ascii="Arial" w:cs="Arial" w:eastAsia="Arial" w:hAnsi="Arial"/>
                <w:sz w:val="16"/>
                <w:szCs w:val="16"/>
                <w:b w:val="1"/>
                <w:bCs w:val="1"/>
                <w:color w:val="86B6A5"/>
              </w:rPr>
              <w:t>Year Ended December 31</w:t>
            </w:r>
          </w:p>
        </w:tc>
        <w:tc>
          <w:tcPr>
            <w:tcW w:w="1460" w:type="dxa"/>
            <w:vAlign w:val="bottom"/>
            <w:tcBorders>
              <w:top w:val="single" w:sz="8" w:color="86B6A5"/>
              <w:bottom w:val="single" w:sz="8" w:color="86B6A5"/>
            </w:tcBorders>
            <w:shd w:val="clear" w:color="auto" w:fill="86B6A5"/>
          </w:tcPr>
          <w:p>
            <w:pPr>
              <w:jc w:val="right"/>
              <w:ind w:right="133"/>
              <w:spacing w:after="0"/>
              <w:rPr>
                <w:sz w:val="20"/>
                <w:szCs w:val="20"/>
                <w:color w:val="auto"/>
              </w:rPr>
            </w:pPr>
            <w:r>
              <w:rPr>
                <w:rFonts w:ascii="Arial" w:cs="Arial" w:eastAsia="Arial" w:hAnsi="Arial"/>
                <w:sz w:val="16"/>
                <w:szCs w:val="16"/>
                <w:b w:val="1"/>
                <w:bCs w:val="1"/>
                <w:color w:val="FFFFFF"/>
              </w:rPr>
              <w:t>2010</w:t>
            </w:r>
          </w:p>
        </w:tc>
        <w:tc>
          <w:tcPr>
            <w:tcW w:w="1240" w:type="dxa"/>
            <w:vAlign w:val="bottom"/>
            <w:tcBorders>
              <w:top w:val="single" w:sz="8" w:color="86B6A5"/>
              <w:bottom w:val="single" w:sz="8" w:color="86B6A5"/>
            </w:tcBorders>
          </w:tcPr>
          <w:p>
            <w:pPr>
              <w:jc w:val="right"/>
              <w:spacing w:after="0"/>
              <w:rPr>
                <w:sz w:val="20"/>
                <w:szCs w:val="20"/>
                <w:color w:val="auto"/>
              </w:rPr>
            </w:pPr>
            <w:r>
              <w:rPr>
                <w:rFonts w:ascii="Arial" w:cs="Arial" w:eastAsia="Arial" w:hAnsi="Arial"/>
                <w:sz w:val="16"/>
                <w:szCs w:val="16"/>
                <w:b w:val="1"/>
                <w:bCs w:val="1"/>
                <w:color w:val="86B6A5"/>
              </w:rPr>
              <w:t>2009</w:t>
            </w:r>
          </w:p>
        </w:tc>
        <w:tc>
          <w:tcPr>
            <w:tcW w:w="220" w:type="dxa"/>
            <w:vAlign w:val="bottom"/>
          </w:tcPr>
          <w:p>
            <w:pPr>
              <w:spacing w:after="0"/>
              <w:rPr>
                <w:sz w:val="18"/>
                <w:szCs w:val="18"/>
                <w:color w:val="auto"/>
              </w:rPr>
            </w:pPr>
          </w:p>
        </w:tc>
        <w:tc>
          <w:tcPr>
            <w:tcW w:w="1460" w:type="dxa"/>
            <w:vAlign w:val="bottom"/>
            <w:tcBorders>
              <w:top w:val="single" w:sz="8" w:color="86B6A5"/>
              <w:bottom w:val="single" w:sz="8" w:color="86B6A5"/>
            </w:tcBorders>
            <w:shd w:val="clear" w:color="auto" w:fill="86B6A5"/>
          </w:tcPr>
          <w:p>
            <w:pPr>
              <w:jc w:val="right"/>
              <w:ind w:right="133"/>
              <w:spacing w:after="0"/>
              <w:rPr>
                <w:sz w:val="20"/>
                <w:szCs w:val="20"/>
                <w:color w:val="auto"/>
              </w:rPr>
            </w:pPr>
            <w:r>
              <w:rPr>
                <w:rFonts w:ascii="Arial" w:cs="Arial" w:eastAsia="Arial" w:hAnsi="Arial"/>
                <w:sz w:val="16"/>
                <w:szCs w:val="16"/>
                <w:b w:val="1"/>
                <w:bCs w:val="1"/>
                <w:color w:val="FFFFFF"/>
              </w:rPr>
              <w:t>2010</w:t>
            </w:r>
          </w:p>
        </w:tc>
        <w:tc>
          <w:tcPr>
            <w:tcW w:w="1240" w:type="dxa"/>
            <w:vAlign w:val="bottom"/>
            <w:tcBorders>
              <w:top w:val="single" w:sz="8" w:color="86B6A5"/>
              <w:bottom w:val="single" w:sz="8" w:color="86B6A5"/>
            </w:tcBorders>
          </w:tcPr>
          <w:p>
            <w:pPr>
              <w:jc w:val="right"/>
              <w:spacing w:after="0"/>
              <w:rPr>
                <w:sz w:val="20"/>
                <w:szCs w:val="20"/>
                <w:color w:val="auto"/>
              </w:rPr>
            </w:pPr>
            <w:r>
              <w:rPr>
                <w:rFonts w:ascii="Arial" w:cs="Arial" w:eastAsia="Arial" w:hAnsi="Arial"/>
                <w:sz w:val="16"/>
                <w:szCs w:val="16"/>
                <w:b w:val="1"/>
                <w:bCs w:val="1"/>
                <w:color w:val="86B6A5"/>
              </w:rPr>
              <w:t>2009</w:t>
            </w:r>
          </w:p>
        </w:tc>
        <w:tc>
          <w:tcPr>
            <w:tcW w:w="2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5560" w:type="dxa"/>
            <w:vAlign w:val="bottom"/>
          </w:tcPr>
          <w:p>
            <w:pPr>
              <w:spacing w:after="0" w:line="201" w:lineRule="exact"/>
              <w:rPr>
                <w:sz w:val="20"/>
                <w:szCs w:val="20"/>
                <w:color w:val="auto"/>
              </w:rPr>
            </w:pPr>
            <w:r>
              <w:rPr>
                <w:rFonts w:ascii="Arial" w:cs="Arial" w:eastAsia="Arial" w:hAnsi="Arial"/>
                <w:sz w:val="18"/>
                <w:szCs w:val="18"/>
                <w:color w:val="auto"/>
              </w:rPr>
              <w:t>Discount rate</w:t>
            </w:r>
          </w:p>
        </w:tc>
        <w:tc>
          <w:tcPr>
            <w:tcW w:w="1460" w:type="dxa"/>
            <w:vAlign w:val="bottom"/>
            <w:shd w:val="clear" w:color="auto" w:fill="E3F1DA"/>
          </w:tcPr>
          <w:p>
            <w:pPr>
              <w:jc w:val="right"/>
              <w:ind w:right="133"/>
              <w:spacing w:after="0" w:line="201" w:lineRule="exact"/>
              <w:rPr>
                <w:sz w:val="20"/>
                <w:szCs w:val="20"/>
                <w:color w:val="auto"/>
              </w:rPr>
            </w:pPr>
            <w:r>
              <w:rPr>
                <w:rFonts w:ascii="Arial" w:cs="Arial" w:eastAsia="Arial" w:hAnsi="Arial"/>
                <w:sz w:val="18"/>
                <w:szCs w:val="18"/>
                <w:color w:val="86B6A5"/>
              </w:rPr>
              <w:t>5.1%</w:t>
            </w:r>
          </w:p>
        </w:tc>
        <w:tc>
          <w:tcPr>
            <w:tcW w:w="1240" w:type="dxa"/>
            <w:vAlign w:val="bottom"/>
          </w:tcPr>
          <w:p>
            <w:pPr>
              <w:jc w:val="right"/>
              <w:spacing w:after="0" w:line="201" w:lineRule="exact"/>
              <w:rPr>
                <w:sz w:val="20"/>
                <w:szCs w:val="20"/>
                <w:color w:val="auto"/>
              </w:rPr>
            </w:pPr>
            <w:r>
              <w:rPr>
                <w:rFonts w:ascii="Arial" w:cs="Arial" w:eastAsia="Arial" w:hAnsi="Arial"/>
                <w:sz w:val="18"/>
                <w:szCs w:val="18"/>
                <w:color w:val="auto"/>
              </w:rPr>
              <w:t>5.7%</w:t>
            </w:r>
          </w:p>
        </w:tc>
        <w:tc>
          <w:tcPr>
            <w:tcW w:w="220" w:type="dxa"/>
            <w:vAlign w:val="bottom"/>
          </w:tcPr>
          <w:p>
            <w:pPr>
              <w:spacing w:after="0"/>
              <w:rPr>
                <w:sz w:val="17"/>
                <w:szCs w:val="17"/>
                <w:color w:val="auto"/>
              </w:rPr>
            </w:pPr>
          </w:p>
        </w:tc>
        <w:tc>
          <w:tcPr>
            <w:tcW w:w="1460" w:type="dxa"/>
            <w:vAlign w:val="bottom"/>
            <w:shd w:val="clear" w:color="auto" w:fill="E3F1DA"/>
          </w:tcPr>
          <w:p>
            <w:pPr>
              <w:jc w:val="right"/>
              <w:ind w:right="133"/>
              <w:spacing w:after="0" w:line="201" w:lineRule="exact"/>
              <w:rPr>
                <w:sz w:val="20"/>
                <w:szCs w:val="20"/>
                <w:color w:val="auto"/>
              </w:rPr>
            </w:pPr>
            <w:r>
              <w:rPr>
                <w:rFonts w:ascii="Arial" w:cs="Arial" w:eastAsia="Arial" w:hAnsi="Arial"/>
                <w:sz w:val="18"/>
                <w:szCs w:val="18"/>
                <w:color w:val="86B6A5"/>
              </w:rPr>
              <w:t>5.1%</w:t>
            </w:r>
          </w:p>
        </w:tc>
        <w:tc>
          <w:tcPr>
            <w:tcW w:w="1240" w:type="dxa"/>
            <w:vAlign w:val="bottom"/>
          </w:tcPr>
          <w:p>
            <w:pPr>
              <w:jc w:val="right"/>
              <w:spacing w:after="0" w:line="201" w:lineRule="exact"/>
              <w:rPr>
                <w:sz w:val="20"/>
                <w:szCs w:val="20"/>
                <w:color w:val="auto"/>
              </w:rPr>
            </w:pPr>
            <w:r>
              <w:rPr>
                <w:rFonts w:ascii="Arial" w:cs="Arial" w:eastAsia="Arial" w:hAnsi="Arial"/>
                <w:sz w:val="18"/>
                <w:szCs w:val="18"/>
                <w:color w:val="auto"/>
              </w:rPr>
              <w:t>5.5%</w:t>
            </w:r>
          </w:p>
        </w:tc>
        <w:tc>
          <w:tcPr>
            <w:tcW w:w="20" w:type="dxa"/>
            <w:vAlign w:val="bottom"/>
          </w:tcPr>
          <w:p>
            <w:pPr>
              <w:spacing w:after="0"/>
              <w:rPr>
                <w:sz w:val="17"/>
                <w:szCs w:val="17"/>
                <w:color w:val="auto"/>
              </w:rPr>
            </w:pPr>
          </w:p>
        </w:tc>
      </w:tr>
      <w:tr>
        <w:trPr>
          <w:trHeight w:val="203"/>
        </w:trPr>
        <w:tc>
          <w:tcPr>
            <w:tcW w:w="5580" w:type="dxa"/>
            <w:vAlign w:val="bottom"/>
            <w:gridSpan w:val="2"/>
          </w:tcPr>
          <w:p>
            <w:pPr>
              <w:spacing w:after="0" w:line="203" w:lineRule="exact"/>
              <w:rPr>
                <w:sz w:val="20"/>
                <w:szCs w:val="20"/>
                <w:color w:val="auto"/>
              </w:rPr>
            </w:pPr>
            <w:r>
              <w:rPr>
                <w:rFonts w:ascii="Arial" w:cs="Arial" w:eastAsia="Arial" w:hAnsi="Arial"/>
                <w:sz w:val="18"/>
                <w:szCs w:val="18"/>
                <w:color w:val="auto"/>
              </w:rPr>
              <w:t>Rate of compensation increase</w:t>
            </w:r>
          </w:p>
        </w:tc>
        <w:tc>
          <w:tcPr>
            <w:tcW w:w="1460" w:type="dxa"/>
            <w:vAlign w:val="bottom"/>
            <w:shd w:val="clear" w:color="auto" w:fill="E3F1DA"/>
          </w:tcPr>
          <w:p>
            <w:pPr>
              <w:jc w:val="right"/>
              <w:ind w:right="133"/>
              <w:spacing w:after="0" w:line="203" w:lineRule="exact"/>
              <w:rPr>
                <w:sz w:val="20"/>
                <w:szCs w:val="20"/>
                <w:color w:val="auto"/>
              </w:rPr>
            </w:pPr>
            <w:r>
              <w:rPr>
                <w:rFonts w:ascii="Arial" w:cs="Arial" w:eastAsia="Arial" w:hAnsi="Arial"/>
                <w:sz w:val="18"/>
                <w:szCs w:val="18"/>
                <w:color w:val="86B6A5"/>
              </w:rPr>
              <w:t>4.0%</w:t>
            </w:r>
          </w:p>
        </w:tc>
        <w:tc>
          <w:tcPr>
            <w:tcW w:w="1460" w:type="dxa"/>
            <w:vAlign w:val="bottom"/>
            <w:gridSpan w:val="2"/>
          </w:tcPr>
          <w:p>
            <w:pPr>
              <w:jc w:val="right"/>
              <w:ind w:right="220"/>
              <w:spacing w:after="0" w:line="203" w:lineRule="exact"/>
              <w:rPr>
                <w:sz w:val="20"/>
                <w:szCs w:val="20"/>
                <w:color w:val="auto"/>
              </w:rPr>
            </w:pPr>
            <w:r>
              <w:rPr>
                <w:rFonts w:ascii="Arial" w:cs="Arial" w:eastAsia="Arial" w:hAnsi="Arial"/>
                <w:sz w:val="18"/>
                <w:szCs w:val="18"/>
                <w:color w:val="auto"/>
              </w:rPr>
              <w:t>4.0%</w:t>
            </w:r>
          </w:p>
        </w:tc>
        <w:tc>
          <w:tcPr>
            <w:tcW w:w="1460" w:type="dxa"/>
            <w:vAlign w:val="bottom"/>
            <w:shd w:val="clear" w:color="auto" w:fill="E3F1DA"/>
          </w:tcPr>
          <w:p>
            <w:pPr>
              <w:jc w:val="right"/>
              <w:ind w:right="133"/>
              <w:spacing w:after="0" w:line="203" w:lineRule="exact"/>
              <w:rPr>
                <w:sz w:val="20"/>
                <w:szCs w:val="20"/>
                <w:color w:val="auto"/>
              </w:rPr>
            </w:pPr>
            <w:r>
              <w:rPr>
                <w:rFonts w:ascii="Arial" w:cs="Arial" w:eastAsia="Arial" w:hAnsi="Arial"/>
                <w:sz w:val="18"/>
                <w:szCs w:val="18"/>
                <w:color w:val="86B6A5"/>
              </w:rPr>
              <w:t>4.3%</w:t>
            </w:r>
          </w:p>
        </w:tc>
        <w:tc>
          <w:tcPr>
            <w:tcW w:w="1260" w:type="dxa"/>
            <w:vAlign w:val="bottom"/>
            <w:gridSpan w:val="2"/>
          </w:tcPr>
          <w:p>
            <w:pPr>
              <w:jc w:val="right"/>
              <w:ind w:right="20"/>
              <w:spacing w:after="0" w:line="203" w:lineRule="exact"/>
              <w:rPr>
                <w:sz w:val="20"/>
                <w:szCs w:val="20"/>
                <w:color w:val="auto"/>
              </w:rPr>
            </w:pPr>
            <w:r>
              <w:rPr>
                <w:rFonts w:ascii="Arial" w:cs="Arial" w:eastAsia="Arial" w:hAnsi="Arial"/>
                <w:sz w:val="18"/>
                <w:szCs w:val="18"/>
                <w:color w:val="auto"/>
              </w:rPr>
              <w:t>4.5%</w:t>
            </w: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weighted-average assumptions used in the measurement of the net periodic benefit cost are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4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86B6A5"/>
              </w:rPr>
              <w:t>U.S. Plans</w:t>
            </w: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b w:val="1"/>
                <w:bCs w:val="1"/>
                <w:color w:val="86B6A5"/>
              </w:rPr>
              <w:t>Non-U.S. Plans</w:t>
            </w:r>
          </w:p>
        </w:tc>
      </w:tr>
      <w:tr>
        <w:trPr>
          <w:trHeight w:val="210"/>
        </w:trPr>
        <w:tc>
          <w:tcPr>
            <w:tcW w:w="20" w:type="dxa"/>
            <w:vAlign w:val="bottom"/>
          </w:tcPr>
          <w:p>
            <w:pPr>
              <w:spacing w:after="0"/>
              <w:rPr>
                <w:sz w:val="18"/>
                <w:szCs w:val="18"/>
                <w:color w:val="auto"/>
              </w:rPr>
            </w:pPr>
          </w:p>
        </w:tc>
        <w:tc>
          <w:tcPr>
            <w:tcW w:w="4300" w:type="dxa"/>
            <w:vAlign w:val="bottom"/>
            <w:tcBorders>
              <w:top w:val="single" w:sz="8" w:color="86B6A5"/>
              <w:bottom w:val="single" w:sz="8" w:color="86B6A5"/>
            </w:tcBorders>
          </w:tcPr>
          <w:p>
            <w:pPr>
              <w:spacing w:after="0"/>
              <w:rPr>
                <w:sz w:val="20"/>
                <w:szCs w:val="20"/>
                <w:color w:val="auto"/>
              </w:rPr>
            </w:pPr>
            <w:r>
              <w:rPr>
                <w:rFonts w:ascii="Arial" w:cs="Arial" w:eastAsia="Arial" w:hAnsi="Arial"/>
                <w:sz w:val="16"/>
                <w:szCs w:val="16"/>
                <w:b w:val="1"/>
                <w:bCs w:val="1"/>
                <w:color w:val="86B6A5"/>
              </w:rPr>
              <w:t>Year Ended December 31</w:t>
            </w:r>
          </w:p>
        </w:tc>
        <w:tc>
          <w:tcPr>
            <w:tcW w:w="900" w:type="dxa"/>
            <w:vAlign w:val="bottom"/>
            <w:tcBorders>
              <w:top w:val="single" w:sz="8" w:color="86B6A5"/>
              <w:bottom w:val="single" w:sz="8" w:color="86B6A5"/>
            </w:tcBorders>
            <w:shd w:val="clear" w:color="auto" w:fill="86B6A5"/>
          </w:tcPr>
          <w:p>
            <w:pPr>
              <w:jc w:val="right"/>
              <w:spacing w:after="0"/>
              <w:rPr>
                <w:sz w:val="20"/>
                <w:szCs w:val="20"/>
                <w:color w:val="auto"/>
              </w:rPr>
            </w:pPr>
            <w:r>
              <w:rPr>
                <w:rFonts w:ascii="Arial" w:cs="Arial" w:eastAsia="Arial" w:hAnsi="Arial"/>
                <w:sz w:val="16"/>
                <w:szCs w:val="16"/>
                <w:b w:val="1"/>
                <w:bCs w:val="1"/>
                <w:color w:val="FFFFFF"/>
              </w:rPr>
              <w:t>2010</w:t>
            </w:r>
          </w:p>
        </w:tc>
        <w:tc>
          <w:tcPr>
            <w:tcW w:w="220" w:type="dxa"/>
            <w:vAlign w:val="bottom"/>
            <w:tcBorders>
              <w:top w:val="single" w:sz="8" w:color="86B6A5"/>
              <w:bottom w:val="single" w:sz="8" w:color="86B6A5"/>
            </w:tcBorders>
            <w:shd w:val="clear" w:color="auto" w:fill="86B6A5"/>
          </w:tcPr>
          <w:p>
            <w:pPr>
              <w:spacing w:after="0"/>
              <w:rPr>
                <w:sz w:val="18"/>
                <w:szCs w:val="18"/>
                <w:color w:val="auto"/>
              </w:rPr>
            </w:pPr>
          </w:p>
        </w:tc>
        <w:tc>
          <w:tcPr>
            <w:tcW w:w="1060" w:type="dxa"/>
            <w:vAlign w:val="bottom"/>
            <w:tcBorders>
              <w:top w:val="single" w:sz="8" w:color="86B6A5"/>
              <w:bottom w:val="single" w:sz="8" w:color="86B6A5"/>
            </w:tcBorders>
          </w:tcPr>
          <w:p>
            <w:pPr>
              <w:jc w:val="right"/>
              <w:ind w:right="74"/>
              <w:spacing w:after="0"/>
              <w:rPr>
                <w:sz w:val="20"/>
                <w:szCs w:val="20"/>
                <w:color w:val="auto"/>
              </w:rPr>
            </w:pPr>
            <w:r>
              <w:rPr>
                <w:rFonts w:ascii="Arial" w:cs="Arial" w:eastAsia="Arial" w:hAnsi="Arial"/>
                <w:sz w:val="16"/>
                <w:szCs w:val="16"/>
                <w:b w:val="1"/>
                <w:bCs w:val="1"/>
                <w:color w:val="86B6A5"/>
              </w:rPr>
              <w:t>2009</w:t>
            </w:r>
          </w:p>
        </w:tc>
        <w:tc>
          <w:tcPr>
            <w:tcW w:w="960" w:type="dxa"/>
            <w:vAlign w:val="bottom"/>
            <w:tcBorders>
              <w:top w:val="single" w:sz="8" w:color="86B6A5"/>
              <w:bottom w:val="single" w:sz="8" w:color="86B6A5"/>
            </w:tcBorders>
          </w:tcPr>
          <w:p>
            <w:pPr>
              <w:jc w:val="right"/>
              <w:spacing w:after="0"/>
              <w:rPr>
                <w:sz w:val="20"/>
                <w:szCs w:val="20"/>
                <w:color w:val="auto"/>
              </w:rPr>
            </w:pPr>
            <w:r>
              <w:rPr>
                <w:rFonts w:ascii="Arial" w:cs="Arial" w:eastAsia="Arial" w:hAnsi="Arial"/>
                <w:sz w:val="16"/>
                <w:szCs w:val="16"/>
                <w:b w:val="1"/>
                <w:bCs w:val="1"/>
                <w:color w:val="86B6A5"/>
              </w:rPr>
              <w:t>2008</w:t>
            </w:r>
          </w:p>
        </w:tc>
        <w:tc>
          <w:tcPr>
            <w:tcW w:w="220" w:type="dxa"/>
            <w:vAlign w:val="bottom"/>
          </w:tcPr>
          <w:p>
            <w:pPr>
              <w:spacing w:after="0"/>
              <w:rPr>
                <w:sz w:val="18"/>
                <w:szCs w:val="18"/>
                <w:color w:val="auto"/>
              </w:rPr>
            </w:pPr>
          </w:p>
        </w:tc>
        <w:tc>
          <w:tcPr>
            <w:tcW w:w="900" w:type="dxa"/>
            <w:vAlign w:val="bottom"/>
            <w:tcBorders>
              <w:top w:val="single" w:sz="8" w:color="86B6A5"/>
              <w:bottom w:val="single" w:sz="8" w:color="86B6A5"/>
            </w:tcBorders>
            <w:shd w:val="clear" w:color="auto" w:fill="86B6A5"/>
          </w:tcPr>
          <w:p>
            <w:pPr>
              <w:jc w:val="right"/>
              <w:spacing w:after="0"/>
              <w:rPr>
                <w:sz w:val="20"/>
                <w:szCs w:val="20"/>
                <w:color w:val="auto"/>
              </w:rPr>
            </w:pPr>
            <w:r>
              <w:rPr>
                <w:rFonts w:ascii="Arial" w:cs="Arial" w:eastAsia="Arial" w:hAnsi="Arial"/>
                <w:sz w:val="16"/>
                <w:szCs w:val="16"/>
                <w:b w:val="1"/>
                <w:bCs w:val="1"/>
                <w:color w:val="FFFFFF"/>
              </w:rPr>
              <w:t>2010</w:t>
            </w:r>
          </w:p>
        </w:tc>
        <w:tc>
          <w:tcPr>
            <w:tcW w:w="220" w:type="dxa"/>
            <w:vAlign w:val="bottom"/>
            <w:tcBorders>
              <w:top w:val="single" w:sz="8" w:color="86B6A5"/>
              <w:bottom w:val="single" w:sz="8" w:color="86B6A5"/>
            </w:tcBorders>
            <w:shd w:val="clear" w:color="auto" w:fill="86B6A5"/>
          </w:tcPr>
          <w:p>
            <w:pPr>
              <w:spacing w:after="0"/>
              <w:rPr>
                <w:sz w:val="18"/>
                <w:szCs w:val="18"/>
                <w:color w:val="auto"/>
              </w:rPr>
            </w:pPr>
          </w:p>
        </w:tc>
        <w:tc>
          <w:tcPr>
            <w:tcW w:w="1080" w:type="dxa"/>
            <w:vAlign w:val="bottom"/>
            <w:tcBorders>
              <w:top w:val="single" w:sz="8" w:color="86B6A5"/>
              <w:bottom w:val="single" w:sz="8" w:color="86B6A5"/>
            </w:tcBorders>
          </w:tcPr>
          <w:p>
            <w:pPr>
              <w:jc w:val="right"/>
              <w:ind w:right="94"/>
              <w:spacing w:after="0"/>
              <w:rPr>
                <w:sz w:val="20"/>
                <w:szCs w:val="20"/>
                <w:color w:val="auto"/>
              </w:rPr>
            </w:pPr>
            <w:r>
              <w:rPr>
                <w:rFonts w:ascii="Arial" w:cs="Arial" w:eastAsia="Arial" w:hAnsi="Arial"/>
                <w:sz w:val="16"/>
                <w:szCs w:val="16"/>
                <w:b w:val="1"/>
                <w:bCs w:val="1"/>
                <w:color w:val="86B6A5"/>
              </w:rPr>
              <w:t>2009</w:t>
            </w:r>
          </w:p>
        </w:tc>
        <w:tc>
          <w:tcPr>
            <w:tcW w:w="1320" w:type="dxa"/>
            <w:vAlign w:val="bottom"/>
            <w:tcBorders>
              <w:top w:val="single" w:sz="8" w:color="86B6A5"/>
              <w:bottom w:val="single" w:sz="8" w:color="86B6A5"/>
            </w:tcBorders>
          </w:tcPr>
          <w:p>
            <w:pPr>
              <w:jc w:val="right"/>
              <w:spacing w:after="0"/>
              <w:rPr>
                <w:sz w:val="20"/>
                <w:szCs w:val="20"/>
                <w:color w:val="auto"/>
              </w:rPr>
            </w:pPr>
            <w:r>
              <w:rPr>
                <w:rFonts w:ascii="Arial" w:cs="Arial" w:eastAsia="Arial" w:hAnsi="Arial"/>
                <w:sz w:val="16"/>
                <w:szCs w:val="16"/>
                <w:b w:val="1"/>
                <w:bCs w:val="1"/>
                <w:color w:val="86B6A5"/>
              </w:rPr>
              <w:t>2008</w:t>
            </w:r>
          </w:p>
        </w:tc>
      </w:tr>
      <w:tr>
        <w:trPr>
          <w:trHeight w:val="203"/>
        </w:trPr>
        <w:tc>
          <w:tcPr>
            <w:tcW w:w="4320" w:type="dxa"/>
            <w:vAlign w:val="bottom"/>
            <w:gridSpan w:val="2"/>
          </w:tcPr>
          <w:p>
            <w:pPr>
              <w:spacing w:after="0" w:line="202" w:lineRule="exact"/>
              <w:rPr>
                <w:sz w:val="20"/>
                <w:szCs w:val="20"/>
                <w:color w:val="auto"/>
              </w:rPr>
            </w:pPr>
            <w:r>
              <w:rPr>
                <w:rFonts w:ascii="Arial" w:cs="Arial" w:eastAsia="Arial" w:hAnsi="Arial"/>
                <w:sz w:val="18"/>
                <w:szCs w:val="18"/>
                <w:color w:val="auto"/>
              </w:rPr>
              <w:t>Discount rate</w:t>
            </w:r>
          </w:p>
        </w:tc>
        <w:tc>
          <w:tcPr>
            <w:tcW w:w="900" w:type="dxa"/>
            <w:vAlign w:val="bottom"/>
            <w:shd w:val="clear" w:color="auto" w:fill="E3F1DA"/>
          </w:tcPr>
          <w:p>
            <w:pPr>
              <w:jc w:val="right"/>
              <w:spacing w:after="0" w:line="202" w:lineRule="exact"/>
              <w:rPr>
                <w:sz w:val="20"/>
                <w:szCs w:val="20"/>
                <w:color w:val="auto"/>
              </w:rPr>
            </w:pPr>
            <w:r>
              <w:rPr>
                <w:rFonts w:ascii="Arial" w:cs="Arial" w:eastAsia="Arial" w:hAnsi="Arial"/>
                <w:sz w:val="18"/>
                <w:szCs w:val="18"/>
                <w:color w:val="86B6A5"/>
              </w:rPr>
              <w:t>5.7%</w:t>
            </w:r>
          </w:p>
        </w:tc>
        <w:tc>
          <w:tcPr>
            <w:tcW w:w="220" w:type="dxa"/>
            <w:vAlign w:val="bottom"/>
            <w:shd w:val="clear" w:color="auto" w:fill="E3F1DA"/>
          </w:tcPr>
          <w:p>
            <w:pPr>
              <w:spacing w:after="0"/>
              <w:rPr>
                <w:sz w:val="17"/>
                <w:szCs w:val="17"/>
                <w:color w:val="auto"/>
              </w:rPr>
            </w:pPr>
          </w:p>
        </w:tc>
        <w:tc>
          <w:tcPr>
            <w:tcW w:w="1060" w:type="dxa"/>
            <w:vAlign w:val="bottom"/>
          </w:tcPr>
          <w:p>
            <w:pPr>
              <w:jc w:val="right"/>
              <w:ind w:right="74"/>
              <w:spacing w:after="0" w:line="202" w:lineRule="exact"/>
              <w:rPr>
                <w:sz w:val="20"/>
                <w:szCs w:val="20"/>
                <w:color w:val="auto"/>
              </w:rPr>
            </w:pPr>
            <w:r>
              <w:rPr>
                <w:rFonts w:ascii="Arial" w:cs="Arial" w:eastAsia="Arial" w:hAnsi="Arial"/>
                <w:sz w:val="18"/>
                <w:szCs w:val="18"/>
                <w:color w:val="auto"/>
              </w:rPr>
              <w:t>6.4%</w:t>
            </w:r>
          </w:p>
        </w:tc>
        <w:tc>
          <w:tcPr>
            <w:tcW w:w="11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6.3%</w:t>
            </w:r>
          </w:p>
        </w:tc>
        <w:tc>
          <w:tcPr>
            <w:tcW w:w="900" w:type="dxa"/>
            <w:vAlign w:val="bottom"/>
            <w:shd w:val="clear" w:color="auto" w:fill="E3F1DA"/>
          </w:tcPr>
          <w:p>
            <w:pPr>
              <w:jc w:val="right"/>
              <w:spacing w:after="0" w:line="202" w:lineRule="exact"/>
              <w:rPr>
                <w:sz w:val="20"/>
                <w:szCs w:val="20"/>
                <w:color w:val="auto"/>
              </w:rPr>
            </w:pPr>
            <w:r>
              <w:rPr>
                <w:rFonts w:ascii="Arial" w:cs="Arial" w:eastAsia="Arial" w:hAnsi="Arial"/>
                <w:sz w:val="18"/>
                <w:szCs w:val="18"/>
                <w:color w:val="86B6A5"/>
              </w:rPr>
              <w:t>5.5%</w:t>
            </w:r>
          </w:p>
        </w:tc>
        <w:tc>
          <w:tcPr>
            <w:tcW w:w="220" w:type="dxa"/>
            <w:vAlign w:val="bottom"/>
            <w:shd w:val="clear" w:color="auto" w:fill="E3F1DA"/>
          </w:tcPr>
          <w:p>
            <w:pPr>
              <w:spacing w:after="0"/>
              <w:rPr>
                <w:sz w:val="17"/>
                <w:szCs w:val="17"/>
                <w:color w:val="auto"/>
              </w:rPr>
            </w:pPr>
          </w:p>
        </w:tc>
        <w:tc>
          <w:tcPr>
            <w:tcW w:w="1080" w:type="dxa"/>
            <w:vAlign w:val="bottom"/>
          </w:tcPr>
          <w:p>
            <w:pPr>
              <w:jc w:val="right"/>
              <w:ind w:right="94"/>
              <w:spacing w:after="0" w:line="202" w:lineRule="exact"/>
              <w:rPr>
                <w:sz w:val="20"/>
                <w:szCs w:val="20"/>
                <w:color w:val="auto"/>
              </w:rPr>
            </w:pPr>
            <w:r>
              <w:rPr>
                <w:rFonts w:ascii="Arial" w:cs="Arial" w:eastAsia="Arial" w:hAnsi="Arial"/>
                <w:sz w:val="18"/>
                <w:szCs w:val="18"/>
                <w:color w:val="auto"/>
              </w:rPr>
              <w:t>5.7%</w:t>
            </w: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5.0%</w:t>
            </w:r>
          </w:p>
        </w:tc>
      </w:tr>
      <w:tr>
        <w:trPr>
          <w:trHeight w:val="203"/>
        </w:trPr>
        <w:tc>
          <w:tcPr>
            <w:tcW w:w="4320" w:type="dxa"/>
            <w:vAlign w:val="bottom"/>
            <w:gridSpan w:val="2"/>
          </w:tcPr>
          <w:p>
            <w:pPr>
              <w:spacing w:after="0" w:line="202" w:lineRule="exact"/>
              <w:rPr>
                <w:sz w:val="20"/>
                <w:szCs w:val="20"/>
                <w:color w:val="auto"/>
              </w:rPr>
            </w:pPr>
            <w:r>
              <w:rPr>
                <w:rFonts w:ascii="Arial" w:cs="Arial" w:eastAsia="Arial" w:hAnsi="Arial"/>
                <w:sz w:val="18"/>
                <w:szCs w:val="18"/>
                <w:color w:val="auto"/>
              </w:rPr>
              <w:t>Expected long-term return on plan assets</w:t>
            </w:r>
          </w:p>
        </w:tc>
        <w:tc>
          <w:tcPr>
            <w:tcW w:w="900" w:type="dxa"/>
            <w:vAlign w:val="bottom"/>
            <w:shd w:val="clear" w:color="auto" w:fill="E3F1DA"/>
          </w:tcPr>
          <w:p>
            <w:pPr>
              <w:jc w:val="right"/>
              <w:spacing w:after="0" w:line="202" w:lineRule="exact"/>
              <w:rPr>
                <w:sz w:val="20"/>
                <w:szCs w:val="20"/>
                <w:color w:val="auto"/>
              </w:rPr>
            </w:pPr>
            <w:r>
              <w:rPr>
                <w:rFonts w:ascii="Arial" w:cs="Arial" w:eastAsia="Arial" w:hAnsi="Arial"/>
                <w:sz w:val="18"/>
                <w:szCs w:val="18"/>
                <w:color w:val="86B6A5"/>
              </w:rPr>
              <w:t>7.3%</w:t>
            </w:r>
          </w:p>
        </w:tc>
        <w:tc>
          <w:tcPr>
            <w:tcW w:w="220" w:type="dxa"/>
            <w:vAlign w:val="bottom"/>
            <w:shd w:val="clear" w:color="auto" w:fill="E3F1DA"/>
          </w:tcPr>
          <w:p>
            <w:pPr>
              <w:spacing w:after="0"/>
              <w:rPr>
                <w:sz w:val="17"/>
                <w:szCs w:val="17"/>
                <w:color w:val="auto"/>
              </w:rPr>
            </w:pPr>
          </w:p>
        </w:tc>
        <w:tc>
          <w:tcPr>
            <w:tcW w:w="1060" w:type="dxa"/>
            <w:vAlign w:val="bottom"/>
          </w:tcPr>
          <w:p>
            <w:pPr>
              <w:jc w:val="right"/>
              <w:ind w:right="74"/>
              <w:spacing w:after="0" w:line="202" w:lineRule="exact"/>
              <w:rPr>
                <w:sz w:val="20"/>
                <w:szCs w:val="20"/>
                <w:color w:val="auto"/>
              </w:rPr>
            </w:pPr>
            <w:r>
              <w:rPr>
                <w:rFonts w:ascii="Arial" w:cs="Arial" w:eastAsia="Arial" w:hAnsi="Arial"/>
                <w:sz w:val="18"/>
                <w:szCs w:val="18"/>
                <w:color w:val="auto"/>
              </w:rPr>
              <w:t>7.3%</w:t>
            </w:r>
          </w:p>
        </w:tc>
        <w:tc>
          <w:tcPr>
            <w:tcW w:w="11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7.5%</w:t>
            </w:r>
          </w:p>
        </w:tc>
        <w:tc>
          <w:tcPr>
            <w:tcW w:w="900" w:type="dxa"/>
            <w:vAlign w:val="bottom"/>
            <w:shd w:val="clear" w:color="auto" w:fill="E3F1DA"/>
          </w:tcPr>
          <w:p>
            <w:pPr>
              <w:jc w:val="right"/>
              <w:spacing w:after="0" w:line="202" w:lineRule="exact"/>
              <w:rPr>
                <w:sz w:val="20"/>
                <w:szCs w:val="20"/>
                <w:color w:val="auto"/>
              </w:rPr>
            </w:pPr>
            <w:r>
              <w:rPr>
                <w:rFonts w:ascii="Arial" w:cs="Arial" w:eastAsia="Arial" w:hAnsi="Arial"/>
                <w:sz w:val="18"/>
                <w:szCs w:val="18"/>
                <w:color w:val="86B6A5"/>
              </w:rPr>
              <w:t>5.5%</w:t>
            </w:r>
          </w:p>
        </w:tc>
        <w:tc>
          <w:tcPr>
            <w:tcW w:w="220" w:type="dxa"/>
            <w:vAlign w:val="bottom"/>
            <w:shd w:val="clear" w:color="auto" w:fill="E3F1DA"/>
          </w:tcPr>
          <w:p>
            <w:pPr>
              <w:spacing w:after="0"/>
              <w:rPr>
                <w:sz w:val="17"/>
                <w:szCs w:val="17"/>
                <w:color w:val="auto"/>
              </w:rPr>
            </w:pPr>
          </w:p>
        </w:tc>
        <w:tc>
          <w:tcPr>
            <w:tcW w:w="1080" w:type="dxa"/>
            <w:vAlign w:val="bottom"/>
          </w:tcPr>
          <w:p>
            <w:pPr>
              <w:jc w:val="right"/>
              <w:ind w:right="94"/>
              <w:spacing w:after="0" w:line="202" w:lineRule="exact"/>
              <w:rPr>
                <w:sz w:val="20"/>
                <w:szCs w:val="20"/>
                <w:color w:val="auto"/>
              </w:rPr>
            </w:pPr>
            <w:r>
              <w:rPr>
                <w:rFonts w:ascii="Arial" w:cs="Arial" w:eastAsia="Arial" w:hAnsi="Arial"/>
                <w:sz w:val="18"/>
                <w:szCs w:val="18"/>
                <w:color w:val="auto"/>
              </w:rPr>
              <w:t>5.7%</w:t>
            </w: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5.4%</w:t>
            </w:r>
          </w:p>
        </w:tc>
      </w:tr>
      <w:tr>
        <w:trPr>
          <w:trHeight w:val="203"/>
        </w:trPr>
        <w:tc>
          <w:tcPr>
            <w:tcW w:w="4320" w:type="dxa"/>
            <w:vAlign w:val="bottom"/>
            <w:gridSpan w:val="2"/>
          </w:tcPr>
          <w:p>
            <w:pPr>
              <w:spacing w:after="0" w:line="202" w:lineRule="exact"/>
              <w:rPr>
                <w:sz w:val="20"/>
                <w:szCs w:val="20"/>
                <w:color w:val="auto"/>
              </w:rPr>
            </w:pPr>
            <w:r>
              <w:rPr>
                <w:rFonts w:ascii="Arial" w:cs="Arial" w:eastAsia="Arial" w:hAnsi="Arial"/>
                <w:sz w:val="18"/>
                <w:szCs w:val="18"/>
                <w:color w:val="auto"/>
              </w:rPr>
              <w:t>Rate of compensation increase</w:t>
            </w:r>
          </w:p>
        </w:tc>
        <w:tc>
          <w:tcPr>
            <w:tcW w:w="900" w:type="dxa"/>
            <w:vAlign w:val="bottom"/>
            <w:shd w:val="clear" w:color="auto" w:fill="E3F1DA"/>
          </w:tcPr>
          <w:p>
            <w:pPr>
              <w:jc w:val="right"/>
              <w:spacing w:after="0" w:line="202" w:lineRule="exact"/>
              <w:rPr>
                <w:sz w:val="20"/>
                <w:szCs w:val="20"/>
                <w:color w:val="auto"/>
              </w:rPr>
            </w:pPr>
            <w:r>
              <w:rPr>
                <w:rFonts w:ascii="Arial" w:cs="Arial" w:eastAsia="Arial" w:hAnsi="Arial"/>
                <w:sz w:val="18"/>
                <w:szCs w:val="18"/>
                <w:color w:val="86B6A5"/>
              </w:rPr>
              <w:t>4.0%</w:t>
            </w:r>
          </w:p>
        </w:tc>
        <w:tc>
          <w:tcPr>
            <w:tcW w:w="220" w:type="dxa"/>
            <w:vAlign w:val="bottom"/>
            <w:shd w:val="clear" w:color="auto" w:fill="E3F1DA"/>
          </w:tcPr>
          <w:p>
            <w:pPr>
              <w:spacing w:after="0"/>
              <w:rPr>
                <w:sz w:val="17"/>
                <w:szCs w:val="17"/>
                <w:color w:val="auto"/>
              </w:rPr>
            </w:pPr>
          </w:p>
        </w:tc>
        <w:tc>
          <w:tcPr>
            <w:tcW w:w="1060" w:type="dxa"/>
            <w:vAlign w:val="bottom"/>
          </w:tcPr>
          <w:p>
            <w:pPr>
              <w:jc w:val="right"/>
              <w:ind w:right="74"/>
              <w:spacing w:after="0" w:line="202" w:lineRule="exact"/>
              <w:rPr>
                <w:sz w:val="20"/>
                <w:szCs w:val="20"/>
                <w:color w:val="auto"/>
              </w:rPr>
            </w:pPr>
            <w:r>
              <w:rPr>
                <w:rFonts w:ascii="Arial" w:cs="Arial" w:eastAsia="Arial" w:hAnsi="Arial"/>
                <w:sz w:val="18"/>
                <w:szCs w:val="18"/>
                <w:color w:val="auto"/>
              </w:rPr>
              <w:t>4.0%</w:t>
            </w:r>
          </w:p>
        </w:tc>
        <w:tc>
          <w:tcPr>
            <w:tcW w:w="11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4.5%</w:t>
            </w:r>
          </w:p>
        </w:tc>
        <w:tc>
          <w:tcPr>
            <w:tcW w:w="900" w:type="dxa"/>
            <w:vAlign w:val="bottom"/>
            <w:shd w:val="clear" w:color="auto" w:fill="E3F1DA"/>
          </w:tcPr>
          <w:p>
            <w:pPr>
              <w:jc w:val="right"/>
              <w:spacing w:after="0" w:line="202" w:lineRule="exact"/>
              <w:rPr>
                <w:sz w:val="20"/>
                <w:szCs w:val="20"/>
                <w:color w:val="auto"/>
              </w:rPr>
            </w:pPr>
            <w:r>
              <w:rPr>
                <w:rFonts w:ascii="Arial" w:cs="Arial" w:eastAsia="Arial" w:hAnsi="Arial"/>
                <w:sz w:val="18"/>
                <w:szCs w:val="18"/>
                <w:color w:val="86B6A5"/>
              </w:rPr>
              <w:t>4.5%</w:t>
            </w:r>
          </w:p>
        </w:tc>
        <w:tc>
          <w:tcPr>
            <w:tcW w:w="220" w:type="dxa"/>
            <w:vAlign w:val="bottom"/>
            <w:shd w:val="clear" w:color="auto" w:fill="E3F1DA"/>
          </w:tcPr>
          <w:p>
            <w:pPr>
              <w:spacing w:after="0"/>
              <w:rPr>
                <w:sz w:val="17"/>
                <w:szCs w:val="17"/>
                <w:color w:val="auto"/>
              </w:rPr>
            </w:pPr>
          </w:p>
        </w:tc>
        <w:tc>
          <w:tcPr>
            <w:tcW w:w="1080" w:type="dxa"/>
            <w:vAlign w:val="bottom"/>
          </w:tcPr>
          <w:p>
            <w:pPr>
              <w:jc w:val="right"/>
              <w:ind w:right="94"/>
              <w:spacing w:after="0" w:line="202" w:lineRule="exact"/>
              <w:rPr>
                <w:sz w:val="20"/>
                <w:szCs w:val="20"/>
                <w:color w:val="auto"/>
              </w:rPr>
            </w:pPr>
            <w:r>
              <w:rPr>
                <w:rFonts w:ascii="Arial" w:cs="Arial" w:eastAsia="Arial" w:hAnsi="Arial"/>
                <w:sz w:val="18"/>
                <w:szCs w:val="18"/>
                <w:color w:val="auto"/>
              </w:rPr>
              <w:t>4.2%</w:t>
            </w: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4.2%</w:t>
            </w:r>
          </w:p>
        </w:tc>
      </w:tr>
      <w:tr>
        <w:trPr>
          <w:trHeight w:val="27"/>
        </w:trPr>
        <w:tc>
          <w:tcPr>
            <w:tcW w:w="20" w:type="dxa"/>
            <w:vAlign w:val="bottom"/>
          </w:tcPr>
          <w:p>
            <w:pPr>
              <w:spacing w:after="0"/>
              <w:rPr>
                <w:sz w:val="2"/>
                <w:szCs w:val="2"/>
                <w:color w:val="auto"/>
              </w:rPr>
            </w:pPr>
          </w:p>
        </w:tc>
        <w:tc>
          <w:tcPr>
            <w:tcW w:w="4300" w:type="dxa"/>
            <w:vAlign w:val="bottom"/>
            <w:shd w:val="clear" w:color="auto" w:fill="939598"/>
          </w:tcPr>
          <w:p>
            <w:pPr>
              <w:spacing w:after="0"/>
              <w:rPr>
                <w:sz w:val="2"/>
                <w:szCs w:val="2"/>
                <w:color w:val="auto"/>
              </w:rPr>
            </w:pPr>
          </w:p>
        </w:tc>
        <w:tc>
          <w:tcPr>
            <w:tcW w:w="900" w:type="dxa"/>
            <w:vAlign w:val="bottom"/>
            <w:shd w:val="clear" w:color="auto" w:fill="939598"/>
          </w:tcPr>
          <w:p>
            <w:pPr>
              <w:spacing w:after="0"/>
              <w:rPr>
                <w:sz w:val="2"/>
                <w:szCs w:val="2"/>
                <w:color w:val="auto"/>
              </w:rPr>
            </w:pPr>
          </w:p>
        </w:tc>
        <w:tc>
          <w:tcPr>
            <w:tcW w:w="220" w:type="dxa"/>
            <w:vAlign w:val="bottom"/>
            <w:shd w:val="clear" w:color="auto" w:fill="939598"/>
          </w:tcPr>
          <w:p>
            <w:pPr>
              <w:spacing w:after="0"/>
              <w:rPr>
                <w:sz w:val="2"/>
                <w:szCs w:val="2"/>
                <w:color w:val="auto"/>
              </w:rPr>
            </w:pPr>
          </w:p>
        </w:tc>
        <w:tc>
          <w:tcPr>
            <w:tcW w:w="1060" w:type="dxa"/>
            <w:vAlign w:val="bottom"/>
            <w:shd w:val="clear" w:color="auto" w:fill="939598"/>
          </w:tcPr>
          <w:p>
            <w:pPr>
              <w:spacing w:after="0"/>
              <w:rPr>
                <w:sz w:val="2"/>
                <w:szCs w:val="2"/>
                <w:color w:val="auto"/>
              </w:rPr>
            </w:pPr>
          </w:p>
        </w:tc>
        <w:tc>
          <w:tcPr>
            <w:tcW w:w="960" w:type="dxa"/>
            <w:vAlign w:val="bottom"/>
            <w:shd w:val="clear" w:color="auto" w:fill="939598"/>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939598"/>
          </w:tcPr>
          <w:p>
            <w:pPr>
              <w:spacing w:after="0"/>
              <w:rPr>
                <w:sz w:val="2"/>
                <w:szCs w:val="2"/>
                <w:color w:val="auto"/>
              </w:rPr>
            </w:pPr>
          </w:p>
        </w:tc>
        <w:tc>
          <w:tcPr>
            <w:tcW w:w="220" w:type="dxa"/>
            <w:vAlign w:val="bottom"/>
            <w:shd w:val="clear" w:color="auto" w:fill="939598"/>
          </w:tcPr>
          <w:p>
            <w:pPr>
              <w:spacing w:after="0"/>
              <w:rPr>
                <w:sz w:val="2"/>
                <w:szCs w:val="2"/>
                <w:color w:val="auto"/>
              </w:rPr>
            </w:pPr>
          </w:p>
        </w:tc>
        <w:tc>
          <w:tcPr>
            <w:tcW w:w="1080" w:type="dxa"/>
            <w:vAlign w:val="bottom"/>
            <w:shd w:val="clear" w:color="auto" w:fill="939598"/>
          </w:tcPr>
          <w:p>
            <w:pPr>
              <w:spacing w:after="0"/>
              <w:rPr>
                <w:sz w:val="2"/>
                <w:szCs w:val="2"/>
                <w:color w:val="auto"/>
              </w:rPr>
            </w:pPr>
          </w:p>
        </w:tc>
        <w:tc>
          <w:tcPr>
            <w:tcW w:w="1320" w:type="dxa"/>
            <w:vAlign w:val="bottom"/>
            <w:shd w:val="clear" w:color="auto" w:fill="939598"/>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color w:val="4D8ABE"/>
        </w:rPr>
        <w:t xml:space="preserve">66 </w:t>
      </w:r>
      <w:r>
        <w:rPr>
          <w:rFonts w:ascii="Arial" w:cs="Arial" w:eastAsia="Arial" w:hAnsi="Arial"/>
          <w:sz w:val="16"/>
          <w:szCs w:val="16"/>
          <w:color w:val="4D8ABE"/>
        </w:rPr>
        <w:t>Manpower 2010 Annual Report</w:t>
      </w:r>
      <w:r>
        <w:rPr>
          <w:rFonts w:ascii="Arial" w:cs="Arial" w:eastAsia="Arial" w:hAnsi="Arial"/>
          <w:sz w:val="16"/>
          <w:szCs w:val="16"/>
          <w:b w:val="1"/>
          <w:bCs w:val="1"/>
          <w:color w:val="4D8ABE"/>
        </w:rPr>
        <w:t xml:space="preserve"> </w:t>
      </w:r>
      <w:r>
        <w:rPr>
          <w:rFonts w:ascii="Arial" w:cs="Arial" w:eastAsia="Arial" w:hAnsi="Arial"/>
          <w:sz w:val="16"/>
          <w:szCs w:val="16"/>
          <w:b w:val="1"/>
          <w:bCs w:val="1"/>
          <w:color w:val="939598"/>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wp:posOffset>
            </wp:positionV>
            <wp:extent cx="7267575" cy="469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ectPr>
          <w:pgSz w:w="11900" w:h="16838" w:orient="portrait"/>
          <w:cols w:equalWidth="0" w:num="1">
            <w:col w:w="11420"/>
          </w:cols>
          <w:pgMar w:left="240" w:top="345" w:right="239" w:bottom="1440" w:gutter="0" w:footer="0" w:header="0"/>
        </w:sectPr>
      </w:pPr>
    </w:p>
    <w:bookmarkStart w:id="97" w:name="page98"/>
    <w:bookmarkEnd w:id="97"/>
    <w:p>
      <w:pPr>
        <w:jc w:val="both"/>
        <w:spacing w:after="0"/>
        <w:rPr>
          <w:sz w:val="20"/>
          <w:szCs w:val="20"/>
          <w:color w:val="auto"/>
        </w:rPr>
      </w:pPr>
      <w:r>
        <w:rPr>
          <w:rFonts w:ascii="Arial" w:cs="Arial" w:eastAsia="Arial" w:hAnsi="Arial"/>
          <w:sz w:val="18"/>
          <w:szCs w:val="18"/>
          <w:color w:val="auto"/>
        </w:rPr>
        <w:t>We determine our assumption for the discount rate to be used for purposes of computing annual service and interest costs based on an index of high-quality corporate bond yields and matched-funding yield curve analysis as of the end of each fiscal year. Our overall expected long-term rate of return on U.S. plan assets is 7.3%.</w:t>
      </w:r>
    </w:p>
    <w:p>
      <w:pPr>
        <w:spacing w:after="0" w:line="203"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Our overall expected long-term rate of return on our non-U.S. plans varies by country and ranges from 3.7% to 6.3% . For a majority of our plans, a building block approach has been employed to establish this return. Historical markets are studied and long-term historical relationships between equity securities and fixed income instruments are preserved consistent with the widely accepted capital market principle that assets with higher volatility generate a greater return over time. Current market factors such as inflation and interest rates are evaluated before long-term capital market assumptions are determined. The long-term portfolio return is established with proper consideration of diversification and rebalancing. We also use guaranteed insurance contracts for two of our foreign plans. Peer data and historical returns are reviewed to check for reasonableness and appropriateness of our expected rate of return.</w:t>
      </w:r>
    </w:p>
    <w:p>
      <w:pPr>
        <w:spacing w:after="0" w:line="203"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Projected salary levels utilized in the determination of the projected benefit obligation for the pension plans are based upon historical experience and the future expectations for each respective country.</w:t>
      </w:r>
    </w:p>
    <w:p>
      <w:pPr>
        <w:spacing w:after="0" w:line="197"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Our plans’ investment policies are to optimize the long-term return on plan assets at an acceptable level of risk and to maintain careful control of the risk level within each asset class. Our long-term objective is to minimize plan expenses and contributions by outperforming plan liabilities. We have historically used a balanced portfolio strategy based primarily on a target allocation of equity securities and fixed-income instruments, which vary by location. These target allocations, which are similar to the 2010 allocations, are determined based on the favorable risk tolerance characteristics of the plan and, at times, may be adjusted within a specified range to advance our overall objective.</w:t>
      </w:r>
    </w:p>
    <w:p>
      <w:pPr>
        <w:spacing w:after="0" w:line="203"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 fair value of our pension plan assets are primarily determined by using market quotes and other relevant information that is generated by market transactions involving identical or comparable assets. The fair value of our pension plan assets by asset category is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86B6A5"/>
              </w:rPr>
              <w:t>U.S. Plans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300" w:type="dxa"/>
            <w:vAlign w:val="bottom"/>
            <w:gridSpan w:val="3"/>
          </w:tcPr>
          <w:p>
            <w:pPr>
              <w:jc w:val="right"/>
              <w:ind w:right="20"/>
              <w:spacing w:after="0"/>
              <w:rPr>
                <w:sz w:val="20"/>
                <w:szCs w:val="20"/>
                <w:color w:val="auto"/>
              </w:rPr>
            </w:pPr>
            <w:r>
              <w:rPr>
                <w:rFonts w:ascii="Arial" w:cs="Arial" w:eastAsia="Arial" w:hAnsi="Arial"/>
                <w:sz w:val="16"/>
                <w:szCs w:val="16"/>
                <w:b w:val="1"/>
                <w:bCs w:val="1"/>
                <w:color w:val="86B6A5"/>
              </w:rPr>
              <w:t>Non-U.S. Plans</w:t>
            </w:r>
          </w:p>
        </w:tc>
      </w:tr>
      <w:tr>
        <w:trPr>
          <w:trHeight w:val="210"/>
        </w:trPr>
        <w:tc>
          <w:tcPr>
            <w:tcW w:w="20" w:type="dxa"/>
            <w:vAlign w:val="bottom"/>
          </w:tcPr>
          <w:p>
            <w:pPr>
              <w:spacing w:after="0"/>
              <w:rPr>
                <w:sz w:val="18"/>
                <w:szCs w:val="18"/>
                <w:color w:val="auto"/>
              </w:rPr>
            </w:pPr>
          </w:p>
        </w:tc>
        <w:tc>
          <w:tcPr>
            <w:tcW w:w="1460" w:type="dxa"/>
            <w:vAlign w:val="bottom"/>
            <w:tcBorders>
              <w:top w:val="single" w:sz="8" w:color="86B6A5"/>
            </w:tcBorders>
          </w:tcPr>
          <w:p>
            <w:pPr>
              <w:spacing w:after="0"/>
              <w:rPr>
                <w:sz w:val="18"/>
                <w:szCs w:val="18"/>
                <w:color w:val="auto"/>
              </w:rPr>
            </w:pPr>
          </w:p>
        </w:tc>
        <w:tc>
          <w:tcPr>
            <w:tcW w:w="180" w:type="dxa"/>
            <w:vAlign w:val="bottom"/>
            <w:tcBorders>
              <w:top w:val="single" w:sz="8" w:color="86B6A5"/>
            </w:tcBorders>
          </w:tcPr>
          <w:p>
            <w:pPr>
              <w:spacing w:after="0"/>
              <w:rPr>
                <w:sz w:val="18"/>
                <w:szCs w:val="18"/>
                <w:color w:val="auto"/>
              </w:rPr>
            </w:pPr>
          </w:p>
        </w:tc>
        <w:tc>
          <w:tcPr>
            <w:tcW w:w="1140" w:type="dxa"/>
            <w:vAlign w:val="bottom"/>
            <w:tcBorders>
              <w:top w:val="single" w:sz="8" w:color="86B6A5"/>
            </w:tcBorders>
          </w:tcPr>
          <w:p>
            <w:pPr>
              <w:spacing w:after="0"/>
              <w:rPr>
                <w:sz w:val="18"/>
                <w:szCs w:val="18"/>
                <w:color w:val="auto"/>
              </w:rPr>
            </w:pPr>
          </w:p>
        </w:tc>
        <w:tc>
          <w:tcPr>
            <w:tcW w:w="160" w:type="dxa"/>
            <w:vAlign w:val="bottom"/>
            <w:tcBorders>
              <w:top w:val="single" w:sz="8" w:color="86B6A5"/>
            </w:tcBorders>
          </w:tcPr>
          <w:p>
            <w:pPr>
              <w:spacing w:after="0"/>
              <w:rPr>
                <w:sz w:val="18"/>
                <w:szCs w:val="18"/>
                <w:color w:val="auto"/>
              </w:rPr>
            </w:pPr>
          </w:p>
        </w:tc>
        <w:tc>
          <w:tcPr>
            <w:tcW w:w="900" w:type="dxa"/>
            <w:vAlign w:val="bottom"/>
            <w:tcBorders>
              <w:top w:val="single" w:sz="8" w:color="86B6A5"/>
            </w:tcBorders>
          </w:tcPr>
          <w:p>
            <w:pPr>
              <w:spacing w:after="0"/>
              <w:rPr>
                <w:sz w:val="18"/>
                <w:szCs w:val="18"/>
                <w:color w:val="auto"/>
              </w:rPr>
            </w:pPr>
          </w:p>
        </w:tc>
        <w:tc>
          <w:tcPr>
            <w:tcW w:w="2460" w:type="dxa"/>
            <w:vAlign w:val="bottom"/>
            <w:tcBorders>
              <w:top w:val="single" w:sz="8" w:color="86B6A5"/>
            </w:tcBorders>
            <w:gridSpan w:val="4"/>
          </w:tcPr>
          <w:p>
            <w:pPr>
              <w:ind w:left="20"/>
              <w:spacing w:after="0"/>
              <w:rPr>
                <w:sz w:val="20"/>
                <w:szCs w:val="20"/>
                <w:color w:val="auto"/>
              </w:rPr>
            </w:pPr>
            <w:r>
              <w:rPr>
                <w:rFonts w:ascii="Arial" w:cs="Arial" w:eastAsia="Arial" w:hAnsi="Arial"/>
                <w:sz w:val="16"/>
                <w:szCs w:val="16"/>
                <w:b w:val="1"/>
                <w:bCs w:val="1"/>
                <w:color w:val="86B6A5"/>
              </w:rPr>
              <w:t>Fair Value Measurements Using</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top w:val="single" w:sz="8" w:color="86B6A5"/>
            </w:tcBorders>
          </w:tcPr>
          <w:p>
            <w:pPr>
              <w:spacing w:after="0"/>
              <w:rPr>
                <w:sz w:val="18"/>
                <w:szCs w:val="18"/>
                <w:color w:val="auto"/>
              </w:rPr>
            </w:pPr>
          </w:p>
        </w:tc>
        <w:tc>
          <w:tcPr>
            <w:tcW w:w="1140" w:type="dxa"/>
            <w:vAlign w:val="bottom"/>
            <w:tcBorders>
              <w:top w:val="single" w:sz="8" w:color="86B6A5"/>
            </w:tcBorders>
          </w:tcPr>
          <w:p>
            <w:pPr>
              <w:spacing w:after="0"/>
              <w:rPr>
                <w:sz w:val="18"/>
                <w:szCs w:val="18"/>
                <w:color w:val="auto"/>
              </w:rPr>
            </w:pPr>
          </w:p>
        </w:tc>
        <w:tc>
          <w:tcPr>
            <w:tcW w:w="180" w:type="dxa"/>
            <w:vAlign w:val="bottom"/>
            <w:tcBorders>
              <w:top w:val="single" w:sz="8" w:color="86B6A5"/>
            </w:tcBorders>
          </w:tcPr>
          <w:p>
            <w:pPr>
              <w:spacing w:after="0"/>
              <w:rPr>
                <w:sz w:val="18"/>
                <w:szCs w:val="18"/>
                <w:color w:val="auto"/>
              </w:rPr>
            </w:pPr>
          </w:p>
        </w:tc>
        <w:tc>
          <w:tcPr>
            <w:tcW w:w="900" w:type="dxa"/>
            <w:vAlign w:val="bottom"/>
            <w:tcBorders>
              <w:top w:val="single" w:sz="8" w:color="86B6A5"/>
            </w:tcBorders>
          </w:tcPr>
          <w:p>
            <w:pPr>
              <w:spacing w:after="0"/>
              <w:rPr>
                <w:sz w:val="18"/>
                <w:szCs w:val="18"/>
                <w:color w:val="auto"/>
              </w:rPr>
            </w:pPr>
          </w:p>
        </w:tc>
        <w:tc>
          <w:tcPr>
            <w:tcW w:w="2500" w:type="dxa"/>
            <w:vAlign w:val="bottom"/>
            <w:tcBorders>
              <w:top w:val="single" w:sz="8" w:color="86B6A5"/>
            </w:tcBorders>
            <w:gridSpan w:val="5"/>
          </w:tcPr>
          <w:p>
            <w:pPr>
              <w:jc w:val="right"/>
              <w:ind w:right="20"/>
              <w:spacing w:after="0"/>
              <w:rPr>
                <w:sz w:val="20"/>
                <w:szCs w:val="20"/>
                <w:color w:val="auto"/>
              </w:rPr>
            </w:pPr>
            <w:r>
              <w:rPr>
                <w:rFonts w:ascii="Arial" w:cs="Arial" w:eastAsia="Arial" w:hAnsi="Arial"/>
                <w:sz w:val="16"/>
                <w:szCs w:val="16"/>
                <w:b w:val="1"/>
                <w:bCs w:val="1"/>
                <w:color w:val="86B6A5"/>
              </w:rPr>
              <w:t>Fair Value Measurements Using</w:t>
            </w:r>
          </w:p>
        </w:tc>
      </w:tr>
      <w:tr>
        <w:trPr>
          <w:trHeight w:val="184"/>
        </w:trPr>
        <w:tc>
          <w:tcPr>
            <w:tcW w:w="20" w:type="dxa"/>
            <w:vAlign w:val="bottom"/>
          </w:tcPr>
          <w:p>
            <w:pPr>
              <w:spacing w:after="0"/>
              <w:rPr>
                <w:sz w:val="16"/>
                <w:szCs w:val="16"/>
                <w:color w:val="auto"/>
              </w:rPr>
            </w:pPr>
          </w:p>
        </w:tc>
        <w:tc>
          <w:tcPr>
            <w:tcW w:w="1460" w:type="dxa"/>
            <w:vAlign w:val="bottom"/>
            <w:tcBorders>
              <w:top w:val="single" w:sz="8" w:color="86B6A5"/>
            </w:tcBorders>
          </w:tcPr>
          <w:p>
            <w:pPr>
              <w:spacing w:after="0"/>
              <w:rPr>
                <w:sz w:val="16"/>
                <w:szCs w:val="16"/>
                <w:color w:val="auto"/>
              </w:rPr>
            </w:pPr>
          </w:p>
        </w:tc>
        <w:tc>
          <w:tcPr>
            <w:tcW w:w="180" w:type="dxa"/>
            <w:vAlign w:val="bottom"/>
            <w:tcBorders>
              <w:top w:val="single" w:sz="8" w:color="86B6A5"/>
            </w:tcBorders>
          </w:tcPr>
          <w:p>
            <w:pPr>
              <w:spacing w:after="0"/>
              <w:rPr>
                <w:sz w:val="16"/>
                <w:szCs w:val="16"/>
                <w:color w:val="auto"/>
              </w:rPr>
            </w:pPr>
          </w:p>
        </w:tc>
        <w:tc>
          <w:tcPr>
            <w:tcW w:w="1140" w:type="dxa"/>
            <w:vAlign w:val="bottom"/>
            <w:tcBorders>
              <w:top w:val="single" w:sz="8" w:color="86B6A5"/>
            </w:tcBorders>
          </w:tcPr>
          <w:p>
            <w:pPr>
              <w:spacing w:after="0"/>
              <w:rPr>
                <w:sz w:val="16"/>
                <w:szCs w:val="16"/>
                <w:color w:val="auto"/>
              </w:rPr>
            </w:pPr>
          </w:p>
        </w:tc>
        <w:tc>
          <w:tcPr>
            <w:tcW w:w="160" w:type="dxa"/>
            <w:vAlign w:val="bottom"/>
            <w:tcBorders>
              <w:top w:val="single" w:sz="8" w:color="86B6A5"/>
            </w:tcBorders>
          </w:tcPr>
          <w:p>
            <w:pPr>
              <w:spacing w:after="0"/>
              <w:rPr>
                <w:sz w:val="16"/>
                <w:szCs w:val="16"/>
                <w:color w:val="auto"/>
              </w:rPr>
            </w:pPr>
          </w:p>
        </w:tc>
        <w:tc>
          <w:tcPr>
            <w:tcW w:w="900" w:type="dxa"/>
            <w:vAlign w:val="bottom"/>
            <w:tcBorders>
              <w:top w:val="single" w:sz="8" w:color="86B6A5"/>
            </w:tcBorders>
          </w:tcPr>
          <w:p>
            <w:pPr>
              <w:jc w:val="right"/>
              <w:spacing w:after="0"/>
              <w:rPr>
                <w:sz w:val="20"/>
                <w:szCs w:val="20"/>
                <w:color w:val="auto"/>
              </w:rPr>
            </w:pPr>
            <w:r>
              <w:rPr>
                <w:rFonts w:ascii="Arial" w:cs="Arial" w:eastAsia="Arial" w:hAnsi="Arial"/>
                <w:sz w:val="16"/>
                <w:szCs w:val="16"/>
                <w:b w:val="1"/>
                <w:bCs w:val="1"/>
                <w:color w:val="86B6A5"/>
              </w:rPr>
              <w:t>Quoted</w:t>
            </w:r>
          </w:p>
        </w:tc>
        <w:tc>
          <w:tcPr>
            <w:tcW w:w="240" w:type="dxa"/>
            <w:vAlign w:val="bottom"/>
            <w:tcBorders>
              <w:top w:val="single" w:sz="8" w:color="86B6A5"/>
            </w:tcBorders>
          </w:tcPr>
          <w:p>
            <w:pPr>
              <w:spacing w:after="0"/>
              <w:rPr>
                <w:sz w:val="16"/>
                <w:szCs w:val="16"/>
                <w:color w:val="auto"/>
              </w:rPr>
            </w:pPr>
          </w:p>
        </w:tc>
        <w:tc>
          <w:tcPr>
            <w:tcW w:w="960" w:type="dxa"/>
            <w:vAlign w:val="bottom"/>
            <w:tcBorders>
              <w:top w:val="single" w:sz="8" w:color="86B6A5"/>
            </w:tcBorders>
          </w:tcPr>
          <w:p>
            <w:pPr>
              <w:spacing w:after="0"/>
              <w:rPr>
                <w:sz w:val="16"/>
                <w:szCs w:val="16"/>
                <w:color w:val="auto"/>
              </w:rPr>
            </w:pPr>
          </w:p>
        </w:tc>
        <w:tc>
          <w:tcPr>
            <w:tcW w:w="180" w:type="dxa"/>
            <w:vAlign w:val="bottom"/>
            <w:tcBorders>
              <w:top w:val="single" w:sz="8" w:color="86B6A5"/>
            </w:tcBorders>
          </w:tcPr>
          <w:p>
            <w:pPr>
              <w:spacing w:after="0"/>
              <w:rPr>
                <w:sz w:val="16"/>
                <w:szCs w:val="16"/>
                <w:color w:val="auto"/>
              </w:rPr>
            </w:pPr>
          </w:p>
        </w:tc>
        <w:tc>
          <w:tcPr>
            <w:tcW w:w="1080" w:type="dxa"/>
            <w:vAlign w:val="bottom"/>
            <w:tcBorders>
              <w:top w:val="single" w:sz="8" w:color="86B6A5"/>
            </w:tcBorders>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Borders>
              <w:top w:val="single" w:sz="8" w:color="86B6A5"/>
            </w:tcBorders>
          </w:tcPr>
          <w:p>
            <w:pPr>
              <w:spacing w:after="0"/>
              <w:rPr>
                <w:sz w:val="16"/>
                <w:szCs w:val="16"/>
                <w:color w:val="auto"/>
              </w:rPr>
            </w:pPr>
          </w:p>
        </w:tc>
        <w:tc>
          <w:tcPr>
            <w:tcW w:w="1140" w:type="dxa"/>
            <w:vAlign w:val="bottom"/>
            <w:tcBorders>
              <w:top w:val="single" w:sz="8" w:color="86B6A5"/>
            </w:tcBorders>
          </w:tcPr>
          <w:p>
            <w:pPr>
              <w:spacing w:after="0"/>
              <w:rPr>
                <w:sz w:val="16"/>
                <w:szCs w:val="16"/>
                <w:color w:val="auto"/>
              </w:rPr>
            </w:pPr>
          </w:p>
        </w:tc>
        <w:tc>
          <w:tcPr>
            <w:tcW w:w="180" w:type="dxa"/>
            <w:vAlign w:val="bottom"/>
            <w:tcBorders>
              <w:top w:val="single" w:sz="8" w:color="86B6A5"/>
            </w:tcBorders>
          </w:tcPr>
          <w:p>
            <w:pPr>
              <w:spacing w:after="0"/>
              <w:rPr>
                <w:sz w:val="16"/>
                <w:szCs w:val="16"/>
                <w:color w:val="auto"/>
              </w:rPr>
            </w:pPr>
          </w:p>
        </w:tc>
        <w:tc>
          <w:tcPr>
            <w:tcW w:w="900" w:type="dxa"/>
            <w:vAlign w:val="bottom"/>
            <w:tcBorders>
              <w:top w:val="single" w:sz="8" w:color="86B6A5"/>
            </w:tcBorders>
          </w:tcPr>
          <w:p>
            <w:pPr>
              <w:jc w:val="right"/>
              <w:spacing w:after="0"/>
              <w:rPr>
                <w:sz w:val="20"/>
                <w:szCs w:val="20"/>
                <w:color w:val="auto"/>
              </w:rPr>
            </w:pPr>
            <w:r>
              <w:rPr>
                <w:rFonts w:ascii="Arial" w:cs="Arial" w:eastAsia="Arial" w:hAnsi="Arial"/>
                <w:sz w:val="16"/>
                <w:szCs w:val="16"/>
                <w:b w:val="1"/>
                <w:bCs w:val="1"/>
                <w:color w:val="86B6A5"/>
              </w:rPr>
              <w:t>Quoted</w:t>
            </w:r>
          </w:p>
        </w:tc>
        <w:tc>
          <w:tcPr>
            <w:tcW w:w="240" w:type="dxa"/>
            <w:vAlign w:val="bottom"/>
            <w:tcBorders>
              <w:top w:val="single" w:sz="8" w:color="86B6A5"/>
            </w:tcBorders>
          </w:tcPr>
          <w:p>
            <w:pPr>
              <w:spacing w:after="0"/>
              <w:rPr>
                <w:sz w:val="16"/>
                <w:szCs w:val="16"/>
                <w:color w:val="auto"/>
              </w:rPr>
            </w:pPr>
          </w:p>
        </w:tc>
        <w:tc>
          <w:tcPr>
            <w:tcW w:w="960" w:type="dxa"/>
            <w:vAlign w:val="bottom"/>
            <w:tcBorders>
              <w:top w:val="single" w:sz="8" w:color="86B6A5"/>
            </w:tcBorders>
          </w:tcPr>
          <w:p>
            <w:pPr>
              <w:spacing w:after="0"/>
              <w:rPr>
                <w:sz w:val="16"/>
                <w:szCs w:val="16"/>
                <w:color w:val="auto"/>
              </w:rPr>
            </w:pPr>
          </w:p>
        </w:tc>
        <w:tc>
          <w:tcPr>
            <w:tcW w:w="200" w:type="dxa"/>
            <w:vAlign w:val="bottom"/>
            <w:tcBorders>
              <w:top w:val="single" w:sz="8" w:color="86B6A5"/>
            </w:tcBorders>
          </w:tcPr>
          <w:p>
            <w:pPr>
              <w:spacing w:after="0"/>
              <w:rPr>
                <w:sz w:val="16"/>
                <w:szCs w:val="16"/>
                <w:color w:val="auto"/>
              </w:rPr>
            </w:pPr>
          </w:p>
        </w:tc>
        <w:tc>
          <w:tcPr>
            <w:tcW w:w="1080" w:type="dxa"/>
            <w:vAlign w:val="bottom"/>
            <w:tcBorders>
              <w:top w:val="single" w:sz="8" w:color="86B6A5"/>
            </w:tcBorders>
          </w:tcPr>
          <w:p>
            <w:pPr>
              <w:spacing w:after="0"/>
              <w:rPr>
                <w:sz w:val="16"/>
                <w:szCs w:val="16"/>
                <w:color w:val="auto"/>
              </w:rPr>
            </w:pPr>
          </w:p>
        </w:tc>
        <w:tc>
          <w:tcPr>
            <w:tcW w:w="20" w:type="dxa"/>
            <w:vAlign w:val="bottom"/>
          </w:tcPr>
          <w:p>
            <w:pPr>
              <w:spacing w:after="0"/>
              <w:rPr>
                <w:sz w:val="16"/>
                <w:szCs w:val="16"/>
                <w:color w:val="auto"/>
              </w:rPr>
            </w:pPr>
          </w:p>
        </w:tc>
      </w:tr>
      <w:tr>
        <w:trPr>
          <w:trHeight w:val="203"/>
        </w:trPr>
        <w:tc>
          <w:tcPr>
            <w:tcW w:w="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86B6A5"/>
              </w:rPr>
              <w:t>Prices</w:t>
            </w: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86B6A5"/>
              </w:rPr>
              <w:t>Prices</w:t>
            </w: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86B6A5"/>
              </w:rPr>
              <w:t>in Active</w:t>
            </w:r>
          </w:p>
        </w:tc>
        <w:tc>
          <w:tcPr>
            <w:tcW w:w="2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86B6A5"/>
              </w:rPr>
              <w:t>Significant</w:t>
            </w: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86B6A5"/>
              </w:rPr>
              <w:t>in Active</w:t>
            </w:r>
          </w:p>
        </w:tc>
        <w:tc>
          <w:tcPr>
            <w:tcW w:w="2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86B6A5"/>
              </w:rPr>
              <w:t>Significant</w:t>
            </w: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86B6A5"/>
                <w:w w:val="99"/>
              </w:rPr>
              <w:t>Markets for</w:t>
            </w:r>
          </w:p>
        </w:tc>
        <w:tc>
          <w:tcPr>
            <w:tcW w:w="2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86B6A5"/>
              </w:rPr>
              <w:t>Other</w:t>
            </w:r>
          </w:p>
        </w:tc>
        <w:tc>
          <w:tcPr>
            <w:tcW w:w="180" w:type="dxa"/>
            <w:vAlign w:val="bottom"/>
          </w:tcPr>
          <w:p>
            <w:pPr>
              <w:spacing w:after="0"/>
              <w:rPr>
                <w:sz w:val="17"/>
                <w:szCs w:val="17"/>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86B6A5"/>
              </w:rPr>
              <w:t>Significant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86B6A5"/>
                <w:w w:val="99"/>
              </w:rPr>
              <w:t>Markets for</w:t>
            </w:r>
          </w:p>
        </w:tc>
        <w:tc>
          <w:tcPr>
            <w:tcW w:w="2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86B6A5"/>
              </w:rPr>
              <w:t>Other</w:t>
            </w:r>
          </w:p>
        </w:tc>
        <w:tc>
          <w:tcPr>
            <w:tcW w:w="200" w:type="dxa"/>
            <w:vAlign w:val="bottom"/>
          </w:tcPr>
          <w:p>
            <w:pPr>
              <w:spacing w:after="0"/>
              <w:rPr>
                <w:sz w:val="17"/>
                <w:szCs w:val="17"/>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6"/>
                <w:szCs w:val="16"/>
                <w:b w:val="1"/>
                <w:bCs w:val="1"/>
                <w:color w:val="86B6A5"/>
              </w:rPr>
              <w:t>Significant</w:t>
            </w:r>
          </w:p>
        </w:tc>
      </w:tr>
      <w:tr>
        <w:trPr>
          <w:trHeight w:val="203"/>
        </w:trPr>
        <w:tc>
          <w:tcPr>
            <w:tcW w:w="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86B6A5"/>
              </w:rPr>
              <w:t>Identical</w:t>
            </w:r>
          </w:p>
        </w:tc>
        <w:tc>
          <w:tcPr>
            <w:tcW w:w="2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86B6A5"/>
              </w:rPr>
              <w:t>Observable</w:t>
            </w:r>
          </w:p>
        </w:tc>
        <w:tc>
          <w:tcPr>
            <w:tcW w:w="180" w:type="dxa"/>
            <w:vAlign w:val="bottom"/>
          </w:tcPr>
          <w:p>
            <w:pPr>
              <w:spacing w:after="0"/>
              <w:rPr>
                <w:sz w:val="17"/>
                <w:szCs w:val="17"/>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86B6A5"/>
              </w:rPr>
              <w:t>Unobservable</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86B6A5"/>
              </w:rPr>
              <w:t>Identical</w:t>
            </w:r>
          </w:p>
        </w:tc>
        <w:tc>
          <w:tcPr>
            <w:tcW w:w="2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86B6A5"/>
              </w:rPr>
              <w:t>Observable</w:t>
            </w:r>
          </w:p>
        </w:tc>
        <w:tc>
          <w:tcPr>
            <w:tcW w:w="200" w:type="dxa"/>
            <w:vAlign w:val="bottom"/>
          </w:tcPr>
          <w:p>
            <w:pPr>
              <w:spacing w:after="0"/>
              <w:rPr>
                <w:sz w:val="17"/>
                <w:szCs w:val="17"/>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6"/>
                <w:szCs w:val="16"/>
                <w:b w:val="1"/>
                <w:bCs w:val="1"/>
                <w:color w:val="86B6A5"/>
              </w:rPr>
              <w:t>Unobservable</w:t>
            </w:r>
          </w:p>
        </w:tc>
      </w:tr>
      <w:tr>
        <w:trPr>
          <w:trHeight w:val="203"/>
        </w:trPr>
        <w:tc>
          <w:tcPr>
            <w:tcW w:w="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86B6A5"/>
                <w:w w:val="99"/>
              </w:rPr>
              <w:t>December 31,</w:t>
            </w: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86B6A5"/>
              </w:rPr>
              <w:t>Assets</w:t>
            </w:r>
          </w:p>
        </w:tc>
        <w:tc>
          <w:tcPr>
            <w:tcW w:w="2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86B6A5"/>
              </w:rPr>
              <w:t>Inputs</w:t>
            </w:r>
          </w:p>
        </w:tc>
        <w:tc>
          <w:tcPr>
            <w:tcW w:w="180" w:type="dxa"/>
            <w:vAlign w:val="bottom"/>
          </w:tcPr>
          <w:p>
            <w:pPr>
              <w:spacing w:after="0"/>
              <w:rPr>
                <w:sz w:val="17"/>
                <w:szCs w:val="17"/>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86B6A5"/>
              </w:rPr>
              <w:t>Inputs</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86B6A5"/>
              </w:rPr>
              <w:t>December 31,</w:t>
            </w:r>
          </w:p>
        </w:tc>
        <w:tc>
          <w:tcPr>
            <w:tcW w:w="1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86B6A5"/>
              </w:rPr>
              <w:t>Assets</w:t>
            </w:r>
          </w:p>
        </w:tc>
        <w:tc>
          <w:tcPr>
            <w:tcW w:w="2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86B6A5"/>
              </w:rPr>
              <w:t>Inputs</w:t>
            </w:r>
          </w:p>
        </w:tc>
        <w:tc>
          <w:tcPr>
            <w:tcW w:w="200" w:type="dxa"/>
            <w:vAlign w:val="bottom"/>
          </w:tcPr>
          <w:p>
            <w:pPr>
              <w:spacing w:after="0"/>
              <w:rPr>
                <w:sz w:val="17"/>
                <w:szCs w:val="17"/>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6"/>
                <w:szCs w:val="16"/>
                <w:b w:val="1"/>
                <w:bCs w:val="1"/>
                <w:color w:val="86B6A5"/>
              </w:rPr>
              <w:t>Inputs</w:t>
            </w:r>
          </w:p>
        </w:tc>
      </w:tr>
      <w:tr>
        <w:trPr>
          <w:trHeight w:val="228"/>
        </w:trPr>
        <w:tc>
          <w:tcPr>
            <w:tcW w:w="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86B6A5"/>
              </w:rPr>
              <w:t>2010</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86B6A5"/>
              </w:rPr>
              <w:t>(Level 1)</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86B6A5"/>
              </w:rPr>
              <w:t>(Level 2)</w:t>
            </w:r>
          </w:p>
        </w:tc>
        <w:tc>
          <w:tcPr>
            <w:tcW w:w="18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86B6A5"/>
              </w:rPr>
              <w:t>(Level 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86B6A5"/>
              </w:rPr>
              <w:t>2010</w:t>
            </w: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86B6A5"/>
              </w:rPr>
              <w:t>(Level 1)</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86B6A5"/>
              </w:rPr>
              <w:t>(Level 2)</w:t>
            </w:r>
          </w:p>
        </w:tc>
        <w:tc>
          <w:tcPr>
            <w:tcW w:w="20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6"/>
                <w:szCs w:val="16"/>
                <w:b w:val="1"/>
                <w:bCs w:val="1"/>
                <w:color w:val="86B6A5"/>
              </w:rPr>
              <w:t>(Level 3)</w:t>
            </w:r>
          </w:p>
        </w:tc>
      </w:tr>
      <w:tr>
        <w:trPr>
          <w:trHeight w:val="202"/>
        </w:trPr>
        <w:tc>
          <w:tcPr>
            <w:tcW w:w="20" w:type="dxa"/>
            <w:vAlign w:val="bottom"/>
          </w:tcPr>
          <w:p>
            <w:pPr>
              <w:spacing w:after="0"/>
              <w:rPr>
                <w:sz w:val="17"/>
                <w:szCs w:val="17"/>
                <w:color w:val="auto"/>
              </w:rPr>
            </w:pPr>
          </w:p>
        </w:tc>
        <w:tc>
          <w:tcPr>
            <w:tcW w:w="1460" w:type="dxa"/>
            <w:vAlign w:val="bottom"/>
            <w:tcBorders>
              <w:top w:val="single" w:sz="8" w:color="86B6A5"/>
            </w:tcBorders>
          </w:tcPr>
          <w:p>
            <w:pPr>
              <w:spacing w:after="0" w:line="201" w:lineRule="exact"/>
              <w:rPr>
                <w:sz w:val="20"/>
                <w:szCs w:val="20"/>
                <w:color w:val="auto"/>
              </w:rPr>
            </w:pPr>
            <w:r>
              <w:rPr>
                <w:rFonts w:ascii="Arial" w:cs="Arial" w:eastAsia="Arial" w:hAnsi="Arial"/>
                <w:sz w:val="18"/>
                <w:szCs w:val="18"/>
                <w:b w:val="1"/>
                <w:bCs w:val="1"/>
                <w:color w:val="939598"/>
              </w:rPr>
              <w:t>Asset Category</w:t>
            </w:r>
          </w:p>
        </w:tc>
        <w:tc>
          <w:tcPr>
            <w:tcW w:w="180" w:type="dxa"/>
            <w:vAlign w:val="bottom"/>
            <w:tcBorders>
              <w:top w:val="single" w:sz="8" w:color="86B6A5"/>
            </w:tcBorders>
          </w:tcPr>
          <w:p>
            <w:pPr>
              <w:spacing w:after="0"/>
              <w:rPr>
                <w:sz w:val="17"/>
                <w:szCs w:val="17"/>
                <w:color w:val="auto"/>
              </w:rPr>
            </w:pPr>
          </w:p>
        </w:tc>
        <w:tc>
          <w:tcPr>
            <w:tcW w:w="1140" w:type="dxa"/>
            <w:vAlign w:val="bottom"/>
            <w:tcBorders>
              <w:top w:val="single" w:sz="8" w:color="86B6A5"/>
            </w:tcBorders>
          </w:tcPr>
          <w:p>
            <w:pPr>
              <w:spacing w:after="0"/>
              <w:rPr>
                <w:sz w:val="17"/>
                <w:szCs w:val="17"/>
                <w:color w:val="auto"/>
              </w:rPr>
            </w:pPr>
          </w:p>
        </w:tc>
        <w:tc>
          <w:tcPr>
            <w:tcW w:w="160" w:type="dxa"/>
            <w:vAlign w:val="bottom"/>
            <w:tcBorders>
              <w:top w:val="single" w:sz="8" w:color="86B6A5"/>
            </w:tcBorders>
          </w:tcPr>
          <w:p>
            <w:pPr>
              <w:spacing w:after="0"/>
              <w:rPr>
                <w:sz w:val="17"/>
                <w:szCs w:val="17"/>
                <w:color w:val="auto"/>
              </w:rPr>
            </w:pPr>
          </w:p>
        </w:tc>
        <w:tc>
          <w:tcPr>
            <w:tcW w:w="900" w:type="dxa"/>
            <w:vAlign w:val="bottom"/>
            <w:tcBorders>
              <w:top w:val="single" w:sz="8" w:color="86B6A5"/>
            </w:tcBorders>
          </w:tcPr>
          <w:p>
            <w:pPr>
              <w:spacing w:after="0"/>
              <w:rPr>
                <w:sz w:val="17"/>
                <w:szCs w:val="17"/>
                <w:color w:val="auto"/>
              </w:rPr>
            </w:pPr>
          </w:p>
        </w:tc>
        <w:tc>
          <w:tcPr>
            <w:tcW w:w="240" w:type="dxa"/>
            <w:vAlign w:val="bottom"/>
            <w:tcBorders>
              <w:top w:val="single" w:sz="8" w:color="86B6A5"/>
            </w:tcBorders>
          </w:tcPr>
          <w:p>
            <w:pPr>
              <w:spacing w:after="0"/>
              <w:rPr>
                <w:sz w:val="17"/>
                <w:szCs w:val="17"/>
                <w:color w:val="auto"/>
              </w:rPr>
            </w:pPr>
          </w:p>
        </w:tc>
        <w:tc>
          <w:tcPr>
            <w:tcW w:w="960" w:type="dxa"/>
            <w:vAlign w:val="bottom"/>
            <w:tcBorders>
              <w:top w:val="single" w:sz="8" w:color="86B6A5"/>
            </w:tcBorders>
          </w:tcPr>
          <w:p>
            <w:pPr>
              <w:spacing w:after="0"/>
              <w:rPr>
                <w:sz w:val="17"/>
                <w:szCs w:val="17"/>
                <w:color w:val="auto"/>
              </w:rPr>
            </w:pPr>
          </w:p>
        </w:tc>
        <w:tc>
          <w:tcPr>
            <w:tcW w:w="180" w:type="dxa"/>
            <w:vAlign w:val="bottom"/>
            <w:tcBorders>
              <w:top w:val="single" w:sz="8" w:color="86B6A5"/>
            </w:tcBorders>
          </w:tcPr>
          <w:p>
            <w:pPr>
              <w:spacing w:after="0"/>
              <w:rPr>
                <w:sz w:val="17"/>
                <w:szCs w:val="17"/>
                <w:color w:val="auto"/>
              </w:rPr>
            </w:pPr>
          </w:p>
        </w:tc>
        <w:tc>
          <w:tcPr>
            <w:tcW w:w="1080" w:type="dxa"/>
            <w:vAlign w:val="bottom"/>
            <w:tcBorders>
              <w:top w:val="single" w:sz="8" w:color="86B6A5"/>
            </w:tcBorders>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top w:val="single" w:sz="8" w:color="86B6A5"/>
            </w:tcBorders>
          </w:tcPr>
          <w:p>
            <w:pPr>
              <w:spacing w:after="0"/>
              <w:rPr>
                <w:sz w:val="17"/>
                <w:szCs w:val="17"/>
                <w:color w:val="auto"/>
              </w:rPr>
            </w:pPr>
          </w:p>
        </w:tc>
        <w:tc>
          <w:tcPr>
            <w:tcW w:w="1140" w:type="dxa"/>
            <w:vAlign w:val="bottom"/>
            <w:tcBorders>
              <w:top w:val="single" w:sz="8" w:color="86B6A5"/>
            </w:tcBorders>
          </w:tcPr>
          <w:p>
            <w:pPr>
              <w:spacing w:after="0"/>
              <w:rPr>
                <w:sz w:val="17"/>
                <w:szCs w:val="17"/>
                <w:color w:val="auto"/>
              </w:rPr>
            </w:pPr>
          </w:p>
        </w:tc>
        <w:tc>
          <w:tcPr>
            <w:tcW w:w="180" w:type="dxa"/>
            <w:vAlign w:val="bottom"/>
            <w:tcBorders>
              <w:top w:val="single" w:sz="8" w:color="86B6A5"/>
            </w:tcBorders>
          </w:tcPr>
          <w:p>
            <w:pPr>
              <w:spacing w:after="0"/>
              <w:rPr>
                <w:sz w:val="17"/>
                <w:szCs w:val="17"/>
                <w:color w:val="auto"/>
              </w:rPr>
            </w:pPr>
          </w:p>
        </w:tc>
        <w:tc>
          <w:tcPr>
            <w:tcW w:w="900" w:type="dxa"/>
            <w:vAlign w:val="bottom"/>
            <w:tcBorders>
              <w:top w:val="single" w:sz="8" w:color="86B6A5"/>
            </w:tcBorders>
          </w:tcPr>
          <w:p>
            <w:pPr>
              <w:spacing w:after="0"/>
              <w:rPr>
                <w:sz w:val="17"/>
                <w:szCs w:val="17"/>
                <w:color w:val="auto"/>
              </w:rPr>
            </w:pPr>
          </w:p>
        </w:tc>
        <w:tc>
          <w:tcPr>
            <w:tcW w:w="240" w:type="dxa"/>
            <w:vAlign w:val="bottom"/>
            <w:tcBorders>
              <w:top w:val="single" w:sz="8" w:color="86B6A5"/>
            </w:tcBorders>
          </w:tcPr>
          <w:p>
            <w:pPr>
              <w:spacing w:after="0"/>
              <w:rPr>
                <w:sz w:val="17"/>
                <w:szCs w:val="17"/>
                <w:color w:val="auto"/>
              </w:rPr>
            </w:pPr>
          </w:p>
        </w:tc>
        <w:tc>
          <w:tcPr>
            <w:tcW w:w="960" w:type="dxa"/>
            <w:vAlign w:val="bottom"/>
            <w:tcBorders>
              <w:top w:val="single" w:sz="8" w:color="86B6A5"/>
            </w:tcBorders>
          </w:tcPr>
          <w:p>
            <w:pPr>
              <w:spacing w:after="0"/>
              <w:rPr>
                <w:sz w:val="17"/>
                <w:szCs w:val="17"/>
                <w:color w:val="auto"/>
              </w:rPr>
            </w:pPr>
          </w:p>
        </w:tc>
        <w:tc>
          <w:tcPr>
            <w:tcW w:w="200" w:type="dxa"/>
            <w:vAlign w:val="bottom"/>
            <w:tcBorders>
              <w:top w:val="single" w:sz="8" w:color="86B6A5"/>
            </w:tcBorders>
          </w:tcPr>
          <w:p>
            <w:pPr>
              <w:spacing w:after="0"/>
              <w:rPr>
                <w:sz w:val="17"/>
                <w:szCs w:val="17"/>
                <w:color w:val="auto"/>
              </w:rPr>
            </w:pPr>
          </w:p>
        </w:tc>
        <w:tc>
          <w:tcPr>
            <w:tcW w:w="1080" w:type="dxa"/>
            <w:vAlign w:val="bottom"/>
            <w:tcBorders>
              <w:top w:val="single" w:sz="8" w:color="86B6A5"/>
            </w:tcBorders>
          </w:tcPr>
          <w:p>
            <w:pPr>
              <w:spacing w:after="0"/>
              <w:rPr>
                <w:sz w:val="17"/>
                <w:szCs w:val="17"/>
                <w:color w:val="auto"/>
              </w:rPr>
            </w:pPr>
          </w:p>
        </w:tc>
        <w:tc>
          <w:tcPr>
            <w:tcW w:w="20" w:type="dxa"/>
            <w:vAlign w:val="bottom"/>
          </w:tcPr>
          <w:p>
            <w:pPr>
              <w:spacing w:after="0"/>
              <w:rPr>
                <w:sz w:val="17"/>
                <w:szCs w:val="17"/>
                <w:color w:val="auto"/>
              </w:rPr>
            </w:pPr>
          </w:p>
        </w:tc>
      </w:tr>
      <w:tr>
        <w:trPr>
          <w:trHeight w:val="197"/>
        </w:trPr>
        <w:tc>
          <w:tcPr>
            <w:tcW w:w="1480" w:type="dxa"/>
            <w:vAlign w:val="bottom"/>
            <w:gridSpan w:val="2"/>
          </w:tcPr>
          <w:p>
            <w:pPr>
              <w:spacing w:after="0" w:line="197" w:lineRule="exact"/>
              <w:rPr>
                <w:sz w:val="20"/>
                <w:szCs w:val="20"/>
                <w:color w:val="auto"/>
              </w:rPr>
            </w:pPr>
            <w:r>
              <w:rPr>
                <w:rFonts w:ascii="Arial" w:cs="Arial" w:eastAsia="Arial" w:hAnsi="Arial"/>
                <w:sz w:val="18"/>
                <w:szCs w:val="18"/>
                <w:color w:val="auto"/>
              </w:rPr>
              <w:t>Cash and cash</w:t>
            </w:r>
          </w:p>
        </w:tc>
        <w:tc>
          <w:tcPr>
            <w:tcW w:w="180" w:type="dxa"/>
            <w:vAlign w:val="bottom"/>
          </w:tcPr>
          <w:p>
            <w:pPr>
              <w:jc w:val="right"/>
              <w:spacing w:after="0" w:line="197" w:lineRule="exact"/>
              <w:rPr>
                <w:sz w:val="20"/>
                <w:szCs w:val="20"/>
                <w:color w:val="auto"/>
              </w:rPr>
            </w:pPr>
            <w:r>
              <w:rPr>
                <w:rFonts w:ascii="Arial" w:cs="Arial" w:eastAsia="Arial" w:hAnsi="Arial"/>
                <w:sz w:val="18"/>
                <w:szCs w:val="18"/>
                <w:color w:val="auto"/>
              </w:rPr>
              <w:t>$</w:t>
            </w:r>
          </w:p>
        </w:tc>
        <w:tc>
          <w:tcPr>
            <w:tcW w:w="1140" w:type="dxa"/>
            <w:vAlign w:val="bottom"/>
          </w:tcPr>
          <w:p>
            <w:pPr>
              <w:jc w:val="right"/>
              <w:spacing w:after="0" w:line="197" w:lineRule="exact"/>
              <w:rPr>
                <w:sz w:val="20"/>
                <w:szCs w:val="20"/>
                <w:color w:val="auto"/>
              </w:rPr>
            </w:pPr>
            <w:r>
              <w:rPr>
                <w:rFonts w:ascii="Arial" w:cs="Arial" w:eastAsia="Arial" w:hAnsi="Arial"/>
                <w:sz w:val="18"/>
                <w:szCs w:val="18"/>
                <w:color w:val="auto"/>
              </w:rPr>
              <w:t>2.5</w:t>
            </w:r>
          </w:p>
        </w:tc>
        <w:tc>
          <w:tcPr>
            <w:tcW w:w="160" w:type="dxa"/>
            <w:vAlign w:val="bottom"/>
          </w:tcPr>
          <w:p>
            <w:pPr>
              <w:jc w:val="right"/>
              <w:spacing w:after="0" w:line="197"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197" w:lineRule="exact"/>
              <w:rPr>
                <w:sz w:val="20"/>
                <w:szCs w:val="20"/>
                <w:color w:val="auto"/>
              </w:rPr>
            </w:pPr>
            <w:r>
              <w:rPr>
                <w:rFonts w:ascii="Arial" w:cs="Arial" w:eastAsia="Arial" w:hAnsi="Arial"/>
                <w:sz w:val="18"/>
                <w:szCs w:val="18"/>
                <w:color w:val="auto"/>
              </w:rPr>
              <w:t>2.5</w:t>
            </w:r>
          </w:p>
        </w:tc>
        <w:tc>
          <w:tcPr>
            <w:tcW w:w="240" w:type="dxa"/>
            <w:vAlign w:val="bottom"/>
          </w:tcPr>
          <w:p>
            <w:pPr>
              <w:jc w:val="right"/>
              <w:spacing w:after="0" w:line="197" w:lineRule="exact"/>
              <w:rPr>
                <w:sz w:val="20"/>
                <w:szCs w:val="20"/>
                <w:color w:val="auto"/>
              </w:rPr>
            </w:pPr>
            <w:r>
              <w:rPr>
                <w:rFonts w:ascii="Arial" w:cs="Arial" w:eastAsia="Arial" w:hAnsi="Arial"/>
                <w:sz w:val="18"/>
                <w:szCs w:val="18"/>
                <w:color w:val="auto"/>
              </w:rPr>
              <w:t>$</w:t>
            </w:r>
          </w:p>
        </w:tc>
        <w:tc>
          <w:tcPr>
            <w:tcW w:w="960" w:type="dxa"/>
            <w:vAlign w:val="bottom"/>
          </w:tcPr>
          <w:p>
            <w:pPr>
              <w:jc w:val="right"/>
              <w:spacing w:after="0" w:line="197" w:lineRule="exact"/>
              <w:rPr>
                <w:sz w:val="20"/>
                <w:szCs w:val="20"/>
                <w:color w:val="auto"/>
              </w:rPr>
            </w:pPr>
            <w:r>
              <w:rPr>
                <w:rFonts w:ascii="Arial" w:cs="Arial" w:eastAsia="Arial" w:hAnsi="Arial"/>
                <w:sz w:val="18"/>
                <w:szCs w:val="18"/>
                <w:color w:val="auto"/>
              </w:rPr>
              <w:t>–</w:t>
            </w:r>
          </w:p>
        </w:tc>
        <w:tc>
          <w:tcPr>
            <w:tcW w:w="180" w:type="dxa"/>
            <w:vAlign w:val="bottom"/>
          </w:tcPr>
          <w:p>
            <w:pPr>
              <w:jc w:val="right"/>
              <w:spacing w:after="0" w:line="197" w:lineRule="exact"/>
              <w:rPr>
                <w:sz w:val="20"/>
                <w:szCs w:val="20"/>
                <w:color w:val="auto"/>
              </w:rPr>
            </w:pPr>
            <w:r>
              <w:rPr>
                <w:rFonts w:ascii="Arial" w:cs="Arial" w:eastAsia="Arial" w:hAnsi="Arial"/>
                <w:sz w:val="18"/>
                <w:szCs w:val="18"/>
                <w:color w:val="auto"/>
              </w:rPr>
              <w:t>$</w:t>
            </w:r>
          </w:p>
        </w:tc>
        <w:tc>
          <w:tcPr>
            <w:tcW w:w="1240" w:type="dxa"/>
            <w:vAlign w:val="bottom"/>
            <w:gridSpan w:val="2"/>
          </w:tcPr>
          <w:p>
            <w:pPr>
              <w:ind w:left="980"/>
              <w:spacing w:after="0" w:line="197" w:lineRule="exact"/>
              <w:rPr>
                <w:sz w:val="20"/>
                <w:szCs w:val="20"/>
                <w:color w:val="auto"/>
              </w:rPr>
            </w:pPr>
            <w:r>
              <w:rPr>
                <w:rFonts w:ascii="Arial" w:cs="Arial" w:eastAsia="Arial" w:hAnsi="Arial"/>
                <w:sz w:val="18"/>
                <w:szCs w:val="18"/>
                <w:color w:val="auto"/>
              </w:rPr>
              <w:t>–</w:t>
            </w:r>
          </w:p>
        </w:tc>
        <w:tc>
          <w:tcPr>
            <w:tcW w:w="100" w:type="dxa"/>
            <w:vAlign w:val="bottom"/>
            <w:gridSpan w:val="2"/>
          </w:tcPr>
          <w:p>
            <w:pPr>
              <w:jc w:val="right"/>
              <w:spacing w:after="0" w:line="197" w:lineRule="exact"/>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line="197" w:lineRule="exact"/>
              <w:rPr>
                <w:sz w:val="20"/>
                <w:szCs w:val="20"/>
                <w:color w:val="auto"/>
              </w:rPr>
            </w:pPr>
            <w:r>
              <w:rPr>
                <w:rFonts w:ascii="Arial" w:cs="Arial" w:eastAsia="Arial" w:hAnsi="Arial"/>
                <w:sz w:val="18"/>
                <w:szCs w:val="18"/>
                <w:color w:val="auto"/>
              </w:rPr>
              <w:t>4.2</w:t>
            </w:r>
          </w:p>
        </w:tc>
        <w:tc>
          <w:tcPr>
            <w:tcW w:w="180" w:type="dxa"/>
            <w:vAlign w:val="bottom"/>
          </w:tcPr>
          <w:p>
            <w:pPr>
              <w:jc w:val="right"/>
              <w:spacing w:after="0" w:line="197"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197" w:lineRule="exact"/>
              <w:rPr>
                <w:sz w:val="20"/>
                <w:szCs w:val="20"/>
                <w:color w:val="auto"/>
              </w:rPr>
            </w:pPr>
            <w:r>
              <w:rPr>
                <w:rFonts w:ascii="Arial" w:cs="Arial" w:eastAsia="Arial" w:hAnsi="Arial"/>
                <w:sz w:val="18"/>
                <w:szCs w:val="18"/>
                <w:color w:val="auto"/>
              </w:rPr>
              <w:t>4.2</w:t>
            </w:r>
          </w:p>
        </w:tc>
        <w:tc>
          <w:tcPr>
            <w:tcW w:w="240" w:type="dxa"/>
            <w:vAlign w:val="bottom"/>
          </w:tcPr>
          <w:p>
            <w:pPr>
              <w:jc w:val="right"/>
              <w:spacing w:after="0" w:line="197" w:lineRule="exact"/>
              <w:rPr>
                <w:sz w:val="20"/>
                <w:szCs w:val="20"/>
                <w:color w:val="auto"/>
              </w:rPr>
            </w:pPr>
            <w:r>
              <w:rPr>
                <w:rFonts w:ascii="Arial" w:cs="Arial" w:eastAsia="Arial" w:hAnsi="Arial"/>
                <w:sz w:val="18"/>
                <w:szCs w:val="18"/>
                <w:color w:val="auto"/>
              </w:rPr>
              <w:t>$</w:t>
            </w:r>
          </w:p>
        </w:tc>
        <w:tc>
          <w:tcPr>
            <w:tcW w:w="960" w:type="dxa"/>
            <w:vAlign w:val="bottom"/>
          </w:tcPr>
          <w:p>
            <w:pPr>
              <w:jc w:val="right"/>
              <w:spacing w:after="0" w:line="197" w:lineRule="exact"/>
              <w:rPr>
                <w:sz w:val="20"/>
                <w:szCs w:val="20"/>
                <w:color w:val="auto"/>
              </w:rPr>
            </w:pPr>
            <w:r>
              <w:rPr>
                <w:rFonts w:ascii="Arial" w:cs="Arial" w:eastAsia="Arial" w:hAnsi="Arial"/>
                <w:sz w:val="18"/>
                <w:szCs w:val="18"/>
                <w:color w:val="auto"/>
              </w:rPr>
              <w:t>–</w:t>
            </w:r>
          </w:p>
        </w:tc>
        <w:tc>
          <w:tcPr>
            <w:tcW w:w="200" w:type="dxa"/>
            <w:vAlign w:val="bottom"/>
          </w:tcPr>
          <w:p>
            <w:pPr>
              <w:jc w:val="right"/>
              <w:spacing w:after="0" w:line="197" w:lineRule="exact"/>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
              <w:spacing w:after="0" w:line="197" w:lineRule="exact"/>
              <w:rPr>
                <w:sz w:val="20"/>
                <w:szCs w:val="20"/>
                <w:color w:val="auto"/>
              </w:rPr>
            </w:pPr>
            <w:r>
              <w:rPr>
                <w:rFonts w:ascii="Arial" w:cs="Arial" w:eastAsia="Arial" w:hAnsi="Arial"/>
                <w:sz w:val="18"/>
                <w:szCs w:val="18"/>
                <w:color w:val="auto"/>
              </w:rPr>
              <w:t>–</w:t>
            </w:r>
          </w:p>
        </w:tc>
      </w:tr>
      <w:tr>
        <w:trPr>
          <w:trHeight w:val="208"/>
        </w:trPr>
        <w:tc>
          <w:tcPr>
            <w:tcW w:w="20" w:type="dxa"/>
            <w:vAlign w:val="bottom"/>
          </w:tcPr>
          <w:p>
            <w:pPr>
              <w:spacing w:after="0"/>
              <w:rPr>
                <w:sz w:val="18"/>
                <w:szCs w:val="18"/>
                <w:color w:val="auto"/>
              </w:rPr>
            </w:pPr>
          </w:p>
        </w:tc>
        <w:tc>
          <w:tcPr>
            <w:tcW w:w="1460" w:type="dxa"/>
            <w:vAlign w:val="bottom"/>
          </w:tcPr>
          <w:p>
            <w:pPr>
              <w:ind w:left="260"/>
              <w:spacing w:after="0" w:line="207" w:lineRule="exact"/>
              <w:rPr>
                <w:sz w:val="20"/>
                <w:szCs w:val="20"/>
                <w:color w:val="auto"/>
              </w:rPr>
            </w:pPr>
            <w:r>
              <w:rPr>
                <w:rFonts w:ascii="Arial" w:cs="Arial" w:eastAsia="Arial" w:hAnsi="Arial"/>
                <w:sz w:val="17"/>
                <w:szCs w:val="17"/>
                <w:color w:val="auto"/>
              </w:rPr>
              <w:t>equivalents</w:t>
            </w:r>
            <w:r>
              <w:rPr>
                <w:rFonts w:ascii="Arial" w:cs="Arial" w:eastAsia="Arial" w:hAnsi="Arial"/>
                <w:sz w:val="24"/>
                <w:szCs w:val="24"/>
                <w:color w:val="auto"/>
                <w:vertAlign w:val="superscript"/>
              </w:rPr>
              <w:t>(1)</w:t>
            </w: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3"/>
        </w:trPr>
        <w:tc>
          <w:tcPr>
            <w:tcW w:w="1480" w:type="dxa"/>
            <w:vAlign w:val="bottom"/>
            <w:gridSpan w:val="2"/>
          </w:tcPr>
          <w:p>
            <w:pPr>
              <w:spacing w:after="0" w:line="202" w:lineRule="exact"/>
              <w:rPr>
                <w:sz w:val="20"/>
                <w:szCs w:val="20"/>
                <w:color w:val="auto"/>
              </w:rPr>
            </w:pPr>
            <w:r>
              <w:rPr>
                <w:rFonts w:ascii="Arial" w:cs="Arial" w:eastAsia="Arial" w:hAnsi="Arial"/>
                <w:sz w:val="18"/>
                <w:szCs w:val="18"/>
                <w:color w:val="auto"/>
              </w:rPr>
              <w:t>Equity securities:</w:t>
            </w: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1460" w:type="dxa"/>
            <w:vAlign w:val="bottom"/>
          </w:tcPr>
          <w:p>
            <w:pPr>
              <w:ind w:left="260"/>
              <w:spacing w:after="0" w:line="202" w:lineRule="exact"/>
              <w:rPr>
                <w:sz w:val="20"/>
                <w:szCs w:val="20"/>
                <w:color w:val="auto"/>
              </w:rPr>
            </w:pPr>
            <w:r>
              <w:rPr>
                <w:rFonts w:ascii="Arial" w:cs="Arial" w:eastAsia="Arial" w:hAnsi="Arial"/>
                <w:sz w:val="18"/>
                <w:szCs w:val="18"/>
                <w:color w:val="auto"/>
              </w:rPr>
              <w:t>U.S.</w:t>
            </w:r>
          </w:p>
        </w:tc>
        <w:tc>
          <w:tcPr>
            <w:tcW w:w="18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15.9</w:t>
            </w:r>
          </w:p>
        </w:tc>
        <w:tc>
          <w:tcPr>
            <w:tcW w:w="16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15.9</w:t>
            </w:r>
          </w:p>
        </w:tc>
        <w:tc>
          <w:tcPr>
            <w:tcW w:w="24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240" w:type="dxa"/>
            <w:vAlign w:val="bottom"/>
            <w:gridSpan w:val="2"/>
          </w:tcPr>
          <w:p>
            <w:pPr>
              <w:ind w:left="980"/>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2.7</w:t>
            </w:r>
          </w:p>
        </w:tc>
        <w:tc>
          <w:tcPr>
            <w:tcW w:w="18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2.2</w:t>
            </w:r>
          </w:p>
        </w:tc>
        <w:tc>
          <w:tcPr>
            <w:tcW w:w="24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1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0.5</w:t>
            </w:r>
          </w:p>
        </w:tc>
      </w:tr>
      <w:tr>
        <w:trPr>
          <w:trHeight w:val="203"/>
        </w:trPr>
        <w:tc>
          <w:tcPr>
            <w:tcW w:w="20" w:type="dxa"/>
            <w:vAlign w:val="bottom"/>
          </w:tcPr>
          <w:p>
            <w:pPr>
              <w:spacing w:after="0"/>
              <w:rPr>
                <w:sz w:val="17"/>
                <w:szCs w:val="17"/>
                <w:color w:val="auto"/>
              </w:rPr>
            </w:pPr>
          </w:p>
        </w:tc>
        <w:tc>
          <w:tcPr>
            <w:tcW w:w="1460" w:type="dxa"/>
            <w:vAlign w:val="bottom"/>
          </w:tcPr>
          <w:p>
            <w:pPr>
              <w:ind w:left="520"/>
              <w:spacing w:after="0" w:line="202" w:lineRule="exact"/>
              <w:rPr>
                <w:sz w:val="20"/>
                <w:szCs w:val="20"/>
                <w:color w:val="auto"/>
              </w:rPr>
            </w:pPr>
            <w:r>
              <w:rPr>
                <w:rFonts w:ascii="Arial" w:cs="Arial" w:eastAsia="Arial" w:hAnsi="Arial"/>
                <w:sz w:val="18"/>
                <w:szCs w:val="18"/>
                <w:color w:val="auto"/>
              </w:rPr>
              <w:t>companies</w:t>
            </w: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1460" w:type="dxa"/>
            <w:vAlign w:val="bottom"/>
          </w:tcPr>
          <w:p>
            <w:pPr>
              <w:ind w:left="260"/>
              <w:spacing w:after="0" w:line="202" w:lineRule="exact"/>
              <w:rPr>
                <w:sz w:val="20"/>
                <w:szCs w:val="20"/>
                <w:color w:val="auto"/>
              </w:rPr>
            </w:pPr>
            <w:r>
              <w:rPr>
                <w:rFonts w:ascii="Arial" w:cs="Arial" w:eastAsia="Arial" w:hAnsi="Arial"/>
                <w:sz w:val="18"/>
                <w:szCs w:val="18"/>
                <w:color w:val="auto"/>
              </w:rPr>
              <w:t>International</w:t>
            </w:r>
          </w:p>
        </w:tc>
        <w:tc>
          <w:tcPr>
            <w:tcW w:w="18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240" w:type="dxa"/>
            <w:vAlign w:val="bottom"/>
            <w:gridSpan w:val="2"/>
          </w:tcPr>
          <w:p>
            <w:pPr>
              <w:ind w:left="980"/>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61.0</w:t>
            </w:r>
          </w:p>
        </w:tc>
        <w:tc>
          <w:tcPr>
            <w:tcW w:w="18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61.0</w:t>
            </w:r>
          </w:p>
        </w:tc>
        <w:tc>
          <w:tcPr>
            <w:tcW w:w="24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1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1460" w:type="dxa"/>
            <w:vAlign w:val="bottom"/>
          </w:tcPr>
          <w:p>
            <w:pPr>
              <w:ind w:left="520"/>
              <w:spacing w:after="0" w:line="202" w:lineRule="exact"/>
              <w:rPr>
                <w:sz w:val="20"/>
                <w:szCs w:val="20"/>
                <w:color w:val="auto"/>
              </w:rPr>
            </w:pPr>
            <w:r>
              <w:rPr>
                <w:rFonts w:ascii="Arial" w:cs="Arial" w:eastAsia="Arial" w:hAnsi="Arial"/>
                <w:sz w:val="18"/>
                <w:szCs w:val="18"/>
                <w:color w:val="auto"/>
              </w:rPr>
              <w:t>companies</w:t>
            </w: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1480" w:type="dxa"/>
            <w:vAlign w:val="bottom"/>
            <w:gridSpan w:val="2"/>
          </w:tcPr>
          <w:p>
            <w:pPr>
              <w:spacing w:after="0" w:line="202" w:lineRule="exact"/>
              <w:rPr>
                <w:sz w:val="20"/>
                <w:szCs w:val="20"/>
                <w:color w:val="auto"/>
              </w:rPr>
            </w:pPr>
            <w:r>
              <w:rPr>
                <w:rFonts w:ascii="Arial" w:cs="Arial" w:eastAsia="Arial" w:hAnsi="Arial"/>
                <w:sz w:val="18"/>
                <w:szCs w:val="18"/>
                <w:color w:val="auto"/>
              </w:rPr>
              <w:t>Fixed income</w:t>
            </w: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1460" w:type="dxa"/>
            <w:vAlign w:val="bottom"/>
          </w:tcPr>
          <w:p>
            <w:pPr>
              <w:ind w:left="260"/>
              <w:spacing w:after="0" w:line="202" w:lineRule="exact"/>
              <w:rPr>
                <w:sz w:val="20"/>
                <w:szCs w:val="20"/>
                <w:color w:val="auto"/>
              </w:rPr>
            </w:pPr>
            <w:r>
              <w:rPr>
                <w:rFonts w:ascii="Arial" w:cs="Arial" w:eastAsia="Arial" w:hAnsi="Arial"/>
                <w:sz w:val="18"/>
                <w:szCs w:val="18"/>
                <w:color w:val="auto"/>
              </w:rPr>
              <w:t>securities:</w:t>
            </w: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7"/>
        </w:trPr>
        <w:tc>
          <w:tcPr>
            <w:tcW w:w="20" w:type="dxa"/>
            <w:vAlign w:val="bottom"/>
          </w:tcPr>
          <w:p>
            <w:pPr>
              <w:spacing w:after="0"/>
              <w:rPr>
                <w:sz w:val="17"/>
                <w:szCs w:val="17"/>
                <w:color w:val="auto"/>
              </w:rPr>
            </w:pPr>
          </w:p>
        </w:tc>
        <w:tc>
          <w:tcPr>
            <w:tcW w:w="1460" w:type="dxa"/>
            <w:vAlign w:val="bottom"/>
          </w:tcPr>
          <w:p>
            <w:pPr>
              <w:ind w:left="260"/>
              <w:spacing w:after="0" w:line="197" w:lineRule="exact"/>
              <w:rPr>
                <w:sz w:val="20"/>
                <w:szCs w:val="20"/>
                <w:color w:val="auto"/>
              </w:rPr>
            </w:pPr>
            <w:r>
              <w:rPr>
                <w:rFonts w:ascii="Arial" w:cs="Arial" w:eastAsia="Arial" w:hAnsi="Arial"/>
                <w:sz w:val="18"/>
                <w:szCs w:val="18"/>
                <w:color w:val="auto"/>
              </w:rPr>
              <w:t>Government</w:t>
            </w:r>
          </w:p>
        </w:tc>
        <w:tc>
          <w:tcPr>
            <w:tcW w:w="180" w:type="dxa"/>
            <w:vAlign w:val="bottom"/>
          </w:tcPr>
          <w:p>
            <w:pPr>
              <w:spacing w:after="0"/>
              <w:rPr>
                <w:sz w:val="17"/>
                <w:szCs w:val="17"/>
                <w:color w:val="auto"/>
              </w:rPr>
            </w:pPr>
          </w:p>
        </w:tc>
        <w:tc>
          <w:tcPr>
            <w:tcW w:w="1140" w:type="dxa"/>
            <w:vAlign w:val="bottom"/>
          </w:tcPr>
          <w:p>
            <w:pPr>
              <w:jc w:val="right"/>
              <w:spacing w:after="0" w:line="197" w:lineRule="exact"/>
              <w:rPr>
                <w:sz w:val="20"/>
                <w:szCs w:val="20"/>
                <w:color w:val="auto"/>
              </w:rPr>
            </w:pPr>
            <w:r>
              <w:rPr>
                <w:rFonts w:ascii="Arial" w:cs="Arial" w:eastAsia="Arial" w:hAnsi="Arial"/>
                <w:sz w:val="18"/>
                <w:szCs w:val="18"/>
                <w:color w:val="auto"/>
              </w:rPr>
              <w:t>18.0</w:t>
            </w:r>
          </w:p>
        </w:tc>
        <w:tc>
          <w:tcPr>
            <w:tcW w:w="160" w:type="dxa"/>
            <w:vAlign w:val="bottom"/>
          </w:tcPr>
          <w:p>
            <w:pPr>
              <w:spacing w:after="0"/>
              <w:rPr>
                <w:sz w:val="17"/>
                <w:szCs w:val="17"/>
                <w:color w:val="auto"/>
              </w:rPr>
            </w:pPr>
          </w:p>
        </w:tc>
        <w:tc>
          <w:tcPr>
            <w:tcW w:w="900" w:type="dxa"/>
            <w:vAlign w:val="bottom"/>
          </w:tcPr>
          <w:p>
            <w:pPr>
              <w:jc w:val="right"/>
              <w:spacing w:after="0" w:line="197"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960" w:type="dxa"/>
            <w:vAlign w:val="bottom"/>
          </w:tcPr>
          <w:p>
            <w:pPr>
              <w:jc w:val="right"/>
              <w:spacing w:after="0" w:line="197" w:lineRule="exact"/>
              <w:rPr>
                <w:sz w:val="20"/>
                <w:szCs w:val="20"/>
                <w:color w:val="auto"/>
              </w:rPr>
            </w:pPr>
            <w:r>
              <w:rPr>
                <w:rFonts w:ascii="Arial" w:cs="Arial" w:eastAsia="Arial" w:hAnsi="Arial"/>
                <w:sz w:val="18"/>
                <w:szCs w:val="18"/>
                <w:color w:val="auto"/>
              </w:rPr>
              <w:t>18.0</w:t>
            </w:r>
          </w:p>
        </w:tc>
        <w:tc>
          <w:tcPr>
            <w:tcW w:w="180" w:type="dxa"/>
            <w:vAlign w:val="bottom"/>
          </w:tcPr>
          <w:p>
            <w:pPr>
              <w:spacing w:after="0"/>
              <w:rPr>
                <w:sz w:val="17"/>
                <w:szCs w:val="17"/>
                <w:color w:val="auto"/>
              </w:rPr>
            </w:pPr>
          </w:p>
        </w:tc>
        <w:tc>
          <w:tcPr>
            <w:tcW w:w="1240" w:type="dxa"/>
            <w:vAlign w:val="bottom"/>
            <w:gridSpan w:val="2"/>
          </w:tcPr>
          <w:p>
            <w:pPr>
              <w:ind w:left="980"/>
              <w:spacing w:after="0" w:line="197"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jc w:val="right"/>
              <w:spacing w:after="0" w:line="197" w:lineRule="exact"/>
              <w:rPr>
                <w:sz w:val="20"/>
                <w:szCs w:val="20"/>
                <w:color w:val="auto"/>
              </w:rPr>
            </w:pPr>
            <w:r>
              <w:rPr>
                <w:rFonts w:ascii="Arial" w:cs="Arial" w:eastAsia="Arial" w:hAnsi="Arial"/>
                <w:sz w:val="18"/>
                <w:szCs w:val="18"/>
                <w:color w:val="auto"/>
              </w:rPr>
              <w:t>13.1</w:t>
            </w:r>
          </w:p>
        </w:tc>
        <w:tc>
          <w:tcPr>
            <w:tcW w:w="180" w:type="dxa"/>
            <w:vAlign w:val="bottom"/>
          </w:tcPr>
          <w:p>
            <w:pPr>
              <w:spacing w:after="0"/>
              <w:rPr>
                <w:sz w:val="17"/>
                <w:szCs w:val="17"/>
                <w:color w:val="auto"/>
              </w:rPr>
            </w:pPr>
          </w:p>
        </w:tc>
        <w:tc>
          <w:tcPr>
            <w:tcW w:w="900" w:type="dxa"/>
            <w:vAlign w:val="bottom"/>
          </w:tcPr>
          <w:p>
            <w:pPr>
              <w:jc w:val="right"/>
              <w:spacing w:after="0" w:line="197"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960" w:type="dxa"/>
            <w:vAlign w:val="bottom"/>
          </w:tcPr>
          <w:p>
            <w:pPr>
              <w:jc w:val="right"/>
              <w:spacing w:after="0" w:line="197" w:lineRule="exact"/>
              <w:rPr>
                <w:sz w:val="20"/>
                <w:szCs w:val="20"/>
                <w:color w:val="auto"/>
              </w:rPr>
            </w:pPr>
            <w:r>
              <w:rPr>
                <w:rFonts w:ascii="Arial" w:cs="Arial" w:eastAsia="Arial" w:hAnsi="Arial"/>
                <w:sz w:val="18"/>
                <w:szCs w:val="18"/>
                <w:color w:val="auto"/>
              </w:rPr>
              <w:t>13.1</w:t>
            </w:r>
          </w:p>
        </w:tc>
        <w:tc>
          <w:tcPr>
            <w:tcW w:w="200" w:type="dxa"/>
            <w:vAlign w:val="bottom"/>
          </w:tcPr>
          <w:p>
            <w:pPr>
              <w:spacing w:after="0"/>
              <w:rPr>
                <w:sz w:val="17"/>
                <w:szCs w:val="17"/>
                <w:color w:val="auto"/>
              </w:rPr>
            </w:pPr>
          </w:p>
        </w:tc>
        <w:tc>
          <w:tcPr>
            <w:tcW w:w="1100" w:type="dxa"/>
            <w:vAlign w:val="bottom"/>
            <w:gridSpan w:val="2"/>
          </w:tcPr>
          <w:p>
            <w:pPr>
              <w:jc w:val="right"/>
              <w:ind w:right="20"/>
              <w:spacing w:after="0" w:line="197" w:lineRule="exact"/>
              <w:rPr>
                <w:sz w:val="20"/>
                <w:szCs w:val="20"/>
                <w:color w:val="auto"/>
              </w:rPr>
            </w:pPr>
            <w:r>
              <w:rPr>
                <w:rFonts w:ascii="Arial" w:cs="Arial" w:eastAsia="Arial" w:hAnsi="Arial"/>
                <w:sz w:val="18"/>
                <w:szCs w:val="18"/>
                <w:color w:val="auto"/>
              </w:rPr>
              <w:t>–</w:t>
            </w:r>
          </w:p>
        </w:tc>
      </w:tr>
      <w:tr>
        <w:trPr>
          <w:trHeight w:val="208"/>
        </w:trPr>
        <w:tc>
          <w:tcPr>
            <w:tcW w:w="20" w:type="dxa"/>
            <w:vAlign w:val="bottom"/>
          </w:tcPr>
          <w:p>
            <w:pPr>
              <w:spacing w:after="0"/>
              <w:rPr>
                <w:sz w:val="18"/>
                <w:szCs w:val="18"/>
                <w:color w:val="auto"/>
              </w:rPr>
            </w:pPr>
          </w:p>
        </w:tc>
        <w:tc>
          <w:tcPr>
            <w:tcW w:w="1460" w:type="dxa"/>
            <w:vAlign w:val="bottom"/>
          </w:tcPr>
          <w:p>
            <w:pPr>
              <w:ind w:left="520"/>
              <w:spacing w:after="0" w:line="207" w:lineRule="exact"/>
              <w:rPr>
                <w:sz w:val="20"/>
                <w:szCs w:val="20"/>
                <w:color w:val="auto"/>
              </w:rPr>
            </w:pPr>
            <w:r>
              <w:rPr>
                <w:rFonts w:ascii="Arial" w:cs="Arial" w:eastAsia="Arial" w:hAnsi="Arial"/>
                <w:sz w:val="17"/>
                <w:szCs w:val="17"/>
                <w:color w:val="auto"/>
              </w:rPr>
              <w:t>bonds</w:t>
            </w:r>
            <w:r>
              <w:rPr>
                <w:rFonts w:ascii="Arial" w:cs="Arial" w:eastAsia="Arial" w:hAnsi="Arial"/>
                <w:sz w:val="24"/>
                <w:szCs w:val="24"/>
                <w:color w:val="auto"/>
                <w:vertAlign w:val="superscript"/>
              </w:rPr>
              <w:t>(2)</w:t>
            </w: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1460" w:type="dxa"/>
            <w:vAlign w:val="bottom"/>
          </w:tcPr>
          <w:p>
            <w:pPr>
              <w:ind w:left="260"/>
              <w:spacing w:after="0" w:line="202" w:lineRule="exact"/>
              <w:rPr>
                <w:sz w:val="20"/>
                <w:szCs w:val="20"/>
                <w:color w:val="auto"/>
              </w:rPr>
            </w:pPr>
            <w:r>
              <w:rPr>
                <w:rFonts w:ascii="Arial" w:cs="Arial" w:eastAsia="Arial" w:hAnsi="Arial"/>
                <w:sz w:val="18"/>
                <w:szCs w:val="18"/>
                <w:color w:val="auto"/>
              </w:rPr>
              <w:t>Corporate</w:t>
            </w:r>
          </w:p>
        </w:tc>
        <w:tc>
          <w:tcPr>
            <w:tcW w:w="18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240" w:type="dxa"/>
            <w:vAlign w:val="bottom"/>
            <w:gridSpan w:val="2"/>
          </w:tcPr>
          <w:p>
            <w:pPr>
              <w:ind w:left="980"/>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49.9</w:t>
            </w:r>
          </w:p>
        </w:tc>
        <w:tc>
          <w:tcPr>
            <w:tcW w:w="18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49.9</w:t>
            </w:r>
          </w:p>
        </w:tc>
        <w:tc>
          <w:tcPr>
            <w:tcW w:w="200" w:type="dxa"/>
            <w:vAlign w:val="bottom"/>
          </w:tcPr>
          <w:p>
            <w:pPr>
              <w:spacing w:after="0"/>
              <w:rPr>
                <w:sz w:val="17"/>
                <w:szCs w:val="17"/>
                <w:color w:val="auto"/>
              </w:rPr>
            </w:pPr>
          </w:p>
        </w:tc>
        <w:tc>
          <w:tcPr>
            <w:tcW w:w="11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1460" w:type="dxa"/>
            <w:vAlign w:val="bottom"/>
          </w:tcPr>
          <w:p>
            <w:pPr>
              <w:ind w:left="520"/>
              <w:spacing w:after="0" w:line="202" w:lineRule="exact"/>
              <w:rPr>
                <w:sz w:val="20"/>
                <w:szCs w:val="20"/>
                <w:color w:val="auto"/>
              </w:rPr>
            </w:pPr>
            <w:r>
              <w:rPr>
                <w:rFonts w:ascii="Arial" w:cs="Arial" w:eastAsia="Arial" w:hAnsi="Arial"/>
                <w:sz w:val="18"/>
                <w:szCs w:val="18"/>
                <w:color w:val="auto"/>
              </w:rPr>
              <w:t>bonds</w:t>
            </w: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1460" w:type="dxa"/>
            <w:vAlign w:val="bottom"/>
          </w:tcPr>
          <w:p>
            <w:pPr>
              <w:ind w:left="260"/>
              <w:spacing w:after="0" w:line="202" w:lineRule="exact"/>
              <w:rPr>
                <w:sz w:val="20"/>
                <w:szCs w:val="20"/>
                <w:color w:val="auto"/>
              </w:rPr>
            </w:pPr>
            <w:r>
              <w:rPr>
                <w:rFonts w:ascii="Arial" w:cs="Arial" w:eastAsia="Arial" w:hAnsi="Arial"/>
                <w:sz w:val="18"/>
                <w:szCs w:val="18"/>
                <w:color w:val="auto"/>
              </w:rPr>
              <w:t>Guaranteed</w:t>
            </w:r>
          </w:p>
        </w:tc>
        <w:tc>
          <w:tcPr>
            <w:tcW w:w="18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240" w:type="dxa"/>
            <w:vAlign w:val="bottom"/>
            <w:gridSpan w:val="2"/>
          </w:tcPr>
          <w:p>
            <w:pPr>
              <w:ind w:left="980"/>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8.8</w:t>
            </w:r>
          </w:p>
        </w:tc>
        <w:tc>
          <w:tcPr>
            <w:tcW w:w="18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8.8</w:t>
            </w:r>
          </w:p>
        </w:tc>
        <w:tc>
          <w:tcPr>
            <w:tcW w:w="200" w:type="dxa"/>
            <w:vAlign w:val="bottom"/>
          </w:tcPr>
          <w:p>
            <w:pPr>
              <w:spacing w:after="0"/>
              <w:rPr>
                <w:sz w:val="17"/>
                <w:szCs w:val="17"/>
                <w:color w:val="auto"/>
              </w:rPr>
            </w:pPr>
          </w:p>
        </w:tc>
        <w:tc>
          <w:tcPr>
            <w:tcW w:w="11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1460" w:type="dxa"/>
            <w:vAlign w:val="bottom"/>
          </w:tcPr>
          <w:p>
            <w:pPr>
              <w:ind w:left="520"/>
              <w:spacing w:after="0" w:line="202" w:lineRule="exact"/>
              <w:rPr>
                <w:sz w:val="20"/>
                <w:szCs w:val="20"/>
                <w:color w:val="auto"/>
              </w:rPr>
            </w:pPr>
            <w:r>
              <w:rPr>
                <w:rFonts w:ascii="Arial" w:cs="Arial" w:eastAsia="Arial" w:hAnsi="Arial"/>
                <w:sz w:val="18"/>
                <w:szCs w:val="18"/>
                <w:color w:val="auto"/>
              </w:rPr>
              <w:t>insurance</w:t>
            </w: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1460" w:type="dxa"/>
            <w:vAlign w:val="bottom"/>
          </w:tcPr>
          <w:p>
            <w:pPr>
              <w:ind w:left="520"/>
              <w:spacing w:after="0" w:line="202" w:lineRule="exact"/>
              <w:rPr>
                <w:sz w:val="20"/>
                <w:szCs w:val="20"/>
                <w:color w:val="auto"/>
              </w:rPr>
            </w:pPr>
            <w:r>
              <w:rPr>
                <w:rFonts w:ascii="Arial" w:cs="Arial" w:eastAsia="Arial" w:hAnsi="Arial"/>
                <w:sz w:val="18"/>
                <w:szCs w:val="18"/>
                <w:color w:val="auto"/>
              </w:rPr>
              <w:t>contracts</w:t>
            </w: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1480" w:type="dxa"/>
            <w:vAlign w:val="bottom"/>
            <w:gridSpan w:val="2"/>
          </w:tcPr>
          <w:p>
            <w:pPr>
              <w:spacing w:after="0" w:line="202" w:lineRule="exact"/>
              <w:rPr>
                <w:sz w:val="20"/>
                <w:szCs w:val="20"/>
                <w:color w:val="auto"/>
              </w:rPr>
            </w:pPr>
            <w:r>
              <w:rPr>
                <w:rFonts w:ascii="Arial" w:cs="Arial" w:eastAsia="Arial" w:hAnsi="Arial"/>
                <w:sz w:val="18"/>
                <w:szCs w:val="18"/>
                <w:color w:val="auto"/>
              </w:rPr>
              <w:t>Other types of</w:t>
            </w: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1460" w:type="dxa"/>
            <w:vAlign w:val="bottom"/>
          </w:tcPr>
          <w:p>
            <w:pPr>
              <w:ind w:left="260"/>
              <w:spacing w:after="0" w:line="202" w:lineRule="exact"/>
              <w:rPr>
                <w:sz w:val="20"/>
                <w:szCs w:val="20"/>
                <w:color w:val="auto"/>
              </w:rPr>
            </w:pPr>
            <w:r>
              <w:rPr>
                <w:rFonts w:ascii="Arial" w:cs="Arial" w:eastAsia="Arial" w:hAnsi="Arial"/>
                <w:sz w:val="18"/>
                <w:szCs w:val="18"/>
                <w:color w:val="auto"/>
              </w:rPr>
              <w:t>investments:</w:t>
            </w: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7"/>
        </w:trPr>
        <w:tc>
          <w:tcPr>
            <w:tcW w:w="20" w:type="dxa"/>
            <w:vAlign w:val="bottom"/>
          </w:tcPr>
          <w:p>
            <w:pPr>
              <w:spacing w:after="0"/>
              <w:rPr>
                <w:sz w:val="17"/>
                <w:szCs w:val="17"/>
                <w:color w:val="auto"/>
              </w:rPr>
            </w:pPr>
          </w:p>
        </w:tc>
        <w:tc>
          <w:tcPr>
            <w:tcW w:w="1460" w:type="dxa"/>
            <w:vAlign w:val="bottom"/>
          </w:tcPr>
          <w:p>
            <w:pPr>
              <w:ind w:left="260"/>
              <w:spacing w:after="0" w:line="197" w:lineRule="exact"/>
              <w:rPr>
                <w:sz w:val="20"/>
                <w:szCs w:val="20"/>
                <w:color w:val="auto"/>
              </w:rPr>
            </w:pPr>
            <w:r>
              <w:rPr>
                <w:rFonts w:ascii="Arial" w:cs="Arial" w:eastAsia="Arial" w:hAnsi="Arial"/>
                <w:sz w:val="18"/>
                <w:szCs w:val="18"/>
                <w:color w:val="auto"/>
              </w:rPr>
              <w:t>Unitized</w:t>
            </w:r>
          </w:p>
        </w:tc>
        <w:tc>
          <w:tcPr>
            <w:tcW w:w="180" w:type="dxa"/>
            <w:vAlign w:val="bottom"/>
          </w:tcPr>
          <w:p>
            <w:pPr>
              <w:spacing w:after="0"/>
              <w:rPr>
                <w:sz w:val="17"/>
                <w:szCs w:val="17"/>
                <w:color w:val="auto"/>
              </w:rPr>
            </w:pPr>
          </w:p>
        </w:tc>
        <w:tc>
          <w:tcPr>
            <w:tcW w:w="1140" w:type="dxa"/>
            <w:vAlign w:val="bottom"/>
          </w:tcPr>
          <w:p>
            <w:pPr>
              <w:jc w:val="right"/>
              <w:spacing w:after="0" w:line="197"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900" w:type="dxa"/>
            <w:vAlign w:val="bottom"/>
          </w:tcPr>
          <w:p>
            <w:pPr>
              <w:jc w:val="right"/>
              <w:spacing w:after="0" w:line="197"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960" w:type="dxa"/>
            <w:vAlign w:val="bottom"/>
          </w:tcPr>
          <w:p>
            <w:pPr>
              <w:jc w:val="right"/>
              <w:spacing w:after="0" w:line="197"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240" w:type="dxa"/>
            <w:vAlign w:val="bottom"/>
            <w:gridSpan w:val="2"/>
          </w:tcPr>
          <w:p>
            <w:pPr>
              <w:ind w:left="980"/>
              <w:spacing w:after="0" w:line="197"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jc w:val="right"/>
              <w:spacing w:after="0" w:line="197" w:lineRule="exact"/>
              <w:rPr>
                <w:sz w:val="20"/>
                <w:szCs w:val="20"/>
                <w:color w:val="auto"/>
              </w:rPr>
            </w:pPr>
            <w:r>
              <w:rPr>
                <w:rFonts w:ascii="Arial" w:cs="Arial" w:eastAsia="Arial" w:hAnsi="Arial"/>
                <w:sz w:val="18"/>
                <w:szCs w:val="18"/>
                <w:color w:val="auto"/>
              </w:rPr>
              <w:t>75.7</w:t>
            </w:r>
          </w:p>
        </w:tc>
        <w:tc>
          <w:tcPr>
            <w:tcW w:w="180" w:type="dxa"/>
            <w:vAlign w:val="bottom"/>
          </w:tcPr>
          <w:p>
            <w:pPr>
              <w:spacing w:after="0"/>
              <w:rPr>
                <w:sz w:val="17"/>
                <w:szCs w:val="17"/>
                <w:color w:val="auto"/>
              </w:rPr>
            </w:pPr>
          </w:p>
        </w:tc>
        <w:tc>
          <w:tcPr>
            <w:tcW w:w="900" w:type="dxa"/>
            <w:vAlign w:val="bottom"/>
          </w:tcPr>
          <w:p>
            <w:pPr>
              <w:jc w:val="right"/>
              <w:spacing w:after="0" w:line="197" w:lineRule="exact"/>
              <w:rPr>
                <w:sz w:val="20"/>
                <w:szCs w:val="20"/>
                <w:color w:val="auto"/>
              </w:rPr>
            </w:pPr>
            <w:r>
              <w:rPr>
                <w:rFonts w:ascii="Arial" w:cs="Arial" w:eastAsia="Arial" w:hAnsi="Arial"/>
                <w:sz w:val="18"/>
                <w:szCs w:val="18"/>
                <w:color w:val="auto"/>
              </w:rPr>
              <w:t>75.7</w:t>
            </w:r>
          </w:p>
        </w:tc>
        <w:tc>
          <w:tcPr>
            <w:tcW w:w="240" w:type="dxa"/>
            <w:vAlign w:val="bottom"/>
          </w:tcPr>
          <w:p>
            <w:pPr>
              <w:spacing w:after="0"/>
              <w:rPr>
                <w:sz w:val="17"/>
                <w:szCs w:val="17"/>
                <w:color w:val="auto"/>
              </w:rPr>
            </w:pPr>
          </w:p>
        </w:tc>
        <w:tc>
          <w:tcPr>
            <w:tcW w:w="960" w:type="dxa"/>
            <w:vAlign w:val="bottom"/>
          </w:tcPr>
          <w:p>
            <w:pPr>
              <w:jc w:val="right"/>
              <w:spacing w:after="0" w:line="197"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100" w:type="dxa"/>
            <w:vAlign w:val="bottom"/>
            <w:gridSpan w:val="2"/>
          </w:tcPr>
          <w:p>
            <w:pPr>
              <w:jc w:val="right"/>
              <w:ind w:right="20"/>
              <w:spacing w:after="0" w:line="197" w:lineRule="exact"/>
              <w:rPr>
                <w:sz w:val="20"/>
                <w:szCs w:val="20"/>
                <w:color w:val="auto"/>
              </w:rPr>
            </w:pPr>
            <w:r>
              <w:rPr>
                <w:rFonts w:ascii="Arial" w:cs="Arial" w:eastAsia="Arial" w:hAnsi="Arial"/>
                <w:sz w:val="18"/>
                <w:szCs w:val="18"/>
                <w:color w:val="auto"/>
              </w:rPr>
              <w:t>–</w:t>
            </w:r>
          </w:p>
        </w:tc>
      </w:tr>
      <w:tr>
        <w:trPr>
          <w:trHeight w:val="208"/>
        </w:trPr>
        <w:tc>
          <w:tcPr>
            <w:tcW w:w="20" w:type="dxa"/>
            <w:vAlign w:val="bottom"/>
          </w:tcPr>
          <w:p>
            <w:pPr>
              <w:spacing w:after="0"/>
              <w:rPr>
                <w:sz w:val="18"/>
                <w:szCs w:val="18"/>
                <w:color w:val="auto"/>
              </w:rPr>
            </w:pPr>
          </w:p>
        </w:tc>
        <w:tc>
          <w:tcPr>
            <w:tcW w:w="1460" w:type="dxa"/>
            <w:vAlign w:val="bottom"/>
          </w:tcPr>
          <w:p>
            <w:pPr>
              <w:ind w:left="520"/>
              <w:spacing w:after="0" w:line="207" w:lineRule="exact"/>
              <w:rPr>
                <w:sz w:val="20"/>
                <w:szCs w:val="20"/>
                <w:color w:val="auto"/>
              </w:rPr>
            </w:pPr>
            <w:r>
              <w:rPr>
                <w:rFonts w:ascii="Arial" w:cs="Arial" w:eastAsia="Arial" w:hAnsi="Arial"/>
                <w:sz w:val="17"/>
                <w:szCs w:val="17"/>
                <w:color w:val="auto"/>
              </w:rPr>
              <w:t>funds</w:t>
            </w:r>
            <w:r>
              <w:rPr>
                <w:rFonts w:ascii="Arial" w:cs="Arial" w:eastAsia="Arial" w:hAnsi="Arial"/>
                <w:sz w:val="24"/>
                <w:szCs w:val="24"/>
                <w:color w:val="auto"/>
                <w:vertAlign w:val="superscript"/>
              </w:rPr>
              <w:t>(3)</w:t>
            </w: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1460" w:type="dxa"/>
            <w:vAlign w:val="bottom"/>
          </w:tcPr>
          <w:p>
            <w:pPr>
              <w:ind w:left="260"/>
              <w:spacing w:after="0" w:line="202" w:lineRule="exact"/>
              <w:rPr>
                <w:sz w:val="20"/>
                <w:szCs w:val="20"/>
                <w:color w:val="auto"/>
              </w:rPr>
            </w:pPr>
            <w:r>
              <w:rPr>
                <w:rFonts w:ascii="Arial" w:cs="Arial" w:eastAsia="Arial" w:hAnsi="Arial"/>
                <w:sz w:val="18"/>
                <w:szCs w:val="18"/>
                <w:color w:val="auto"/>
              </w:rPr>
              <w:t>Equity hedge</w:t>
            </w:r>
          </w:p>
        </w:tc>
        <w:tc>
          <w:tcPr>
            <w:tcW w:w="18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240" w:type="dxa"/>
            <w:vAlign w:val="bottom"/>
            <w:gridSpan w:val="2"/>
          </w:tcPr>
          <w:p>
            <w:pPr>
              <w:ind w:left="980"/>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0.9</w:t>
            </w:r>
          </w:p>
        </w:tc>
        <w:tc>
          <w:tcPr>
            <w:tcW w:w="18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0.9</w:t>
            </w:r>
          </w:p>
        </w:tc>
        <w:tc>
          <w:tcPr>
            <w:tcW w:w="200" w:type="dxa"/>
            <w:vAlign w:val="bottom"/>
          </w:tcPr>
          <w:p>
            <w:pPr>
              <w:spacing w:after="0"/>
              <w:rPr>
                <w:sz w:val="17"/>
                <w:szCs w:val="17"/>
                <w:color w:val="auto"/>
              </w:rPr>
            </w:pPr>
          </w:p>
        </w:tc>
        <w:tc>
          <w:tcPr>
            <w:tcW w:w="11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1460" w:type="dxa"/>
            <w:vAlign w:val="bottom"/>
          </w:tcPr>
          <w:p>
            <w:pPr>
              <w:ind w:left="520"/>
              <w:spacing w:after="0" w:line="202" w:lineRule="exact"/>
              <w:rPr>
                <w:sz w:val="20"/>
                <w:szCs w:val="20"/>
                <w:color w:val="auto"/>
              </w:rPr>
            </w:pPr>
            <w:r>
              <w:rPr>
                <w:rFonts w:ascii="Arial" w:cs="Arial" w:eastAsia="Arial" w:hAnsi="Arial"/>
                <w:sz w:val="18"/>
                <w:szCs w:val="18"/>
                <w:color w:val="auto"/>
              </w:rPr>
              <w:t>funds</w:t>
            </w: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1460" w:type="dxa"/>
            <w:vAlign w:val="bottom"/>
          </w:tcPr>
          <w:p>
            <w:pPr>
              <w:ind w:left="260"/>
              <w:spacing w:after="0" w:line="202" w:lineRule="exact"/>
              <w:rPr>
                <w:sz w:val="20"/>
                <w:szCs w:val="20"/>
                <w:color w:val="auto"/>
              </w:rPr>
            </w:pPr>
            <w:r>
              <w:rPr>
                <w:rFonts w:ascii="Arial" w:cs="Arial" w:eastAsia="Arial" w:hAnsi="Arial"/>
                <w:sz w:val="18"/>
                <w:szCs w:val="18"/>
                <w:color w:val="auto"/>
              </w:rPr>
              <w:t>Real estate</w:t>
            </w:r>
          </w:p>
        </w:tc>
        <w:tc>
          <w:tcPr>
            <w:tcW w:w="18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240" w:type="dxa"/>
            <w:vAlign w:val="bottom"/>
            <w:gridSpan w:val="2"/>
          </w:tcPr>
          <w:p>
            <w:pPr>
              <w:ind w:left="980"/>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9.8</w:t>
            </w:r>
          </w:p>
        </w:tc>
        <w:tc>
          <w:tcPr>
            <w:tcW w:w="18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4.8</w:t>
            </w:r>
          </w:p>
        </w:tc>
        <w:tc>
          <w:tcPr>
            <w:tcW w:w="200" w:type="dxa"/>
            <w:vAlign w:val="bottom"/>
          </w:tcPr>
          <w:p>
            <w:pPr>
              <w:spacing w:after="0"/>
              <w:rPr>
                <w:sz w:val="17"/>
                <w:szCs w:val="17"/>
                <w:color w:val="auto"/>
              </w:rPr>
            </w:pPr>
          </w:p>
        </w:tc>
        <w:tc>
          <w:tcPr>
            <w:tcW w:w="11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5.0</w:t>
            </w:r>
          </w:p>
        </w:tc>
      </w:tr>
      <w:tr>
        <w:trPr>
          <w:trHeight w:val="203"/>
        </w:trPr>
        <w:tc>
          <w:tcPr>
            <w:tcW w:w="20" w:type="dxa"/>
            <w:vAlign w:val="bottom"/>
          </w:tcPr>
          <w:p>
            <w:pPr>
              <w:spacing w:after="0"/>
              <w:rPr>
                <w:sz w:val="17"/>
                <w:szCs w:val="17"/>
                <w:color w:val="auto"/>
              </w:rPr>
            </w:pPr>
          </w:p>
        </w:tc>
        <w:tc>
          <w:tcPr>
            <w:tcW w:w="1460" w:type="dxa"/>
            <w:vAlign w:val="bottom"/>
            <w:tcBorders>
              <w:bottom w:val="single" w:sz="8" w:color="939598"/>
            </w:tcBorders>
          </w:tcPr>
          <w:p>
            <w:pPr>
              <w:ind w:left="520"/>
              <w:spacing w:after="0" w:line="203" w:lineRule="exact"/>
              <w:rPr>
                <w:sz w:val="20"/>
                <w:szCs w:val="20"/>
                <w:color w:val="auto"/>
              </w:rPr>
            </w:pPr>
            <w:r>
              <w:rPr>
                <w:rFonts w:ascii="Arial" w:cs="Arial" w:eastAsia="Arial" w:hAnsi="Arial"/>
                <w:sz w:val="18"/>
                <w:szCs w:val="18"/>
                <w:color w:val="auto"/>
              </w:rPr>
              <w:t>funds</w:t>
            </w:r>
          </w:p>
        </w:tc>
        <w:tc>
          <w:tcPr>
            <w:tcW w:w="180" w:type="dxa"/>
            <w:vAlign w:val="bottom"/>
            <w:tcBorders>
              <w:bottom w:val="single" w:sz="8" w:color="939598"/>
            </w:tcBorders>
          </w:tcPr>
          <w:p>
            <w:pPr>
              <w:spacing w:after="0"/>
              <w:rPr>
                <w:sz w:val="17"/>
                <w:szCs w:val="17"/>
                <w:color w:val="auto"/>
              </w:rPr>
            </w:pPr>
          </w:p>
        </w:tc>
        <w:tc>
          <w:tcPr>
            <w:tcW w:w="1140" w:type="dxa"/>
            <w:vAlign w:val="bottom"/>
            <w:tcBorders>
              <w:bottom w:val="single" w:sz="8" w:color="939598"/>
            </w:tcBorders>
          </w:tcPr>
          <w:p>
            <w:pPr>
              <w:spacing w:after="0"/>
              <w:rPr>
                <w:sz w:val="17"/>
                <w:szCs w:val="17"/>
                <w:color w:val="auto"/>
              </w:rPr>
            </w:pPr>
          </w:p>
        </w:tc>
        <w:tc>
          <w:tcPr>
            <w:tcW w:w="160" w:type="dxa"/>
            <w:vAlign w:val="bottom"/>
            <w:tcBorders>
              <w:bottom w:val="single" w:sz="8" w:color="939598"/>
            </w:tcBorders>
          </w:tcPr>
          <w:p>
            <w:pPr>
              <w:spacing w:after="0"/>
              <w:rPr>
                <w:sz w:val="17"/>
                <w:szCs w:val="17"/>
                <w:color w:val="auto"/>
              </w:rPr>
            </w:pPr>
          </w:p>
        </w:tc>
        <w:tc>
          <w:tcPr>
            <w:tcW w:w="900" w:type="dxa"/>
            <w:vAlign w:val="bottom"/>
            <w:tcBorders>
              <w:bottom w:val="single" w:sz="8" w:color="939598"/>
            </w:tcBorders>
          </w:tcPr>
          <w:p>
            <w:pPr>
              <w:spacing w:after="0"/>
              <w:rPr>
                <w:sz w:val="17"/>
                <w:szCs w:val="17"/>
                <w:color w:val="auto"/>
              </w:rPr>
            </w:pPr>
          </w:p>
        </w:tc>
        <w:tc>
          <w:tcPr>
            <w:tcW w:w="240" w:type="dxa"/>
            <w:vAlign w:val="bottom"/>
            <w:tcBorders>
              <w:bottom w:val="single" w:sz="8" w:color="939598"/>
            </w:tcBorders>
          </w:tcPr>
          <w:p>
            <w:pPr>
              <w:spacing w:after="0"/>
              <w:rPr>
                <w:sz w:val="17"/>
                <w:szCs w:val="17"/>
                <w:color w:val="auto"/>
              </w:rPr>
            </w:pPr>
          </w:p>
        </w:tc>
        <w:tc>
          <w:tcPr>
            <w:tcW w:w="960" w:type="dxa"/>
            <w:vAlign w:val="bottom"/>
            <w:tcBorders>
              <w:bottom w:val="single" w:sz="8" w:color="939598"/>
            </w:tcBorders>
          </w:tcPr>
          <w:p>
            <w:pPr>
              <w:spacing w:after="0"/>
              <w:rPr>
                <w:sz w:val="17"/>
                <w:szCs w:val="17"/>
                <w:color w:val="auto"/>
              </w:rPr>
            </w:pPr>
          </w:p>
        </w:tc>
        <w:tc>
          <w:tcPr>
            <w:tcW w:w="180" w:type="dxa"/>
            <w:vAlign w:val="bottom"/>
            <w:tcBorders>
              <w:bottom w:val="single" w:sz="8" w:color="939598"/>
            </w:tcBorders>
          </w:tcPr>
          <w:p>
            <w:pPr>
              <w:spacing w:after="0"/>
              <w:rPr>
                <w:sz w:val="17"/>
                <w:szCs w:val="17"/>
                <w:color w:val="auto"/>
              </w:rPr>
            </w:pPr>
          </w:p>
        </w:tc>
        <w:tc>
          <w:tcPr>
            <w:tcW w:w="1080" w:type="dxa"/>
            <w:vAlign w:val="bottom"/>
            <w:tcBorders>
              <w:bottom w:val="single" w:sz="8" w:color="939598"/>
            </w:tcBorders>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bottom w:val="single" w:sz="8" w:color="939598"/>
            </w:tcBorders>
          </w:tcPr>
          <w:p>
            <w:pPr>
              <w:spacing w:after="0"/>
              <w:rPr>
                <w:sz w:val="17"/>
                <w:szCs w:val="17"/>
                <w:color w:val="auto"/>
              </w:rPr>
            </w:pPr>
          </w:p>
        </w:tc>
        <w:tc>
          <w:tcPr>
            <w:tcW w:w="1140" w:type="dxa"/>
            <w:vAlign w:val="bottom"/>
            <w:tcBorders>
              <w:bottom w:val="single" w:sz="8" w:color="939598"/>
            </w:tcBorders>
          </w:tcPr>
          <w:p>
            <w:pPr>
              <w:spacing w:after="0"/>
              <w:rPr>
                <w:sz w:val="17"/>
                <w:szCs w:val="17"/>
                <w:color w:val="auto"/>
              </w:rPr>
            </w:pPr>
          </w:p>
        </w:tc>
        <w:tc>
          <w:tcPr>
            <w:tcW w:w="180" w:type="dxa"/>
            <w:vAlign w:val="bottom"/>
            <w:tcBorders>
              <w:bottom w:val="single" w:sz="8" w:color="939598"/>
            </w:tcBorders>
          </w:tcPr>
          <w:p>
            <w:pPr>
              <w:spacing w:after="0"/>
              <w:rPr>
                <w:sz w:val="17"/>
                <w:szCs w:val="17"/>
                <w:color w:val="auto"/>
              </w:rPr>
            </w:pPr>
          </w:p>
        </w:tc>
        <w:tc>
          <w:tcPr>
            <w:tcW w:w="900" w:type="dxa"/>
            <w:vAlign w:val="bottom"/>
            <w:tcBorders>
              <w:bottom w:val="single" w:sz="8" w:color="939598"/>
            </w:tcBorders>
          </w:tcPr>
          <w:p>
            <w:pPr>
              <w:spacing w:after="0"/>
              <w:rPr>
                <w:sz w:val="17"/>
                <w:szCs w:val="17"/>
                <w:color w:val="auto"/>
              </w:rPr>
            </w:pPr>
          </w:p>
        </w:tc>
        <w:tc>
          <w:tcPr>
            <w:tcW w:w="240" w:type="dxa"/>
            <w:vAlign w:val="bottom"/>
            <w:tcBorders>
              <w:bottom w:val="single" w:sz="8" w:color="939598"/>
            </w:tcBorders>
          </w:tcPr>
          <w:p>
            <w:pPr>
              <w:spacing w:after="0"/>
              <w:rPr>
                <w:sz w:val="17"/>
                <w:szCs w:val="17"/>
                <w:color w:val="auto"/>
              </w:rPr>
            </w:pPr>
          </w:p>
        </w:tc>
        <w:tc>
          <w:tcPr>
            <w:tcW w:w="960" w:type="dxa"/>
            <w:vAlign w:val="bottom"/>
            <w:tcBorders>
              <w:bottom w:val="single" w:sz="8" w:color="939598"/>
            </w:tcBorders>
          </w:tcPr>
          <w:p>
            <w:pPr>
              <w:spacing w:after="0"/>
              <w:rPr>
                <w:sz w:val="17"/>
                <w:szCs w:val="17"/>
                <w:color w:val="auto"/>
              </w:rPr>
            </w:pPr>
          </w:p>
        </w:tc>
        <w:tc>
          <w:tcPr>
            <w:tcW w:w="200" w:type="dxa"/>
            <w:vAlign w:val="bottom"/>
            <w:tcBorders>
              <w:bottom w:val="single" w:sz="8" w:color="939598"/>
            </w:tcBorders>
          </w:tcPr>
          <w:p>
            <w:pPr>
              <w:spacing w:after="0"/>
              <w:rPr>
                <w:sz w:val="17"/>
                <w:szCs w:val="17"/>
                <w:color w:val="auto"/>
              </w:rPr>
            </w:pPr>
          </w:p>
        </w:tc>
        <w:tc>
          <w:tcPr>
            <w:tcW w:w="1080" w:type="dxa"/>
            <w:vAlign w:val="bottom"/>
            <w:tcBorders>
              <w:bottom w:val="single" w:sz="8" w:color="939598"/>
            </w:tcBorders>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1460" w:type="dxa"/>
            <w:vAlign w:val="bottom"/>
            <w:tcBorders>
              <w:bottom w:val="single" w:sz="8" w:color="939598"/>
            </w:tcBorders>
          </w:tcPr>
          <w:p>
            <w:pPr>
              <w:spacing w:after="0"/>
              <w:rPr>
                <w:sz w:val="17"/>
                <w:szCs w:val="17"/>
                <w:color w:val="auto"/>
              </w:rPr>
            </w:pPr>
          </w:p>
        </w:tc>
        <w:tc>
          <w:tcPr>
            <w:tcW w:w="180" w:type="dxa"/>
            <w:vAlign w:val="bottom"/>
            <w:tcBorders>
              <w:bottom w:val="single" w:sz="8" w:color="939598"/>
            </w:tcBorders>
          </w:tcPr>
          <w:p>
            <w:pPr>
              <w:jc w:val="right"/>
              <w:spacing w:after="0" w:line="196" w:lineRule="exact"/>
              <w:rPr>
                <w:sz w:val="20"/>
                <w:szCs w:val="20"/>
                <w:color w:val="auto"/>
              </w:rPr>
            </w:pPr>
            <w:r>
              <w:rPr>
                <w:rFonts w:ascii="Arial" w:cs="Arial" w:eastAsia="Arial" w:hAnsi="Arial"/>
                <w:sz w:val="18"/>
                <w:szCs w:val="18"/>
                <w:color w:val="auto"/>
              </w:rPr>
              <w:t>$</w:t>
            </w:r>
          </w:p>
        </w:tc>
        <w:tc>
          <w:tcPr>
            <w:tcW w:w="1140" w:type="dxa"/>
            <w:vAlign w:val="bottom"/>
            <w:tcBorders>
              <w:bottom w:val="single" w:sz="8" w:color="939598"/>
            </w:tcBorders>
          </w:tcPr>
          <w:p>
            <w:pPr>
              <w:jc w:val="right"/>
              <w:spacing w:after="0" w:line="196" w:lineRule="exact"/>
              <w:rPr>
                <w:sz w:val="20"/>
                <w:szCs w:val="20"/>
                <w:color w:val="auto"/>
              </w:rPr>
            </w:pPr>
            <w:r>
              <w:rPr>
                <w:rFonts w:ascii="Arial" w:cs="Arial" w:eastAsia="Arial" w:hAnsi="Arial"/>
                <w:sz w:val="18"/>
                <w:szCs w:val="18"/>
                <w:color w:val="auto"/>
              </w:rPr>
              <w:t>36.4</w:t>
            </w:r>
          </w:p>
        </w:tc>
        <w:tc>
          <w:tcPr>
            <w:tcW w:w="160" w:type="dxa"/>
            <w:vAlign w:val="bottom"/>
            <w:tcBorders>
              <w:bottom w:val="single" w:sz="8" w:color="939598"/>
            </w:tcBorders>
          </w:tcPr>
          <w:p>
            <w:pPr>
              <w:jc w:val="right"/>
              <w:spacing w:after="0" w:line="196" w:lineRule="exact"/>
              <w:rPr>
                <w:sz w:val="20"/>
                <w:szCs w:val="20"/>
                <w:color w:val="auto"/>
              </w:rPr>
            </w:pPr>
            <w:r>
              <w:rPr>
                <w:rFonts w:ascii="Arial" w:cs="Arial" w:eastAsia="Arial" w:hAnsi="Arial"/>
                <w:sz w:val="18"/>
                <w:szCs w:val="18"/>
                <w:color w:val="auto"/>
              </w:rPr>
              <w:t>$</w:t>
            </w:r>
          </w:p>
        </w:tc>
        <w:tc>
          <w:tcPr>
            <w:tcW w:w="900" w:type="dxa"/>
            <w:vAlign w:val="bottom"/>
            <w:tcBorders>
              <w:bottom w:val="single" w:sz="8" w:color="939598"/>
            </w:tcBorders>
          </w:tcPr>
          <w:p>
            <w:pPr>
              <w:jc w:val="right"/>
              <w:spacing w:after="0" w:line="196" w:lineRule="exact"/>
              <w:rPr>
                <w:sz w:val="20"/>
                <w:szCs w:val="20"/>
                <w:color w:val="auto"/>
              </w:rPr>
            </w:pPr>
            <w:r>
              <w:rPr>
                <w:rFonts w:ascii="Arial" w:cs="Arial" w:eastAsia="Arial" w:hAnsi="Arial"/>
                <w:sz w:val="18"/>
                <w:szCs w:val="18"/>
                <w:color w:val="auto"/>
              </w:rPr>
              <w:t>18.4</w:t>
            </w:r>
          </w:p>
        </w:tc>
        <w:tc>
          <w:tcPr>
            <w:tcW w:w="240" w:type="dxa"/>
            <w:vAlign w:val="bottom"/>
            <w:tcBorders>
              <w:bottom w:val="single" w:sz="8" w:color="939598"/>
            </w:tcBorders>
          </w:tcPr>
          <w:p>
            <w:pPr>
              <w:jc w:val="right"/>
              <w:spacing w:after="0" w:line="196" w:lineRule="exact"/>
              <w:rPr>
                <w:sz w:val="20"/>
                <w:szCs w:val="20"/>
                <w:color w:val="auto"/>
              </w:rPr>
            </w:pPr>
            <w:r>
              <w:rPr>
                <w:rFonts w:ascii="Arial" w:cs="Arial" w:eastAsia="Arial" w:hAnsi="Arial"/>
                <w:sz w:val="18"/>
                <w:szCs w:val="18"/>
                <w:color w:val="auto"/>
              </w:rPr>
              <w:t>$</w:t>
            </w:r>
          </w:p>
        </w:tc>
        <w:tc>
          <w:tcPr>
            <w:tcW w:w="960" w:type="dxa"/>
            <w:vAlign w:val="bottom"/>
            <w:tcBorders>
              <w:bottom w:val="single" w:sz="8" w:color="939598"/>
            </w:tcBorders>
          </w:tcPr>
          <w:p>
            <w:pPr>
              <w:jc w:val="right"/>
              <w:spacing w:after="0" w:line="196" w:lineRule="exact"/>
              <w:rPr>
                <w:sz w:val="20"/>
                <w:szCs w:val="20"/>
                <w:color w:val="auto"/>
              </w:rPr>
            </w:pPr>
            <w:r>
              <w:rPr>
                <w:rFonts w:ascii="Arial" w:cs="Arial" w:eastAsia="Arial" w:hAnsi="Arial"/>
                <w:sz w:val="18"/>
                <w:szCs w:val="18"/>
                <w:color w:val="auto"/>
              </w:rPr>
              <w:t>18.0</w:t>
            </w:r>
          </w:p>
        </w:tc>
        <w:tc>
          <w:tcPr>
            <w:tcW w:w="180" w:type="dxa"/>
            <w:vAlign w:val="bottom"/>
            <w:tcBorders>
              <w:bottom w:val="single" w:sz="8" w:color="939598"/>
            </w:tcBorders>
          </w:tcPr>
          <w:p>
            <w:pPr>
              <w:jc w:val="right"/>
              <w:spacing w:after="0" w:line="196" w:lineRule="exact"/>
              <w:rPr>
                <w:sz w:val="20"/>
                <w:szCs w:val="20"/>
                <w:color w:val="auto"/>
              </w:rPr>
            </w:pPr>
            <w:r>
              <w:rPr>
                <w:rFonts w:ascii="Arial" w:cs="Arial" w:eastAsia="Arial" w:hAnsi="Arial"/>
                <w:sz w:val="18"/>
                <w:szCs w:val="18"/>
                <w:color w:val="auto"/>
              </w:rPr>
              <w:t>$</w:t>
            </w:r>
          </w:p>
        </w:tc>
        <w:tc>
          <w:tcPr>
            <w:tcW w:w="1080" w:type="dxa"/>
            <w:vAlign w:val="bottom"/>
            <w:tcBorders>
              <w:bottom w:val="single" w:sz="8" w:color="939598"/>
            </w:tcBorders>
          </w:tcPr>
          <w:p>
            <w:pPr>
              <w:ind w:left="980"/>
              <w:spacing w:after="0" w:line="196" w:lineRule="exact"/>
              <w:rPr>
                <w:sz w:val="20"/>
                <w:szCs w:val="20"/>
                <w:color w:val="auto"/>
              </w:rPr>
            </w:pPr>
            <w:r>
              <w:rPr>
                <w:rFonts w:ascii="Arial" w:cs="Arial" w:eastAsia="Arial" w:hAnsi="Arial"/>
                <w:sz w:val="18"/>
                <w:szCs w:val="18"/>
                <w:color w:val="auto"/>
                <w:w w:val="79"/>
              </w:rPr>
              <w:t>–</w:t>
            </w:r>
          </w:p>
        </w:tc>
        <w:tc>
          <w:tcPr>
            <w:tcW w:w="160" w:type="dxa"/>
            <w:vAlign w:val="bottom"/>
          </w:tcPr>
          <w:p>
            <w:pPr>
              <w:spacing w:after="0"/>
              <w:rPr>
                <w:sz w:val="17"/>
                <w:szCs w:val="17"/>
                <w:color w:val="auto"/>
              </w:rPr>
            </w:pPr>
          </w:p>
        </w:tc>
        <w:tc>
          <w:tcPr>
            <w:tcW w:w="20" w:type="dxa"/>
            <w:vAlign w:val="bottom"/>
            <w:tcBorders>
              <w:bottom w:val="single" w:sz="8" w:color="939598"/>
            </w:tcBorders>
          </w:tcPr>
          <w:p>
            <w:pPr>
              <w:spacing w:after="0"/>
              <w:rPr>
                <w:sz w:val="17"/>
                <w:szCs w:val="17"/>
                <w:color w:val="auto"/>
              </w:rPr>
            </w:pPr>
          </w:p>
        </w:tc>
        <w:tc>
          <w:tcPr>
            <w:tcW w:w="80" w:type="dxa"/>
            <w:vAlign w:val="bottom"/>
            <w:tcBorders>
              <w:bottom w:val="single" w:sz="8" w:color="939598"/>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939598"/>
            </w:tcBorders>
          </w:tcPr>
          <w:p>
            <w:pPr>
              <w:jc w:val="right"/>
              <w:spacing w:after="0" w:line="196" w:lineRule="exact"/>
              <w:rPr>
                <w:sz w:val="20"/>
                <w:szCs w:val="20"/>
                <w:color w:val="auto"/>
              </w:rPr>
            </w:pPr>
            <w:r>
              <w:rPr>
                <w:rFonts w:ascii="Arial" w:cs="Arial" w:eastAsia="Arial" w:hAnsi="Arial"/>
                <w:sz w:val="18"/>
                <w:szCs w:val="18"/>
                <w:color w:val="auto"/>
              </w:rPr>
              <w:t>226.1</w:t>
            </w:r>
          </w:p>
        </w:tc>
        <w:tc>
          <w:tcPr>
            <w:tcW w:w="180" w:type="dxa"/>
            <w:vAlign w:val="bottom"/>
            <w:tcBorders>
              <w:bottom w:val="single" w:sz="8" w:color="939598"/>
            </w:tcBorders>
          </w:tcPr>
          <w:p>
            <w:pPr>
              <w:jc w:val="right"/>
              <w:spacing w:after="0" w:line="196" w:lineRule="exact"/>
              <w:rPr>
                <w:sz w:val="20"/>
                <w:szCs w:val="20"/>
                <w:color w:val="auto"/>
              </w:rPr>
            </w:pPr>
            <w:r>
              <w:rPr>
                <w:rFonts w:ascii="Arial" w:cs="Arial" w:eastAsia="Arial" w:hAnsi="Arial"/>
                <w:sz w:val="18"/>
                <w:szCs w:val="18"/>
                <w:color w:val="auto"/>
              </w:rPr>
              <w:t>$</w:t>
            </w:r>
          </w:p>
        </w:tc>
        <w:tc>
          <w:tcPr>
            <w:tcW w:w="900" w:type="dxa"/>
            <w:vAlign w:val="bottom"/>
            <w:tcBorders>
              <w:bottom w:val="single" w:sz="8" w:color="939598"/>
            </w:tcBorders>
          </w:tcPr>
          <w:p>
            <w:pPr>
              <w:jc w:val="right"/>
              <w:spacing w:after="0" w:line="196" w:lineRule="exact"/>
              <w:rPr>
                <w:sz w:val="20"/>
                <w:szCs w:val="20"/>
                <w:color w:val="auto"/>
              </w:rPr>
            </w:pPr>
            <w:r>
              <w:rPr>
                <w:rFonts w:ascii="Arial" w:cs="Arial" w:eastAsia="Arial" w:hAnsi="Arial"/>
                <w:sz w:val="18"/>
                <w:szCs w:val="18"/>
                <w:color w:val="auto"/>
              </w:rPr>
              <w:t>143.1</w:t>
            </w:r>
          </w:p>
        </w:tc>
        <w:tc>
          <w:tcPr>
            <w:tcW w:w="240" w:type="dxa"/>
            <w:vAlign w:val="bottom"/>
            <w:tcBorders>
              <w:bottom w:val="single" w:sz="8" w:color="939598"/>
            </w:tcBorders>
          </w:tcPr>
          <w:p>
            <w:pPr>
              <w:jc w:val="right"/>
              <w:spacing w:after="0" w:line="196" w:lineRule="exact"/>
              <w:rPr>
                <w:sz w:val="20"/>
                <w:szCs w:val="20"/>
                <w:color w:val="auto"/>
              </w:rPr>
            </w:pPr>
            <w:r>
              <w:rPr>
                <w:rFonts w:ascii="Arial" w:cs="Arial" w:eastAsia="Arial" w:hAnsi="Arial"/>
                <w:sz w:val="18"/>
                <w:szCs w:val="18"/>
                <w:color w:val="auto"/>
              </w:rPr>
              <w:t>$</w:t>
            </w:r>
          </w:p>
        </w:tc>
        <w:tc>
          <w:tcPr>
            <w:tcW w:w="960" w:type="dxa"/>
            <w:vAlign w:val="bottom"/>
            <w:tcBorders>
              <w:bottom w:val="single" w:sz="8" w:color="939598"/>
            </w:tcBorders>
          </w:tcPr>
          <w:p>
            <w:pPr>
              <w:jc w:val="right"/>
              <w:spacing w:after="0" w:line="196" w:lineRule="exact"/>
              <w:rPr>
                <w:sz w:val="20"/>
                <w:szCs w:val="20"/>
                <w:color w:val="auto"/>
              </w:rPr>
            </w:pPr>
            <w:r>
              <w:rPr>
                <w:rFonts w:ascii="Arial" w:cs="Arial" w:eastAsia="Arial" w:hAnsi="Arial"/>
                <w:sz w:val="18"/>
                <w:szCs w:val="18"/>
                <w:color w:val="auto"/>
              </w:rPr>
              <w:t>77.5</w:t>
            </w:r>
          </w:p>
        </w:tc>
        <w:tc>
          <w:tcPr>
            <w:tcW w:w="200" w:type="dxa"/>
            <w:vAlign w:val="bottom"/>
            <w:tcBorders>
              <w:bottom w:val="single" w:sz="8" w:color="939598"/>
            </w:tcBorders>
          </w:tcPr>
          <w:p>
            <w:pPr>
              <w:jc w:val="right"/>
              <w:spacing w:after="0" w:line="196" w:lineRule="exact"/>
              <w:rPr>
                <w:sz w:val="20"/>
                <w:szCs w:val="20"/>
                <w:color w:val="auto"/>
              </w:rPr>
            </w:pPr>
            <w:r>
              <w:rPr>
                <w:rFonts w:ascii="Arial" w:cs="Arial" w:eastAsia="Arial" w:hAnsi="Arial"/>
                <w:sz w:val="18"/>
                <w:szCs w:val="18"/>
                <w:color w:val="auto"/>
              </w:rPr>
              <w:t>$</w:t>
            </w:r>
          </w:p>
        </w:tc>
        <w:tc>
          <w:tcPr>
            <w:tcW w:w="1080" w:type="dxa"/>
            <w:vAlign w:val="bottom"/>
            <w:tcBorders>
              <w:bottom w:val="single" w:sz="8" w:color="939598"/>
            </w:tcBorders>
          </w:tcPr>
          <w:p>
            <w:pPr>
              <w:jc w:val="right"/>
              <w:spacing w:after="0" w:line="196" w:lineRule="exact"/>
              <w:rPr>
                <w:sz w:val="20"/>
                <w:szCs w:val="20"/>
                <w:color w:val="auto"/>
              </w:rPr>
            </w:pPr>
            <w:r>
              <w:rPr>
                <w:rFonts w:ascii="Arial" w:cs="Arial" w:eastAsia="Arial" w:hAnsi="Arial"/>
                <w:sz w:val="18"/>
                <w:szCs w:val="18"/>
                <w:color w:val="auto"/>
              </w:rPr>
              <w:t>5.5</w:t>
            </w:r>
          </w:p>
        </w:tc>
        <w:tc>
          <w:tcPr>
            <w:tcW w:w="20" w:type="dxa"/>
            <w:vAlign w:val="bottom"/>
            <w:tcBorders>
              <w:bottom w:val="single" w:sz="8" w:color="939598"/>
            </w:tcBorders>
          </w:tcPr>
          <w:p>
            <w:pPr>
              <w:spacing w:after="0"/>
              <w:rPr>
                <w:sz w:val="17"/>
                <w:szCs w:val="17"/>
                <w:color w:val="auto"/>
              </w:rPr>
            </w:pPr>
          </w:p>
        </w:tc>
      </w:tr>
    </w:tbl>
    <w:p>
      <w:pPr>
        <w:spacing w:after="0" w:line="204" w:lineRule="exact"/>
        <w:rPr>
          <w:sz w:val="20"/>
          <w:szCs w:val="20"/>
          <w:color w:val="auto"/>
        </w:rPr>
      </w:pPr>
    </w:p>
    <w:p>
      <w:pPr>
        <w:ind w:left="580" w:hanging="572"/>
        <w:spacing w:after="0"/>
        <w:tabs>
          <w:tab w:leader="none" w:pos="580"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This category includes a prime obligations money market portfolio.</w:t>
      </w:r>
    </w:p>
    <w:p>
      <w:pPr>
        <w:spacing w:after="0" w:line="5" w:lineRule="exact"/>
        <w:rPr>
          <w:rFonts w:ascii="Arial" w:cs="Arial" w:eastAsia="Arial" w:hAnsi="Arial"/>
          <w:sz w:val="16"/>
          <w:szCs w:val="16"/>
          <w:color w:val="auto"/>
        </w:rPr>
      </w:pPr>
    </w:p>
    <w:p>
      <w:pPr>
        <w:ind w:left="580" w:hanging="572"/>
        <w:spacing w:after="0"/>
        <w:tabs>
          <w:tab w:leader="none" w:pos="580"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This category includes U.S. Treasury / Federal agency securities and foreign government securities.</w:t>
      </w:r>
    </w:p>
    <w:p>
      <w:pPr>
        <w:spacing w:after="0" w:line="5" w:lineRule="exact"/>
        <w:rPr>
          <w:rFonts w:ascii="Arial" w:cs="Arial" w:eastAsia="Arial" w:hAnsi="Arial"/>
          <w:sz w:val="16"/>
          <w:szCs w:val="16"/>
          <w:color w:val="auto"/>
        </w:rPr>
      </w:pPr>
    </w:p>
    <w:p>
      <w:pPr>
        <w:ind w:left="580" w:hanging="572"/>
        <w:spacing w:after="0"/>
        <w:tabs>
          <w:tab w:leader="none" w:pos="580"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This category includes investments in approximately 80% fixed income securities and 20% equity.</w:t>
      </w:r>
    </w:p>
    <w:p>
      <w:pPr>
        <w:spacing w:after="0" w:line="201"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939598"/>
        </w:rPr>
        <w:t xml:space="preserve">Notes to Consolidated Financial Statements </w:t>
      </w:r>
      <w:r>
        <w:rPr>
          <w:rFonts w:ascii="Arial" w:cs="Arial" w:eastAsia="Arial" w:hAnsi="Arial"/>
          <w:sz w:val="16"/>
          <w:szCs w:val="16"/>
          <w:color w:val="4D8ABE"/>
        </w:rPr>
        <w:t>Manpower 2010 Annual Report</w:t>
      </w:r>
      <w:r>
        <w:rPr>
          <w:rFonts w:ascii="Arial" w:cs="Arial" w:eastAsia="Arial" w:hAnsi="Arial"/>
          <w:sz w:val="16"/>
          <w:szCs w:val="16"/>
          <w:b w:val="1"/>
          <w:bCs w:val="1"/>
          <w:color w:val="939598"/>
        </w:rPr>
        <w:t xml:space="preserve"> </w:t>
      </w:r>
      <w:r>
        <w:rPr>
          <w:rFonts w:ascii="Arial" w:cs="Arial" w:eastAsia="Arial" w:hAnsi="Arial"/>
          <w:sz w:val="16"/>
          <w:szCs w:val="16"/>
          <w:b w:val="1"/>
          <w:bCs w:val="1"/>
          <w:color w:val="4D8ABE"/>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wp:posOffset>
            </wp:positionV>
            <wp:extent cx="7267575" cy="469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98" w:name="page99"/>
    <w:bookmarkEnd w:id="98"/>
    <w:p>
      <w:pPr>
        <w:spacing w:after="0"/>
        <w:rPr>
          <w:sz w:val="20"/>
          <w:szCs w:val="20"/>
          <w:color w:val="auto"/>
        </w:rPr>
      </w:pPr>
      <w:r>
        <w:rPr>
          <w:rFonts w:ascii="Arial" w:cs="Arial" w:eastAsia="Arial" w:hAnsi="Arial"/>
          <w:sz w:val="22"/>
          <w:szCs w:val="22"/>
          <w:color w:val="4D8ABE"/>
        </w:rPr>
        <w:t>Notes To Consolidated Financial Statements</w:t>
      </w:r>
    </w:p>
    <w:p>
      <w:pPr>
        <w:spacing w:after="0"/>
        <w:rPr>
          <w:sz w:val="20"/>
          <w:szCs w:val="20"/>
          <w:color w:val="auto"/>
        </w:rPr>
      </w:pPr>
      <w:r>
        <w:rPr>
          <w:rFonts w:ascii="Arial" w:cs="Arial" w:eastAsia="Arial" w:hAnsi="Arial"/>
          <w:sz w:val="18"/>
          <w:szCs w:val="18"/>
          <w:color w:val="4D8ABE"/>
        </w:rPr>
        <w:t>in millions, except share and per share data</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86B6A5"/>
              </w:rPr>
              <w:t>U.S. Plans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300" w:type="dxa"/>
            <w:vAlign w:val="bottom"/>
            <w:gridSpan w:val="3"/>
          </w:tcPr>
          <w:p>
            <w:pPr>
              <w:jc w:val="right"/>
              <w:ind w:right="20"/>
              <w:spacing w:after="0"/>
              <w:rPr>
                <w:sz w:val="20"/>
                <w:szCs w:val="20"/>
                <w:color w:val="auto"/>
              </w:rPr>
            </w:pPr>
            <w:r>
              <w:rPr>
                <w:rFonts w:ascii="Arial" w:cs="Arial" w:eastAsia="Arial" w:hAnsi="Arial"/>
                <w:sz w:val="16"/>
                <w:szCs w:val="16"/>
                <w:b w:val="1"/>
                <w:bCs w:val="1"/>
                <w:color w:val="86B6A5"/>
              </w:rPr>
              <w:t>Non-U.S. Plans</w:t>
            </w:r>
          </w:p>
        </w:tc>
      </w:tr>
      <w:tr>
        <w:trPr>
          <w:trHeight w:val="210"/>
        </w:trPr>
        <w:tc>
          <w:tcPr>
            <w:tcW w:w="20" w:type="dxa"/>
            <w:vAlign w:val="bottom"/>
          </w:tcPr>
          <w:p>
            <w:pPr>
              <w:spacing w:after="0"/>
              <w:rPr>
                <w:sz w:val="18"/>
                <w:szCs w:val="18"/>
                <w:color w:val="auto"/>
              </w:rPr>
            </w:pPr>
          </w:p>
        </w:tc>
        <w:tc>
          <w:tcPr>
            <w:tcW w:w="1460" w:type="dxa"/>
            <w:vAlign w:val="bottom"/>
            <w:tcBorders>
              <w:top w:val="single" w:sz="8" w:color="86B6A5"/>
            </w:tcBorders>
          </w:tcPr>
          <w:p>
            <w:pPr>
              <w:spacing w:after="0"/>
              <w:rPr>
                <w:sz w:val="18"/>
                <w:szCs w:val="18"/>
                <w:color w:val="auto"/>
              </w:rPr>
            </w:pPr>
          </w:p>
        </w:tc>
        <w:tc>
          <w:tcPr>
            <w:tcW w:w="180" w:type="dxa"/>
            <w:vAlign w:val="bottom"/>
            <w:tcBorders>
              <w:top w:val="single" w:sz="8" w:color="86B6A5"/>
            </w:tcBorders>
          </w:tcPr>
          <w:p>
            <w:pPr>
              <w:spacing w:after="0"/>
              <w:rPr>
                <w:sz w:val="18"/>
                <w:szCs w:val="18"/>
                <w:color w:val="auto"/>
              </w:rPr>
            </w:pPr>
          </w:p>
        </w:tc>
        <w:tc>
          <w:tcPr>
            <w:tcW w:w="1140" w:type="dxa"/>
            <w:vAlign w:val="bottom"/>
            <w:tcBorders>
              <w:top w:val="single" w:sz="8" w:color="86B6A5"/>
            </w:tcBorders>
          </w:tcPr>
          <w:p>
            <w:pPr>
              <w:spacing w:after="0"/>
              <w:rPr>
                <w:sz w:val="18"/>
                <w:szCs w:val="18"/>
                <w:color w:val="auto"/>
              </w:rPr>
            </w:pPr>
          </w:p>
        </w:tc>
        <w:tc>
          <w:tcPr>
            <w:tcW w:w="160" w:type="dxa"/>
            <w:vAlign w:val="bottom"/>
            <w:tcBorders>
              <w:top w:val="single" w:sz="8" w:color="86B6A5"/>
            </w:tcBorders>
          </w:tcPr>
          <w:p>
            <w:pPr>
              <w:spacing w:after="0"/>
              <w:rPr>
                <w:sz w:val="18"/>
                <w:szCs w:val="18"/>
                <w:color w:val="auto"/>
              </w:rPr>
            </w:pPr>
          </w:p>
        </w:tc>
        <w:tc>
          <w:tcPr>
            <w:tcW w:w="900" w:type="dxa"/>
            <w:vAlign w:val="bottom"/>
            <w:tcBorders>
              <w:top w:val="single" w:sz="8" w:color="86B6A5"/>
            </w:tcBorders>
          </w:tcPr>
          <w:p>
            <w:pPr>
              <w:spacing w:after="0"/>
              <w:rPr>
                <w:sz w:val="18"/>
                <w:szCs w:val="18"/>
                <w:color w:val="auto"/>
              </w:rPr>
            </w:pPr>
          </w:p>
        </w:tc>
        <w:tc>
          <w:tcPr>
            <w:tcW w:w="2460" w:type="dxa"/>
            <w:vAlign w:val="bottom"/>
            <w:tcBorders>
              <w:top w:val="single" w:sz="8" w:color="86B6A5"/>
            </w:tcBorders>
            <w:gridSpan w:val="4"/>
          </w:tcPr>
          <w:p>
            <w:pPr>
              <w:ind w:left="20"/>
              <w:spacing w:after="0"/>
              <w:rPr>
                <w:sz w:val="20"/>
                <w:szCs w:val="20"/>
                <w:color w:val="auto"/>
              </w:rPr>
            </w:pPr>
            <w:r>
              <w:rPr>
                <w:rFonts w:ascii="Arial" w:cs="Arial" w:eastAsia="Arial" w:hAnsi="Arial"/>
                <w:sz w:val="16"/>
                <w:szCs w:val="16"/>
                <w:b w:val="1"/>
                <w:bCs w:val="1"/>
                <w:color w:val="86B6A5"/>
              </w:rPr>
              <w:t>Fair Value Measurements Using</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top w:val="single" w:sz="8" w:color="86B6A5"/>
            </w:tcBorders>
          </w:tcPr>
          <w:p>
            <w:pPr>
              <w:spacing w:after="0"/>
              <w:rPr>
                <w:sz w:val="18"/>
                <w:szCs w:val="18"/>
                <w:color w:val="auto"/>
              </w:rPr>
            </w:pPr>
          </w:p>
        </w:tc>
        <w:tc>
          <w:tcPr>
            <w:tcW w:w="1140" w:type="dxa"/>
            <w:vAlign w:val="bottom"/>
            <w:tcBorders>
              <w:top w:val="single" w:sz="8" w:color="86B6A5"/>
            </w:tcBorders>
          </w:tcPr>
          <w:p>
            <w:pPr>
              <w:spacing w:after="0"/>
              <w:rPr>
                <w:sz w:val="18"/>
                <w:szCs w:val="18"/>
                <w:color w:val="auto"/>
              </w:rPr>
            </w:pPr>
          </w:p>
        </w:tc>
        <w:tc>
          <w:tcPr>
            <w:tcW w:w="180" w:type="dxa"/>
            <w:vAlign w:val="bottom"/>
            <w:tcBorders>
              <w:top w:val="single" w:sz="8" w:color="86B6A5"/>
            </w:tcBorders>
          </w:tcPr>
          <w:p>
            <w:pPr>
              <w:spacing w:after="0"/>
              <w:rPr>
                <w:sz w:val="18"/>
                <w:szCs w:val="18"/>
                <w:color w:val="auto"/>
              </w:rPr>
            </w:pPr>
          </w:p>
        </w:tc>
        <w:tc>
          <w:tcPr>
            <w:tcW w:w="900" w:type="dxa"/>
            <w:vAlign w:val="bottom"/>
            <w:tcBorders>
              <w:top w:val="single" w:sz="8" w:color="86B6A5"/>
            </w:tcBorders>
          </w:tcPr>
          <w:p>
            <w:pPr>
              <w:spacing w:after="0"/>
              <w:rPr>
                <w:sz w:val="18"/>
                <w:szCs w:val="18"/>
                <w:color w:val="auto"/>
              </w:rPr>
            </w:pPr>
          </w:p>
        </w:tc>
        <w:tc>
          <w:tcPr>
            <w:tcW w:w="2500" w:type="dxa"/>
            <w:vAlign w:val="bottom"/>
            <w:tcBorders>
              <w:top w:val="single" w:sz="8" w:color="86B6A5"/>
            </w:tcBorders>
            <w:gridSpan w:val="5"/>
          </w:tcPr>
          <w:p>
            <w:pPr>
              <w:jc w:val="right"/>
              <w:ind w:right="20"/>
              <w:spacing w:after="0"/>
              <w:rPr>
                <w:sz w:val="20"/>
                <w:szCs w:val="20"/>
                <w:color w:val="auto"/>
              </w:rPr>
            </w:pPr>
            <w:r>
              <w:rPr>
                <w:rFonts w:ascii="Arial" w:cs="Arial" w:eastAsia="Arial" w:hAnsi="Arial"/>
                <w:sz w:val="16"/>
                <w:szCs w:val="16"/>
                <w:b w:val="1"/>
                <w:bCs w:val="1"/>
                <w:color w:val="86B6A5"/>
              </w:rPr>
              <w:t>Fair Value Measurements Using</w:t>
            </w:r>
          </w:p>
        </w:tc>
      </w:tr>
      <w:tr>
        <w:trPr>
          <w:trHeight w:val="184"/>
        </w:trPr>
        <w:tc>
          <w:tcPr>
            <w:tcW w:w="20" w:type="dxa"/>
            <w:vAlign w:val="bottom"/>
          </w:tcPr>
          <w:p>
            <w:pPr>
              <w:spacing w:after="0"/>
              <w:rPr>
                <w:sz w:val="16"/>
                <w:szCs w:val="16"/>
                <w:color w:val="auto"/>
              </w:rPr>
            </w:pPr>
          </w:p>
        </w:tc>
        <w:tc>
          <w:tcPr>
            <w:tcW w:w="1460" w:type="dxa"/>
            <w:vAlign w:val="bottom"/>
            <w:tcBorders>
              <w:top w:val="single" w:sz="8" w:color="86B6A5"/>
            </w:tcBorders>
          </w:tcPr>
          <w:p>
            <w:pPr>
              <w:spacing w:after="0"/>
              <w:rPr>
                <w:sz w:val="16"/>
                <w:szCs w:val="16"/>
                <w:color w:val="auto"/>
              </w:rPr>
            </w:pPr>
          </w:p>
        </w:tc>
        <w:tc>
          <w:tcPr>
            <w:tcW w:w="180" w:type="dxa"/>
            <w:vAlign w:val="bottom"/>
            <w:tcBorders>
              <w:top w:val="single" w:sz="8" w:color="86B6A5"/>
            </w:tcBorders>
          </w:tcPr>
          <w:p>
            <w:pPr>
              <w:spacing w:after="0"/>
              <w:rPr>
                <w:sz w:val="16"/>
                <w:szCs w:val="16"/>
                <w:color w:val="auto"/>
              </w:rPr>
            </w:pPr>
          </w:p>
        </w:tc>
        <w:tc>
          <w:tcPr>
            <w:tcW w:w="1140" w:type="dxa"/>
            <w:vAlign w:val="bottom"/>
            <w:tcBorders>
              <w:top w:val="single" w:sz="8" w:color="86B6A5"/>
            </w:tcBorders>
          </w:tcPr>
          <w:p>
            <w:pPr>
              <w:spacing w:after="0"/>
              <w:rPr>
                <w:sz w:val="16"/>
                <w:szCs w:val="16"/>
                <w:color w:val="auto"/>
              </w:rPr>
            </w:pPr>
          </w:p>
        </w:tc>
        <w:tc>
          <w:tcPr>
            <w:tcW w:w="160" w:type="dxa"/>
            <w:vAlign w:val="bottom"/>
            <w:tcBorders>
              <w:top w:val="single" w:sz="8" w:color="86B6A5"/>
            </w:tcBorders>
          </w:tcPr>
          <w:p>
            <w:pPr>
              <w:spacing w:after="0"/>
              <w:rPr>
                <w:sz w:val="16"/>
                <w:szCs w:val="16"/>
                <w:color w:val="auto"/>
              </w:rPr>
            </w:pPr>
          </w:p>
        </w:tc>
        <w:tc>
          <w:tcPr>
            <w:tcW w:w="900" w:type="dxa"/>
            <w:vAlign w:val="bottom"/>
            <w:tcBorders>
              <w:top w:val="single" w:sz="8" w:color="86B6A5"/>
            </w:tcBorders>
          </w:tcPr>
          <w:p>
            <w:pPr>
              <w:jc w:val="right"/>
              <w:spacing w:after="0"/>
              <w:rPr>
                <w:sz w:val="20"/>
                <w:szCs w:val="20"/>
                <w:color w:val="auto"/>
              </w:rPr>
            </w:pPr>
            <w:r>
              <w:rPr>
                <w:rFonts w:ascii="Arial" w:cs="Arial" w:eastAsia="Arial" w:hAnsi="Arial"/>
                <w:sz w:val="16"/>
                <w:szCs w:val="16"/>
                <w:b w:val="1"/>
                <w:bCs w:val="1"/>
                <w:color w:val="86B6A5"/>
              </w:rPr>
              <w:t>Quoted</w:t>
            </w:r>
          </w:p>
        </w:tc>
        <w:tc>
          <w:tcPr>
            <w:tcW w:w="240" w:type="dxa"/>
            <w:vAlign w:val="bottom"/>
            <w:tcBorders>
              <w:top w:val="single" w:sz="8" w:color="86B6A5"/>
            </w:tcBorders>
          </w:tcPr>
          <w:p>
            <w:pPr>
              <w:spacing w:after="0"/>
              <w:rPr>
                <w:sz w:val="16"/>
                <w:szCs w:val="16"/>
                <w:color w:val="auto"/>
              </w:rPr>
            </w:pPr>
          </w:p>
        </w:tc>
        <w:tc>
          <w:tcPr>
            <w:tcW w:w="960" w:type="dxa"/>
            <w:vAlign w:val="bottom"/>
            <w:tcBorders>
              <w:top w:val="single" w:sz="8" w:color="86B6A5"/>
            </w:tcBorders>
          </w:tcPr>
          <w:p>
            <w:pPr>
              <w:spacing w:after="0"/>
              <w:rPr>
                <w:sz w:val="16"/>
                <w:szCs w:val="16"/>
                <w:color w:val="auto"/>
              </w:rPr>
            </w:pPr>
          </w:p>
        </w:tc>
        <w:tc>
          <w:tcPr>
            <w:tcW w:w="180" w:type="dxa"/>
            <w:vAlign w:val="bottom"/>
            <w:tcBorders>
              <w:top w:val="single" w:sz="8" w:color="86B6A5"/>
            </w:tcBorders>
          </w:tcPr>
          <w:p>
            <w:pPr>
              <w:spacing w:after="0"/>
              <w:rPr>
                <w:sz w:val="16"/>
                <w:szCs w:val="16"/>
                <w:color w:val="auto"/>
              </w:rPr>
            </w:pPr>
          </w:p>
        </w:tc>
        <w:tc>
          <w:tcPr>
            <w:tcW w:w="1080" w:type="dxa"/>
            <w:vAlign w:val="bottom"/>
            <w:tcBorders>
              <w:top w:val="single" w:sz="8" w:color="86B6A5"/>
            </w:tcBorders>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Borders>
              <w:top w:val="single" w:sz="8" w:color="86B6A5"/>
            </w:tcBorders>
          </w:tcPr>
          <w:p>
            <w:pPr>
              <w:spacing w:after="0"/>
              <w:rPr>
                <w:sz w:val="16"/>
                <w:szCs w:val="16"/>
                <w:color w:val="auto"/>
              </w:rPr>
            </w:pPr>
          </w:p>
        </w:tc>
        <w:tc>
          <w:tcPr>
            <w:tcW w:w="1140" w:type="dxa"/>
            <w:vAlign w:val="bottom"/>
            <w:tcBorders>
              <w:top w:val="single" w:sz="8" w:color="86B6A5"/>
            </w:tcBorders>
          </w:tcPr>
          <w:p>
            <w:pPr>
              <w:spacing w:after="0"/>
              <w:rPr>
                <w:sz w:val="16"/>
                <w:szCs w:val="16"/>
                <w:color w:val="auto"/>
              </w:rPr>
            </w:pPr>
          </w:p>
        </w:tc>
        <w:tc>
          <w:tcPr>
            <w:tcW w:w="180" w:type="dxa"/>
            <w:vAlign w:val="bottom"/>
            <w:tcBorders>
              <w:top w:val="single" w:sz="8" w:color="86B6A5"/>
            </w:tcBorders>
          </w:tcPr>
          <w:p>
            <w:pPr>
              <w:spacing w:after="0"/>
              <w:rPr>
                <w:sz w:val="16"/>
                <w:szCs w:val="16"/>
                <w:color w:val="auto"/>
              </w:rPr>
            </w:pPr>
          </w:p>
        </w:tc>
        <w:tc>
          <w:tcPr>
            <w:tcW w:w="900" w:type="dxa"/>
            <w:vAlign w:val="bottom"/>
            <w:tcBorders>
              <w:top w:val="single" w:sz="8" w:color="86B6A5"/>
            </w:tcBorders>
          </w:tcPr>
          <w:p>
            <w:pPr>
              <w:jc w:val="right"/>
              <w:spacing w:after="0"/>
              <w:rPr>
                <w:sz w:val="20"/>
                <w:szCs w:val="20"/>
                <w:color w:val="auto"/>
              </w:rPr>
            </w:pPr>
            <w:r>
              <w:rPr>
                <w:rFonts w:ascii="Arial" w:cs="Arial" w:eastAsia="Arial" w:hAnsi="Arial"/>
                <w:sz w:val="16"/>
                <w:szCs w:val="16"/>
                <w:b w:val="1"/>
                <w:bCs w:val="1"/>
                <w:color w:val="86B6A5"/>
              </w:rPr>
              <w:t>Quoted</w:t>
            </w:r>
          </w:p>
        </w:tc>
        <w:tc>
          <w:tcPr>
            <w:tcW w:w="240" w:type="dxa"/>
            <w:vAlign w:val="bottom"/>
            <w:tcBorders>
              <w:top w:val="single" w:sz="8" w:color="86B6A5"/>
            </w:tcBorders>
          </w:tcPr>
          <w:p>
            <w:pPr>
              <w:spacing w:after="0"/>
              <w:rPr>
                <w:sz w:val="16"/>
                <w:szCs w:val="16"/>
                <w:color w:val="auto"/>
              </w:rPr>
            </w:pPr>
          </w:p>
        </w:tc>
        <w:tc>
          <w:tcPr>
            <w:tcW w:w="960" w:type="dxa"/>
            <w:vAlign w:val="bottom"/>
            <w:tcBorders>
              <w:top w:val="single" w:sz="8" w:color="86B6A5"/>
            </w:tcBorders>
          </w:tcPr>
          <w:p>
            <w:pPr>
              <w:spacing w:after="0"/>
              <w:rPr>
                <w:sz w:val="16"/>
                <w:szCs w:val="16"/>
                <w:color w:val="auto"/>
              </w:rPr>
            </w:pPr>
          </w:p>
        </w:tc>
        <w:tc>
          <w:tcPr>
            <w:tcW w:w="200" w:type="dxa"/>
            <w:vAlign w:val="bottom"/>
            <w:tcBorders>
              <w:top w:val="single" w:sz="8" w:color="86B6A5"/>
            </w:tcBorders>
          </w:tcPr>
          <w:p>
            <w:pPr>
              <w:spacing w:after="0"/>
              <w:rPr>
                <w:sz w:val="16"/>
                <w:szCs w:val="16"/>
                <w:color w:val="auto"/>
              </w:rPr>
            </w:pPr>
          </w:p>
        </w:tc>
        <w:tc>
          <w:tcPr>
            <w:tcW w:w="1080" w:type="dxa"/>
            <w:vAlign w:val="bottom"/>
            <w:tcBorders>
              <w:top w:val="single" w:sz="8" w:color="86B6A5"/>
            </w:tcBorders>
          </w:tcPr>
          <w:p>
            <w:pPr>
              <w:spacing w:after="0"/>
              <w:rPr>
                <w:sz w:val="16"/>
                <w:szCs w:val="16"/>
                <w:color w:val="auto"/>
              </w:rPr>
            </w:pPr>
          </w:p>
        </w:tc>
        <w:tc>
          <w:tcPr>
            <w:tcW w:w="20" w:type="dxa"/>
            <w:vAlign w:val="bottom"/>
          </w:tcPr>
          <w:p>
            <w:pPr>
              <w:spacing w:after="0"/>
              <w:rPr>
                <w:sz w:val="16"/>
                <w:szCs w:val="16"/>
                <w:color w:val="auto"/>
              </w:rPr>
            </w:pPr>
          </w:p>
        </w:tc>
      </w:tr>
      <w:tr>
        <w:trPr>
          <w:trHeight w:val="203"/>
        </w:trPr>
        <w:tc>
          <w:tcPr>
            <w:tcW w:w="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86B6A5"/>
              </w:rPr>
              <w:t>Prices</w:t>
            </w: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86B6A5"/>
              </w:rPr>
              <w:t>Prices</w:t>
            </w: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86B6A5"/>
              </w:rPr>
              <w:t>in Active</w:t>
            </w:r>
          </w:p>
        </w:tc>
        <w:tc>
          <w:tcPr>
            <w:tcW w:w="2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86B6A5"/>
              </w:rPr>
              <w:t>Significant</w:t>
            </w: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86B6A5"/>
              </w:rPr>
              <w:t>in Active</w:t>
            </w:r>
          </w:p>
        </w:tc>
        <w:tc>
          <w:tcPr>
            <w:tcW w:w="2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86B6A5"/>
              </w:rPr>
              <w:t>Significant</w:t>
            </w: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86B6A5"/>
                <w:w w:val="99"/>
              </w:rPr>
              <w:t>Markets for</w:t>
            </w:r>
          </w:p>
        </w:tc>
        <w:tc>
          <w:tcPr>
            <w:tcW w:w="2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86B6A5"/>
              </w:rPr>
              <w:t>Other</w:t>
            </w:r>
          </w:p>
        </w:tc>
        <w:tc>
          <w:tcPr>
            <w:tcW w:w="180" w:type="dxa"/>
            <w:vAlign w:val="bottom"/>
          </w:tcPr>
          <w:p>
            <w:pPr>
              <w:spacing w:after="0"/>
              <w:rPr>
                <w:sz w:val="17"/>
                <w:szCs w:val="17"/>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86B6A5"/>
              </w:rPr>
              <w:t>Significant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86B6A5"/>
                <w:w w:val="99"/>
              </w:rPr>
              <w:t>Markets for</w:t>
            </w:r>
          </w:p>
        </w:tc>
        <w:tc>
          <w:tcPr>
            <w:tcW w:w="2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86B6A5"/>
              </w:rPr>
              <w:t>Other</w:t>
            </w:r>
          </w:p>
        </w:tc>
        <w:tc>
          <w:tcPr>
            <w:tcW w:w="200" w:type="dxa"/>
            <w:vAlign w:val="bottom"/>
          </w:tcPr>
          <w:p>
            <w:pPr>
              <w:spacing w:after="0"/>
              <w:rPr>
                <w:sz w:val="17"/>
                <w:szCs w:val="17"/>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6"/>
                <w:szCs w:val="16"/>
                <w:b w:val="1"/>
                <w:bCs w:val="1"/>
                <w:color w:val="86B6A5"/>
              </w:rPr>
              <w:t>Significant</w:t>
            </w:r>
          </w:p>
        </w:tc>
      </w:tr>
      <w:tr>
        <w:trPr>
          <w:trHeight w:val="203"/>
        </w:trPr>
        <w:tc>
          <w:tcPr>
            <w:tcW w:w="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86B6A5"/>
              </w:rPr>
              <w:t>Identical</w:t>
            </w:r>
          </w:p>
        </w:tc>
        <w:tc>
          <w:tcPr>
            <w:tcW w:w="2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86B6A5"/>
              </w:rPr>
              <w:t>Observable</w:t>
            </w:r>
          </w:p>
        </w:tc>
        <w:tc>
          <w:tcPr>
            <w:tcW w:w="180" w:type="dxa"/>
            <w:vAlign w:val="bottom"/>
          </w:tcPr>
          <w:p>
            <w:pPr>
              <w:spacing w:after="0"/>
              <w:rPr>
                <w:sz w:val="17"/>
                <w:szCs w:val="17"/>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86B6A5"/>
              </w:rPr>
              <w:t>Unobservable</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86B6A5"/>
              </w:rPr>
              <w:t>Identical</w:t>
            </w:r>
          </w:p>
        </w:tc>
        <w:tc>
          <w:tcPr>
            <w:tcW w:w="2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86B6A5"/>
              </w:rPr>
              <w:t>Observable</w:t>
            </w:r>
          </w:p>
        </w:tc>
        <w:tc>
          <w:tcPr>
            <w:tcW w:w="200" w:type="dxa"/>
            <w:vAlign w:val="bottom"/>
          </w:tcPr>
          <w:p>
            <w:pPr>
              <w:spacing w:after="0"/>
              <w:rPr>
                <w:sz w:val="17"/>
                <w:szCs w:val="17"/>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6"/>
                <w:szCs w:val="16"/>
                <w:b w:val="1"/>
                <w:bCs w:val="1"/>
                <w:color w:val="86B6A5"/>
              </w:rPr>
              <w:t>Unobservable</w:t>
            </w:r>
          </w:p>
        </w:tc>
      </w:tr>
      <w:tr>
        <w:trPr>
          <w:trHeight w:val="203"/>
        </w:trPr>
        <w:tc>
          <w:tcPr>
            <w:tcW w:w="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86B6A5"/>
                <w:w w:val="99"/>
              </w:rPr>
              <w:t>December 31,</w:t>
            </w: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86B6A5"/>
              </w:rPr>
              <w:t>Assets</w:t>
            </w:r>
          </w:p>
        </w:tc>
        <w:tc>
          <w:tcPr>
            <w:tcW w:w="2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86B6A5"/>
              </w:rPr>
              <w:t>Inputs</w:t>
            </w:r>
          </w:p>
        </w:tc>
        <w:tc>
          <w:tcPr>
            <w:tcW w:w="180" w:type="dxa"/>
            <w:vAlign w:val="bottom"/>
          </w:tcPr>
          <w:p>
            <w:pPr>
              <w:spacing w:after="0"/>
              <w:rPr>
                <w:sz w:val="17"/>
                <w:szCs w:val="17"/>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86B6A5"/>
              </w:rPr>
              <w:t>Inputs</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86B6A5"/>
              </w:rPr>
              <w:t>December 31,</w:t>
            </w:r>
          </w:p>
        </w:tc>
        <w:tc>
          <w:tcPr>
            <w:tcW w:w="1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86B6A5"/>
              </w:rPr>
              <w:t>Assets</w:t>
            </w:r>
          </w:p>
        </w:tc>
        <w:tc>
          <w:tcPr>
            <w:tcW w:w="2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86B6A5"/>
              </w:rPr>
              <w:t>Inputs</w:t>
            </w:r>
          </w:p>
        </w:tc>
        <w:tc>
          <w:tcPr>
            <w:tcW w:w="200" w:type="dxa"/>
            <w:vAlign w:val="bottom"/>
          </w:tcPr>
          <w:p>
            <w:pPr>
              <w:spacing w:after="0"/>
              <w:rPr>
                <w:sz w:val="17"/>
                <w:szCs w:val="17"/>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6"/>
                <w:szCs w:val="16"/>
                <w:b w:val="1"/>
                <w:bCs w:val="1"/>
                <w:color w:val="86B6A5"/>
              </w:rPr>
              <w:t>Inputs</w:t>
            </w:r>
          </w:p>
        </w:tc>
      </w:tr>
      <w:tr>
        <w:trPr>
          <w:trHeight w:val="228"/>
        </w:trPr>
        <w:tc>
          <w:tcPr>
            <w:tcW w:w="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86B6A5"/>
              </w:rPr>
              <w:t>2009</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86B6A5"/>
              </w:rPr>
              <w:t>(Level 1)</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86B6A5"/>
              </w:rPr>
              <w:t>(Level 2)</w:t>
            </w:r>
          </w:p>
        </w:tc>
        <w:tc>
          <w:tcPr>
            <w:tcW w:w="18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86B6A5"/>
              </w:rPr>
              <w:t>(Level 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86B6A5"/>
              </w:rPr>
              <w:t>2009</w:t>
            </w: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86B6A5"/>
              </w:rPr>
              <w:t>(Level 1)</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86B6A5"/>
              </w:rPr>
              <w:t>(Level 2)</w:t>
            </w:r>
          </w:p>
        </w:tc>
        <w:tc>
          <w:tcPr>
            <w:tcW w:w="20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6"/>
                <w:szCs w:val="16"/>
                <w:b w:val="1"/>
                <w:bCs w:val="1"/>
                <w:color w:val="86B6A5"/>
              </w:rPr>
              <w:t>(Level 3)</w:t>
            </w:r>
          </w:p>
        </w:tc>
      </w:tr>
      <w:tr>
        <w:trPr>
          <w:trHeight w:val="202"/>
        </w:trPr>
        <w:tc>
          <w:tcPr>
            <w:tcW w:w="20" w:type="dxa"/>
            <w:vAlign w:val="bottom"/>
          </w:tcPr>
          <w:p>
            <w:pPr>
              <w:spacing w:after="0"/>
              <w:rPr>
                <w:sz w:val="17"/>
                <w:szCs w:val="17"/>
                <w:color w:val="auto"/>
              </w:rPr>
            </w:pPr>
          </w:p>
        </w:tc>
        <w:tc>
          <w:tcPr>
            <w:tcW w:w="1460" w:type="dxa"/>
            <w:vAlign w:val="bottom"/>
            <w:tcBorders>
              <w:top w:val="single" w:sz="8" w:color="86B6A5"/>
            </w:tcBorders>
          </w:tcPr>
          <w:p>
            <w:pPr>
              <w:spacing w:after="0" w:line="201" w:lineRule="exact"/>
              <w:rPr>
                <w:sz w:val="20"/>
                <w:szCs w:val="20"/>
                <w:color w:val="auto"/>
              </w:rPr>
            </w:pPr>
            <w:r>
              <w:rPr>
                <w:rFonts w:ascii="Arial" w:cs="Arial" w:eastAsia="Arial" w:hAnsi="Arial"/>
                <w:sz w:val="18"/>
                <w:szCs w:val="18"/>
                <w:b w:val="1"/>
                <w:bCs w:val="1"/>
                <w:color w:val="939598"/>
              </w:rPr>
              <w:t>Asset Category</w:t>
            </w:r>
          </w:p>
        </w:tc>
        <w:tc>
          <w:tcPr>
            <w:tcW w:w="180" w:type="dxa"/>
            <w:vAlign w:val="bottom"/>
            <w:tcBorders>
              <w:top w:val="single" w:sz="8" w:color="86B6A5"/>
            </w:tcBorders>
          </w:tcPr>
          <w:p>
            <w:pPr>
              <w:spacing w:after="0"/>
              <w:rPr>
                <w:sz w:val="17"/>
                <w:szCs w:val="17"/>
                <w:color w:val="auto"/>
              </w:rPr>
            </w:pPr>
          </w:p>
        </w:tc>
        <w:tc>
          <w:tcPr>
            <w:tcW w:w="1140" w:type="dxa"/>
            <w:vAlign w:val="bottom"/>
            <w:tcBorders>
              <w:top w:val="single" w:sz="8" w:color="86B6A5"/>
            </w:tcBorders>
          </w:tcPr>
          <w:p>
            <w:pPr>
              <w:spacing w:after="0"/>
              <w:rPr>
                <w:sz w:val="17"/>
                <w:szCs w:val="17"/>
                <w:color w:val="auto"/>
              </w:rPr>
            </w:pPr>
          </w:p>
        </w:tc>
        <w:tc>
          <w:tcPr>
            <w:tcW w:w="160" w:type="dxa"/>
            <w:vAlign w:val="bottom"/>
            <w:tcBorders>
              <w:top w:val="single" w:sz="8" w:color="86B6A5"/>
            </w:tcBorders>
          </w:tcPr>
          <w:p>
            <w:pPr>
              <w:spacing w:after="0"/>
              <w:rPr>
                <w:sz w:val="17"/>
                <w:szCs w:val="17"/>
                <w:color w:val="auto"/>
              </w:rPr>
            </w:pPr>
          </w:p>
        </w:tc>
        <w:tc>
          <w:tcPr>
            <w:tcW w:w="900" w:type="dxa"/>
            <w:vAlign w:val="bottom"/>
            <w:tcBorders>
              <w:top w:val="single" w:sz="8" w:color="86B6A5"/>
            </w:tcBorders>
          </w:tcPr>
          <w:p>
            <w:pPr>
              <w:spacing w:after="0"/>
              <w:rPr>
                <w:sz w:val="17"/>
                <w:szCs w:val="17"/>
                <w:color w:val="auto"/>
              </w:rPr>
            </w:pPr>
          </w:p>
        </w:tc>
        <w:tc>
          <w:tcPr>
            <w:tcW w:w="240" w:type="dxa"/>
            <w:vAlign w:val="bottom"/>
            <w:tcBorders>
              <w:top w:val="single" w:sz="8" w:color="86B6A5"/>
            </w:tcBorders>
          </w:tcPr>
          <w:p>
            <w:pPr>
              <w:spacing w:after="0"/>
              <w:rPr>
                <w:sz w:val="17"/>
                <w:szCs w:val="17"/>
                <w:color w:val="auto"/>
              </w:rPr>
            </w:pPr>
          </w:p>
        </w:tc>
        <w:tc>
          <w:tcPr>
            <w:tcW w:w="960" w:type="dxa"/>
            <w:vAlign w:val="bottom"/>
            <w:tcBorders>
              <w:top w:val="single" w:sz="8" w:color="86B6A5"/>
            </w:tcBorders>
          </w:tcPr>
          <w:p>
            <w:pPr>
              <w:spacing w:after="0"/>
              <w:rPr>
                <w:sz w:val="17"/>
                <w:szCs w:val="17"/>
                <w:color w:val="auto"/>
              </w:rPr>
            </w:pPr>
          </w:p>
        </w:tc>
        <w:tc>
          <w:tcPr>
            <w:tcW w:w="180" w:type="dxa"/>
            <w:vAlign w:val="bottom"/>
            <w:tcBorders>
              <w:top w:val="single" w:sz="8" w:color="86B6A5"/>
            </w:tcBorders>
          </w:tcPr>
          <w:p>
            <w:pPr>
              <w:spacing w:after="0"/>
              <w:rPr>
                <w:sz w:val="17"/>
                <w:szCs w:val="17"/>
                <w:color w:val="auto"/>
              </w:rPr>
            </w:pPr>
          </w:p>
        </w:tc>
        <w:tc>
          <w:tcPr>
            <w:tcW w:w="1080" w:type="dxa"/>
            <w:vAlign w:val="bottom"/>
            <w:tcBorders>
              <w:top w:val="single" w:sz="8" w:color="86B6A5"/>
            </w:tcBorders>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top w:val="single" w:sz="8" w:color="86B6A5"/>
            </w:tcBorders>
          </w:tcPr>
          <w:p>
            <w:pPr>
              <w:spacing w:after="0"/>
              <w:rPr>
                <w:sz w:val="17"/>
                <w:szCs w:val="17"/>
                <w:color w:val="auto"/>
              </w:rPr>
            </w:pPr>
          </w:p>
        </w:tc>
        <w:tc>
          <w:tcPr>
            <w:tcW w:w="1140" w:type="dxa"/>
            <w:vAlign w:val="bottom"/>
            <w:tcBorders>
              <w:top w:val="single" w:sz="8" w:color="86B6A5"/>
            </w:tcBorders>
          </w:tcPr>
          <w:p>
            <w:pPr>
              <w:spacing w:after="0"/>
              <w:rPr>
                <w:sz w:val="17"/>
                <w:szCs w:val="17"/>
                <w:color w:val="auto"/>
              </w:rPr>
            </w:pPr>
          </w:p>
        </w:tc>
        <w:tc>
          <w:tcPr>
            <w:tcW w:w="180" w:type="dxa"/>
            <w:vAlign w:val="bottom"/>
            <w:tcBorders>
              <w:top w:val="single" w:sz="8" w:color="86B6A5"/>
            </w:tcBorders>
          </w:tcPr>
          <w:p>
            <w:pPr>
              <w:spacing w:after="0"/>
              <w:rPr>
                <w:sz w:val="17"/>
                <w:szCs w:val="17"/>
                <w:color w:val="auto"/>
              </w:rPr>
            </w:pPr>
          </w:p>
        </w:tc>
        <w:tc>
          <w:tcPr>
            <w:tcW w:w="900" w:type="dxa"/>
            <w:vAlign w:val="bottom"/>
            <w:tcBorders>
              <w:top w:val="single" w:sz="8" w:color="86B6A5"/>
            </w:tcBorders>
          </w:tcPr>
          <w:p>
            <w:pPr>
              <w:spacing w:after="0"/>
              <w:rPr>
                <w:sz w:val="17"/>
                <w:szCs w:val="17"/>
                <w:color w:val="auto"/>
              </w:rPr>
            </w:pPr>
          </w:p>
        </w:tc>
        <w:tc>
          <w:tcPr>
            <w:tcW w:w="240" w:type="dxa"/>
            <w:vAlign w:val="bottom"/>
            <w:tcBorders>
              <w:top w:val="single" w:sz="8" w:color="86B6A5"/>
            </w:tcBorders>
          </w:tcPr>
          <w:p>
            <w:pPr>
              <w:spacing w:after="0"/>
              <w:rPr>
                <w:sz w:val="17"/>
                <w:szCs w:val="17"/>
                <w:color w:val="auto"/>
              </w:rPr>
            </w:pPr>
          </w:p>
        </w:tc>
        <w:tc>
          <w:tcPr>
            <w:tcW w:w="960" w:type="dxa"/>
            <w:vAlign w:val="bottom"/>
            <w:tcBorders>
              <w:top w:val="single" w:sz="8" w:color="86B6A5"/>
            </w:tcBorders>
          </w:tcPr>
          <w:p>
            <w:pPr>
              <w:spacing w:after="0"/>
              <w:rPr>
                <w:sz w:val="17"/>
                <w:szCs w:val="17"/>
                <w:color w:val="auto"/>
              </w:rPr>
            </w:pPr>
          </w:p>
        </w:tc>
        <w:tc>
          <w:tcPr>
            <w:tcW w:w="200" w:type="dxa"/>
            <w:vAlign w:val="bottom"/>
            <w:tcBorders>
              <w:top w:val="single" w:sz="8" w:color="86B6A5"/>
            </w:tcBorders>
          </w:tcPr>
          <w:p>
            <w:pPr>
              <w:spacing w:after="0"/>
              <w:rPr>
                <w:sz w:val="17"/>
                <w:szCs w:val="17"/>
                <w:color w:val="auto"/>
              </w:rPr>
            </w:pPr>
          </w:p>
        </w:tc>
        <w:tc>
          <w:tcPr>
            <w:tcW w:w="1080" w:type="dxa"/>
            <w:vAlign w:val="bottom"/>
            <w:tcBorders>
              <w:top w:val="single" w:sz="8" w:color="86B6A5"/>
            </w:tcBorders>
          </w:tcPr>
          <w:p>
            <w:pPr>
              <w:spacing w:after="0"/>
              <w:rPr>
                <w:sz w:val="17"/>
                <w:szCs w:val="17"/>
                <w:color w:val="auto"/>
              </w:rPr>
            </w:pPr>
          </w:p>
        </w:tc>
        <w:tc>
          <w:tcPr>
            <w:tcW w:w="20" w:type="dxa"/>
            <w:vAlign w:val="bottom"/>
          </w:tcPr>
          <w:p>
            <w:pPr>
              <w:spacing w:after="0"/>
              <w:rPr>
                <w:sz w:val="17"/>
                <w:szCs w:val="17"/>
                <w:color w:val="auto"/>
              </w:rPr>
            </w:pPr>
          </w:p>
        </w:tc>
      </w:tr>
      <w:tr>
        <w:trPr>
          <w:trHeight w:val="197"/>
        </w:trPr>
        <w:tc>
          <w:tcPr>
            <w:tcW w:w="1480" w:type="dxa"/>
            <w:vAlign w:val="bottom"/>
            <w:gridSpan w:val="2"/>
          </w:tcPr>
          <w:p>
            <w:pPr>
              <w:spacing w:after="0" w:line="197" w:lineRule="exact"/>
              <w:rPr>
                <w:sz w:val="20"/>
                <w:szCs w:val="20"/>
                <w:color w:val="auto"/>
              </w:rPr>
            </w:pPr>
            <w:r>
              <w:rPr>
                <w:rFonts w:ascii="Arial" w:cs="Arial" w:eastAsia="Arial" w:hAnsi="Arial"/>
                <w:sz w:val="18"/>
                <w:szCs w:val="18"/>
                <w:color w:val="auto"/>
              </w:rPr>
              <w:t>Cash and cash</w:t>
            </w:r>
          </w:p>
        </w:tc>
        <w:tc>
          <w:tcPr>
            <w:tcW w:w="180" w:type="dxa"/>
            <w:vAlign w:val="bottom"/>
          </w:tcPr>
          <w:p>
            <w:pPr>
              <w:jc w:val="right"/>
              <w:spacing w:after="0" w:line="197" w:lineRule="exact"/>
              <w:rPr>
                <w:sz w:val="20"/>
                <w:szCs w:val="20"/>
                <w:color w:val="auto"/>
              </w:rPr>
            </w:pPr>
            <w:r>
              <w:rPr>
                <w:rFonts w:ascii="Arial" w:cs="Arial" w:eastAsia="Arial" w:hAnsi="Arial"/>
                <w:sz w:val="18"/>
                <w:szCs w:val="18"/>
                <w:color w:val="auto"/>
              </w:rPr>
              <w:t>$</w:t>
            </w:r>
          </w:p>
        </w:tc>
        <w:tc>
          <w:tcPr>
            <w:tcW w:w="1140" w:type="dxa"/>
            <w:vAlign w:val="bottom"/>
          </w:tcPr>
          <w:p>
            <w:pPr>
              <w:jc w:val="right"/>
              <w:spacing w:after="0" w:line="197" w:lineRule="exact"/>
              <w:rPr>
                <w:sz w:val="20"/>
                <w:szCs w:val="20"/>
                <w:color w:val="auto"/>
              </w:rPr>
            </w:pPr>
            <w:r>
              <w:rPr>
                <w:rFonts w:ascii="Arial" w:cs="Arial" w:eastAsia="Arial" w:hAnsi="Arial"/>
                <w:sz w:val="18"/>
                <w:szCs w:val="18"/>
                <w:color w:val="auto"/>
              </w:rPr>
              <w:t>3.4</w:t>
            </w:r>
          </w:p>
        </w:tc>
        <w:tc>
          <w:tcPr>
            <w:tcW w:w="160" w:type="dxa"/>
            <w:vAlign w:val="bottom"/>
          </w:tcPr>
          <w:p>
            <w:pPr>
              <w:jc w:val="right"/>
              <w:spacing w:after="0" w:line="197"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197" w:lineRule="exact"/>
              <w:rPr>
                <w:sz w:val="20"/>
                <w:szCs w:val="20"/>
                <w:color w:val="auto"/>
              </w:rPr>
            </w:pPr>
            <w:r>
              <w:rPr>
                <w:rFonts w:ascii="Arial" w:cs="Arial" w:eastAsia="Arial" w:hAnsi="Arial"/>
                <w:sz w:val="18"/>
                <w:szCs w:val="18"/>
                <w:color w:val="auto"/>
              </w:rPr>
              <w:t>3.4</w:t>
            </w:r>
          </w:p>
        </w:tc>
        <w:tc>
          <w:tcPr>
            <w:tcW w:w="240" w:type="dxa"/>
            <w:vAlign w:val="bottom"/>
          </w:tcPr>
          <w:p>
            <w:pPr>
              <w:jc w:val="right"/>
              <w:spacing w:after="0" w:line="197" w:lineRule="exact"/>
              <w:rPr>
                <w:sz w:val="20"/>
                <w:szCs w:val="20"/>
                <w:color w:val="auto"/>
              </w:rPr>
            </w:pPr>
            <w:r>
              <w:rPr>
                <w:rFonts w:ascii="Arial" w:cs="Arial" w:eastAsia="Arial" w:hAnsi="Arial"/>
                <w:sz w:val="18"/>
                <w:szCs w:val="18"/>
                <w:color w:val="auto"/>
              </w:rPr>
              <w:t>$</w:t>
            </w:r>
          </w:p>
        </w:tc>
        <w:tc>
          <w:tcPr>
            <w:tcW w:w="960" w:type="dxa"/>
            <w:vAlign w:val="bottom"/>
          </w:tcPr>
          <w:p>
            <w:pPr>
              <w:jc w:val="right"/>
              <w:spacing w:after="0" w:line="197" w:lineRule="exact"/>
              <w:rPr>
                <w:sz w:val="20"/>
                <w:szCs w:val="20"/>
                <w:color w:val="auto"/>
              </w:rPr>
            </w:pPr>
            <w:r>
              <w:rPr>
                <w:rFonts w:ascii="Arial" w:cs="Arial" w:eastAsia="Arial" w:hAnsi="Arial"/>
                <w:sz w:val="18"/>
                <w:szCs w:val="18"/>
                <w:color w:val="auto"/>
              </w:rPr>
              <w:t>–</w:t>
            </w:r>
          </w:p>
        </w:tc>
        <w:tc>
          <w:tcPr>
            <w:tcW w:w="180" w:type="dxa"/>
            <w:vAlign w:val="bottom"/>
          </w:tcPr>
          <w:p>
            <w:pPr>
              <w:jc w:val="right"/>
              <w:spacing w:after="0" w:line="197" w:lineRule="exact"/>
              <w:rPr>
                <w:sz w:val="20"/>
                <w:szCs w:val="20"/>
                <w:color w:val="auto"/>
              </w:rPr>
            </w:pPr>
            <w:r>
              <w:rPr>
                <w:rFonts w:ascii="Arial" w:cs="Arial" w:eastAsia="Arial" w:hAnsi="Arial"/>
                <w:sz w:val="18"/>
                <w:szCs w:val="18"/>
                <w:color w:val="auto"/>
              </w:rPr>
              <w:t>$</w:t>
            </w:r>
          </w:p>
        </w:tc>
        <w:tc>
          <w:tcPr>
            <w:tcW w:w="1240" w:type="dxa"/>
            <w:vAlign w:val="bottom"/>
            <w:gridSpan w:val="2"/>
          </w:tcPr>
          <w:p>
            <w:pPr>
              <w:ind w:left="980"/>
              <w:spacing w:after="0" w:line="197" w:lineRule="exact"/>
              <w:rPr>
                <w:sz w:val="20"/>
                <w:szCs w:val="20"/>
                <w:color w:val="auto"/>
              </w:rPr>
            </w:pPr>
            <w:r>
              <w:rPr>
                <w:rFonts w:ascii="Arial" w:cs="Arial" w:eastAsia="Arial" w:hAnsi="Arial"/>
                <w:sz w:val="18"/>
                <w:szCs w:val="18"/>
                <w:color w:val="auto"/>
              </w:rPr>
              <w:t>–</w:t>
            </w:r>
          </w:p>
        </w:tc>
        <w:tc>
          <w:tcPr>
            <w:tcW w:w="100" w:type="dxa"/>
            <w:vAlign w:val="bottom"/>
            <w:gridSpan w:val="2"/>
          </w:tcPr>
          <w:p>
            <w:pPr>
              <w:jc w:val="right"/>
              <w:spacing w:after="0" w:line="197" w:lineRule="exact"/>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line="197" w:lineRule="exact"/>
              <w:rPr>
                <w:sz w:val="20"/>
                <w:szCs w:val="20"/>
                <w:color w:val="auto"/>
              </w:rPr>
            </w:pPr>
            <w:r>
              <w:rPr>
                <w:rFonts w:ascii="Arial" w:cs="Arial" w:eastAsia="Arial" w:hAnsi="Arial"/>
                <w:sz w:val="18"/>
                <w:szCs w:val="18"/>
                <w:color w:val="auto"/>
              </w:rPr>
              <w:t>4.6</w:t>
            </w:r>
          </w:p>
        </w:tc>
        <w:tc>
          <w:tcPr>
            <w:tcW w:w="180" w:type="dxa"/>
            <w:vAlign w:val="bottom"/>
          </w:tcPr>
          <w:p>
            <w:pPr>
              <w:jc w:val="right"/>
              <w:spacing w:after="0" w:line="197"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197" w:lineRule="exact"/>
              <w:rPr>
                <w:sz w:val="20"/>
                <w:szCs w:val="20"/>
                <w:color w:val="auto"/>
              </w:rPr>
            </w:pPr>
            <w:r>
              <w:rPr>
                <w:rFonts w:ascii="Arial" w:cs="Arial" w:eastAsia="Arial" w:hAnsi="Arial"/>
                <w:sz w:val="18"/>
                <w:szCs w:val="18"/>
                <w:color w:val="auto"/>
              </w:rPr>
              <w:t>4.6</w:t>
            </w:r>
          </w:p>
        </w:tc>
        <w:tc>
          <w:tcPr>
            <w:tcW w:w="240" w:type="dxa"/>
            <w:vAlign w:val="bottom"/>
          </w:tcPr>
          <w:p>
            <w:pPr>
              <w:jc w:val="right"/>
              <w:spacing w:after="0" w:line="197" w:lineRule="exact"/>
              <w:rPr>
                <w:sz w:val="20"/>
                <w:szCs w:val="20"/>
                <w:color w:val="auto"/>
              </w:rPr>
            </w:pPr>
            <w:r>
              <w:rPr>
                <w:rFonts w:ascii="Arial" w:cs="Arial" w:eastAsia="Arial" w:hAnsi="Arial"/>
                <w:sz w:val="18"/>
                <w:szCs w:val="18"/>
                <w:color w:val="auto"/>
              </w:rPr>
              <w:t>$</w:t>
            </w:r>
          </w:p>
        </w:tc>
        <w:tc>
          <w:tcPr>
            <w:tcW w:w="960" w:type="dxa"/>
            <w:vAlign w:val="bottom"/>
          </w:tcPr>
          <w:p>
            <w:pPr>
              <w:jc w:val="right"/>
              <w:spacing w:after="0" w:line="197" w:lineRule="exact"/>
              <w:rPr>
                <w:sz w:val="20"/>
                <w:szCs w:val="20"/>
                <w:color w:val="auto"/>
              </w:rPr>
            </w:pPr>
            <w:r>
              <w:rPr>
                <w:rFonts w:ascii="Arial" w:cs="Arial" w:eastAsia="Arial" w:hAnsi="Arial"/>
                <w:sz w:val="18"/>
                <w:szCs w:val="18"/>
                <w:color w:val="auto"/>
              </w:rPr>
              <w:t>–</w:t>
            </w:r>
          </w:p>
        </w:tc>
        <w:tc>
          <w:tcPr>
            <w:tcW w:w="200" w:type="dxa"/>
            <w:vAlign w:val="bottom"/>
          </w:tcPr>
          <w:p>
            <w:pPr>
              <w:jc w:val="right"/>
              <w:spacing w:after="0" w:line="197" w:lineRule="exact"/>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
              <w:spacing w:after="0" w:line="197" w:lineRule="exact"/>
              <w:rPr>
                <w:sz w:val="20"/>
                <w:szCs w:val="20"/>
                <w:color w:val="auto"/>
              </w:rPr>
            </w:pPr>
            <w:r>
              <w:rPr>
                <w:rFonts w:ascii="Arial" w:cs="Arial" w:eastAsia="Arial" w:hAnsi="Arial"/>
                <w:sz w:val="18"/>
                <w:szCs w:val="18"/>
                <w:color w:val="auto"/>
              </w:rPr>
              <w:t>–</w:t>
            </w:r>
          </w:p>
        </w:tc>
      </w:tr>
      <w:tr>
        <w:trPr>
          <w:trHeight w:val="208"/>
        </w:trPr>
        <w:tc>
          <w:tcPr>
            <w:tcW w:w="20" w:type="dxa"/>
            <w:vAlign w:val="bottom"/>
          </w:tcPr>
          <w:p>
            <w:pPr>
              <w:spacing w:after="0"/>
              <w:rPr>
                <w:sz w:val="18"/>
                <w:szCs w:val="18"/>
                <w:color w:val="auto"/>
              </w:rPr>
            </w:pPr>
          </w:p>
        </w:tc>
        <w:tc>
          <w:tcPr>
            <w:tcW w:w="1460" w:type="dxa"/>
            <w:vAlign w:val="bottom"/>
          </w:tcPr>
          <w:p>
            <w:pPr>
              <w:ind w:left="260"/>
              <w:spacing w:after="0" w:line="207" w:lineRule="exact"/>
              <w:rPr>
                <w:sz w:val="20"/>
                <w:szCs w:val="20"/>
                <w:color w:val="auto"/>
              </w:rPr>
            </w:pPr>
            <w:r>
              <w:rPr>
                <w:rFonts w:ascii="Arial" w:cs="Arial" w:eastAsia="Arial" w:hAnsi="Arial"/>
                <w:sz w:val="17"/>
                <w:szCs w:val="17"/>
                <w:color w:val="auto"/>
              </w:rPr>
              <w:t>equivalents</w:t>
            </w:r>
            <w:r>
              <w:rPr>
                <w:rFonts w:ascii="Arial" w:cs="Arial" w:eastAsia="Arial" w:hAnsi="Arial"/>
                <w:sz w:val="24"/>
                <w:szCs w:val="24"/>
                <w:color w:val="auto"/>
                <w:vertAlign w:val="superscript"/>
              </w:rPr>
              <w:t>(1)</w:t>
            </w: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3"/>
        </w:trPr>
        <w:tc>
          <w:tcPr>
            <w:tcW w:w="1480" w:type="dxa"/>
            <w:vAlign w:val="bottom"/>
            <w:gridSpan w:val="2"/>
          </w:tcPr>
          <w:p>
            <w:pPr>
              <w:spacing w:after="0" w:line="202" w:lineRule="exact"/>
              <w:rPr>
                <w:sz w:val="20"/>
                <w:szCs w:val="20"/>
                <w:color w:val="auto"/>
              </w:rPr>
            </w:pPr>
            <w:r>
              <w:rPr>
                <w:rFonts w:ascii="Arial" w:cs="Arial" w:eastAsia="Arial" w:hAnsi="Arial"/>
                <w:sz w:val="18"/>
                <w:szCs w:val="18"/>
                <w:color w:val="auto"/>
              </w:rPr>
              <w:t>Equity securities:</w:t>
            </w: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1460" w:type="dxa"/>
            <w:vAlign w:val="bottom"/>
          </w:tcPr>
          <w:p>
            <w:pPr>
              <w:ind w:left="260"/>
              <w:spacing w:after="0" w:line="202" w:lineRule="exact"/>
              <w:rPr>
                <w:sz w:val="20"/>
                <w:szCs w:val="20"/>
                <w:color w:val="auto"/>
              </w:rPr>
            </w:pPr>
            <w:r>
              <w:rPr>
                <w:rFonts w:ascii="Arial" w:cs="Arial" w:eastAsia="Arial" w:hAnsi="Arial"/>
                <w:sz w:val="18"/>
                <w:szCs w:val="18"/>
                <w:color w:val="auto"/>
              </w:rPr>
              <w:t>U.S.</w:t>
            </w:r>
          </w:p>
        </w:tc>
        <w:tc>
          <w:tcPr>
            <w:tcW w:w="18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16.3</w:t>
            </w:r>
          </w:p>
        </w:tc>
        <w:tc>
          <w:tcPr>
            <w:tcW w:w="16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16.3</w:t>
            </w:r>
          </w:p>
        </w:tc>
        <w:tc>
          <w:tcPr>
            <w:tcW w:w="24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240" w:type="dxa"/>
            <w:vAlign w:val="bottom"/>
            <w:gridSpan w:val="2"/>
          </w:tcPr>
          <w:p>
            <w:pPr>
              <w:ind w:left="980"/>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1.1</w:t>
            </w:r>
          </w:p>
        </w:tc>
        <w:tc>
          <w:tcPr>
            <w:tcW w:w="18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0.9</w:t>
            </w:r>
          </w:p>
        </w:tc>
        <w:tc>
          <w:tcPr>
            <w:tcW w:w="24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0.2</w:t>
            </w:r>
          </w:p>
        </w:tc>
        <w:tc>
          <w:tcPr>
            <w:tcW w:w="200" w:type="dxa"/>
            <w:vAlign w:val="bottom"/>
          </w:tcPr>
          <w:p>
            <w:pPr>
              <w:spacing w:after="0"/>
              <w:rPr>
                <w:sz w:val="17"/>
                <w:szCs w:val="17"/>
                <w:color w:val="auto"/>
              </w:rPr>
            </w:pPr>
          </w:p>
        </w:tc>
        <w:tc>
          <w:tcPr>
            <w:tcW w:w="11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1460" w:type="dxa"/>
            <w:vAlign w:val="bottom"/>
          </w:tcPr>
          <w:p>
            <w:pPr>
              <w:ind w:left="520"/>
              <w:spacing w:after="0" w:line="202" w:lineRule="exact"/>
              <w:rPr>
                <w:sz w:val="20"/>
                <w:szCs w:val="20"/>
                <w:color w:val="auto"/>
              </w:rPr>
            </w:pPr>
            <w:r>
              <w:rPr>
                <w:rFonts w:ascii="Arial" w:cs="Arial" w:eastAsia="Arial" w:hAnsi="Arial"/>
                <w:sz w:val="18"/>
                <w:szCs w:val="18"/>
                <w:color w:val="auto"/>
              </w:rPr>
              <w:t>companies</w:t>
            </w: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1460" w:type="dxa"/>
            <w:vAlign w:val="bottom"/>
          </w:tcPr>
          <w:p>
            <w:pPr>
              <w:ind w:left="260"/>
              <w:spacing w:after="0" w:line="202" w:lineRule="exact"/>
              <w:rPr>
                <w:sz w:val="20"/>
                <w:szCs w:val="20"/>
                <w:color w:val="auto"/>
              </w:rPr>
            </w:pPr>
            <w:r>
              <w:rPr>
                <w:rFonts w:ascii="Arial" w:cs="Arial" w:eastAsia="Arial" w:hAnsi="Arial"/>
                <w:sz w:val="18"/>
                <w:szCs w:val="18"/>
                <w:color w:val="auto"/>
              </w:rPr>
              <w:t>International</w:t>
            </w:r>
          </w:p>
        </w:tc>
        <w:tc>
          <w:tcPr>
            <w:tcW w:w="18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240" w:type="dxa"/>
            <w:vAlign w:val="bottom"/>
            <w:gridSpan w:val="2"/>
          </w:tcPr>
          <w:p>
            <w:pPr>
              <w:ind w:left="980"/>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73.0</w:t>
            </w:r>
          </w:p>
        </w:tc>
        <w:tc>
          <w:tcPr>
            <w:tcW w:w="18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73.0</w:t>
            </w:r>
          </w:p>
        </w:tc>
        <w:tc>
          <w:tcPr>
            <w:tcW w:w="24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1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1460" w:type="dxa"/>
            <w:vAlign w:val="bottom"/>
          </w:tcPr>
          <w:p>
            <w:pPr>
              <w:ind w:left="520"/>
              <w:spacing w:after="0" w:line="202" w:lineRule="exact"/>
              <w:rPr>
                <w:sz w:val="20"/>
                <w:szCs w:val="20"/>
                <w:color w:val="auto"/>
              </w:rPr>
            </w:pPr>
            <w:r>
              <w:rPr>
                <w:rFonts w:ascii="Arial" w:cs="Arial" w:eastAsia="Arial" w:hAnsi="Arial"/>
                <w:sz w:val="18"/>
                <w:szCs w:val="18"/>
                <w:color w:val="auto"/>
              </w:rPr>
              <w:t>companies</w:t>
            </w: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1480" w:type="dxa"/>
            <w:vAlign w:val="bottom"/>
            <w:gridSpan w:val="2"/>
          </w:tcPr>
          <w:p>
            <w:pPr>
              <w:spacing w:after="0" w:line="202" w:lineRule="exact"/>
              <w:rPr>
                <w:sz w:val="20"/>
                <w:szCs w:val="20"/>
                <w:color w:val="auto"/>
              </w:rPr>
            </w:pPr>
            <w:r>
              <w:rPr>
                <w:rFonts w:ascii="Arial" w:cs="Arial" w:eastAsia="Arial" w:hAnsi="Arial"/>
                <w:sz w:val="18"/>
                <w:szCs w:val="18"/>
                <w:color w:val="auto"/>
              </w:rPr>
              <w:t>Fixed income</w:t>
            </w: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1460" w:type="dxa"/>
            <w:vAlign w:val="bottom"/>
          </w:tcPr>
          <w:p>
            <w:pPr>
              <w:ind w:left="260"/>
              <w:spacing w:after="0" w:line="202" w:lineRule="exact"/>
              <w:rPr>
                <w:sz w:val="20"/>
                <w:szCs w:val="20"/>
                <w:color w:val="auto"/>
              </w:rPr>
            </w:pPr>
            <w:r>
              <w:rPr>
                <w:rFonts w:ascii="Arial" w:cs="Arial" w:eastAsia="Arial" w:hAnsi="Arial"/>
                <w:sz w:val="18"/>
                <w:szCs w:val="18"/>
                <w:color w:val="auto"/>
              </w:rPr>
              <w:t>securities:</w:t>
            </w: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89"/>
        </w:trPr>
        <w:tc>
          <w:tcPr>
            <w:tcW w:w="20" w:type="dxa"/>
            <w:vAlign w:val="bottom"/>
          </w:tcPr>
          <w:p>
            <w:pPr>
              <w:spacing w:after="0"/>
              <w:rPr>
                <w:sz w:val="16"/>
                <w:szCs w:val="16"/>
                <w:color w:val="auto"/>
              </w:rPr>
            </w:pPr>
          </w:p>
        </w:tc>
        <w:tc>
          <w:tcPr>
            <w:tcW w:w="1460" w:type="dxa"/>
            <w:vAlign w:val="bottom"/>
          </w:tcPr>
          <w:p>
            <w:pPr>
              <w:ind w:left="260"/>
              <w:spacing w:after="0" w:line="189" w:lineRule="exact"/>
              <w:rPr>
                <w:sz w:val="20"/>
                <w:szCs w:val="20"/>
                <w:color w:val="auto"/>
              </w:rPr>
            </w:pPr>
            <w:r>
              <w:rPr>
                <w:rFonts w:ascii="Arial" w:cs="Arial" w:eastAsia="Arial" w:hAnsi="Arial"/>
                <w:sz w:val="18"/>
                <w:szCs w:val="18"/>
                <w:color w:val="auto"/>
              </w:rPr>
              <w:t>Government</w:t>
            </w:r>
          </w:p>
        </w:tc>
        <w:tc>
          <w:tcPr>
            <w:tcW w:w="180" w:type="dxa"/>
            <w:vAlign w:val="bottom"/>
          </w:tcPr>
          <w:p>
            <w:pPr>
              <w:spacing w:after="0"/>
              <w:rPr>
                <w:sz w:val="16"/>
                <w:szCs w:val="16"/>
                <w:color w:val="auto"/>
              </w:rPr>
            </w:pPr>
          </w:p>
        </w:tc>
        <w:tc>
          <w:tcPr>
            <w:tcW w:w="1140" w:type="dxa"/>
            <w:vAlign w:val="bottom"/>
          </w:tcPr>
          <w:p>
            <w:pPr>
              <w:jc w:val="right"/>
              <w:spacing w:after="0" w:line="189" w:lineRule="exact"/>
              <w:rPr>
                <w:sz w:val="20"/>
                <w:szCs w:val="20"/>
                <w:color w:val="auto"/>
              </w:rPr>
            </w:pPr>
            <w:r>
              <w:rPr>
                <w:rFonts w:ascii="Arial" w:cs="Arial" w:eastAsia="Arial" w:hAnsi="Arial"/>
                <w:sz w:val="18"/>
                <w:szCs w:val="18"/>
                <w:color w:val="auto"/>
              </w:rPr>
              <w:t>15.3</w:t>
            </w:r>
          </w:p>
        </w:tc>
        <w:tc>
          <w:tcPr>
            <w:tcW w:w="160" w:type="dxa"/>
            <w:vAlign w:val="bottom"/>
          </w:tcPr>
          <w:p>
            <w:pPr>
              <w:spacing w:after="0"/>
              <w:rPr>
                <w:sz w:val="16"/>
                <w:szCs w:val="16"/>
                <w:color w:val="auto"/>
              </w:rPr>
            </w:pPr>
          </w:p>
        </w:tc>
        <w:tc>
          <w:tcPr>
            <w:tcW w:w="90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6"/>
                <w:szCs w:val="16"/>
                <w:color w:val="auto"/>
              </w:rPr>
            </w:pPr>
          </w:p>
        </w:tc>
        <w:tc>
          <w:tcPr>
            <w:tcW w:w="960" w:type="dxa"/>
            <w:vAlign w:val="bottom"/>
          </w:tcPr>
          <w:p>
            <w:pPr>
              <w:jc w:val="right"/>
              <w:spacing w:after="0" w:line="189" w:lineRule="exact"/>
              <w:rPr>
                <w:sz w:val="20"/>
                <w:szCs w:val="20"/>
                <w:color w:val="auto"/>
              </w:rPr>
            </w:pPr>
            <w:r>
              <w:rPr>
                <w:rFonts w:ascii="Arial" w:cs="Arial" w:eastAsia="Arial" w:hAnsi="Arial"/>
                <w:sz w:val="18"/>
                <w:szCs w:val="18"/>
                <w:color w:val="auto"/>
              </w:rPr>
              <w:t>15.3</w:t>
            </w:r>
          </w:p>
        </w:tc>
        <w:tc>
          <w:tcPr>
            <w:tcW w:w="180" w:type="dxa"/>
            <w:vAlign w:val="bottom"/>
          </w:tcPr>
          <w:p>
            <w:pPr>
              <w:spacing w:after="0"/>
              <w:rPr>
                <w:sz w:val="16"/>
                <w:szCs w:val="16"/>
                <w:color w:val="auto"/>
              </w:rPr>
            </w:pPr>
          </w:p>
        </w:tc>
        <w:tc>
          <w:tcPr>
            <w:tcW w:w="1240" w:type="dxa"/>
            <w:vAlign w:val="bottom"/>
            <w:gridSpan w:val="2"/>
          </w:tcPr>
          <w:p>
            <w:pPr>
              <w:ind w:left="980"/>
              <w:spacing w:after="0" w:line="189"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tcPr>
          <w:p>
            <w:pPr>
              <w:jc w:val="right"/>
              <w:spacing w:after="0" w:line="189" w:lineRule="exact"/>
              <w:rPr>
                <w:sz w:val="20"/>
                <w:szCs w:val="20"/>
                <w:color w:val="auto"/>
              </w:rPr>
            </w:pPr>
            <w:r>
              <w:rPr>
                <w:rFonts w:ascii="Arial" w:cs="Arial" w:eastAsia="Arial" w:hAnsi="Arial"/>
                <w:sz w:val="18"/>
                <w:szCs w:val="18"/>
                <w:color w:val="auto"/>
              </w:rPr>
              <w:t>14.8</w:t>
            </w:r>
          </w:p>
        </w:tc>
        <w:tc>
          <w:tcPr>
            <w:tcW w:w="180" w:type="dxa"/>
            <w:vAlign w:val="bottom"/>
          </w:tcPr>
          <w:p>
            <w:pPr>
              <w:spacing w:after="0"/>
              <w:rPr>
                <w:sz w:val="16"/>
                <w:szCs w:val="16"/>
                <w:color w:val="auto"/>
              </w:rPr>
            </w:pPr>
          </w:p>
        </w:tc>
        <w:tc>
          <w:tcPr>
            <w:tcW w:w="90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6"/>
                <w:szCs w:val="16"/>
                <w:color w:val="auto"/>
              </w:rPr>
            </w:pPr>
          </w:p>
        </w:tc>
        <w:tc>
          <w:tcPr>
            <w:tcW w:w="960" w:type="dxa"/>
            <w:vAlign w:val="bottom"/>
          </w:tcPr>
          <w:p>
            <w:pPr>
              <w:jc w:val="right"/>
              <w:spacing w:after="0" w:line="189" w:lineRule="exact"/>
              <w:rPr>
                <w:sz w:val="20"/>
                <w:szCs w:val="20"/>
                <w:color w:val="auto"/>
              </w:rPr>
            </w:pPr>
            <w:r>
              <w:rPr>
                <w:rFonts w:ascii="Arial" w:cs="Arial" w:eastAsia="Arial" w:hAnsi="Arial"/>
                <w:sz w:val="18"/>
                <w:szCs w:val="18"/>
                <w:color w:val="auto"/>
              </w:rPr>
              <w:t>14.8</w:t>
            </w:r>
          </w:p>
        </w:tc>
        <w:tc>
          <w:tcPr>
            <w:tcW w:w="200" w:type="dxa"/>
            <w:vAlign w:val="bottom"/>
          </w:tcPr>
          <w:p>
            <w:pPr>
              <w:spacing w:after="0"/>
              <w:rPr>
                <w:sz w:val="16"/>
                <w:szCs w:val="16"/>
                <w:color w:val="auto"/>
              </w:rPr>
            </w:pPr>
          </w:p>
        </w:tc>
        <w:tc>
          <w:tcPr>
            <w:tcW w:w="1100" w:type="dxa"/>
            <w:vAlign w:val="bottom"/>
            <w:gridSpan w:val="2"/>
          </w:tcPr>
          <w:p>
            <w:pPr>
              <w:jc w:val="right"/>
              <w:ind w:right="20"/>
              <w:spacing w:after="0" w:line="189" w:lineRule="exact"/>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1460" w:type="dxa"/>
            <w:vAlign w:val="bottom"/>
          </w:tcPr>
          <w:p>
            <w:pPr>
              <w:ind w:left="520"/>
              <w:spacing w:after="0" w:line="216" w:lineRule="exact"/>
              <w:rPr>
                <w:sz w:val="20"/>
                <w:szCs w:val="20"/>
                <w:color w:val="auto"/>
              </w:rPr>
            </w:pPr>
            <w:r>
              <w:rPr>
                <w:rFonts w:ascii="Arial" w:cs="Arial" w:eastAsia="Arial" w:hAnsi="Arial"/>
                <w:sz w:val="25"/>
                <w:szCs w:val="25"/>
                <w:color w:val="auto"/>
                <w:vertAlign w:val="subscript"/>
              </w:rPr>
              <w:t>bonds</w:t>
            </w:r>
            <w:r>
              <w:rPr>
                <w:rFonts w:ascii="Arial" w:cs="Arial" w:eastAsia="Arial" w:hAnsi="Arial"/>
                <w:sz w:val="11"/>
                <w:szCs w:val="11"/>
                <w:color w:val="auto"/>
              </w:rPr>
              <w:t>(2) (3)</w:t>
            </w: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90"/>
        </w:trPr>
        <w:tc>
          <w:tcPr>
            <w:tcW w:w="20" w:type="dxa"/>
            <w:vAlign w:val="bottom"/>
          </w:tcPr>
          <w:p>
            <w:pPr>
              <w:spacing w:after="0"/>
              <w:rPr>
                <w:sz w:val="16"/>
                <w:szCs w:val="16"/>
                <w:color w:val="auto"/>
              </w:rPr>
            </w:pPr>
          </w:p>
        </w:tc>
        <w:tc>
          <w:tcPr>
            <w:tcW w:w="1460" w:type="dxa"/>
            <w:vAlign w:val="bottom"/>
          </w:tcPr>
          <w:p>
            <w:pPr>
              <w:ind w:left="260"/>
              <w:spacing w:after="0" w:line="189" w:lineRule="exact"/>
              <w:rPr>
                <w:sz w:val="20"/>
                <w:szCs w:val="20"/>
                <w:color w:val="auto"/>
              </w:rPr>
            </w:pPr>
            <w:r>
              <w:rPr>
                <w:rFonts w:ascii="Arial" w:cs="Arial" w:eastAsia="Arial" w:hAnsi="Arial"/>
                <w:sz w:val="18"/>
                <w:szCs w:val="18"/>
                <w:color w:val="auto"/>
              </w:rPr>
              <w:t>Corporate</w:t>
            </w:r>
          </w:p>
        </w:tc>
        <w:tc>
          <w:tcPr>
            <w:tcW w:w="180" w:type="dxa"/>
            <w:vAlign w:val="bottom"/>
          </w:tcPr>
          <w:p>
            <w:pPr>
              <w:spacing w:after="0"/>
              <w:rPr>
                <w:sz w:val="16"/>
                <w:szCs w:val="16"/>
                <w:color w:val="auto"/>
              </w:rPr>
            </w:pPr>
          </w:p>
        </w:tc>
        <w:tc>
          <w:tcPr>
            <w:tcW w:w="114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6"/>
                <w:szCs w:val="16"/>
                <w:color w:val="auto"/>
              </w:rPr>
            </w:pPr>
          </w:p>
        </w:tc>
        <w:tc>
          <w:tcPr>
            <w:tcW w:w="90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6"/>
                <w:szCs w:val="16"/>
                <w:color w:val="auto"/>
              </w:rPr>
            </w:pPr>
          </w:p>
        </w:tc>
        <w:tc>
          <w:tcPr>
            <w:tcW w:w="96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6"/>
                <w:szCs w:val="16"/>
                <w:color w:val="auto"/>
              </w:rPr>
            </w:pPr>
          </w:p>
        </w:tc>
        <w:tc>
          <w:tcPr>
            <w:tcW w:w="1240" w:type="dxa"/>
            <w:vAlign w:val="bottom"/>
            <w:gridSpan w:val="2"/>
          </w:tcPr>
          <w:p>
            <w:pPr>
              <w:ind w:left="980"/>
              <w:spacing w:after="0" w:line="189"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tcPr>
          <w:p>
            <w:pPr>
              <w:jc w:val="right"/>
              <w:spacing w:after="0" w:line="189" w:lineRule="exact"/>
              <w:rPr>
                <w:sz w:val="20"/>
                <w:szCs w:val="20"/>
                <w:color w:val="auto"/>
              </w:rPr>
            </w:pPr>
            <w:r>
              <w:rPr>
                <w:rFonts w:ascii="Arial" w:cs="Arial" w:eastAsia="Arial" w:hAnsi="Arial"/>
                <w:sz w:val="18"/>
                <w:szCs w:val="18"/>
                <w:color w:val="auto"/>
              </w:rPr>
              <w:t>90.0</w:t>
            </w:r>
          </w:p>
        </w:tc>
        <w:tc>
          <w:tcPr>
            <w:tcW w:w="180" w:type="dxa"/>
            <w:vAlign w:val="bottom"/>
          </w:tcPr>
          <w:p>
            <w:pPr>
              <w:spacing w:after="0"/>
              <w:rPr>
                <w:sz w:val="16"/>
                <w:szCs w:val="16"/>
                <w:color w:val="auto"/>
              </w:rPr>
            </w:pPr>
          </w:p>
        </w:tc>
        <w:tc>
          <w:tcPr>
            <w:tcW w:w="90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6"/>
                <w:szCs w:val="16"/>
                <w:color w:val="auto"/>
              </w:rPr>
            </w:pPr>
          </w:p>
        </w:tc>
        <w:tc>
          <w:tcPr>
            <w:tcW w:w="960" w:type="dxa"/>
            <w:vAlign w:val="bottom"/>
          </w:tcPr>
          <w:p>
            <w:pPr>
              <w:jc w:val="right"/>
              <w:spacing w:after="0" w:line="189" w:lineRule="exact"/>
              <w:rPr>
                <w:sz w:val="20"/>
                <w:szCs w:val="20"/>
                <w:color w:val="auto"/>
              </w:rPr>
            </w:pPr>
            <w:r>
              <w:rPr>
                <w:rFonts w:ascii="Arial" w:cs="Arial" w:eastAsia="Arial" w:hAnsi="Arial"/>
                <w:sz w:val="18"/>
                <w:szCs w:val="18"/>
                <w:color w:val="auto"/>
              </w:rPr>
              <w:t>90.0</w:t>
            </w:r>
          </w:p>
        </w:tc>
        <w:tc>
          <w:tcPr>
            <w:tcW w:w="200" w:type="dxa"/>
            <w:vAlign w:val="bottom"/>
          </w:tcPr>
          <w:p>
            <w:pPr>
              <w:spacing w:after="0"/>
              <w:rPr>
                <w:sz w:val="16"/>
                <w:szCs w:val="16"/>
                <w:color w:val="auto"/>
              </w:rPr>
            </w:pPr>
          </w:p>
        </w:tc>
        <w:tc>
          <w:tcPr>
            <w:tcW w:w="1100" w:type="dxa"/>
            <w:vAlign w:val="bottom"/>
            <w:gridSpan w:val="2"/>
          </w:tcPr>
          <w:p>
            <w:pPr>
              <w:jc w:val="right"/>
              <w:ind w:right="20"/>
              <w:spacing w:after="0" w:line="189" w:lineRule="exact"/>
              <w:rPr>
                <w:sz w:val="20"/>
                <w:szCs w:val="20"/>
                <w:color w:val="auto"/>
              </w:rPr>
            </w:pPr>
            <w:r>
              <w:rPr>
                <w:rFonts w:ascii="Arial" w:cs="Arial" w:eastAsia="Arial" w:hAnsi="Arial"/>
                <w:sz w:val="18"/>
                <w:szCs w:val="18"/>
                <w:color w:val="auto"/>
              </w:rPr>
              <w:t>–</w:t>
            </w:r>
          </w:p>
        </w:tc>
      </w:tr>
      <w:tr>
        <w:trPr>
          <w:trHeight w:val="229"/>
        </w:trPr>
        <w:tc>
          <w:tcPr>
            <w:tcW w:w="20" w:type="dxa"/>
            <w:vAlign w:val="bottom"/>
          </w:tcPr>
          <w:p>
            <w:pPr>
              <w:spacing w:after="0"/>
              <w:rPr>
                <w:sz w:val="19"/>
                <w:szCs w:val="19"/>
                <w:color w:val="auto"/>
              </w:rPr>
            </w:pPr>
          </w:p>
        </w:tc>
        <w:tc>
          <w:tcPr>
            <w:tcW w:w="1460" w:type="dxa"/>
            <w:vAlign w:val="bottom"/>
          </w:tcPr>
          <w:p>
            <w:pPr>
              <w:ind w:left="520"/>
              <w:spacing w:after="0" w:line="228" w:lineRule="exact"/>
              <w:rPr>
                <w:sz w:val="20"/>
                <w:szCs w:val="20"/>
                <w:color w:val="auto"/>
              </w:rPr>
            </w:pPr>
            <w:r>
              <w:rPr>
                <w:rFonts w:ascii="Arial" w:cs="Arial" w:eastAsia="Arial" w:hAnsi="Arial"/>
                <w:sz w:val="17"/>
                <w:szCs w:val="17"/>
                <w:color w:val="auto"/>
              </w:rPr>
              <w:t xml:space="preserve">bonds </w:t>
            </w:r>
            <w:r>
              <w:rPr>
                <w:rFonts w:ascii="Arial" w:cs="Arial" w:eastAsia="Arial" w:hAnsi="Arial"/>
                <w:sz w:val="26"/>
                <w:szCs w:val="26"/>
                <w:color w:val="auto"/>
                <w:vertAlign w:val="superscript"/>
              </w:rPr>
              <w:t>(3)</w:t>
            </w: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03"/>
        </w:trPr>
        <w:tc>
          <w:tcPr>
            <w:tcW w:w="20" w:type="dxa"/>
            <w:vAlign w:val="bottom"/>
          </w:tcPr>
          <w:p>
            <w:pPr>
              <w:spacing w:after="0"/>
              <w:rPr>
                <w:sz w:val="17"/>
                <w:szCs w:val="17"/>
                <w:color w:val="auto"/>
              </w:rPr>
            </w:pPr>
          </w:p>
        </w:tc>
        <w:tc>
          <w:tcPr>
            <w:tcW w:w="1460" w:type="dxa"/>
            <w:vAlign w:val="bottom"/>
          </w:tcPr>
          <w:p>
            <w:pPr>
              <w:ind w:left="260"/>
              <w:spacing w:after="0" w:line="202" w:lineRule="exact"/>
              <w:rPr>
                <w:sz w:val="20"/>
                <w:szCs w:val="20"/>
                <w:color w:val="auto"/>
              </w:rPr>
            </w:pPr>
            <w:r>
              <w:rPr>
                <w:rFonts w:ascii="Arial" w:cs="Arial" w:eastAsia="Arial" w:hAnsi="Arial"/>
                <w:sz w:val="18"/>
                <w:szCs w:val="18"/>
                <w:color w:val="auto"/>
              </w:rPr>
              <w:t>Bank loans</w:t>
            </w:r>
          </w:p>
        </w:tc>
        <w:tc>
          <w:tcPr>
            <w:tcW w:w="18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240" w:type="dxa"/>
            <w:vAlign w:val="bottom"/>
            <w:gridSpan w:val="2"/>
          </w:tcPr>
          <w:p>
            <w:pPr>
              <w:ind w:left="980"/>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0.6</w:t>
            </w:r>
          </w:p>
        </w:tc>
        <w:tc>
          <w:tcPr>
            <w:tcW w:w="18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0.6</w:t>
            </w:r>
          </w:p>
        </w:tc>
        <w:tc>
          <w:tcPr>
            <w:tcW w:w="24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1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1460" w:type="dxa"/>
            <w:vAlign w:val="bottom"/>
          </w:tcPr>
          <w:p>
            <w:pPr>
              <w:ind w:left="260"/>
              <w:spacing w:after="0" w:line="202" w:lineRule="exact"/>
              <w:rPr>
                <w:sz w:val="20"/>
                <w:szCs w:val="20"/>
                <w:color w:val="auto"/>
              </w:rPr>
            </w:pPr>
            <w:r>
              <w:rPr>
                <w:rFonts w:ascii="Arial" w:cs="Arial" w:eastAsia="Arial" w:hAnsi="Arial"/>
                <w:sz w:val="18"/>
                <w:szCs w:val="18"/>
                <w:color w:val="auto"/>
              </w:rPr>
              <w:t>Guaranteed</w:t>
            </w:r>
          </w:p>
        </w:tc>
        <w:tc>
          <w:tcPr>
            <w:tcW w:w="18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240" w:type="dxa"/>
            <w:vAlign w:val="bottom"/>
            <w:gridSpan w:val="2"/>
          </w:tcPr>
          <w:p>
            <w:pPr>
              <w:ind w:left="980"/>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7.8</w:t>
            </w:r>
          </w:p>
        </w:tc>
        <w:tc>
          <w:tcPr>
            <w:tcW w:w="18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7.8</w:t>
            </w:r>
          </w:p>
        </w:tc>
        <w:tc>
          <w:tcPr>
            <w:tcW w:w="200" w:type="dxa"/>
            <w:vAlign w:val="bottom"/>
          </w:tcPr>
          <w:p>
            <w:pPr>
              <w:spacing w:after="0"/>
              <w:rPr>
                <w:sz w:val="17"/>
                <w:szCs w:val="17"/>
                <w:color w:val="auto"/>
              </w:rPr>
            </w:pPr>
          </w:p>
        </w:tc>
        <w:tc>
          <w:tcPr>
            <w:tcW w:w="11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1460" w:type="dxa"/>
            <w:vAlign w:val="bottom"/>
          </w:tcPr>
          <w:p>
            <w:pPr>
              <w:ind w:left="520"/>
              <w:spacing w:after="0" w:line="202" w:lineRule="exact"/>
              <w:rPr>
                <w:sz w:val="20"/>
                <w:szCs w:val="20"/>
                <w:color w:val="auto"/>
              </w:rPr>
            </w:pPr>
            <w:r>
              <w:rPr>
                <w:rFonts w:ascii="Arial" w:cs="Arial" w:eastAsia="Arial" w:hAnsi="Arial"/>
                <w:sz w:val="18"/>
                <w:szCs w:val="18"/>
                <w:color w:val="auto"/>
              </w:rPr>
              <w:t>insurance</w:t>
            </w: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1460" w:type="dxa"/>
            <w:vAlign w:val="bottom"/>
          </w:tcPr>
          <w:p>
            <w:pPr>
              <w:ind w:left="520"/>
              <w:spacing w:after="0" w:line="202" w:lineRule="exact"/>
              <w:rPr>
                <w:sz w:val="20"/>
                <w:szCs w:val="20"/>
                <w:color w:val="auto"/>
              </w:rPr>
            </w:pPr>
            <w:r>
              <w:rPr>
                <w:rFonts w:ascii="Arial" w:cs="Arial" w:eastAsia="Arial" w:hAnsi="Arial"/>
                <w:sz w:val="18"/>
                <w:szCs w:val="18"/>
                <w:color w:val="auto"/>
              </w:rPr>
              <w:t>contracts</w:t>
            </w: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1480" w:type="dxa"/>
            <w:vAlign w:val="bottom"/>
            <w:gridSpan w:val="2"/>
          </w:tcPr>
          <w:p>
            <w:pPr>
              <w:spacing w:after="0" w:line="202" w:lineRule="exact"/>
              <w:rPr>
                <w:sz w:val="20"/>
                <w:szCs w:val="20"/>
                <w:color w:val="auto"/>
              </w:rPr>
            </w:pPr>
            <w:r>
              <w:rPr>
                <w:rFonts w:ascii="Arial" w:cs="Arial" w:eastAsia="Arial" w:hAnsi="Arial"/>
                <w:sz w:val="18"/>
                <w:szCs w:val="18"/>
                <w:color w:val="auto"/>
              </w:rPr>
              <w:t>Other types of</w:t>
            </w: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1460" w:type="dxa"/>
            <w:vAlign w:val="bottom"/>
          </w:tcPr>
          <w:p>
            <w:pPr>
              <w:ind w:left="260"/>
              <w:spacing w:after="0" w:line="202" w:lineRule="exact"/>
              <w:rPr>
                <w:sz w:val="20"/>
                <w:szCs w:val="20"/>
                <w:color w:val="auto"/>
              </w:rPr>
            </w:pPr>
            <w:r>
              <w:rPr>
                <w:rFonts w:ascii="Arial" w:cs="Arial" w:eastAsia="Arial" w:hAnsi="Arial"/>
                <w:sz w:val="18"/>
                <w:szCs w:val="18"/>
                <w:color w:val="auto"/>
              </w:rPr>
              <w:t>investments:</w:t>
            </w: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1460" w:type="dxa"/>
            <w:vAlign w:val="bottom"/>
          </w:tcPr>
          <w:p>
            <w:pPr>
              <w:ind w:left="260"/>
              <w:spacing w:after="0" w:line="202" w:lineRule="exact"/>
              <w:rPr>
                <w:sz w:val="20"/>
                <w:szCs w:val="20"/>
                <w:color w:val="auto"/>
              </w:rPr>
            </w:pPr>
            <w:r>
              <w:rPr>
                <w:rFonts w:ascii="Arial" w:cs="Arial" w:eastAsia="Arial" w:hAnsi="Arial"/>
                <w:sz w:val="18"/>
                <w:szCs w:val="18"/>
                <w:color w:val="auto"/>
              </w:rPr>
              <w:t>Equity hedge</w:t>
            </w:r>
          </w:p>
        </w:tc>
        <w:tc>
          <w:tcPr>
            <w:tcW w:w="18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240" w:type="dxa"/>
            <w:vAlign w:val="bottom"/>
            <w:gridSpan w:val="2"/>
          </w:tcPr>
          <w:p>
            <w:pPr>
              <w:ind w:left="980"/>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0.6</w:t>
            </w:r>
          </w:p>
        </w:tc>
        <w:tc>
          <w:tcPr>
            <w:tcW w:w="18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0.6</w:t>
            </w:r>
          </w:p>
        </w:tc>
        <w:tc>
          <w:tcPr>
            <w:tcW w:w="24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1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1460" w:type="dxa"/>
            <w:vAlign w:val="bottom"/>
          </w:tcPr>
          <w:p>
            <w:pPr>
              <w:ind w:left="520"/>
              <w:spacing w:after="0" w:line="202" w:lineRule="exact"/>
              <w:rPr>
                <w:sz w:val="20"/>
                <w:szCs w:val="20"/>
                <w:color w:val="auto"/>
              </w:rPr>
            </w:pPr>
            <w:r>
              <w:rPr>
                <w:rFonts w:ascii="Arial" w:cs="Arial" w:eastAsia="Arial" w:hAnsi="Arial"/>
                <w:sz w:val="18"/>
                <w:szCs w:val="18"/>
                <w:color w:val="auto"/>
              </w:rPr>
              <w:t>funds</w:t>
            </w: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1460" w:type="dxa"/>
            <w:vAlign w:val="bottom"/>
          </w:tcPr>
          <w:p>
            <w:pPr>
              <w:ind w:left="260"/>
              <w:spacing w:after="0" w:line="202" w:lineRule="exact"/>
              <w:rPr>
                <w:sz w:val="20"/>
                <w:szCs w:val="20"/>
                <w:color w:val="auto"/>
              </w:rPr>
            </w:pPr>
            <w:r>
              <w:rPr>
                <w:rFonts w:ascii="Arial" w:cs="Arial" w:eastAsia="Arial" w:hAnsi="Arial"/>
                <w:sz w:val="18"/>
                <w:szCs w:val="18"/>
                <w:color w:val="auto"/>
              </w:rPr>
              <w:t>Real estate</w:t>
            </w:r>
          </w:p>
        </w:tc>
        <w:tc>
          <w:tcPr>
            <w:tcW w:w="18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240" w:type="dxa"/>
            <w:vAlign w:val="bottom"/>
            <w:gridSpan w:val="2"/>
          </w:tcPr>
          <w:p>
            <w:pPr>
              <w:ind w:left="980"/>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8.1</w:t>
            </w:r>
          </w:p>
        </w:tc>
        <w:tc>
          <w:tcPr>
            <w:tcW w:w="18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8.1</w:t>
            </w:r>
          </w:p>
        </w:tc>
        <w:tc>
          <w:tcPr>
            <w:tcW w:w="200" w:type="dxa"/>
            <w:vAlign w:val="bottom"/>
          </w:tcPr>
          <w:p>
            <w:pPr>
              <w:spacing w:after="0"/>
              <w:rPr>
                <w:sz w:val="17"/>
                <w:szCs w:val="17"/>
                <w:color w:val="auto"/>
              </w:rPr>
            </w:pPr>
          </w:p>
        </w:tc>
        <w:tc>
          <w:tcPr>
            <w:tcW w:w="11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1460" w:type="dxa"/>
            <w:vAlign w:val="bottom"/>
            <w:tcBorders>
              <w:bottom w:val="single" w:sz="8" w:color="939598"/>
            </w:tcBorders>
          </w:tcPr>
          <w:p>
            <w:pPr>
              <w:ind w:left="520"/>
              <w:spacing w:after="0" w:line="203" w:lineRule="exact"/>
              <w:rPr>
                <w:sz w:val="20"/>
                <w:szCs w:val="20"/>
                <w:color w:val="auto"/>
              </w:rPr>
            </w:pPr>
            <w:r>
              <w:rPr>
                <w:rFonts w:ascii="Arial" w:cs="Arial" w:eastAsia="Arial" w:hAnsi="Arial"/>
                <w:sz w:val="18"/>
                <w:szCs w:val="18"/>
                <w:color w:val="auto"/>
              </w:rPr>
              <w:t>funds</w:t>
            </w:r>
          </w:p>
        </w:tc>
        <w:tc>
          <w:tcPr>
            <w:tcW w:w="180" w:type="dxa"/>
            <w:vAlign w:val="bottom"/>
            <w:tcBorders>
              <w:bottom w:val="single" w:sz="8" w:color="939598"/>
            </w:tcBorders>
          </w:tcPr>
          <w:p>
            <w:pPr>
              <w:spacing w:after="0"/>
              <w:rPr>
                <w:sz w:val="17"/>
                <w:szCs w:val="17"/>
                <w:color w:val="auto"/>
              </w:rPr>
            </w:pPr>
          </w:p>
        </w:tc>
        <w:tc>
          <w:tcPr>
            <w:tcW w:w="1140" w:type="dxa"/>
            <w:vAlign w:val="bottom"/>
            <w:tcBorders>
              <w:bottom w:val="single" w:sz="8" w:color="939598"/>
            </w:tcBorders>
          </w:tcPr>
          <w:p>
            <w:pPr>
              <w:spacing w:after="0"/>
              <w:rPr>
                <w:sz w:val="17"/>
                <w:szCs w:val="17"/>
                <w:color w:val="auto"/>
              </w:rPr>
            </w:pPr>
          </w:p>
        </w:tc>
        <w:tc>
          <w:tcPr>
            <w:tcW w:w="160" w:type="dxa"/>
            <w:vAlign w:val="bottom"/>
            <w:tcBorders>
              <w:bottom w:val="single" w:sz="8" w:color="939598"/>
            </w:tcBorders>
          </w:tcPr>
          <w:p>
            <w:pPr>
              <w:spacing w:after="0"/>
              <w:rPr>
                <w:sz w:val="17"/>
                <w:szCs w:val="17"/>
                <w:color w:val="auto"/>
              </w:rPr>
            </w:pPr>
          </w:p>
        </w:tc>
        <w:tc>
          <w:tcPr>
            <w:tcW w:w="900" w:type="dxa"/>
            <w:vAlign w:val="bottom"/>
            <w:tcBorders>
              <w:bottom w:val="single" w:sz="8" w:color="939598"/>
            </w:tcBorders>
          </w:tcPr>
          <w:p>
            <w:pPr>
              <w:spacing w:after="0"/>
              <w:rPr>
                <w:sz w:val="17"/>
                <w:szCs w:val="17"/>
                <w:color w:val="auto"/>
              </w:rPr>
            </w:pPr>
          </w:p>
        </w:tc>
        <w:tc>
          <w:tcPr>
            <w:tcW w:w="240" w:type="dxa"/>
            <w:vAlign w:val="bottom"/>
            <w:tcBorders>
              <w:bottom w:val="single" w:sz="8" w:color="939598"/>
            </w:tcBorders>
          </w:tcPr>
          <w:p>
            <w:pPr>
              <w:spacing w:after="0"/>
              <w:rPr>
                <w:sz w:val="17"/>
                <w:szCs w:val="17"/>
                <w:color w:val="auto"/>
              </w:rPr>
            </w:pPr>
          </w:p>
        </w:tc>
        <w:tc>
          <w:tcPr>
            <w:tcW w:w="960" w:type="dxa"/>
            <w:vAlign w:val="bottom"/>
            <w:tcBorders>
              <w:bottom w:val="single" w:sz="8" w:color="939598"/>
            </w:tcBorders>
          </w:tcPr>
          <w:p>
            <w:pPr>
              <w:spacing w:after="0"/>
              <w:rPr>
                <w:sz w:val="17"/>
                <w:szCs w:val="17"/>
                <w:color w:val="auto"/>
              </w:rPr>
            </w:pPr>
          </w:p>
        </w:tc>
        <w:tc>
          <w:tcPr>
            <w:tcW w:w="180" w:type="dxa"/>
            <w:vAlign w:val="bottom"/>
            <w:tcBorders>
              <w:bottom w:val="single" w:sz="8" w:color="939598"/>
            </w:tcBorders>
          </w:tcPr>
          <w:p>
            <w:pPr>
              <w:spacing w:after="0"/>
              <w:rPr>
                <w:sz w:val="17"/>
                <w:szCs w:val="17"/>
                <w:color w:val="auto"/>
              </w:rPr>
            </w:pPr>
          </w:p>
        </w:tc>
        <w:tc>
          <w:tcPr>
            <w:tcW w:w="1080" w:type="dxa"/>
            <w:vAlign w:val="bottom"/>
            <w:tcBorders>
              <w:bottom w:val="single" w:sz="8" w:color="939598"/>
            </w:tcBorders>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bottom w:val="single" w:sz="8" w:color="939598"/>
            </w:tcBorders>
          </w:tcPr>
          <w:p>
            <w:pPr>
              <w:spacing w:after="0"/>
              <w:rPr>
                <w:sz w:val="17"/>
                <w:szCs w:val="17"/>
                <w:color w:val="auto"/>
              </w:rPr>
            </w:pPr>
          </w:p>
        </w:tc>
        <w:tc>
          <w:tcPr>
            <w:tcW w:w="1140" w:type="dxa"/>
            <w:vAlign w:val="bottom"/>
            <w:tcBorders>
              <w:bottom w:val="single" w:sz="8" w:color="939598"/>
            </w:tcBorders>
          </w:tcPr>
          <w:p>
            <w:pPr>
              <w:spacing w:after="0"/>
              <w:rPr>
                <w:sz w:val="17"/>
                <w:szCs w:val="17"/>
                <w:color w:val="auto"/>
              </w:rPr>
            </w:pPr>
          </w:p>
        </w:tc>
        <w:tc>
          <w:tcPr>
            <w:tcW w:w="180" w:type="dxa"/>
            <w:vAlign w:val="bottom"/>
            <w:tcBorders>
              <w:bottom w:val="single" w:sz="8" w:color="939598"/>
            </w:tcBorders>
          </w:tcPr>
          <w:p>
            <w:pPr>
              <w:spacing w:after="0"/>
              <w:rPr>
                <w:sz w:val="17"/>
                <w:szCs w:val="17"/>
                <w:color w:val="auto"/>
              </w:rPr>
            </w:pPr>
          </w:p>
        </w:tc>
        <w:tc>
          <w:tcPr>
            <w:tcW w:w="900" w:type="dxa"/>
            <w:vAlign w:val="bottom"/>
            <w:tcBorders>
              <w:bottom w:val="single" w:sz="8" w:color="939598"/>
            </w:tcBorders>
          </w:tcPr>
          <w:p>
            <w:pPr>
              <w:spacing w:after="0"/>
              <w:rPr>
                <w:sz w:val="17"/>
                <w:szCs w:val="17"/>
                <w:color w:val="auto"/>
              </w:rPr>
            </w:pPr>
          </w:p>
        </w:tc>
        <w:tc>
          <w:tcPr>
            <w:tcW w:w="240" w:type="dxa"/>
            <w:vAlign w:val="bottom"/>
            <w:tcBorders>
              <w:bottom w:val="single" w:sz="8" w:color="939598"/>
            </w:tcBorders>
          </w:tcPr>
          <w:p>
            <w:pPr>
              <w:spacing w:after="0"/>
              <w:rPr>
                <w:sz w:val="17"/>
                <w:szCs w:val="17"/>
                <w:color w:val="auto"/>
              </w:rPr>
            </w:pPr>
          </w:p>
        </w:tc>
        <w:tc>
          <w:tcPr>
            <w:tcW w:w="960" w:type="dxa"/>
            <w:vAlign w:val="bottom"/>
            <w:tcBorders>
              <w:bottom w:val="single" w:sz="8" w:color="939598"/>
            </w:tcBorders>
          </w:tcPr>
          <w:p>
            <w:pPr>
              <w:spacing w:after="0"/>
              <w:rPr>
                <w:sz w:val="17"/>
                <w:szCs w:val="17"/>
                <w:color w:val="auto"/>
              </w:rPr>
            </w:pPr>
          </w:p>
        </w:tc>
        <w:tc>
          <w:tcPr>
            <w:tcW w:w="200" w:type="dxa"/>
            <w:vAlign w:val="bottom"/>
            <w:tcBorders>
              <w:bottom w:val="single" w:sz="8" w:color="939598"/>
            </w:tcBorders>
          </w:tcPr>
          <w:p>
            <w:pPr>
              <w:spacing w:after="0"/>
              <w:rPr>
                <w:sz w:val="17"/>
                <w:szCs w:val="17"/>
                <w:color w:val="auto"/>
              </w:rPr>
            </w:pPr>
          </w:p>
        </w:tc>
        <w:tc>
          <w:tcPr>
            <w:tcW w:w="1080" w:type="dxa"/>
            <w:vAlign w:val="bottom"/>
            <w:tcBorders>
              <w:bottom w:val="single" w:sz="8" w:color="939598"/>
            </w:tcBorders>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1460" w:type="dxa"/>
            <w:vAlign w:val="bottom"/>
            <w:tcBorders>
              <w:bottom w:val="single" w:sz="8" w:color="939598"/>
            </w:tcBorders>
          </w:tcPr>
          <w:p>
            <w:pPr>
              <w:spacing w:after="0"/>
              <w:rPr>
                <w:sz w:val="17"/>
                <w:szCs w:val="17"/>
                <w:color w:val="auto"/>
              </w:rPr>
            </w:pPr>
          </w:p>
        </w:tc>
        <w:tc>
          <w:tcPr>
            <w:tcW w:w="180" w:type="dxa"/>
            <w:vAlign w:val="bottom"/>
            <w:tcBorders>
              <w:bottom w:val="single" w:sz="8" w:color="939598"/>
            </w:tcBorders>
          </w:tcPr>
          <w:p>
            <w:pPr>
              <w:jc w:val="right"/>
              <w:spacing w:after="0" w:line="196" w:lineRule="exact"/>
              <w:rPr>
                <w:sz w:val="20"/>
                <w:szCs w:val="20"/>
                <w:color w:val="auto"/>
              </w:rPr>
            </w:pPr>
            <w:r>
              <w:rPr>
                <w:rFonts w:ascii="Arial" w:cs="Arial" w:eastAsia="Arial" w:hAnsi="Arial"/>
                <w:sz w:val="18"/>
                <w:szCs w:val="18"/>
                <w:color w:val="auto"/>
              </w:rPr>
              <w:t>$</w:t>
            </w:r>
          </w:p>
        </w:tc>
        <w:tc>
          <w:tcPr>
            <w:tcW w:w="1140" w:type="dxa"/>
            <w:vAlign w:val="bottom"/>
            <w:tcBorders>
              <w:bottom w:val="single" w:sz="8" w:color="939598"/>
            </w:tcBorders>
          </w:tcPr>
          <w:p>
            <w:pPr>
              <w:jc w:val="right"/>
              <w:spacing w:after="0" w:line="196" w:lineRule="exact"/>
              <w:rPr>
                <w:sz w:val="20"/>
                <w:szCs w:val="20"/>
                <w:color w:val="auto"/>
              </w:rPr>
            </w:pPr>
            <w:r>
              <w:rPr>
                <w:rFonts w:ascii="Arial" w:cs="Arial" w:eastAsia="Arial" w:hAnsi="Arial"/>
                <w:sz w:val="18"/>
                <w:szCs w:val="18"/>
                <w:color w:val="auto"/>
              </w:rPr>
              <w:t>35.0</w:t>
            </w:r>
          </w:p>
        </w:tc>
        <w:tc>
          <w:tcPr>
            <w:tcW w:w="160" w:type="dxa"/>
            <w:vAlign w:val="bottom"/>
            <w:tcBorders>
              <w:bottom w:val="single" w:sz="8" w:color="939598"/>
            </w:tcBorders>
          </w:tcPr>
          <w:p>
            <w:pPr>
              <w:jc w:val="right"/>
              <w:spacing w:after="0" w:line="196" w:lineRule="exact"/>
              <w:rPr>
                <w:sz w:val="20"/>
                <w:szCs w:val="20"/>
                <w:color w:val="auto"/>
              </w:rPr>
            </w:pPr>
            <w:r>
              <w:rPr>
                <w:rFonts w:ascii="Arial" w:cs="Arial" w:eastAsia="Arial" w:hAnsi="Arial"/>
                <w:sz w:val="18"/>
                <w:szCs w:val="18"/>
                <w:color w:val="auto"/>
              </w:rPr>
              <w:t>$</w:t>
            </w:r>
          </w:p>
        </w:tc>
        <w:tc>
          <w:tcPr>
            <w:tcW w:w="900" w:type="dxa"/>
            <w:vAlign w:val="bottom"/>
            <w:tcBorders>
              <w:bottom w:val="single" w:sz="8" w:color="939598"/>
            </w:tcBorders>
          </w:tcPr>
          <w:p>
            <w:pPr>
              <w:jc w:val="right"/>
              <w:spacing w:after="0" w:line="196" w:lineRule="exact"/>
              <w:rPr>
                <w:sz w:val="20"/>
                <w:szCs w:val="20"/>
                <w:color w:val="auto"/>
              </w:rPr>
            </w:pPr>
            <w:r>
              <w:rPr>
                <w:rFonts w:ascii="Arial" w:cs="Arial" w:eastAsia="Arial" w:hAnsi="Arial"/>
                <w:sz w:val="18"/>
                <w:szCs w:val="18"/>
                <w:color w:val="auto"/>
              </w:rPr>
              <w:t>19.7</w:t>
            </w:r>
          </w:p>
        </w:tc>
        <w:tc>
          <w:tcPr>
            <w:tcW w:w="240" w:type="dxa"/>
            <w:vAlign w:val="bottom"/>
            <w:tcBorders>
              <w:bottom w:val="single" w:sz="8" w:color="939598"/>
            </w:tcBorders>
          </w:tcPr>
          <w:p>
            <w:pPr>
              <w:jc w:val="right"/>
              <w:spacing w:after="0" w:line="196" w:lineRule="exact"/>
              <w:rPr>
                <w:sz w:val="20"/>
                <w:szCs w:val="20"/>
                <w:color w:val="auto"/>
              </w:rPr>
            </w:pPr>
            <w:r>
              <w:rPr>
                <w:rFonts w:ascii="Arial" w:cs="Arial" w:eastAsia="Arial" w:hAnsi="Arial"/>
                <w:sz w:val="18"/>
                <w:szCs w:val="18"/>
                <w:color w:val="auto"/>
              </w:rPr>
              <w:t>$</w:t>
            </w:r>
          </w:p>
        </w:tc>
        <w:tc>
          <w:tcPr>
            <w:tcW w:w="960" w:type="dxa"/>
            <w:vAlign w:val="bottom"/>
            <w:tcBorders>
              <w:bottom w:val="single" w:sz="8" w:color="939598"/>
            </w:tcBorders>
          </w:tcPr>
          <w:p>
            <w:pPr>
              <w:jc w:val="right"/>
              <w:spacing w:after="0" w:line="196" w:lineRule="exact"/>
              <w:rPr>
                <w:sz w:val="20"/>
                <w:szCs w:val="20"/>
                <w:color w:val="auto"/>
              </w:rPr>
            </w:pPr>
            <w:r>
              <w:rPr>
                <w:rFonts w:ascii="Arial" w:cs="Arial" w:eastAsia="Arial" w:hAnsi="Arial"/>
                <w:sz w:val="18"/>
                <w:szCs w:val="18"/>
                <w:color w:val="auto"/>
              </w:rPr>
              <w:t>15.3</w:t>
            </w:r>
          </w:p>
        </w:tc>
        <w:tc>
          <w:tcPr>
            <w:tcW w:w="180" w:type="dxa"/>
            <w:vAlign w:val="bottom"/>
            <w:tcBorders>
              <w:bottom w:val="single" w:sz="8" w:color="939598"/>
            </w:tcBorders>
          </w:tcPr>
          <w:p>
            <w:pPr>
              <w:jc w:val="right"/>
              <w:spacing w:after="0" w:line="196" w:lineRule="exact"/>
              <w:rPr>
                <w:sz w:val="20"/>
                <w:szCs w:val="20"/>
                <w:color w:val="auto"/>
              </w:rPr>
            </w:pPr>
            <w:r>
              <w:rPr>
                <w:rFonts w:ascii="Arial" w:cs="Arial" w:eastAsia="Arial" w:hAnsi="Arial"/>
                <w:sz w:val="18"/>
                <w:szCs w:val="18"/>
                <w:color w:val="auto"/>
              </w:rPr>
              <w:t>$</w:t>
            </w:r>
          </w:p>
        </w:tc>
        <w:tc>
          <w:tcPr>
            <w:tcW w:w="1080" w:type="dxa"/>
            <w:vAlign w:val="bottom"/>
            <w:tcBorders>
              <w:bottom w:val="single" w:sz="8" w:color="939598"/>
            </w:tcBorders>
          </w:tcPr>
          <w:p>
            <w:pPr>
              <w:ind w:left="980"/>
              <w:spacing w:after="0" w:line="196" w:lineRule="exact"/>
              <w:rPr>
                <w:sz w:val="20"/>
                <w:szCs w:val="20"/>
                <w:color w:val="auto"/>
              </w:rPr>
            </w:pPr>
            <w:r>
              <w:rPr>
                <w:rFonts w:ascii="Arial" w:cs="Arial" w:eastAsia="Arial" w:hAnsi="Arial"/>
                <w:sz w:val="18"/>
                <w:szCs w:val="18"/>
                <w:color w:val="auto"/>
                <w:w w:val="79"/>
              </w:rPr>
              <w:t>–</w:t>
            </w:r>
          </w:p>
        </w:tc>
        <w:tc>
          <w:tcPr>
            <w:tcW w:w="160" w:type="dxa"/>
            <w:vAlign w:val="bottom"/>
          </w:tcPr>
          <w:p>
            <w:pPr>
              <w:spacing w:after="0"/>
              <w:rPr>
                <w:sz w:val="17"/>
                <w:szCs w:val="17"/>
                <w:color w:val="auto"/>
              </w:rPr>
            </w:pPr>
          </w:p>
        </w:tc>
        <w:tc>
          <w:tcPr>
            <w:tcW w:w="20" w:type="dxa"/>
            <w:vAlign w:val="bottom"/>
            <w:tcBorders>
              <w:bottom w:val="single" w:sz="8" w:color="939598"/>
            </w:tcBorders>
          </w:tcPr>
          <w:p>
            <w:pPr>
              <w:spacing w:after="0"/>
              <w:rPr>
                <w:sz w:val="17"/>
                <w:szCs w:val="17"/>
                <w:color w:val="auto"/>
              </w:rPr>
            </w:pPr>
          </w:p>
        </w:tc>
        <w:tc>
          <w:tcPr>
            <w:tcW w:w="80" w:type="dxa"/>
            <w:vAlign w:val="bottom"/>
            <w:tcBorders>
              <w:bottom w:val="single" w:sz="8" w:color="939598"/>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939598"/>
            </w:tcBorders>
          </w:tcPr>
          <w:p>
            <w:pPr>
              <w:jc w:val="right"/>
              <w:spacing w:after="0" w:line="196" w:lineRule="exact"/>
              <w:rPr>
                <w:sz w:val="20"/>
                <w:szCs w:val="20"/>
                <w:color w:val="auto"/>
              </w:rPr>
            </w:pPr>
            <w:r>
              <w:rPr>
                <w:rFonts w:ascii="Arial" w:cs="Arial" w:eastAsia="Arial" w:hAnsi="Arial"/>
                <w:sz w:val="18"/>
                <w:szCs w:val="18"/>
                <w:color w:val="auto"/>
              </w:rPr>
              <w:t>200.6</w:t>
            </w:r>
          </w:p>
        </w:tc>
        <w:tc>
          <w:tcPr>
            <w:tcW w:w="180" w:type="dxa"/>
            <w:vAlign w:val="bottom"/>
            <w:tcBorders>
              <w:bottom w:val="single" w:sz="8" w:color="939598"/>
            </w:tcBorders>
          </w:tcPr>
          <w:p>
            <w:pPr>
              <w:jc w:val="right"/>
              <w:spacing w:after="0" w:line="196" w:lineRule="exact"/>
              <w:rPr>
                <w:sz w:val="20"/>
                <w:szCs w:val="20"/>
                <w:color w:val="auto"/>
              </w:rPr>
            </w:pPr>
            <w:r>
              <w:rPr>
                <w:rFonts w:ascii="Arial" w:cs="Arial" w:eastAsia="Arial" w:hAnsi="Arial"/>
                <w:sz w:val="18"/>
                <w:szCs w:val="18"/>
                <w:color w:val="auto"/>
              </w:rPr>
              <w:t>$</w:t>
            </w:r>
          </w:p>
        </w:tc>
        <w:tc>
          <w:tcPr>
            <w:tcW w:w="900" w:type="dxa"/>
            <w:vAlign w:val="bottom"/>
            <w:tcBorders>
              <w:bottom w:val="single" w:sz="8" w:color="939598"/>
            </w:tcBorders>
          </w:tcPr>
          <w:p>
            <w:pPr>
              <w:jc w:val="right"/>
              <w:spacing w:after="0" w:line="196" w:lineRule="exact"/>
              <w:rPr>
                <w:sz w:val="20"/>
                <w:szCs w:val="20"/>
                <w:color w:val="auto"/>
              </w:rPr>
            </w:pPr>
            <w:r>
              <w:rPr>
                <w:rFonts w:ascii="Arial" w:cs="Arial" w:eastAsia="Arial" w:hAnsi="Arial"/>
                <w:sz w:val="18"/>
                <w:szCs w:val="18"/>
                <w:color w:val="auto"/>
              </w:rPr>
              <w:t>79.7</w:t>
            </w:r>
          </w:p>
        </w:tc>
        <w:tc>
          <w:tcPr>
            <w:tcW w:w="240" w:type="dxa"/>
            <w:vAlign w:val="bottom"/>
            <w:tcBorders>
              <w:bottom w:val="single" w:sz="8" w:color="939598"/>
            </w:tcBorders>
          </w:tcPr>
          <w:p>
            <w:pPr>
              <w:jc w:val="right"/>
              <w:spacing w:after="0" w:line="196" w:lineRule="exact"/>
              <w:rPr>
                <w:sz w:val="20"/>
                <w:szCs w:val="20"/>
                <w:color w:val="auto"/>
              </w:rPr>
            </w:pPr>
            <w:r>
              <w:rPr>
                <w:rFonts w:ascii="Arial" w:cs="Arial" w:eastAsia="Arial" w:hAnsi="Arial"/>
                <w:sz w:val="18"/>
                <w:szCs w:val="18"/>
                <w:color w:val="auto"/>
              </w:rPr>
              <w:t>$</w:t>
            </w:r>
          </w:p>
        </w:tc>
        <w:tc>
          <w:tcPr>
            <w:tcW w:w="960" w:type="dxa"/>
            <w:vAlign w:val="bottom"/>
            <w:tcBorders>
              <w:bottom w:val="single" w:sz="8" w:color="939598"/>
            </w:tcBorders>
          </w:tcPr>
          <w:p>
            <w:pPr>
              <w:jc w:val="right"/>
              <w:spacing w:after="0" w:line="196" w:lineRule="exact"/>
              <w:rPr>
                <w:sz w:val="20"/>
                <w:szCs w:val="20"/>
                <w:color w:val="auto"/>
              </w:rPr>
            </w:pPr>
            <w:r>
              <w:rPr>
                <w:rFonts w:ascii="Arial" w:cs="Arial" w:eastAsia="Arial" w:hAnsi="Arial"/>
                <w:sz w:val="18"/>
                <w:szCs w:val="18"/>
                <w:color w:val="auto"/>
              </w:rPr>
              <w:t>120.9</w:t>
            </w:r>
          </w:p>
        </w:tc>
        <w:tc>
          <w:tcPr>
            <w:tcW w:w="200" w:type="dxa"/>
            <w:vAlign w:val="bottom"/>
            <w:tcBorders>
              <w:bottom w:val="single" w:sz="8" w:color="939598"/>
            </w:tcBorders>
          </w:tcPr>
          <w:p>
            <w:pPr>
              <w:jc w:val="right"/>
              <w:spacing w:after="0" w:line="196" w:lineRule="exact"/>
              <w:rPr>
                <w:sz w:val="20"/>
                <w:szCs w:val="20"/>
                <w:color w:val="auto"/>
              </w:rPr>
            </w:pPr>
            <w:r>
              <w:rPr>
                <w:rFonts w:ascii="Arial" w:cs="Arial" w:eastAsia="Arial" w:hAnsi="Arial"/>
                <w:sz w:val="18"/>
                <w:szCs w:val="18"/>
                <w:color w:val="auto"/>
              </w:rPr>
              <w:t>$</w:t>
            </w:r>
          </w:p>
        </w:tc>
        <w:tc>
          <w:tcPr>
            <w:tcW w:w="1080" w:type="dxa"/>
            <w:vAlign w:val="bottom"/>
            <w:tcBorders>
              <w:bottom w:val="single" w:sz="8" w:color="939598"/>
            </w:tcBorders>
          </w:tcPr>
          <w:p>
            <w:pPr>
              <w:jc w:val="right"/>
              <w:spacing w:after="0" w:line="196" w:lineRule="exact"/>
              <w:rPr>
                <w:sz w:val="20"/>
                <w:szCs w:val="20"/>
                <w:color w:val="auto"/>
              </w:rPr>
            </w:pPr>
            <w:r>
              <w:rPr>
                <w:rFonts w:ascii="Arial" w:cs="Arial" w:eastAsia="Arial" w:hAnsi="Arial"/>
                <w:sz w:val="18"/>
                <w:szCs w:val="18"/>
                <w:color w:val="auto"/>
              </w:rPr>
              <w:t>–</w:t>
            </w:r>
          </w:p>
        </w:tc>
        <w:tc>
          <w:tcPr>
            <w:tcW w:w="20" w:type="dxa"/>
            <w:vAlign w:val="bottom"/>
            <w:tcBorders>
              <w:bottom w:val="single" w:sz="8" w:color="939598"/>
            </w:tcBorders>
          </w:tcPr>
          <w:p>
            <w:pPr>
              <w:spacing w:after="0"/>
              <w:rPr>
                <w:sz w:val="17"/>
                <w:szCs w:val="17"/>
                <w:color w:val="auto"/>
              </w:rPr>
            </w:pPr>
          </w:p>
        </w:tc>
      </w:tr>
    </w:tbl>
    <w:p>
      <w:pPr>
        <w:spacing w:after="0" w:line="204" w:lineRule="exact"/>
        <w:rPr>
          <w:sz w:val="20"/>
          <w:szCs w:val="20"/>
          <w:color w:val="auto"/>
        </w:rPr>
      </w:pPr>
    </w:p>
    <w:p>
      <w:pPr>
        <w:ind w:left="580" w:hanging="572"/>
        <w:spacing w:after="0"/>
        <w:tabs>
          <w:tab w:leader="none" w:pos="580"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This category includes a prime obligations money market portfolio.</w:t>
      </w:r>
    </w:p>
    <w:p>
      <w:pPr>
        <w:spacing w:after="0" w:line="5" w:lineRule="exact"/>
        <w:rPr>
          <w:rFonts w:ascii="Arial" w:cs="Arial" w:eastAsia="Arial" w:hAnsi="Arial"/>
          <w:sz w:val="16"/>
          <w:szCs w:val="16"/>
          <w:color w:val="auto"/>
        </w:rPr>
      </w:pPr>
    </w:p>
    <w:p>
      <w:pPr>
        <w:ind w:left="580" w:hanging="572"/>
        <w:spacing w:after="0"/>
        <w:tabs>
          <w:tab w:leader="none" w:pos="580"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This category includes U.S. Treasury / Federal agency securities and foreign government securities.</w:t>
      </w:r>
    </w:p>
    <w:p>
      <w:pPr>
        <w:spacing w:after="0" w:line="5" w:lineRule="exact"/>
        <w:rPr>
          <w:rFonts w:ascii="Arial" w:cs="Arial" w:eastAsia="Arial" w:hAnsi="Arial"/>
          <w:sz w:val="16"/>
          <w:szCs w:val="16"/>
          <w:color w:val="auto"/>
        </w:rPr>
      </w:pPr>
    </w:p>
    <w:p>
      <w:pPr>
        <w:ind w:left="580" w:hanging="572"/>
        <w:spacing w:after="0"/>
        <w:tabs>
          <w:tab w:leader="none" w:pos="580"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 prior year classification of corporate and government bonds as Level 1 has been corrected.</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color w:val="4D8ABE"/>
        </w:rPr>
        <w:t>RETIREE HEALTH CARE PLAN</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We provide medical and dental benefits to certain eligible retired employees in the U.S. Due to the nature of the plan, there are no plan assets.</w:t>
      </w:r>
    </w:p>
    <w:p>
      <w:pPr>
        <w:spacing w:after="0"/>
        <w:rPr>
          <w:sz w:val="20"/>
          <w:szCs w:val="20"/>
          <w:color w:val="auto"/>
        </w:rPr>
      </w:pPr>
      <w:r>
        <w:rPr>
          <w:rFonts w:ascii="Arial" w:cs="Arial" w:eastAsia="Arial" w:hAnsi="Arial"/>
          <w:sz w:val="18"/>
          <w:szCs w:val="18"/>
          <w:color w:val="auto"/>
        </w:rPr>
        <w:t>The reconciliation of the changes in the plan’s benefit obligation and the statement of the funded status of the plan are as follows: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040" w:type="dxa"/>
            <w:vAlign w:val="bottom"/>
            <w:gridSpan w:val="2"/>
          </w:tcPr>
          <w:p>
            <w:pPr>
              <w:spacing w:after="0"/>
              <w:rPr>
                <w:sz w:val="20"/>
                <w:szCs w:val="20"/>
                <w:color w:val="auto"/>
              </w:rPr>
            </w:pPr>
            <w:r>
              <w:rPr>
                <w:rFonts w:ascii="Arial" w:cs="Arial" w:eastAsia="Arial" w:hAnsi="Arial"/>
                <w:sz w:val="16"/>
                <w:szCs w:val="16"/>
                <w:b w:val="1"/>
                <w:bCs w:val="1"/>
                <w:color w:val="86B6A5"/>
              </w:rPr>
              <w:t>Year Ended December 31</w:t>
            </w:r>
          </w:p>
        </w:tc>
        <w:tc>
          <w:tcPr>
            <w:tcW w:w="120" w:type="dxa"/>
            <w:vAlign w:val="bottom"/>
            <w:shd w:val="clear" w:color="auto" w:fill="86B6A5"/>
          </w:tcPr>
          <w:p>
            <w:pPr>
              <w:spacing w:after="0"/>
              <w:rPr>
                <w:sz w:val="18"/>
                <w:szCs w:val="18"/>
                <w:color w:val="auto"/>
              </w:rPr>
            </w:pPr>
          </w:p>
        </w:tc>
        <w:tc>
          <w:tcPr>
            <w:tcW w:w="1580" w:type="dxa"/>
            <w:vAlign w:val="bottom"/>
            <w:shd w:val="clear" w:color="auto" w:fill="86B6A5"/>
          </w:tcPr>
          <w:p>
            <w:pPr>
              <w:jc w:val="right"/>
              <w:ind w:right="131"/>
              <w:spacing w:after="0"/>
              <w:rPr>
                <w:sz w:val="20"/>
                <w:szCs w:val="20"/>
                <w:color w:val="auto"/>
              </w:rPr>
            </w:pPr>
            <w:r>
              <w:rPr>
                <w:rFonts w:ascii="Arial" w:cs="Arial" w:eastAsia="Arial" w:hAnsi="Arial"/>
                <w:sz w:val="16"/>
                <w:szCs w:val="16"/>
                <w:b w:val="1"/>
                <w:bCs w:val="1"/>
                <w:color w:val="FFFFFF"/>
              </w:rPr>
              <w:t>2010</w:t>
            </w:r>
          </w:p>
        </w:tc>
        <w:tc>
          <w:tcPr>
            <w:tcW w:w="5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86B6A5"/>
              </w:rPr>
              <w:t>2009</w:t>
            </w:r>
          </w:p>
        </w:tc>
        <w:tc>
          <w:tcPr>
            <w:tcW w:w="6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8020" w:type="dxa"/>
            <w:vAlign w:val="bottom"/>
            <w:tcBorders>
              <w:top w:val="single" w:sz="8" w:color="86B6A5"/>
            </w:tcBorders>
          </w:tcPr>
          <w:p>
            <w:pPr>
              <w:spacing w:after="0" w:line="201" w:lineRule="exact"/>
              <w:rPr>
                <w:sz w:val="20"/>
                <w:szCs w:val="20"/>
                <w:color w:val="auto"/>
              </w:rPr>
            </w:pPr>
            <w:r>
              <w:rPr>
                <w:rFonts w:ascii="Arial" w:cs="Arial" w:eastAsia="Arial" w:hAnsi="Arial"/>
                <w:sz w:val="18"/>
                <w:szCs w:val="18"/>
                <w:b w:val="1"/>
                <w:bCs w:val="1"/>
                <w:color w:val="939598"/>
              </w:rPr>
              <w:t>Change in Benefit Obligation</w:t>
            </w:r>
          </w:p>
        </w:tc>
        <w:tc>
          <w:tcPr>
            <w:tcW w:w="120" w:type="dxa"/>
            <w:vAlign w:val="bottom"/>
            <w:tcBorders>
              <w:top w:val="single" w:sz="8" w:color="86B6A5"/>
            </w:tcBorders>
            <w:shd w:val="clear" w:color="auto" w:fill="E3F1DA"/>
          </w:tcPr>
          <w:p>
            <w:pPr>
              <w:spacing w:after="0"/>
              <w:rPr>
                <w:sz w:val="17"/>
                <w:szCs w:val="17"/>
                <w:color w:val="auto"/>
              </w:rPr>
            </w:pPr>
          </w:p>
        </w:tc>
        <w:tc>
          <w:tcPr>
            <w:tcW w:w="1580" w:type="dxa"/>
            <w:vAlign w:val="bottom"/>
            <w:tcBorders>
              <w:top w:val="single" w:sz="8" w:color="86B6A5"/>
            </w:tcBorders>
            <w:shd w:val="clear" w:color="auto" w:fill="E3F1DA"/>
          </w:tcPr>
          <w:p>
            <w:pPr>
              <w:spacing w:after="0"/>
              <w:rPr>
                <w:sz w:val="17"/>
                <w:szCs w:val="17"/>
                <w:color w:val="auto"/>
              </w:rPr>
            </w:pPr>
          </w:p>
        </w:tc>
        <w:tc>
          <w:tcPr>
            <w:tcW w:w="580" w:type="dxa"/>
            <w:vAlign w:val="bottom"/>
            <w:tcBorders>
              <w:top w:val="single" w:sz="8" w:color="86B6A5"/>
            </w:tcBorders>
          </w:tcPr>
          <w:p>
            <w:pPr>
              <w:spacing w:after="0"/>
              <w:rPr>
                <w:sz w:val="17"/>
                <w:szCs w:val="17"/>
                <w:color w:val="auto"/>
              </w:rPr>
            </w:pPr>
          </w:p>
        </w:tc>
        <w:tc>
          <w:tcPr>
            <w:tcW w:w="880" w:type="dxa"/>
            <w:vAlign w:val="bottom"/>
            <w:tcBorders>
              <w:top w:val="single" w:sz="8" w:color="86B6A5"/>
            </w:tcBorders>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8040" w:type="dxa"/>
            <w:vAlign w:val="bottom"/>
            <w:gridSpan w:val="2"/>
          </w:tcPr>
          <w:p>
            <w:pPr>
              <w:spacing w:after="0" w:line="202" w:lineRule="exact"/>
              <w:rPr>
                <w:sz w:val="20"/>
                <w:szCs w:val="20"/>
                <w:color w:val="auto"/>
              </w:rPr>
            </w:pPr>
            <w:r>
              <w:rPr>
                <w:rFonts w:ascii="Arial" w:cs="Arial" w:eastAsia="Arial" w:hAnsi="Arial"/>
                <w:sz w:val="18"/>
                <w:szCs w:val="18"/>
                <w:color w:val="auto"/>
              </w:rPr>
              <w:t>Benefit obligation, beginning of year</w:t>
            </w:r>
          </w:p>
        </w:tc>
        <w:tc>
          <w:tcPr>
            <w:tcW w:w="120" w:type="dxa"/>
            <w:vAlign w:val="bottom"/>
            <w:shd w:val="clear" w:color="auto" w:fill="E3F1DA"/>
          </w:tcPr>
          <w:p>
            <w:pPr>
              <w:jc w:val="right"/>
              <w:spacing w:after="0" w:line="202" w:lineRule="exact"/>
              <w:rPr>
                <w:sz w:val="20"/>
                <w:szCs w:val="20"/>
                <w:color w:val="auto"/>
              </w:rPr>
            </w:pPr>
            <w:r>
              <w:rPr>
                <w:rFonts w:ascii="Arial" w:cs="Arial" w:eastAsia="Arial" w:hAnsi="Arial"/>
                <w:sz w:val="18"/>
                <w:szCs w:val="18"/>
                <w:color w:val="86B6A5"/>
                <w:w w:val="79"/>
              </w:rPr>
              <w:t>$</w:t>
            </w:r>
          </w:p>
        </w:tc>
        <w:tc>
          <w:tcPr>
            <w:tcW w:w="1580" w:type="dxa"/>
            <w:vAlign w:val="bottom"/>
            <w:shd w:val="clear" w:color="auto" w:fill="E3F1DA"/>
          </w:tcPr>
          <w:p>
            <w:pPr>
              <w:jc w:val="right"/>
              <w:ind w:right="131"/>
              <w:spacing w:after="0" w:line="202" w:lineRule="exact"/>
              <w:rPr>
                <w:sz w:val="20"/>
                <w:szCs w:val="20"/>
                <w:color w:val="auto"/>
              </w:rPr>
            </w:pPr>
            <w:r>
              <w:rPr>
                <w:rFonts w:ascii="Arial" w:cs="Arial" w:eastAsia="Arial" w:hAnsi="Arial"/>
                <w:sz w:val="18"/>
                <w:szCs w:val="18"/>
                <w:color w:val="86B6A5"/>
              </w:rPr>
              <w:t>24.6</w:t>
            </w:r>
          </w:p>
        </w:tc>
        <w:tc>
          <w:tcPr>
            <w:tcW w:w="580" w:type="dxa"/>
            <w:vAlign w:val="bottom"/>
          </w:tcPr>
          <w:p>
            <w:pPr>
              <w:jc w:val="right"/>
              <w:ind w:right="390"/>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22.4</w:t>
            </w:r>
          </w:p>
        </w:tc>
        <w:tc>
          <w:tcPr>
            <w:tcW w:w="60" w:type="dxa"/>
            <w:vAlign w:val="bottom"/>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8020" w:type="dxa"/>
            <w:vAlign w:val="bottom"/>
          </w:tcPr>
          <w:p>
            <w:pPr>
              <w:ind w:left="260"/>
              <w:spacing w:after="0" w:line="201" w:lineRule="exact"/>
              <w:rPr>
                <w:sz w:val="20"/>
                <w:szCs w:val="20"/>
                <w:color w:val="auto"/>
              </w:rPr>
            </w:pPr>
            <w:r>
              <w:rPr>
                <w:rFonts w:ascii="Arial" w:cs="Arial" w:eastAsia="Arial" w:hAnsi="Arial"/>
                <w:sz w:val="18"/>
                <w:szCs w:val="18"/>
                <w:color w:val="auto"/>
              </w:rPr>
              <w:t>Service cost</w:t>
            </w:r>
          </w:p>
        </w:tc>
        <w:tc>
          <w:tcPr>
            <w:tcW w:w="120" w:type="dxa"/>
            <w:vAlign w:val="bottom"/>
            <w:shd w:val="clear" w:color="auto" w:fill="E3F1DA"/>
          </w:tcPr>
          <w:p>
            <w:pPr>
              <w:spacing w:after="0"/>
              <w:rPr>
                <w:sz w:val="17"/>
                <w:szCs w:val="17"/>
                <w:color w:val="auto"/>
              </w:rPr>
            </w:pPr>
          </w:p>
        </w:tc>
        <w:tc>
          <w:tcPr>
            <w:tcW w:w="1580" w:type="dxa"/>
            <w:vAlign w:val="bottom"/>
          </w:tcPr>
          <w:p>
            <w:pPr>
              <w:jc w:val="right"/>
              <w:ind w:right="131"/>
              <w:spacing w:after="0" w:line="201" w:lineRule="exact"/>
              <w:rPr>
                <w:sz w:val="20"/>
                <w:szCs w:val="20"/>
                <w:color w:val="auto"/>
              </w:rPr>
            </w:pPr>
            <w:r>
              <w:rPr>
                <w:rFonts w:ascii="Arial" w:cs="Arial" w:eastAsia="Arial" w:hAnsi="Arial"/>
                <w:sz w:val="18"/>
                <w:szCs w:val="18"/>
                <w:color w:val="86B6A5"/>
              </w:rPr>
              <w:t>0.1</w:t>
            </w:r>
          </w:p>
        </w:tc>
        <w:tc>
          <w:tcPr>
            <w:tcW w:w="580" w:type="dxa"/>
            <w:vAlign w:val="bottom"/>
          </w:tcPr>
          <w:p>
            <w:pPr>
              <w:spacing w:after="0"/>
              <w:rPr>
                <w:sz w:val="17"/>
                <w:szCs w:val="17"/>
                <w:color w:val="auto"/>
              </w:rPr>
            </w:pPr>
          </w:p>
        </w:tc>
        <w:tc>
          <w:tcPr>
            <w:tcW w:w="880" w:type="dxa"/>
            <w:vAlign w:val="bottom"/>
          </w:tcPr>
          <w:p>
            <w:pPr>
              <w:jc w:val="right"/>
              <w:spacing w:after="0" w:line="201" w:lineRule="exact"/>
              <w:rPr>
                <w:sz w:val="20"/>
                <w:szCs w:val="20"/>
                <w:color w:val="auto"/>
              </w:rPr>
            </w:pPr>
            <w:r>
              <w:rPr>
                <w:rFonts w:ascii="Arial" w:cs="Arial" w:eastAsia="Arial" w:hAnsi="Arial"/>
                <w:sz w:val="18"/>
                <w:szCs w:val="18"/>
                <w:color w:val="auto"/>
              </w:rPr>
              <w:t>0.1</w:t>
            </w: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8020" w:type="dxa"/>
            <w:vAlign w:val="bottom"/>
          </w:tcPr>
          <w:p>
            <w:pPr>
              <w:ind w:left="260"/>
              <w:spacing w:after="0" w:line="202" w:lineRule="exact"/>
              <w:rPr>
                <w:sz w:val="20"/>
                <w:szCs w:val="20"/>
                <w:color w:val="auto"/>
              </w:rPr>
            </w:pPr>
            <w:r>
              <w:rPr>
                <w:rFonts w:ascii="Arial" w:cs="Arial" w:eastAsia="Arial" w:hAnsi="Arial"/>
                <w:sz w:val="18"/>
                <w:szCs w:val="18"/>
                <w:color w:val="auto"/>
              </w:rPr>
              <w:t>Interest cost</w:t>
            </w:r>
          </w:p>
        </w:tc>
        <w:tc>
          <w:tcPr>
            <w:tcW w:w="120" w:type="dxa"/>
            <w:vAlign w:val="bottom"/>
            <w:shd w:val="clear" w:color="auto" w:fill="E3F1DA"/>
          </w:tcPr>
          <w:p>
            <w:pPr>
              <w:spacing w:after="0"/>
              <w:rPr>
                <w:sz w:val="17"/>
                <w:szCs w:val="17"/>
                <w:color w:val="auto"/>
              </w:rPr>
            </w:pPr>
          </w:p>
        </w:tc>
        <w:tc>
          <w:tcPr>
            <w:tcW w:w="1580" w:type="dxa"/>
            <w:vAlign w:val="bottom"/>
          </w:tcPr>
          <w:p>
            <w:pPr>
              <w:jc w:val="right"/>
              <w:ind w:right="131"/>
              <w:spacing w:after="0" w:line="202" w:lineRule="exact"/>
              <w:rPr>
                <w:sz w:val="20"/>
                <w:szCs w:val="20"/>
                <w:color w:val="auto"/>
              </w:rPr>
            </w:pPr>
            <w:r>
              <w:rPr>
                <w:rFonts w:ascii="Arial" w:cs="Arial" w:eastAsia="Arial" w:hAnsi="Arial"/>
                <w:sz w:val="18"/>
                <w:szCs w:val="18"/>
                <w:color w:val="86B6A5"/>
              </w:rPr>
              <w:t>1.4</w:t>
            </w:r>
          </w:p>
        </w:tc>
        <w:tc>
          <w:tcPr>
            <w:tcW w:w="58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1.4</w:t>
            </w: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8020" w:type="dxa"/>
            <w:vAlign w:val="bottom"/>
          </w:tcPr>
          <w:p>
            <w:pPr>
              <w:ind w:left="260"/>
              <w:spacing w:after="0" w:line="202" w:lineRule="exact"/>
              <w:rPr>
                <w:sz w:val="20"/>
                <w:szCs w:val="20"/>
                <w:color w:val="auto"/>
              </w:rPr>
            </w:pPr>
            <w:r>
              <w:rPr>
                <w:rFonts w:ascii="Arial" w:cs="Arial" w:eastAsia="Arial" w:hAnsi="Arial"/>
                <w:sz w:val="18"/>
                <w:szCs w:val="18"/>
                <w:color w:val="auto"/>
              </w:rPr>
              <w:t>Actuarial gain</w:t>
            </w:r>
          </w:p>
        </w:tc>
        <w:tc>
          <w:tcPr>
            <w:tcW w:w="120" w:type="dxa"/>
            <w:vAlign w:val="bottom"/>
            <w:shd w:val="clear" w:color="auto" w:fill="E3F1DA"/>
          </w:tcPr>
          <w:p>
            <w:pPr>
              <w:spacing w:after="0"/>
              <w:rPr>
                <w:sz w:val="17"/>
                <w:szCs w:val="17"/>
                <w:color w:val="auto"/>
              </w:rPr>
            </w:pPr>
          </w:p>
        </w:tc>
        <w:tc>
          <w:tcPr>
            <w:tcW w:w="1580" w:type="dxa"/>
            <w:vAlign w:val="bottom"/>
          </w:tcPr>
          <w:p>
            <w:pPr>
              <w:jc w:val="right"/>
              <w:ind w:right="131"/>
              <w:spacing w:after="0" w:line="202" w:lineRule="exact"/>
              <w:rPr>
                <w:sz w:val="20"/>
                <w:szCs w:val="20"/>
                <w:color w:val="auto"/>
              </w:rPr>
            </w:pPr>
            <w:r>
              <w:rPr>
                <w:rFonts w:ascii="Arial" w:cs="Arial" w:eastAsia="Arial" w:hAnsi="Arial"/>
                <w:sz w:val="18"/>
                <w:szCs w:val="18"/>
                <w:color w:val="86B6A5"/>
              </w:rPr>
              <w:t>1.1</w:t>
            </w:r>
          </w:p>
        </w:tc>
        <w:tc>
          <w:tcPr>
            <w:tcW w:w="58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1.8</w:t>
            </w: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8020" w:type="dxa"/>
            <w:vAlign w:val="bottom"/>
          </w:tcPr>
          <w:p>
            <w:pPr>
              <w:ind w:left="260"/>
              <w:spacing w:after="0" w:line="202" w:lineRule="exact"/>
              <w:rPr>
                <w:sz w:val="20"/>
                <w:szCs w:val="20"/>
                <w:color w:val="auto"/>
              </w:rPr>
            </w:pPr>
            <w:r>
              <w:rPr>
                <w:rFonts w:ascii="Arial" w:cs="Arial" w:eastAsia="Arial" w:hAnsi="Arial"/>
                <w:sz w:val="18"/>
                <w:szCs w:val="18"/>
                <w:color w:val="auto"/>
              </w:rPr>
              <w:t>Benefits paid</w:t>
            </w:r>
          </w:p>
        </w:tc>
        <w:tc>
          <w:tcPr>
            <w:tcW w:w="120" w:type="dxa"/>
            <w:vAlign w:val="bottom"/>
            <w:shd w:val="clear" w:color="auto" w:fill="E3F1DA"/>
          </w:tcPr>
          <w:p>
            <w:pPr>
              <w:spacing w:after="0"/>
              <w:rPr>
                <w:sz w:val="17"/>
                <w:szCs w:val="17"/>
                <w:color w:val="auto"/>
              </w:rPr>
            </w:pPr>
          </w:p>
        </w:tc>
        <w:tc>
          <w:tcPr>
            <w:tcW w:w="1580" w:type="dxa"/>
            <w:vAlign w:val="bottom"/>
          </w:tcPr>
          <w:p>
            <w:pPr>
              <w:jc w:val="right"/>
              <w:ind w:right="71"/>
              <w:spacing w:after="0" w:line="202" w:lineRule="exact"/>
              <w:rPr>
                <w:sz w:val="20"/>
                <w:szCs w:val="20"/>
                <w:color w:val="auto"/>
              </w:rPr>
            </w:pPr>
            <w:r>
              <w:rPr>
                <w:rFonts w:ascii="Arial" w:cs="Arial" w:eastAsia="Arial" w:hAnsi="Arial"/>
                <w:sz w:val="18"/>
                <w:szCs w:val="18"/>
                <w:color w:val="86B6A5"/>
              </w:rPr>
              <w:t>(1.9)</w:t>
            </w:r>
          </w:p>
        </w:tc>
        <w:tc>
          <w:tcPr>
            <w:tcW w:w="580" w:type="dxa"/>
            <w:vAlign w:val="bottom"/>
          </w:tcPr>
          <w:p>
            <w:pPr>
              <w:spacing w:after="0"/>
              <w:rPr>
                <w:sz w:val="17"/>
                <w:szCs w:val="17"/>
                <w:color w:val="auto"/>
              </w:rPr>
            </w:pPr>
          </w:p>
        </w:tc>
        <w:tc>
          <w:tcPr>
            <w:tcW w:w="9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(1.4)</w:t>
            </w:r>
          </w:p>
        </w:tc>
      </w:tr>
      <w:tr>
        <w:trPr>
          <w:trHeight w:val="203"/>
        </w:trPr>
        <w:tc>
          <w:tcPr>
            <w:tcW w:w="20" w:type="dxa"/>
            <w:vAlign w:val="bottom"/>
          </w:tcPr>
          <w:p>
            <w:pPr>
              <w:spacing w:after="0"/>
              <w:rPr>
                <w:sz w:val="17"/>
                <w:szCs w:val="17"/>
                <w:color w:val="auto"/>
              </w:rPr>
            </w:pPr>
          </w:p>
        </w:tc>
        <w:tc>
          <w:tcPr>
            <w:tcW w:w="8020" w:type="dxa"/>
            <w:vAlign w:val="bottom"/>
            <w:tcBorders>
              <w:bottom w:val="single" w:sz="8" w:color="939598"/>
            </w:tcBorders>
          </w:tcPr>
          <w:p>
            <w:pPr>
              <w:ind w:left="260"/>
              <w:spacing w:after="0" w:line="203" w:lineRule="exact"/>
              <w:rPr>
                <w:sz w:val="20"/>
                <w:szCs w:val="20"/>
                <w:color w:val="auto"/>
              </w:rPr>
            </w:pPr>
            <w:r>
              <w:rPr>
                <w:rFonts w:ascii="Arial" w:cs="Arial" w:eastAsia="Arial" w:hAnsi="Arial"/>
                <w:sz w:val="18"/>
                <w:szCs w:val="18"/>
                <w:color w:val="auto"/>
              </w:rPr>
              <w:t>Medicare Part D subsidy receipts</w:t>
            </w:r>
          </w:p>
        </w:tc>
        <w:tc>
          <w:tcPr>
            <w:tcW w:w="120" w:type="dxa"/>
            <w:vAlign w:val="bottom"/>
            <w:tcBorders>
              <w:bottom w:val="single" w:sz="8" w:color="939598"/>
            </w:tcBorders>
            <w:shd w:val="clear" w:color="auto" w:fill="E3F1DA"/>
          </w:tcPr>
          <w:p>
            <w:pPr>
              <w:spacing w:after="0"/>
              <w:rPr>
                <w:sz w:val="17"/>
                <w:szCs w:val="17"/>
                <w:color w:val="auto"/>
              </w:rPr>
            </w:pPr>
          </w:p>
        </w:tc>
        <w:tc>
          <w:tcPr>
            <w:tcW w:w="1580" w:type="dxa"/>
            <w:vAlign w:val="bottom"/>
            <w:tcBorders>
              <w:bottom w:val="single" w:sz="8" w:color="939598"/>
            </w:tcBorders>
          </w:tcPr>
          <w:p>
            <w:pPr>
              <w:jc w:val="right"/>
              <w:ind w:right="131"/>
              <w:spacing w:after="0" w:line="203" w:lineRule="exact"/>
              <w:rPr>
                <w:sz w:val="20"/>
                <w:szCs w:val="20"/>
                <w:color w:val="auto"/>
              </w:rPr>
            </w:pPr>
            <w:r>
              <w:rPr>
                <w:rFonts w:ascii="Arial" w:cs="Arial" w:eastAsia="Arial" w:hAnsi="Arial"/>
                <w:sz w:val="18"/>
                <w:szCs w:val="18"/>
                <w:color w:val="86B6A5"/>
              </w:rPr>
              <w:t>0.2</w:t>
            </w:r>
          </w:p>
        </w:tc>
        <w:tc>
          <w:tcPr>
            <w:tcW w:w="580" w:type="dxa"/>
            <w:vAlign w:val="bottom"/>
            <w:tcBorders>
              <w:bottom w:val="single" w:sz="8" w:color="939598"/>
            </w:tcBorders>
          </w:tcPr>
          <w:p>
            <w:pPr>
              <w:spacing w:after="0"/>
              <w:rPr>
                <w:sz w:val="17"/>
                <w:szCs w:val="17"/>
                <w:color w:val="auto"/>
              </w:rPr>
            </w:pPr>
          </w:p>
        </w:tc>
        <w:tc>
          <w:tcPr>
            <w:tcW w:w="880" w:type="dxa"/>
            <w:vAlign w:val="bottom"/>
            <w:tcBorders>
              <w:bottom w:val="single" w:sz="8" w:color="939598"/>
            </w:tcBorders>
          </w:tcPr>
          <w:p>
            <w:pPr>
              <w:jc w:val="right"/>
              <w:spacing w:after="0" w:line="203" w:lineRule="exact"/>
              <w:rPr>
                <w:sz w:val="20"/>
                <w:szCs w:val="20"/>
                <w:color w:val="auto"/>
              </w:rPr>
            </w:pPr>
            <w:r>
              <w:rPr>
                <w:rFonts w:ascii="Arial" w:cs="Arial" w:eastAsia="Arial" w:hAnsi="Arial"/>
                <w:sz w:val="18"/>
                <w:szCs w:val="18"/>
                <w:color w:val="auto"/>
              </w:rPr>
              <w:t>0.3</w:t>
            </w:r>
          </w:p>
        </w:tc>
        <w:tc>
          <w:tcPr>
            <w:tcW w:w="60" w:type="dxa"/>
            <w:vAlign w:val="bottom"/>
          </w:tcPr>
          <w:p>
            <w:pPr>
              <w:spacing w:after="0"/>
              <w:rPr>
                <w:sz w:val="17"/>
                <w:szCs w:val="17"/>
                <w:color w:val="auto"/>
              </w:rPr>
            </w:pPr>
          </w:p>
        </w:tc>
      </w:tr>
      <w:tr>
        <w:trPr>
          <w:trHeight w:val="203"/>
        </w:trPr>
        <w:tc>
          <w:tcPr>
            <w:tcW w:w="20" w:type="dxa"/>
            <w:vAlign w:val="bottom"/>
            <w:tcBorders>
              <w:bottom w:val="single" w:sz="8" w:color="939598"/>
            </w:tcBorders>
          </w:tcPr>
          <w:p>
            <w:pPr>
              <w:spacing w:after="0"/>
              <w:rPr>
                <w:sz w:val="17"/>
                <w:szCs w:val="17"/>
                <w:color w:val="auto"/>
              </w:rPr>
            </w:pPr>
          </w:p>
        </w:tc>
        <w:tc>
          <w:tcPr>
            <w:tcW w:w="8020" w:type="dxa"/>
            <w:vAlign w:val="bottom"/>
            <w:tcBorders>
              <w:bottom w:val="single" w:sz="8" w:color="939598"/>
            </w:tcBorders>
          </w:tcPr>
          <w:p>
            <w:pPr>
              <w:spacing w:after="0" w:line="196" w:lineRule="exact"/>
              <w:rPr>
                <w:sz w:val="20"/>
                <w:szCs w:val="20"/>
                <w:color w:val="auto"/>
              </w:rPr>
            </w:pPr>
            <w:r>
              <w:rPr>
                <w:rFonts w:ascii="Arial" w:cs="Arial" w:eastAsia="Arial" w:hAnsi="Arial"/>
                <w:sz w:val="18"/>
                <w:szCs w:val="18"/>
                <w:color w:val="auto"/>
              </w:rPr>
              <w:t>Benefit obligation, end of year</w:t>
            </w:r>
          </w:p>
        </w:tc>
        <w:tc>
          <w:tcPr>
            <w:tcW w:w="120" w:type="dxa"/>
            <w:vAlign w:val="bottom"/>
            <w:tcBorders>
              <w:bottom w:val="single" w:sz="8" w:color="939598"/>
            </w:tcBorders>
            <w:shd w:val="clear" w:color="auto" w:fill="E3F1DA"/>
          </w:tcPr>
          <w:p>
            <w:pPr>
              <w:jc w:val="right"/>
              <w:spacing w:after="0" w:line="196" w:lineRule="exact"/>
              <w:rPr>
                <w:sz w:val="20"/>
                <w:szCs w:val="20"/>
                <w:color w:val="auto"/>
              </w:rPr>
            </w:pPr>
            <w:r>
              <w:rPr>
                <w:rFonts w:ascii="Arial" w:cs="Arial" w:eastAsia="Arial" w:hAnsi="Arial"/>
                <w:sz w:val="18"/>
                <w:szCs w:val="18"/>
                <w:color w:val="86B6A5"/>
                <w:w w:val="79"/>
              </w:rPr>
              <w:t>$</w:t>
            </w:r>
          </w:p>
        </w:tc>
        <w:tc>
          <w:tcPr>
            <w:tcW w:w="1580" w:type="dxa"/>
            <w:vAlign w:val="bottom"/>
            <w:tcBorders>
              <w:bottom w:val="single" w:sz="8" w:color="939598"/>
            </w:tcBorders>
          </w:tcPr>
          <w:p>
            <w:pPr>
              <w:jc w:val="right"/>
              <w:ind w:right="131"/>
              <w:spacing w:after="0" w:line="196" w:lineRule="exact"/>
              <w:rPr>
                <w:sz w:val="20"/>
                <w:szCs w:val="20"/>
                <w:color w:val="auto"/>
              </w:rPr>
            </w:pPr>
            <w:r>
              <w:rPr>
                <w:rFonts w:ascii="Arial" w:cs="Arial" w:eastAsia="Arial" w:hAnsi="Arial"/>
                <w:sz w:val="18"/>
                <w:szCs w:val="18"/>
                <w:color w:val="86B6A5"/>
              </w:rPr>
              <w:t>25.5</w:t>
            </w:r>
          </w:p>
        </w:tc>
        <w:tc>
          <w:tcPr>
            <w:tcW w:w="580" w:type="dxa"/>
            <w:vAlign w:val="bottom"/>
            <w:tcBorders>
              <w:bottom w:val="single" w:sz="8" w:color="939598"/>
            </w:tcBorders>
          </w:tcPr>
          <w:p>
            <w:pPr>
              <w:jc w:val="right"/>
              <w:ind w:right="390"/>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939598"/>
            </w:tcBorders>
          </w:tcPr>
          <w:p>
            <w:pPr>
              <w:jc w:val="right"/>
              <w:spacing w:after="0" w:line="196" w:lineRule="exact"/>
              <w:rPr>
                <w:sz w:val="20"/>
                <w:szCs w:val="20"/>
                <w:color w:val="auto"/>
              </w:rPr>
            </w:pPr>
            <w:r>
              <w:rPr>
                <w:rFonts w:ascii="Arial" w:cs="Arial" w:eastAsia="Arial" w:hAnsi="Arial"/>
                <w:sz w:val="18"/>
                <w:szCs w:val="18"/>
                <w:color w:val="auto"/>
              </w:rPr>
              <w:t>24.6</w:t>
            </w:r>
          </w:p>
        </w:tc>
        <w:tc>
          <w:tcPr>
            <w:tcW w:w="60" w:type="dxa"/>
            <w:vAlign w:val="bottom"/>
          </w:tcPr>
          <w:p>
            <w:pPr>
              <w:spacing w:after="0"/>
              <w:rPr>
                <w:sz w:val="17"/>
                <w:szCs w:val="17"/>
                <w:color w:val="auto"/>
              </w:rPr>
            </w:pPr>
          </w:p>
        </w:tc>
      </w:tr>
      <w:tr>
        <w:trPr>
          <w:trHeight w:val="202"/>
        </w:trPr>
        <w:tc>
          <w:tcPr>
            <w:tcW w:w="8040" w:type="dxa"/>
            <w:vAlign w:val="bottom"/>
            <w:gridSpan w:val="2"/>
          </w:tcPr>
          <w:p>
            <w:pPr>
              <w:spacing w:after="0" w:line="201" w:lineRule="exact"/>
              <w:rPr>
                <w:sz w:val="20"/>
                <w:szCs w:val="20"/>
                <w:color w:val="auto"/>
              </w:rPr>
            </w:pPr>
            <w:r>
              <w:rPr>
                <w:rFonts w:ascii="Arial" w:cs="Arial" w:eastAsia="Arial" w:hAnsi="Arial"/>
                <w:sz w:val="18"/>
                <w:szCs w:val="18"/>
                <w:b w:val="1"/>
                <w:bCs w:val="1"/>
                <w:color w:val="939598"/>
              </w:rPr>
              <w:t>Funded Status at End of Year</w:t>
            </w:r>
          </w:p>
        </w:tc>
        <w:tc>
          <w:tcPr>
            <w:tcW w:w="120" w:type="dxa"/>
            <w:vAlign w:val="bottom"/>
            <w:shd w:val="clear" w:color="auto" w:fill="E3F1DA"/>
          </w:tcPr>
          <w:p>
            <w:pPr>
              <w:spacing w:after="0"/>
              <w:rPr>
                <w:sz w:val="17"/>
                <w:szCs w:val="17"/>
                <w:color w:val="auto"/>
              </w:rPr>
            </w:pPr>
          </w:p>
        </w:tc>
        <w:tc>
          <w:tcPr>
            <w:tcW w:w="15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0"/>
        </w:trPr>
        <w:tc>
          <w:tcPr>
            <w:tcW w:w="8040" w:type="dxa"/>
            <w:vAlign w:val="bottom"/>
            <w:gridSpan w:val="2"/>
          </w:tcPr>
          <w:p>
            <w:pPr>
              <w:spacing w:after="0" w:line="203" w:lineRule="exact"/>
              <w:rPr>
                <w:sz w:val="20"/>
                <w:szCs w:val="20"/>
                <w:color w:val="auto"/>
              </w:rPr>
            </w:pPr>
            <w:r>
              <w:rPr>
                <w:rFonts w:ascii="Arial" w:cs="Arial" w:eastAsia="Arial" w:hAnsi="Arial"/>
                <w:sz w:val="18"/>
                <w:szCs w:val="18"/>
                <w:color w:val="auto"/>
              </w:rPr>
              <w:t>Funded status, end of year</w:t>
            </w:r>
          </w:p>
        </w:tc>
        <w:tc>
          <w:tcPr>
            <w:tcW w:w="120" w:type="dxa"/>
            <w:vAlign w:val="bottom"/>
            <w:shd w:val="clear" w:color="auto" w:fill="E3F1DA"/>
          </w:tcPr>
          <w:p>
            <w:pPr>
              <w:jc w:val="right"/>
              <w:spacing w:after="0" w:line="203" w:lineRule="exact"/>
              <w:rPr>
                <w:sz w:val="20"/>
                <w:szCs w:val="20"/>
                <w:color w:val="auto"/>
              </w:rPr>
            </w:pPr>
            <w:r>
              <w:rPr>
                <w:rFonts w:ascii="Arial" w:cs="Arial" w:eastAsia="Arial" w:hAnsi="Arial"/>
                <w:sz w:val="18"/>
                <w:szCs w:val="18"/>
                <w:color w:val="86B6A5"/>
                <w:w w:val="79"/>
              </w:rPr>
              <w:t>$</w:t>
            </w:r>
          </w:p>
        </w:tc>
        <w:tc>
          <w:tcPr>
            <w:tcW w:w="1580" w:type="dxa"/>
            <w:vAlign w:val="bottom"/>
          </w:tcPr>
          <w:p>
            <w:pPr>
              <w:jc w:val="right"/>
              <w:ind w:right="71"/>
              <w:spacing w:after="0" w:line="203" w:lineRule="exact"/>
              <w:rPr>
                <w:sz w:val="20"/>
                <w:szCs w:val="20"/>
                <w:color w:val="auto"/>
              </w:rPr>
            </w:pPr>
            <w:r>
              <w:rPr>
                <w:rFonts w:ascii="Arial" w:cs="Arial" w:eastAsia="Arial" w:hAnsi="Arial"/>
                <w:sz w:val="18"/>
                <w:szCs w:val="18"/>
                <w:color w:val="86B6A5"/>
              </w:rPr>
              <w:t>(25.5)</w:t>
            </w:r>
          </w:p>
        </w:tc>
        <w:tc>
          <w:tcPr>
            <w:tcW w:w="580" w:type="dxa"/>
            <w:vAlign w:val="bottom"/>
          </w:tcPr>
          <w:p>
            <w:pPr>
              <w:jc w:val="right"/>
              <w:ind w:right="390"/>
              <w:spacing w:after="0" w:line="203" w:lineRule="exact"/>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(24.6)</w:t>
            </w:r>
          </w:p>
        </w:tc>
      </w:tr>
      <w:tr>
        <w:trPr>
          <w:trHeight w:val="202"/>
        </w:trPr>
        <w:tc>
          <w:tcPr>
            <w:tcW w:w="8040" w:type="dxa"/>
            <w:vAlign w:val="bottom"/>
            <w:tcBorders>
              <w:top w:val="single" w:sz="8" w:color="939598"/>
            </w:tcBorders>
            <w:gridSpan w:val="2"/>
          </w:tcPr>
          <w:p>
            <w:pPr>
              <w:spacing w:after="0" w:line="201" w:lineRule="exact"/>
              <w:rPr>
                <w:sz w:val="20"/>
                <w:szCs w:val="20"/>
                <w:color w:val="auto"/>
              </w:rPr>
            </w:pPr>
            <w:r>
              <w:rPr>
                <w:rFonts w:ascii="Arial" w:cs="Arial" w:eastAsia="Arial" w:hAnsi="Arial"/>
                <w:sz w:val="18"/>
                <w:szCs w:val="18"/>
                <w:b w:val="1"/>
                <w:bCs w:val="1"/>
                <w:color w:val="939598"/>
              </w:rPr>
              <w:t>Amounts Recognized</w:t>
            </w:r>
          </w:p>
        </w:tc>
        <w:tc>
          <w:tcPr>
            <w:tcW w:w="120" w:type="dxa"/>
            <w:vAlign w:val="bottom"/>
            <w:tcBorders>
              <w:top w:val="single" w:sz="8" w:color="939598"/>
            </w:tcBorders>
            <w:shd w:val="clear" w:color="auto" w:fill="E3F1DA"/>
          </w:tcPr>
          <w:p>
            <w:pPr>
              <w:spacing w:after="0"/>
              <w:rPr>
                <w:sz w:val="17"/>
                <w:szCs w:val="17"/>
                <w:color w:val="auto"/>
              </w:rPr>
            </w:pPr>
          </w:p>
        </w:tc>
        <w:tc>
          <w:tcPr>
            <w:tcW w:w="1580" w:type="dxa"/>
            <w:vAlign w:val="bottom"/>
            <w:tcBorders>
              <w:top w:val="single" w:sz="8" w:color="939598"/>
            </w:tcBorders>
          </w:tcPr>
          <w:p>
            <w:pPr>
              <w:spacing w:after="0"/>
              <w:rPr>
                <w:sz w:val="17"/>
                <w:szCs w:val="17"/>
                <w:color w:val="auto"/>
              </w:rPr>
            </w:pPr>
          </w:p>
        </w:tc>
        <w:tc>
          <w:tcPr>
            <w:tcW w:w="580" w:type="dxa"/>
            <w:vAlign w:val="bottom"/>
            <w:tcBorders>
              <w:top w:val="single" w:sz="8" w:color="939598"/>
            </w:tcBorders>
          </w:tcPr>
          <w:p>
            <w:pPr>
              <w:spacing w:after="0"/>
              <w:rPr>
                <w:sz w:val="17"/>
                <w:szCs w:val="17"/>
                <w:color w:val="auto"/>
              </w:rPr>
            </w:pPr>
          </w:p>
        </w:tc>
        <w:tc>
          <w:tcPr>
            <w:tcW w:w="880" w:type="dxa"/>
            <w:vAlign w:val="bottom"/>
            <w:tcBorders>
              <w:top w:val="single" w:sz="8" w:color="939598"/>
            </w:tcBorders>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8040" w:type="dxa"/>
            <w:vAlign w:val="bottom"/>
            <w:gridSpan w:val="2"/>
          </w:tcPr>
          <w:p>
            <w:pPr>
              <w:spacing w:after="0" w:line="202" w:lineRule="exact"/>
              <w:rPr>
                <w:sz w:val="20"/>
                <w:szCs w:val="20"/>
                <w:color w:val="auto"/>
              </w:rPr>
            </w:pPr>
            <w:r>
              <w:rPr>
                <w:rFonts w:ascii="Arial" w:cs="Arial" w:eastAsia="Arial" w:hAnsi="Arial"/>
                <w:sz w:val="18"/>
                <w:szCs w:val="18"/>
                <w:color w:val="auto"/>
              </w:rPr>
              <w:t>Current liabilities</w:t>
            </w:r>
          </w:p>
        </w:tc>
        <w:tc>
          <w:tcPr>
            <w:tcW w:w="120" w:type="dxa"/>
            <w:vAlign w:val="bottom"/>
            <w:shd w:val="clear" w:color="auto" w:fill="E3F1DA"/>
          </w:tcPr>
          <w:p>
            <w:pPr>
              <w:jc w:val="right"/>
              <w:spacing w:after="0" w:line="202" w:lineRule="exact"/>
              <w:rPr>
                <w:sz w:val="20"/>
                <w:szCs w:val="20"/>
                <w:color w:val="auto"/>
              </w:rPr>
            </w:pPr>
            <w:r>
              <w:rPr>
                <w:rFonts w:ascii="Arial" w:cs="Arial" w:eastAsia="Arial" w:hAnsi="Arial"/>
                <w:sz w:val="18"/>
                <w:szCs w:val="18"/>
                <w:color w:val="86B6A5"/>
                <w:w w:val="79"/>
              </w:rPr>
              <w:t>$</w:t>
            </w:r>
          </w:p>
        </w:tc>
        <w:tc>
          <w:tcPr>
            <w:tcW w:w="1580" w:type="dxa"/>
            <w:vAlign w:val="bottom"/>
          </w:tcPr>
          <w:p>
            <w:pPr>
              <w:jc w:val="right"/>
              <w:ind w:right="71"/>
              <w:spacing w:after="0" w:line="202" w:lineRule="exact"/>
              <w:rPr>
                <w:sz w:val="20"/>
                <w:szCs w:val="20"/>
                <w:color w:val="auto"/>
              </w:rPr>
            </w:pPr>
            <w:r>
              <w:rPr>
                <w:rFonts w:ascii="Arial" w:cs="Arial" w:eastAsia="Arial" w:hAnsi="Arial"/>
                <w:sz w:val="18"/>
                <w:szCs w:val="18"/>
                <w:color w:val="86B6A5"/>
              </w:rPr>
              <w:t>(1.6)</w:t>
            </w:r>
          </w:p>
        </w:tc>
        <w:tc>
          <w:tcPr>
            <w:tcW w:w="580" w:type="dxa"/>
            <w:vAlign w:val="bottom"/>
          </w:tcPr>
          <w:p>
            <w:pPr>
              <w:jc w:val="right"/>
              <w:ind w:right="390"/>
              <w:spacing w:after="0" w:line="202" w:lineRule="exact"/>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(1.4)</w:t>
            </w:r>
          </w:p>
        </w:tc>
      </w:tr>
      <w:tr>
        <w:trPr>
          <w:trHeight w:val="203"/>
        </w:trPr>
        <w:tc>
          <w:tcPr>
            <w:tcW w:w="8040" w:type="dxa"/>
            <w:vAlign w:val="bottom"/>
            <w:gridSpan w:val="2"/>
          </w:tcPr>
          <w:p>
            <w:pPr>
              <w:spacing w:after="0" w:line="202" w:lineRule="exact"/>
              <w:rPr>
                <w:sz w:val="20"/>
                <w:szCs w:val="20"/>
                <w:color w:val="auto"/>
              </w:rPr>
            </w:pPr>
            <w:r>
              <w:rPr>
                <w:rFonts w:ascii="Arial" w:cs="Arial" w:eastAsia="Arial" w:hAnsi="Arial"/>
                <w:sz w:val="18"/>
                <w:szCs w:val="18"/>
                <w:color w:val="auto"/>
              </w:rPr>
              <w:t>Noncurrent liabilities</w:t>
            </w:r>
          </w:p>
        </w:tc>
        <w:tc>
          <w:tcPr>
            <w:tcW w:w="120" w:type="dxa"/>
            <w:vAlign w:val="bottom"/>
            <w:shd w:val="clear" w:color="auto" w:fill="E3F1DA"/>
          </w:tcPr>
          <w:p>
            <w:pPr>
              <w:spacing w:after="0"/>
              <w:rPr>
                <w:sz w:val="17"/>
                <w:szCs w:val="17"/>
                <w:color w:val="auto"/>
              </w:rPr>
            </w:pPr>
          </w:p>
        </w:tc>
        <w:tc>
          <w:tcPr>
            <w:tcW w:w="1580" w:type="dxa"/>
            <w:vAlign w:val="bottom"/>
          </w:tcPr>
          <w:p>
            <w:pPr>
              <w:jc w:val="right"/>
              <w:ind w:right="71"/>
              <w:spacing w:after="0" w:line="202" w:lineRule="exact"/>
              <w:rPr>
                <w:sz w:val="20"/>
                <w:szCs w:val="20"/>
                <w:color w:val="auto"/>
              </w:rPr>
            </w:pPr>
            <w:r>
              <w:rPr>
                <w:rFonts w:ascii="Arial" w:cs="Arial" w:eastAsia="Arial" w:hAnsi="Arial"/>
                <w:sz w:val="18"/>
                <w:szCs w:val="18"/>
                <w:color w:val="86B6A5"/>
              </w:rPr>
              <w:t>(23.9)</w:t>
            </w:r>
          </w:p>
        </w:tc>
        <w:tc>
          <w:tcPr>
            <w:tcW w:w="580" w:type="dxa"/>
            <w:vAlign w:val="bottom"/>
          </w:tcPr>
          <w:p>
            <w:pPr>
              <w:spacing w:after="0"/>
              <w:rPr>
                <w:sz w:val="17"/>
                <w:szCs w:val="17"/>
                <w:color w:val="auto"/>
              </w:rPr>
            </w:pPr>
          </w:p>
        </w:tc>
        <w:tc>
          <w:tcPr>
            <w:tcW w:w="9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(23.2)</w:t>
            </w:r>
          </w:p>
        </w:tc>
      </w:tr>
      <w:tr>
        <w:trPr>
          <w:trHeight w:val="197"/>
        </w:trPr>
        <w:tc>
          <w:tcPr>
            <w:tcW w:w="8040" w:type="dxa"/>
            <w:vAlign w:val="bottom"/>
            <w:tcBorders>
              <w:top w:val="single" w:sz="8" w:color="939598"/>
            </w:tcBorders>
            <w:gridSpan w:val="2"/>
          </w:tcPr>
          <w:p>
            <w:pPr>
              <w:spacing w:after="0" w:line="197" w:lineRule="exact"/>
              <w:rPr>
                <w:sz w:val="20"/>
                <w:szCs w:val="20"/>
                <w:color w:val="auto"/>
              </w:rPr>
            </w:pPr>
            <w:r>
              <w:rPr>
                <w:rFonts w:ascii="Arial" w:cs="Arial" w:eastAsia="Arial" w:hAnsi="Arial"/>
                <w:sz w:val="18"/>
                <w:szCs w:val="18"/>
                <w:color w:val="auto"/>
              </w:rPr>
              <w:t>Net amount recognized</w:t>
            </w:r>
          </w:p>
        </w:tc>
        <w:tc>
          <w:tcPr>
            <w:tcW w:w="120" w:type="dxa"/>
            <w:vAlign w:val="bottom"/>
            <w:tcBorders>
              <w:top w:val="single" w:sz="8" w:color="939598"/>
            </w:tcBorders>
            <w:shd w:val="clear" w:color="auto" w:fill="E3F1DA"/>
          </w:tcPr>
          <w:p>
            <w:pPr>
              <w:jc w:val="right"/>
              <w:spacing w:after="0" w:line="197" w:lineRule="exact"/>
              <w:rPr>
                <w:sz w:val="20"/>
                <w:szCs w:val="20"/>
                <w:color w:val="auto"/>
              </w:rPr>
            </w:pPr>
            <w:r>
              <w:rPr>
                <w:rFonts w:ascii="Arial" w:cs="Arial" w:eastAsia="Arial" w:hAnsi="Arial"/>
                <w:sz w:val="18"/>
                <w:szCs w:val="18"/>
                <w:color w:val="86B6A5"/>
                <w:w w:val="79"/>
              </w:rPr>
              <w:t>$</w:t>
            </w:r>
          </w:p>
        </w:tc>
        <w:tc>
          <w:tcPr>
            <w:tcW w:w="1580" w:type="dxa"/>
            <w:vAlign w:val="bottom"/>
            <w:tcBorders>
              <w:top w:val="single" w:sz="8" w:color="939598"/>
            </w:tcBorders>
          </w:tcPr>
          <w:p>
            <w:pPr>
              <w:jc w:val="right"/>
              <w:ind w:right="71"/>
              <w:spacing w:after="0" w:line="197" w:lineRule="exact"/>
              <w:rPr>
                <w:sz w:val="20"/>
                <w:szCs w:val="20"/>
                <w:color w:val="auto"/>
              </w:rPr>
            </w:pPr>
            <w:r>
              <w:rPr>
                <w:rFonts w:ascii="Arial" w:cs="Arial" w:eastAsia="Arial" w:hAnsi="Arial"/>
                <w:sz w:val="18"/>
                <w:szCs w:val="18"/>
                <w:color w:val="86B6A5"/>
              </w:rPr>
              <w:t>(25.5)</w:t>
            </w:r>
          </w:p>
        </w:tc>
        <w:tc>
          <w:tcPr>
            <w:tcW w:w="580" w:type="dxa"/>
            <w:vAlign w:val="bottom"/>
            <w:tcBorders>
              <w:top w:val="single" w:sz="8" w:color="939598"/>
            </w:tcBorders>
          </w:tcPr>
          <w:p>
            <w:pPr>
              <w:jc w:val="right"/>
              <w:ind w:right="390"/>
              <w:spacing w:after="0" w:line="197"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939598"/>
            </w:tcBorders>
          </w:tcPr>
          <w:p>
            <w:pPr>
              <w:jc w:val="right"/>
              <w:spacing w:after="0" w:line="197" w:lineRule="exact"/>
              <w:rPr>
                <w:sz w:val="20"/>
                <w:szCs w:val="20"/>
                <w:color w:val="auto"/>
              </w:rPr>
            </w:pPr>
            <w:r>
              <w:rPr>
                <w:rFonts w:ascii="Arial" w:cs="Arial" w:eastAsia="Arial" w:hAnsi="Arial"/>
                <w:sz w:val="18"/>
                <w:szCs w:val="18"/>
                <w:color w:val="auto"/>
              </w:rPr>
              <w:t>(24.6</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7"/>
        </w:trPr>
        <w:tc>
          <w:tcPr>
            <w:tcW w:w="20" w:type="dxa"/>
            <w:vAlign w:val="bottom"/>
          </w:tcPr>
          <w:p>
            <w:pPr>
              <w:spacing w:after="0"/>
              <w:rPr>
                <w:sz w:val="2"/>
                <w:szCs w:val="2"/>
                <w:color w:val="auto"/>
              </w:rPr>
            </w:pPr>
          </w:p>
        </w:tc>
        <w:tc>
          <w:tcPr>
            <w:tcW w:w="8020" w:type="dxa"/>
            <w:vAlign w:val="bottom"/>
            <w:shd w:val="clear" w:color="auto" w:fill="939598"/>
          </w:tcPr>
          <w:p>
            <w:pPr>
              <w:spacing w:after="0"/>
              <w:rPr>
                <w:sz w:val="2"/>
                <w:szCs w:val="2"/>
                <w:color w:val="auto"/>
              </w:rPr>
            </w:pPr>
          </w:p>
        </w:tc>
        <w:tc>
          <w:tcPr>
            <w:tcW w:w="120" w:type="dxa"/>
            <w:vAlign w:val="bottom"/>
            <w:shd w:val="clear" w:color="auto" w:fill="939598"/>
          </w:tcPr>
          <w:p>
            <w:pPr>
              <w:spacing w:after="0"/>
              <w:rPr>
                <w:sz w:val="2"/>
                <w:szCs w:val="2"/>
                <w:color w:val="auto"/>
              </w:rPr>
            </w:pPr>
          </w:p>
        </w:tc>
        <w:tc>
          <w:tcPr>
            <w:tcW w:w="1580" w:type="dxa"/>
            <w:vAlign w:val="bottom"/>
            <w:shd w:val="clear" w:color="auto" w:fill="939598"/>
          </w:tcPr>
          <w:p>
            <w:pPr>
              <w:spacing w:after="0"/>
              <w:rPr>
                <w:sz w:val="2"/>
                <w:szCs w:val="2"/>
                <w:color w:val="auto"/>
              </w:rPr>
            </w:pPr>
          </w:p>
        </w:tc>
        <w:tc>
          <w:tcPr>
            <w:tcW w:w="580" w:type="dxa"/>
            <w:vAlign w:val="bottom"/>
            <w:shd w:val="clear" w:color="auto" w:fill="939598"/>
          </w:tcPr>
          <w:p>
            <w:pPr>
              <w:spacing w:after="0"/>
              <w:rPr>
                <w:sz w:val="2"/>
                <w:szCs w:val="2"/>
                <w:color w:val="auto"/>
              </w:rPr>
            </w:pPr>
          </w:p>
        </w:tc>
        <w:tc>
          <w:tcPr>
            <w:tcW w:w="880" w:type="dxa"/>
            <w:vAlign w:val="bottom"/>
            <w:shd w:val="clear" w:color="auto" w:fill="939598"/>
          </w:tcPr>
          <w:p>
            <w:pPr>
              <w:spacing w:after="0"/>
              <w:rPr>
                <w:sz w:val="2"/>
                <w:szCs w:val="2"/>
                <w:color w:val="auto"/>
              </w:rPr>
            </w:pPr>
          </w:p>
        </w:tc>
        <w:tc>
          <w:tcPr>
            <w:tcW w:w="6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5176520</wp:posOffset>
            </wp:positionH>
            <wp:positionV relativeFrom="paragraph">
              <wp:posOffset>-1740535</wp:posOffset>
            </wp:positionV>
            <wp:extent cx="1003300" cy="173228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003300" cy="1732280"/>
                    </a:xfrm>
                    <a:prstGeom prst="rect">
                      <a:avLst/>
                    </a:prstGeom>
                    <a:noFill/>
                  </pic:spPr>
                </pic:pic>
              </a:graphicData>
            </a:graphic>
          </wp:anchor>
        </w:drawing>
      </w:r>
    </w:p>
    <w:p>
      <w:pPr>
        <w:spacing w:after="0" w:line="195"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The amount recognized in Accumulated Other Comprehensive Income (Loss), net of tax, represents a net gain of $1.5 and $2.5 in 2010 and 2009, respectively.</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color w:val="4D8ABE"/>
        </w:rPr>
        <w:t xml:space="preserve">68 </w:t>
      </w:r>
      <w:r>
        <w:rPr>
          <w:rFonts w:ascii="Arial" w:cs="Arial" w:eastAsia="Arial" w:hAnsi="Arial"/>
          <w:sz w:val="16"/>
          <w:szCs w:val="16"/>
          <w:color w:val="4D8ABE"/>
        </w:rPr>
        <w:t>Manpower 2010 Annual Report</w:t>
      </w:r>
      <w:r>
        <w:rPr>
          <w:rFonts w:ascii="Arial" w:cs="Arial" w:eastAsia="Arial" w:hAnsi="Arial"/>
          <w:sz w:val="16"/>
          <w:szCs w:val="16"/>
          <w:b w:val="1"/>
          <w:bCs w:val="1"/>
          <w:color w:val="4D8ABE"/>
        </w:rPr>
        <w:t xml:space="preserve"> </w:t>
      </w:r>
      <w:r>
        <w:rPr>
          <w:rFonts w:ascii="Arial" w:cs="Arial" w:eastAsia="Arial" w:hAnsi="Arial"/>
          <w:sz w:val="16"/>
          <w:szCs w:val="16"/>
          <w:b w:val="1"/>
          <w:bCs w:val="1"/>
          <w:color w:val="939598"/>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wp:posOffset>
            </wp:positionV>
            <wp:extent cx="7267575" cy="469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ectPr>
          <w:pgSz w:w="11900" w:h="16838" w:orient="portrait"/>
          <w:cols w:equalWidth="0" w:num="1">
            <w:col w:w="11420"/>
          </w:cols>
          <w:pgMar w:left="240" w:top="345" w:right="239" w:bottom="1440" w:gutter="0" w:footer="0" w:header="0"/>
        </w:sectPr>
      </w:pPr>
    </w:p>
    <w:bookmarkStart w:id="99" w:name="page100"/>
    <w:bookmarkEnd w:id="99"/>
    <w:p>
      <w:pPr>
        <w:jc w:val="both"/>
        <w:spacing w:after="0"/>
        <w:rPr>
          <w:sz w:val="20"/>
          <w:szCs w:val="20"/>
          <w:color w:val="auto"/>
        </w:rPr>
      </w:pPr>
      <w:r>
        <w:rPr>
          <w:rFonts w:ascii="Arial" w:cs="Arial" w:eastAsia="Arial" w:hAnsi="Arial"/>
          <w:sz w:val="18"/>
          <w:szCs w:val="18"/>
          <w:color w:val="auto"/>
        </w:rPr>
        <w:t>The discount rate used in the measurement of the benefit obligation was 5.1% and 5.7% in 2010 and 2009, respectively. The discount rate used in the measurement of net periodic benefit cost was 5.7%, 6.4% and 6.3% in 2010, 2009 and 2008, respectively. The components of net periodic benefit cost for this plan are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
        </w:trPr>
        <w:tc>
          <w:tcPr>
            <w:tcW w:w="6740" w:type="dxa"/>
            <w:vAlign w:val="bottom"/>
            <w:gridSpan w:val="2"/>
            <w:vMerge w:val="restart"/>
          </w:tcPr>
          <w:p>
            <w:pPr>
              <w:spacing w:after="0"/>
              <w:rPr>
                <w:sz w:val="20"/>
                <w:szCs w:val="20"/>
                <w:color w:val="auto"/>
              </w:rPr>
            </w:pPr>
            <w:r>
              <w:rPr>
                <w:rFonts w:ascii="Arial" w:cs="Arial" w:eastAsia="Arial" w:hAnsi="Arial"/>
                <w:sz w:val="18"/>
                <w:szCs w:val="18"/>
                <w:b w:val="1"/>
                <w:bCs w:val="1"/>
                <w:color w:val="86B6A5"/>
              </w:rPr>
              <w:t>Year Ended December 31</w:t>
            </w: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0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86B6A5"/>
              </w:rPr>
              <w:t>2009</w:t>
            </w:r>
          </w:p>
        </w:tc>
        <w:tc>
          <w:tcPr>
            <w:tcW w:w="560" w:type="dxa"/>
            <w:vAlign w:val="bottom"/>
          </w:tcPr>
          <w:p>
            <w:pPr>
              <w:spacing w:after="0" w:line="20" w:lineRule="exact"/>
              <w:rPr>
                <w:sz w:val="1"/>
                <w:szCs w:val="1"/>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b w:val="1"/>
                <w:bCs w:val="1"/>
                <w:color w:val="86B6A5"/>
              </w:rPr>
              <w:t>2008</w:t>
            </w:r>
          </w:p>
        </w:tc>
        <w:tc>
          <w:tcPr>
            <w:tcW w:w="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74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shd w:val="clear" w:color="auto" w:fill="86B6A5"/>
          </w:tcPr>
          <w:p>
            <w:pPr>
              <w:spacing w:after="0"/>
              <w:rPr>
                <w:sz w:val="18"/>
                <w:szCs w:val="18"/>
                <w:color w:val="auto"/>
              </w:rPr>
            </w:pPr>
          </w:p>
        </w:tc>
        <w:tc>
          <w:tcPr>
            <w:tcW w:w="1340" w:type="dxa"/>
            <w:vAlign w:val="bottom"/>
            <w:shd w:val="clear" w:color="auto" w:fill="86B6A5"/>
          </w:tcPr>
          <w:p>
            <w:pPr>
              <w:jc w:val="right"/>
              <w:ind w:right="130"/>
              <w:spacing w:after="0" w:line="202" w:lineRule="exact"/>
              <w:rPr>
                <w:sz w:val="20"/>
                <w:szCs w:val="20"/>
                <w:color w:val="auto"/>
              </w:rPr>
            </w:pPr>
            <w:r>
              <w:rPr>
                <w:rFonts w:ascii="Arial" w:cs="Arial" w:eastAsia="Arial" w:hAnsi="Arial"/>
                <w:sz w:val="18"/>
                <w:szCs w:val="18"/>
                <w:b w:val="1"/>
                <w:bCs w:val="1"/>
                <w:color w:val="FFFFFF"/>
              </w:rPr>
              <w:t>2010</w:t>
            </w:r>
          </w:p>
        </w:tc>
        <w:tc>
          <w:tcPr>
            <w:tcW w:w="48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56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720" w:type="dxa"/>
            <w:vAlign w:val="bottom"/>
            <w:tcBorders>
              <w:top w:val="single" w:sz="8" w:color="86B6A5"/>
            </w:tcBorders>
          </w:tcPr>
          <w:p>
            <w:pPr>
              <w:spacing w:after="0" w:line="201" w:lineRule="exact"/>
              <w:rPr>
                <w:sz w:val="20"/>
                <w:szCs w:val="20"/>
                <w:color w:val="auto"/>
              </w:rPr>
            </w:pPr>
            <w:r>
              <w:rPr>
                <w:rFonts w:ascii="Arial" w:cs="Arial" w:eastAsia="Arial" w:hAnsi="Arial"/>
                <w:sz w:val="18"/>
                <w:szCs w:val="18"/>
                <w:b w:val="1"/>
                <w:bCs w:val="1"/>
                <w:color w:val="939598"/>
              </w:rPr>
              <w:t>Net Periodic Benefit Cost</w:t>
            </w:r>
          </w:p>
        </w:tc>
        <w:tc>
          <w:tcPr>
            <w:tcW w:w="300" w:type="dxa"/>
            <w:vAlign w:val="bottom"/>
            <w:tcBorders>
              <w:top w:val="single" w:sz="8" w:color="86B6A5"/>
            </w:tcBorders>
          </w:tcPr>
          <w:p>
            <w:pPr>
              <w:spacing w:after="0"/>
              <w:rPr>
                <w:sz w:val="17"/>
                <w:szCs w:val="17"/>
                <w:color w:val="auto"/>
              </w:rPr>
            </w:pPr>
          </w:p>
        </w:tc>
        <w:tc>
          <w:tcPr>
            <w:tcW w:w="120" w:type="dxa"/>
            <w:vAlign w:val="bottom"/>
            <w:tcBorders>
              <w:top w:val="single" w:sz="8" w:color="86B6A5"/>
            </w:tcBorders>
            <w:shd w:val="clear" w:color="auto" w:fill="E3F1DA"/>
          </w:tcPr>
          <w:p>
            <w:pPr>
              <w:spacing w:after="0"/>
              <w:rPr>
                <w:sz w:val="17"/>
                <w:szCs w:val="17"/>
                <w:color w:val="auto"/>
              </w:rPr>
            </w:pPr>
          </w:p>
        </w:tc>
        <w:tc>
          <w:tcPr>
            <w:tcW w:w="1340" w:type="dxa"/>
            <w:vAlign w:val="bottom"/>
            <w:tcBorders>
              <w:top w:val="single" w:sz="8" w:color="86B6A5"/>
            </w:tcBorders>
            <w:shd w:val="clear" w:color="auto" w:fill="E3F1DA"/>
          </w:tcPr>
          <w:p>
            <w:pPr>
              <w:spacing w:after="0"/>
              <w:rPr>
                <w:sz w:val="17"/>
                <w:szCs w:val="17"/>
                <w:color w:val="auto"/>
              </w:rPr>
            </w:pPr>
          </w:p>
        </w:tc>
        <w:tc>
          <w:tcPr>
            <w:tcW w:w="480" w:type="dxa"/>
            <w:vAlign w:val="bottom"/>
            <w:tcBorders>
              <w:top w:val="single" w:sz="8" w:color="86B6A5"/>
            </w:tcBorders>
          </w:tcPr>
          <w:p>
            <w:pPr>
              <w:spacing w:after="0"/>
              <w:rPr>
                <w:sz w:val="17"/>
                <w:szCs w:val="17"/>
                <w:color w:val="auto"/>
              </w:rPr>
            </w:pPr>
          </w:p>
        </w:tc>
        <w:tc>
          <w:tcPr>
            <w:tcW w:w="900" w:type="dxa"/>
            <w:vAlign w:val="bottom"/>
            <w:tcBorders>
              <w:top w:val="single" w:sz="8" w:color="86B6A5"/>
            </w:tcBorders>
          </w:tcPr>
          <w:p>
            <w:pPr>
              <w:spacing w:after="0"/>
              <w:rPr>
                <w:sz w:val="17"/>
                <w:szCs w:val="17"/>
                <w:color w:val="auto"/>
              </w:rPr>
            </w:pPr>
          </w:p>
        </w:tc>
        <w:tc>
          <w:tcPr>
            <w:tcW w:w="560" w:type="dxa"/>
            <w:vAlign w:val="bottom"/>
            <w:tcBorders>
              <w:top w:val="single" w:sz="8" w:color="86B6A5"/>
            </w:tcBorders>
          </w:tcPr>
          <w:p>
            <w:pPr>
              <w:spacing w:after="0"/>
              <w:rPr>
                <w:sz w:val="17"/>
                <w:szCs w:val="17"/>
                <w:color w:val="auto"/>
              </w:rPr>
            </w:pPr>
          </w:p>
        </w:tc>
        <w:tc>
          <w:tcPr>
            <w:tcW w:w="760" w:type="dxa"/>
            <w:vAlign w:val="bottom"/>
            <w:tcBorders>
              <w:top w:val="single" w:sz="8" w:color="86B6A5"/>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40" w:type="dxa"/>
            <w:vAlign w:val="bottom"/>
            <w:gridSpan w:val="2"/>
          </w:tcPr>
          <w:p>
            <w:pPr>
              <w:spacing w:after="0" w:line="202" w:lineRule="exact"/>
              <w:rPr>
                <w:sz w:val="20"/>
                <w:szCs w:val="20"/>
                <w:color w:val="auto"/>
              </w:rPr>
            </w:pPr>
            <w:r>
              <w:rPr>
                <w:rFonts w:ascii="Arial" w:cs="Arial" w:eastAsia="Arial" w:hAnsi="Arial"/>
                <w:sz w:val="18"/>
                <w:szCs w:val="18"/>
                <w:color w:val="auto"/>
              </w:rPr>
              <w:t>Service cost</w:t>
            </w:r>
          </w:p>
        </w:tc>
        <w:tc>
          <w:tcPr>
            <w:tcW w:w="300" w:type="dxa"/>
            <w:vAlign w:val="bottom"/>
          </w:tcPr>
          <w:p>
            <w:pPr>
              <w:spacing w:after="0"/>
              <w:rPr>
                <w:sz w:val="17"/>
                <w:szCs w:val="17"/>
                <w:color w:val="auto"/>
              </w:rPr>
            </w:pPr>
          </w:p>
        </w:tc>
        <w:tc>
          <w:tcPr>
            <w:tcW w:w="120" w:type="dxa"/>
            <w:vAlign w:val="bottom"/>
            <w:shd w:val="clear" w:color="auto" w:fill="E3F1DA"/>
          </w:tcPr>
          <w:p>
            <w:pPr>
              <w:jc w:val="right"/>
              <w:spacing w:after="0" w:line="202" w:lineRule="exact"/>
              <w:rPr>
                <w:sz w:val="20"/>
                <w:szCs w:val="20"/>
                <w:color w:val="auto"/>
              </w:rPr>
            </w:pPr>
            <w:r>
              <w:rPr>
                <w:rFonts w:ascii="Arial" w:cs="Arial" w:eastAsia="Arial" w:hAnsi="Arial"/>
                <w:sz w:val="18"/>
                <w:szCs w:val="18"/>
                <w:color w:val="86B6A5"/>
                <w:w w:val="79"/>
              </w:rPr>
              <w:t>$</w:t>
            </w:r>
          </w:p>
        </w:tc>
        <w:tc>
          <w:tcPr>
            <w:tcW w:w="1340" w:type="dxa"/>
            <w:vAlign w:val="bottom"/>
            <w:shd w:val="clear" w:color="auto" w:fill="E3F1DA"/>
          </w:tcPr>
          <w:p>
            <w:pPr>
              <w:jc w:val="right"/>
              <w:ind w:right="130"/>
              <w:spacing w:after="0" w:line="202" w:lineRule="exact"/>
              <w:rPr>
                <w:sz w:val="20"/>
                <w:szCs w:val="20"/>
                <w:color w:val="auto"/>
              </w:rPr>
            </w:pPr>
            <w:r>
              <w:rPr>
                <w:rFonts w:ascii="Arial" w:cs="Arial" w:eastAsia="Arial" w:hAnsi="Arial"/>
                <w:sz w:val="18"/>
                <w:szCs w:val="18"/>
                <w:color w:val="86B6A5"/>
              </w:rPr>
              <w:t>0.1</w:t>
            </w:r>
          </w:p>
        </w:tc>
        <w:tc>
          <w:tcPr>
            <w:tcW w:w="480" w:type="dxa"/>
            <w:vAlign w:val="bottom"/>
          </w:tcPr>
          <w:p>
            <w:pPr>
              <w:jc w:val="right"/>
              <w:ind w:right="290"/>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tcPr>
          <w:p>
            <w:pPr>
              <w:jc w:val="right"/>
              <w:ind w:right="50"/>
              <w:spacing w:after="0" w:line="202" w:lineRule="exact"/>
              <w:rPr>
                <w:sz w:val="20"/>
                <w:szCs w:val="20"/>
                <w:color w:val="auto"/>
              </w:rPr>
            </w:pPr>
            <w:r>
              <w:rPr>
                <w:rFonts w:ascii="Arial" w:cs="Arial" w:eastAsia="Arial" w:hAnsi="Arial"/>
                <w:sz w:val="18"/>
                <w:szCs w:val="18"/>
                <w:color w:val="auto"/>
              </w:rPr>
              <w:t>0.1</w:t>
            </w:r>
          </w:p>
        </w:tc>
        <w:tc>
          <w:tcPr>
            <w:tcW w:w="56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w:t>
            </w: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0.2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740" w:type="dxa"/>
            <w:vAlign w:val="bottom"/>
            <w:gridSpan w:val="2"/>
          </w:tcPr>
          <w:p>
            <w:pPr>
              <w:spacing w:after="0" w:line="201" w:lineRule="exact"/>
              <w:rPr>
                <w:sz w:val="20"/>
                <w:szCs w:val="20"/>
                <w:color w:val="auto"/>
              </w:rPr>
            </w:pPr>
            <w:r>
              <w:rPr>
                <w:rFonts w:ascii="Arial" w:cs="Arial" w:eastAsia="Arial" w:hAnsi="Arial"/>
                <w:sz w:val="18"/>
                <w:szCs w:val="18"/>
                <w:color w:val="auto"/>
              </w:rPr>
              <w:t>Interest cost</w:t>
            </w:r>
          </w:p>
        </w:tc>
        <w:tc>
          <w:tcPr>
            <w:tcW w:w="300" w:type="dxa"/>
            <w:vAlign w:val="bottom"/>
          </w:tcPr>
          <w:p>
            <w:pPr>
              <w:spacing w:after="0"/>
              <w:rPr>
                <w:sz w:val="17"/>
                <w:szCs w:val="17"/>
                <w:color w:val="auto"/>
              </w:rPr>
            </w:pPr>
          </w:p>
        </w:tc>
        <w:tc>
          <w:tcPr>
            <w:tcW w:w="120" w:type="dxa"/>
            <w:vAlign w:val="bottom"/>
            <w:shd w:val="clear" w:color="auto" w:fill="E3F1DA"/>
          </w:tcPr>
          <w:p>
            <w:pPr>
              <w:spacing w:after="0"/>
              <w:rPr>
                <w:sz w:val="17"/>
                <w:szCs w:val="17"/>
                <w:color w:val="auto"/>
              </w:rPr>
            </w:pPr>
          </w:p>
        </w:tc>
        <w:tc>
          <w:tcPr>
            <w:tcW w:w="1340" w:type="dxa"/>
            <w:vAlign w:val="bottom"/>
          </w:tcPr>
          <w:p>
            <w:pPr>
              <w:jc w:val="right"/>
              <w:ind w:right="130"/>
              <w:spacing w:after="0" w:line="201" w:lineRule="exact"/>
              <w:rPr>
                <w:sz w:val="20"/>
                <w:szCs w:val="20"/>
                <w:color w:val="auto"/>
              </w:rPr>
            </w:pPr>
            <w:r>
              <w:rPr>
                <w:rFonts w:ascii="Arial" w:cs="Arial" w:eastAsia="Arial" w:hAnsi="Arial"/>
                <w:sz w:val="18"/>
                <w:szCs w:val="18"/>
                <w:color w:val="86B6A5"/>
              </w:rPr>
              <w:t>1.4</w:t>
            </w:r>
          </w:p>
        </w:tc>
        <w:tc>
          <w:tcPr>
            <w:tcW w:w="480" w:type="dxa"/>
            <w:vAlign w:val="bottom"/>
          </w:tcPr>
          <w:p>
            <w:pPr>
              <w:spacing w:after="0"/>
              <w:rPr>
                <w:sz w:val="17"/>
                <w:szCs w:val="17"/>
                <w:color w:val="auto"/>
              </w:rPr>
            </w:pPr>
          </w:p>
        </w:tc>
        <w:tc>
          <w:tcPr>
            <w:tcW w:w="900" w:type="dxa"/>
            <w:vAlign w:val="bottom"/>
          </w:tcPr>
          <w:p>
            <w:pPr>
              <w:jc w:val="right"/>
              <w:ind w:right="50"/>
              <w:spacing w:after="0" w:line="201" w:lineRule="exact"/>
              <w:rPr>
                <w:sz w:val="20"/>
                <w:szCs w:val="20"/>
                <w:color w:val="auto"/>
              </w:rPr>
            </w:pPr>
            <w:r>
              <w:rPr>
                <w:rFonts w:ascii="Arial" w:cs="Arial" w:eastAsia="Arial" w:hAnsi="Arial"/>
                <w:sz w:val="18"/>
                <w:szCs w:val="18"/>
                <w:color w:val="auto"/>
              </w:rPr>
              <w:t>1.4</w:t>
            </w:r>
          </w:p>
        </w:tc>
        <w:tc>
          <w:tcPr>
            <w:tcW w:w="560" w:type="dxa"/>
            <w:vAlign w:val="bottom"/>
          </w:tcPr>
          <w:p>
            <w:pPr>
              <w:spacing w:after="0"/>
              <w:rPr>
                <w:sz w:val="17"/>
                <w:szCs w:val="17"/>
                <w:color w:val="auto"/>
              </w:rPr>
            </w:pPr>
          </w:p>
        </w:tc>
        <w:tc>
          <w:tcPr>
            <w:tcW w:w="760" w:type="dxa"/>
            <w:vAlign w:val="bottom"/>
          </w:tcPr>
          <w:p>
            <w:pPr>
              <w:jc w:val="right"/>
              <w:spacing w:after="0" w:line="201" w:lineRule="exact"/>
              <w:rPr>
                <w:sz w:val="20"/>
                <w:szCs w:val="20"/>
                <w:color w:val="auto"/>
              </w:rPr>
            </w:pPr>
            <w:r>
              <w:rPr>
                <w:rFonts w:ascii="Arial" w:cs="Arial" w:eastAsia="Arial" w:hAnsi="Arial"/>
                <w:sz w:val="18"/>
                <w:szCs w:val="18"/>
                <w:color w:val="auto"/>
              </w:rPr>
              <w:t>1.4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40" w:type="dxa"/>
            <w:vAlign w:val="bottom"/>
            <w:gridSpan w:val="2"/>
          </w:tcPr>
          <w:p>
            <w:pPr>
              <w:spacing w:after="0" w:line="203" w:lineRule="exact"/>
              <w:rPr>
                <w:sz w:val="20"/>
                <w:szCs w:val="20"/>
                <w:color w:val="auto"/>
              </w:rPr>
            </w:pPr>
            <w:r>
              <w:rPr>
                <w:rFonts w:ascii="Arial" w:cs="Arial" w:eastAsia="Arial" w:hAnsi="Arial"/>
                <w:sz w:val="18"/>
                <w:szCs w:val="18"/>
                <w:color w:val="auto"/>
              </w:rPr>
              <w:t>Net gain</w:t>
            </w:r>
          </w:p>
        </w:tc>
        <w:tc>
          <w:tcPr>
            <w:tcW w:w="300" w:type="dxa"/>
            <w:vAlign w:val="bottom"/>
          </w:tcPr>
          <w:p>
            <w:pPr>
              <w:spacing w:after="0"/>
              <w:rPr>
                <w:sz w:val="17"/>
                <w:szCs w:val="17"/>
                <w:color w:val="auto"/>
              </w:rPr>
            </w:pPr>
          </w:p>
        </w:tc>
        <w:tc>
          <w:tcPr>
            <w:tcW w:w="120" w:type="dxa"/>
            <w:vAlign w:val="bottom"/>
            <w:shd w:val="clear" w:color="auto" w:fill="E3F1DA"/>
          </w:tcPr>
          <w:p>
            <w:pPr>
              <w:spacing w:after="0"/>
              <w:rPr>
                <w:sz w:val="17"/>
                <w:szCs w:val="17"/>
                <w:color w:val="auto"/>
              </w:rPr>
            </w:pPr>
          </w:p>
        </w:tc>
        <w:tc>
          <w:tcPr>
            <w:tcW w:w="1340" w:type="dxa"/>
            <w:vAlign w:val="bottom"/>
          </w:tcPr>
          <w:p>
            <w:pPr>
              <w:jc w:val="right"/>
              <w:ind w:right="70"/>
              <w:spacing w:after="0" w:line="203" w:lineRule="exact"/>
              <w:rPr>
                <w:sz w:val="20"/>
                <w:szCs w:val="20"/>
                <w:color w:val="auto"/>
              </w:rPr>
            </w:pPr>
            <w:r>
              <w:rPr>
                <w:rFonts w:ascii="Arial" w:cs="Arial" w:eastAsia="Arial" w:hAnsi="Arial"/>
                <w:sz w:val="18"/>
                <w:szCs w:val="18"/>
                <w:color w:val="86B6A5"/>
              </w:rPr>
              <w:t>(0.1)</w:t>
            </w:r>
          </w:p>
        </w:tc>
        <w:tc>
          <w:tcPr>
            <w:tcW w:w="48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Arial" w:cs="Arial" w:eastAsia="Arial" w:hAnsi="Arial"/>
                <w:sz w:val="18"/>
                <w:szCs w:val="18"/>
                <w:color w:val="auto"/>
              </w:rPr>
              <w:t>(0.7)</w:t>
            </w:r>
          </w:p>
        </w:tc>
        <w:tc>
          <w:tcPr>
            <w:tcW w:w="560" w:type="dxa"/>
            <w:vAlign w:val="bottom"/>
          </w:tcPr>
          <w:p>
            <w:pPr>
              <w:spacing w:after="0"/>
              <w:rPr>
                <w:sz w:val="17"/>
                <w:szCs w:val="17"/>
                <w:color w:val="auto"/>
              </w:rPr>
            </w:pPr>
          </w:p>
        </w:tc>
        <w:tc>
          <w:tcPr>
            <w:tcW w:w="82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196"/>
        </w:trPr>
        <w:tc>
          <w:tcPr>
            <w:tcW w:w="6740" w:type="dxa"/>
            <w:vAlign w:val="bottom"/>
            <w:tcBorders>
              <w:top w:val="single" w:sz="8" w:color="939598"/>
              <w:bottom w:val="single" w:sz="8" w:color="939598"/>
            </w:tcBorders>
            <w:gridSpan w:val="2"/>
          </w:tcPr>
          <w:p>
            <w:pPr>
              <w:spacing w:after="0" w:line="196" w:lineRule="exact"/>
              <w:rPr>
                <w:sz w:val="20"/>
                <w:szCs w:val="20"/>
                <w:color w:val="auto"/>
              </w:rPr>
            </w:pPr>
            <w:r>
              <w:rPr>
                <w:rFonts w:ascii="Arial" w:cs="Arial" w:eastAsia="Arial" w:hAnsi="Arial"/>
                <w:sz w:val="18"/>
                <w:szCs w:val="18"/>
                <w:color w:val="auto"/>
              </w:rPr>
              <w:t>Net periodic benefit cost</w:t>
            </w:r>
          </w:p>
        </w:tc>
        <w:tc>
          <w:tcPr>
            <w:tcW w:w="300" w:type="dxa"/>
            <w:vAlign w:val="bottom"/>
            <w:tcBorders>
              <w:top w:val="single" w:sz="8" w:color="939598"/>
              <w:bottom w:val="single" w:sz="8" w:color="939598"/>
            </w:tcBorders>
          </w:tcPr>
          <w:p>
            <w:pPr>
              <w:spacing w:after="0"/>
              <w:rPr>
                <w:sz w:val="17"/>
                <w:szCs w:val="17"/>
                <w:color w:val="auto"/>
              </w:rPr>
            </w:pPr>
          </w:p>
        </w:tc>
        <w:tc>
          <w:tcPr>
            <w:tcW w:w="120" w:type="dxa"/>
            <w:vAlign w:val="bottom"/>
            <w:tcBorders>
              <w:top w:val="single" w:sz="8" w:color="939598"/>
              <w:bottom w:val="single" w:sz="8" w:color="939598"/>
            </w:tcBorders>
            <w:shd w:val="clear" w:color="auto" w:fill="E3F1DA"/>
          </w:tcPr>
          <w:p>
            <w:pPr>
              <w:spacing w:after="0"/>
              <w:rPr>
                <w:sz w:val="17"/>
                <w:szCs w:val="17"/>
                <w:color w:val="auto"/>
              </w:rPr>
            </w:pPr>
          </w:p>
        </w:tc>
        <w:tc>
          <w:tcPr>
            <w:tcW w:w="1340" w:type="dxa"/>
            <w:vAlign w:val="bottom"/>
            <w:tcBorders>
              <w:top w:val="single" w:sz="8" w:color="939598"/>
              <w:bottom w:val="single" w:sz="8" w:color="939598"/>
            </w:tcBorders>
          </w:tcPr>
          <w:p>
            <w:pPr>
              <w:jc w:val="right"/>
              <w:ind w:right="130"/>
              <w:spacing w:after="0" w:line="196" w:lineRule="exact"/>
              <w:rPr>
                <w:sz w:val="20"/>
                <w:szCs w:val="20"/>
                <w:color w:val="auto"/>
              </w:rPr>
            </w:pPr>
            <w:r>
              <w:rPr>
                <w:rFonts w:ascii="Arial" w:cs="Arial" w:eastAsia="Arial" w:hAnsi="Arial"/>
                <w:sz w:val="18"/>
                <w:szCs w:val="18"/>
                <w:color w:val="86B6A5"/>
              </w:rPr>
              <w:t>1.4</w:t>
            </w:r>
          </w:p>
        </w:tc>
        <w:tc>
          <w:tcPr>
            <w:tcW w:w="480" w:type="dxa"/>
            <w:vAlign w:val="bottom"/>
            <w:tcBorders>
              <w:top w:val="single" w:sz="8" w:color="939598"/>
              <w:bottom w:val="single" w:sz="8" w:color="939598"/>
            </w:tcBorders>
          </w:tcPr>
          <w:p>
            <w:pPr>
              <w:spacing w:after="0"/>
              <w:rPr>
                <w:sz w:val="17"/>
                <w:szCs w:val="17"/>
                <w:color w:val="auto"/>
              </w:rPr>
            </w:pPr>
          </w:p>
        </w:tc>
        <w:tc>
          <w:tcPr>
            <w:tcW w:w="900" w:type="dxa"/>
            <w:vAlign w:val="bottom"/>
            <w:tcBorders>
              <w:top w:val="single" w:sz="8" w:color="939598"/>
              <w:bottom w:val="single" w:sz="8" w:color="939598"/>
            </w:tcBorders>
          </w:tcPr>
          <w:p>
            <w:pPr>
              <w:jc w:val="right"/>
              <w:ind w:right="50"/>
              <w:spacing w:after="0" w:line="196" w:lineRule="exact"/>
              <w:rPr>
                <w:sz w:val="20"/>
                <w:szCs w:val="20"/>
                <w:color w:val="auto"/>
              </w:rPr>
            </w:pPr>
            <w:r>
              <w:rPr>
                <w:rFonts w:ascii="Arial" w:cs="Arial" w:eastAsia="Arial" w:hAnsi="Arial"/>
                <w:sz w:val="18"/>
                <w:szCs w:val="18"/>
                <w:color w:val="auto"/>
              </w:rPr>
              <w:t>0.8</w:t>
            </w:r>
          </w:p>
        </w:tc>
        <w:tc>
          <w:tcPr>
            <w:tcW w:w="560" w:type="dxa"/>
            <w:vAlign w:val="bottom"/>
            <w:tcBorders>
              <w:top w:val="single" w:sz="8" w:color="939598"/>
              <w:bottom w:val="single" w:sz="8" w:color="939598"/>
            </w:tcBorders>
          </w:tcPr>
          <w:p>
            <w:pPr>
              <w:spacing w:after="0"/>
              <w:rPr>
                <w:sz w:val="17"/>
                <w:szCs w:val="17"/>
                <w:color w:val="auto"/>
              </w:rPr>
            </w:pPr>
          </w:p>
        </w:tc>
        <w:tc>
          <w:tcPr>
            <w:tcW w:w="760" w:type="dxa"/>
            <w:vAlign w:val="bottom"/>
            <w:tcBorders>
              <w:top w:val="single" w:sz="8" w:color="939598"/>
              <w:bottom w:val="single" w:sz="8" w:color="939598"/>
            </w:tcBorders>
          </w:tcPr>
          <w:p>
            <w:pPr>
              <w:jc w:val="right"/>
              <w:spacing w:after="0" w:line="196" w:lineRule="exact"/>
              <w:rPr>
                <w:sz w:val="20"/>
                <w:szCs w:val="20"/>
                <w:color w:val="auto"/>
              </w:rPr>
            </w:pPr>
            <w:r>
              <w:rPr>
                <w:rFonts w:ascii="Arial" w:cs="Arial" w:eastAsia="Arial" w:hAnsi="Arial"/>
                <w:sz w:val="18"/>
                <w:szCs w:val="18"/>
                <w:color w:val="auto"/>
              </w:rPr>
              <w:t>0.9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3"/>
        </w:trPr>
        <w:tc>
          <w:tcPr>
            <w:tcW w:w="6740" w:type="dxa"/>
            <w:vAlign w:val="bottom"/>
            <w:gridSpan w:val="2"/>
          </w:tcPr>
          <w:p>
            <w:pPr>
              <w:spacing w:after="0" w:line="173" w:lineRule="exact"/>
              <w:rPr>
                <w:sz w:val="20"/>
                <w:szCs w:val="20"/>
                <w:color w:val="auto"/>
              </w:rPr>
            </w:pPr>
            <w:r>
              <w:rPr>
                <w:rFonts w:ascii="Arial" w:cs="Arial" w:eastAsia="Arial" w:hAnsi="Arial"/>
                <w:sz w:val="18"/>
                <w:szCs w:val="18"/>
                <w:b w:val="1"/>
                <w:bCs w:val="1"/>
                <w:color w:val="939598"/>
              </w:rPr>
              <w:t>Other Changes in Plan Assets and Benefit Obligations Recognized in Other</w:t>
            </w:r>
          </w:p>
        </w:tc>
        <w:tc>
          <w:tcPr>
            <w:tcW w:w="300" w:type="dxa"/>
            <w:vAlign w:val="bottom"/>
          </w:tcPr>
          <w:p>
            <w:pPr>
              <w:spacing w:after="0"/>
              <w:rPr>
                <w:sz w:val="15"/>
                <w:szCs w:val="15"/>
                <w:color w:val="auto"/>
              </w:rPr>
            </w:pPr>
          </w:p>
        </w:tc>
        <w:tc>
          <w:tcPr>
            <w:tcW w:w="120" w:type="dxa"/>
            <w:vAlign w:val="bottom"/>
            <w:shd w:val="clear" w:color="auto" w:fill="E3F1DA"/>
          </w:tcPr>
          <w:p>
            <w:pPr>
              <w:spacing w:after="0"/>
              <w:rPr>
                <w:sz w:val="15"/>
                <w:szCs w:val="15"/>
                <w:color w:val="auto"/>
              </w:rPr>
            </w:pPr>
          </w:p>
        </w:tc>
        <w:tc>
          <w:tcPr>
            <w:tcW w:w="13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720" w:type="dxa"/>
            <w:vAlign w:val="bottom"/>
          </w:tcPr>
          <w:p>
            <w:pPr>
              <w:ind w:left="260"/>
              <w:spacing w:after="0"/>
              <w:rPr>
                <w:sz w:val="20"/>
                <w:szCs w:val="20"/>
                <w:color w:val="auto"/>
              </w:rPr>
            </w:pPr>
            <w:r>
              <w:rPr>
                <w:rFonts w:ascii="Arial" w:cs="Arial" w:eastAsia="Arial" w:hAnsi="Arial"/>
                <w:sz w:val="18"/>
                <w:szCs w:val="18"/>
                <w:b w:val="1"/>
                <w:bCs w:val="1"/>
                <w:color w:val="939598"/>
              </w:rPr>
              <w:t>Comprehensive Loss</w:t>
            </w:r>
          </w:p>
        </w:tc>
        <w:tc>
          <w:tcPr>
            <w:tcW w:w="300" w:type="dxa"/>
            <w:vAlign w:val="bottom"/>
          </w:tcPr>
          <w:p>
            <w:pPr>
              <w:spacing w:after="0"/>
              <w:rPr>
                <w:sz w:val="19"/>
                <w:szCs w:val="19"/>
                <w:color w:val="auto"/>
              </w:rPr>
            </w:pPr>
          </w:p>
        </w:tc>
        <w:tc>
          <w:tcPr>
            <w:tcW w:w="120" w:type="dxa"/>
            <w:vAlign w:val="bottom"/>
            <w:shd w:val="clear" w:color="auto" w:fill="E3F1DA"/>
          </w:tcPr>
          <w:p>
            <w:pPr>
              <w:spacing w:after="0"/>
              <w:rPr>
                <w:sz w:val="19"/>
                <w:szCs w:val="19"/>
                <w:color w:val="auto"/>
              </w:rPr>
            </w:pPr>
          </w:p>
        </w:tc>
        <w:tc>
          <w:tcPr>
            <w:tcW w:w="13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6740" w:type="dxa"/>
            <w:vAlign w:val="bottom"/>
            <w:gridSpan w:val="2"/>
          </w:tcPr>
          <w:p>
            <w:pPr>
              <w:spacing w:after="0" w:line="202" w:lineRule="exact"/>
              <w:rPr>
                <w:sz w:val="20"/>
                <w:szCs w:val="20"/>
                <w:color w:val="auto"/>
              </w:rPr>
            </w:pPr>
            <w:r>
              <w:rPr>
                <w:rFonts w:ascii="Arial" w:cs="Arial" w:eastAsia="Arial" w:hAnsi="Arial"/>
                <w:sz w:val="18"/>
                <w:szCs w:val="18"/>
                <w:color w:val="auto"/>
              </w:rPr>
              <w:t>Net loss (gain)</w:t>
            </w:r>
          </w:p>
        </w:tc>
        <w:tc>
          <w:tcPr>
            <w:tcW w:w="300" w:type="dxa"/>
            <w:vAlign w:val="bottom"/>
          </w:tcPr>
          <w:p>
            <w:pPr>
              <w:spacing w:after="0"/>
              <w:rPr>
                <w:sz w:val="17"/>
                <w:szCs w:val="17"/>
                <w:color w:val="auto"/>
              </w:rPr>
            </w:pPr>
          </w:p>
        </w:tc>
        <w:tc>
          <w:tcPr>
            <w:tcW w:w="120" w:type="dxa"/>
            <w:vAlign w:val="bottom"/>
            <w:shd w:val="clear" w:color="auto" w:fill="E3F1DA"/>
          </w:tcPr>
          <w:p>
            <w:pPr>
              <w:spacing w:after="0"/>
              <w:rPr>
                <w:sz w:val="17"/>
                <w:szCs w:val="17"/>
                <w:color w:val="auto"/>
              </w:rPr>
            </w:pPr>
          </w:p>
        </w:tc>
        <w:tc>
          <w:tcPr>
            <w:tcW w:w="1340" w:type="dxa"/>
            <w:vAlign w:val="bottom"/>
          </w:tcPr>
          <w:p>
            <w:pPr>
              <w:jc w:val="right"/>
              <w:ind w:right="130"/>
              <w:spacing w:after="0" w:line="202" w:lineRule="exact"/>
              <w:rPr>
                <w:sz w:val="20"/>
                <w:szCs w:val="20"/>
                <w:color w:val="auto"/>
              </w:rPr>
            </w:pPr>
            <w:r>
              <w:rPr>
                <w:rFonts w:ascii="Arial" w:cs="Arial" w:eastAsia="Arial" w:hAnsi="Arial"/>
                <w:sz w:val="18"/>
                <w:szCs w:val="18"/>
                <w:color w:val="86B6A5"/>
              </w:rPr>
              <w:t>1.1</w:t>
            </w:r>
          </w:p>
        </w:tc>
        <w:tc>
          <w:tcPr>
            <w:tcW w:w="480" w:type="dxa"/>
            <w:vAlign w:val="bottom"/>
          </w:tcPr>
          <w:p>
            <w:pPr>
              <w:spacing w:after="0"/>
              <w:rPr>
                <w:sz w:val="17"/>
                <w:szCs w:val="17"/>
                <w:color w:val="auto"/>
              </w:rPr>
            </w:pPr>
          </w:p>
        </w:tc>
        <w:tc>
          <w:tcPr>
            <w:tcW w:w="900" w:type="dxa"/>
            <w:vAlign w:val="bottom"/>
          </w:tcPr>
          <w:p>
            <w:pPr>
              <w:jc w:val="right"/>
              <w:ind w:right="50"/>
              <w:spacing w:after="0" w:line="202" w:lineRule="exact"/>
              <w:rPr>
                <w:sz w:val="20"/>
                <w:szCs w:val="20"/>
                <w:color w:val="auto"/>
              </w:rPr>
            </w:pPr>
            <w:r>
              <w:rPr>
                <w:rFonts w:ascii="Arial" w:cs="Arial" w:eastAsia="Arial" w:hAnsi="Arial"/>
                <w:sz w:val="18"/>
                <w:szCs w:val="18"/>
                <w:color w:val="auto"/>
              </w:rPr>
              <w:t>1.8</w:t>
            </w:r>
          </w:p>
        </w:tc>
        <w:tc>
          <w:tcPr>
            <w:tcW w:w="560" w:type="dxa"/>
            <w:vAlign w:val="bottom"/>
          </w:tcPr>
          <w:p>
            <w:pPr>
              <w:spacing w:after="0"/>
              <w:rPr>
                <w:sz w:val="17"/>
                <w:szCs w:val="17"/>
                <w:color w:val="auto"/>
              </w:rPr>
            </w:pPr>
          </w:p>
        </w:tc>
        <w:tc>
          <w:tcPr>
            <w:tcW w:w="8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03"/>
        </w:trPr>
        <w:tc>
          <w:tcPr>
            <w:tcW w:w="6740" w:type="dxa"/>
            <w:vAlign w:val="bottom"/>
            <w:tcBorders>
              <w:bottom w:val="single" w:sz="8" w:color="939598"/>
            </w:tcBorders>
            <w:gridSpan w:val="2"/>
          </w:tcPr>
          <w:p>
            <w:pPr>
              <w:spacing w:after="0" w:line="203" w:lineRule="exact"/>
              <w:rPr>
                <w:sz w:val="20"/>
                <w:szCs w:val="20"/>
                <w:color w:val="auto"/>
              </w:rPr>
            </w:pPr>
            <w:r>
              <w:rPr>
                <w:rFonts w:ascii="Arial" w:cs="Arial" w:eastAsia="Arial" w:hAnsi="Arial"/>
                <w:sz w:val="18"/>
                <w:szCs w:val="18"/>
                <w:color w:val="auto"/>
              </w:rPr>
              <w:t>Amortization of net gain</w:t>
            </w:r>
          </w:p>
        </w:tc>
        <w:tc>
          <w:tcPr>
            <w:tcW w:w="300" w:type="dxa"/>
            <w:vAlign w:val="bottom"/>
            <w:tcBorders>
              <w:bottom w:val="single" w:sz="8" w:color="939598"/>
            </w:tcBorders>
          </w:tcPr>
          <w:p>
            <w:pPr>
              <w:spacing w:after="0"/>
              <w:rPr>
                <w:sz w:val="17"/>
                <w:szCs w:val="17"/>
                <w:color w:val="auto"/>
              </w:rPr>
            </w:pPr>
          </w:p>
        </w:tc>
        <w:tc>
          <w:tcPr>
            <w:tcW w:w="120" w:type="dxa"/>
            <w:vAlign w:val="bottom"/>
            <w:tcBorders>
              <w:bottom w:val="single" w:sz="8" w:color="939598"/>
            </w:tcBorders>
            <w:shd w:val="clear" w:color="auto" w:fill="E3F1DA"/>
          </w:tcPr>
          <w:p>
            <w:pPr>
              <w:spacing w:after="0"/>
              <w:rPr>
                <w:sz w:val="17"/>
                <w:szCs w:val="17"/>
                <w:color w:val="auto"/>
              </w:rPr>
            </w:pPr>
          </w:p>
        </w:tc>
        <w:tc>
          <w:tcPr>
            <w:tcW w:w="1340" w:type="dxa"/>
            <w:vAlign w:val="bottom"/>
            <w:tcBorders>
              <w:bottom w:val="single" w:sz="8" w:color="939598"/>
            </w:tcBorders>
          </w:tcPr>
          <w:p>
            <w:pPr>
              <w:jc w:val="right"/>
              <w:ind w:right="130"/>
              <w:spacing w:after="0" w:line="203" w:lineRule="exact"/>
              <w:rPr>
                <w:sz w:val="20"/>
                <w:szCs w:val="20"/>
                <w:color w:val="auto"/>
              </w:rPr>
            </w:pPr>
            <w:r>
              <w:rPr>
                <w:rFonts w:ascii="Arial" w:cs="Arial" w:eastAsia="Arial" w:hAnsi="Arial"/>
                <w:sz w:val="18"/>
                <w:szCs w:val="18"/>
                <w:color w:val="86B6A5"/>
              </w:rPr>
              <w:t>0.1</w:t>
            </w:r>
          </w:p>
        </w:tc>
        <w:tc>
          <w:tcPr>
            <w:tcW w:w="480" w:type="dxa"/>
            <w:vAlign w:val="bottom"/>
            <w:tcBorders>
              <w:bottom w:val="single" w:sz="8" w:color="939598"/>
            </w:tcBorders>
          </w:tcPr>
          <w:p>
            <w:pPr>
              <w:spacing w:after="0"/>
              <w:rPr>
                <w:sz w:val="17"/>
                <w:szCs w:val="17"/>
                <w:color w:val="auto"/>
              </w:rPr>
            </w:pPr>
          </w:p>
        </w:tc>
        <w:tc>
          <w:tcPr>
            <w:tcW w:w="900" w:type="dxa"/>
            <w:vAlign w:val="bottom"/>
            <w:tcBorders>
              <w:bottom w:val="single" w:sz="8" w:color="939598"/>
            </w:tcBorders>
          </w:tcPr>
          <w:p>
            <w:pPr>
              <w:jc w:val="right"/>
              <w:ind w:right="50"/>
              <w:spacing w:after="0" w:line="203" w:lineRule="exact"/>
              <w:rPr>
                <w:sz w:val="20"/>
                <w:szCs w:val="20"/>
                <w:color w:val="auto"/>
              </w:rPr>
            </w:pPr>
            <w:r>
              <w:rPr>
                <w:rFonts w:ascii="Arial" w:cs="Arial" w:eastAsia="Arial" w:hAnsi="Arial"/>
                <w:sz w:val="18"/>
                <w:szCs w:val="18"/>
                <w:color w:val="auto"/>
              </w:rPr>
              <w:t>0.7</w:t>
            </w:r>
          </w:p>
        </w:tc>
        <w:tc>
          <w:tcPr>
            <w:tcW w:w="560" w:type="dxa"/>
            <w:vAlign w:val="bottom"/>
            <w:tcBorders>
              <w:bottom w:val="single" w:sz="8" w:color="939598"/>
            </w:tcBorders>
          </w:tcPr>
          <w:p>
            <w:pPr>
              <w:spacing w:after="0"/>
              <w:rPr>
                <w:sz w:val="17"/>
                <w:szCs w:val="17"/>
                <w:color w:val="auto"/>
              </w:rPr>
            </w:pPr>
          </w:p>
        </w:tc>
        <w:tc>
          <w:tcPr>
            <w:tcW w:w="760" w:type="dxa"/>
            <w:vAlign w:val="bottom"/>
            <w:tcBorders>
              <w:bottom w:val="single" w:sz="8" w:color="939598"/>
            </w:tcBorders>
          </w:tcPr>
          <w:p>
            <w:pPr>
              <w:jc w:val="right"/>
              <w:spacing w:after="0" w:line="203" w:lineRule="exact"/>
              <w:rPr>
                <w:sz w:val="20"/>
                <w:szCs w:val="20"/>
                <w:color w:val="auto"/>
              </w:rPr>
            </w:pPr>
            <w:r>
              <w:rPr>
                <w:rFonts w:ascii="Arial" w:cs="Arial" w:eastAsia="Arial" w:hAnsi="Arial"/>
                <w:sz w:val="18"/>
                <w:szCs w:val="18"/>
                <w:color w:val="auto"/>
              </w:rPr>
              <w:t>0.6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740" w:type="dxa"/>
            <w:vAlign w:val="bottom"/>
            <w:tcBorders>
              <w:bottom w:val="single" w:sz="8" w:color="939598"/>
            </w:tcBorders>
            <w:gridSpan w:val="2"/>
          </w:tcPr>
          <w:p>
            <w:pPr>
              <w:spacing w:after="0" w:line="196" w:lineRule="exact"/>
              <w:rPr>
                <w:sz w:val="20"/>
                <w:szCs w:val="20"/>
                <w:color w:val="auto"/>
              </w:rPr>
            </w:pPr>
            <w:r>
              <w:rPr>
                <w:rFonts w:ascii="Arial" w:cs="Arial" w:eastAsia="Arial" w:hAnsi="Arial"/>
                <w:sz w:val="18"/>
                <w:szCs w:val="18"/>
                <w:color w:val="auto"/>
              </w:rPr>
              <w:t>Total recognized in other comprehensive loss</w:t>
            </w:r>
          </w:p>
        </w:tc>
        <w:tc>
          <w:tcPr>
            <w:tcW w:w="300" w:type="dxa"/>
            <w:vAlign w:val="bottom"/>
            <w:tcBorders>
              <w:bottom w:val="single" w:sz="8" w:color="939598"/>
            </w:tcBorders>
          </w:tcPr>
          <w:p>
            <w:pPr>
              <w:spacing w:after="0"/>
              <w:rPr>
                <w:sz w:val="17"/>
                <w:szCs w:val="17"/>
                <w:color w:val="auto"/>
              </w:rPr>
            </w:pPr>
          </w:p>
        </w:tc>
        <w:tc>
          <w:tcPr>
            <w:tcW w:w="120" w:type="dxa"/>
            <w:vAlign w:val="bottom"/>
            <w:tcBorders>
              <w:bottom w:val="single" w:sz="8" w:color="939598"/>
            </w:tcBorders>
            <w:shd w:val="clear" w:color="auto" w:fill="E3F1DA"/>
          </w:tcPr>
          <w:p>
            <w:pPr>
              <w:spacing w:after="0"/>
              <w:rPr>
                <w:sz w:val="17"/>
                <w:szCs w:val="17"/>
                <w:color w:val="auto"/>
              </w:rPr>
            </w:pPr>
          </w:p>
        </w:tc>
        <w:tc>
          <w:tcPr>
            <w:tcW w:w="1340" w:type="dxa"/>
            <w:vAlign w:val="bottom"/>
            <w:tcBorders>
              <w:bottom w:val="single" w:sz="8" w:color="939598"/>
            </w:tcBorders>
          </w:tcPr>
          <w:p>
            <w:pPr>
              <w:jc w:val="right"/>
              <w:ind w:right="130"/>
              <w:spacing w:after="0" w:line="196" w:lineRule="exact"/>
              <w:rPr>
                <w:sz w:val="20"/>
                <w:szCs w:val="20"/>
                <w:color w:val="auto"/>
              </w:rPr>
            </w:pPr>
            <w:r>
              <w:rPr>
                <w:rFonts w:ascii="Arial" w:cs="Arial" w:eastAsia="Arial" w:hAnsi="Arial"/>
                <w:sz w:val="18"/>
                <w:szCs w:val="18"/>
                <w:color w:val="86B6A5"/>
              </w:rPr>
              <w:t>1.2</w:t>
            </w:r>
          </w:p>
        </w:tc>
        <w:tc>
          <w:tcPr>
            <w:tcW w:w="480" w:type="dxa"/>
            <w:vAlign w:val="bottom"/>
            <w:tcBorders>
              <w:bottom w:val="single" w:sz="8" w:color="939598"/>
            </w:tcBorders>
          </w:tcPr>
          <w:p>
            <w:pPr>
              <w:spacing w:after="0"/>
              <w:rPr>
                <w:sz w:val="17"/>
                <w:szCs w:val="17"/>
                <w:color w:val="auto"/>
              </w:rPr>
            </w:pPr>
          </w:p>
        </w:tc>
        <w:tc>
          <w:tcPr>
            <w:tcW w:w="900" w:type="dxa"/>
            <w:vAlign w:val="bottom"/>
            <w:tcBorders>
              <w:bottom w:val="single" w:sz="8" w:color="939598"/>
            </w:tcBorders>
          </w:tcPr>
          <w:p>
            <w:pPr>
              <w:jc w:val="right"/>
              <w:ind w:right="50"/>
              <w:spacing w:after="0" w:line="196" w:lineRule="exact"/>
              <w:rPr>
                <w:sz w:val="20"/>
                <w:szCs w:val="20"/>
                <w:color w:val="auto"/>
              </w:rPr>
            </w:pPr>
            <w:r>
              <w:rPr>
                <w:rFonts w:ascii="Arial" w:cs="Arial" w:eastAsia="Arial" w:hAnsi="Arial"/>
                <w:sz w:val="18"/>
                <w:szCs w:val="18"/>
                <w:color w:val="auto"/>
              </w:rPr>
              <w:t>2.5</w:t>
            </w:r>
          </w:p>
        </w:tc>
        <w:tc>
          <w:tcPr>
            <w:tcW w:w="560" w:type="dxa"/>
            <w:vAlign w:val="bottom"/>
            <w:tcBorders>
              <w:bottom w:val="single" w:sz="8" w:color="939598"/>
            </w:tcBorders>
          </w:tcPr>
          <w:p>
            <w:pPr>
              <w:spacing w:after="0"/>
              <w:rPr>
                <w:sz w:val="17"/>
                <w:szCs w:val="17"/>
                <w:color w:val="auto"/>
              </w:rPr>
            </w:pPr>
          </w:p>
        </w:tc>
        <w:tc>
          <w:tcPr>
            <w:tcW w:w="760" w:type="dxa"/>
            <w:vAlign w:val="bottom"/>
            <w:tcBorders>
              <w:bottom w:val="single" w:sz="8" w:color="939598"/>
            </w:tcBorders>
          </w:tcPr>
          <w:p>
            <w:pPr>
              <w:jc w:val="right"/>
              <w:spacing w:after="0" w:line="196"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740" w:type="dxa"/>
            <w:vAlign w:val="bottom"/>
            <w:gridSpan w:val="2"/>
          </w:tcPr>
          <w:p>
            <w:pPr>
              <w:spacing w:after="0" w:line="196" w:lineRule="exact"/>
              <w:rPr>
                <w:sz w:val="20"/>
                <w:szCs w:val="20"/>
                <w:color w:val="auto"/>
              </w:rPr>
            </w:pPr>
            <w:r>
              <w:rPr>
                <w:rFonts w:ascii="Arial" w:cs="Arial" w:eastAsia="Arial" w:hAnsi="Arial"/>
                <w:sz w:val="18"/>
                <w:szCs w:val="18"/>
                <w:color w:val="auto"/>
              </w:rPr>
              <w:t>Total recognized in net periodic benefit cost and other comprehensive loss</w:t>
            </w:r>
          </w:p>
        </w:tc>
        <w:tc>
          <w:tcPr>
            <w:tcW w:w="300" w:type="dxa"/>
            <w:vAlign w:val="bottom"/>
          </w:tcPr>
          <w:p>
            <w:pPr>
              <w:spacing w:after="0"/>
              <w:rPr>
                <w:sz w:val="17"/>
                <w:szCs w:val="17"/>
                <w:color w:val="auto"/>
              </w:rPr>
            </w:pPr>
          </w:p>
        </w:tc>
        <w:tc>
          <w:tcPr>
            <w:tcW w:w="120" w:type="dxa"/>
            <w:vAlign w:val="bottom"/>
            <w:shd w:val="clear" w:color="auto" w:fill="E3F1DA"/>
          </w:tcPr>
          <w:p>
            <w:pPr>
              <w:jc w:val="right"/>
              <w:spacing w:after="0" w:line="196" w:lineRule="exact"/>
              <w:rPr>
                <w:sz w:val="20"/>
                <w:szCs w:val="20"/>
                <w:color w:val="auto"/>
              </w:rPr>
            </w:pPr>
            <w:r>
              <w:rPr>
                <w:rFonts w:ascii="Arial" w:cs="Arial" w:eastAsia="Arial" w:hAnsi="Arial"/>
                <w:sz w:val="18"/>
                <w:szCs w:val="18"/>
                <w:color w:val="86B6A5"/>
                <w:w w:val="79"/>
              </w:rPr>
              <w:t>$</w:t>
            </w:r>
          </w:p>
        </w:tc>
        <w:tc>
          <w:tcPr>
            <w:tcW w:w="1340" w:type="dxa"/>
            <w:vAlign w:val="bottom"/>
          </w:tcPr>
          <w:p>
            <w:pPr>
              <w:jc w:val="right"/>
              <w:ind w:right="130"/>
              <w:spacing w:after="0" w:line="196" w:lineRule="exact"/>
              <w:rPr>
                <w:sz w:val="20"/>
                <w:szCs w:val="20"/>
                <w:color w:val="auto"/>
              </w:rPr>
            </w:pPr>
            <w:r>
              <w:rPr>
                <w:rFonts w:ascii="Arial" w:cs="Arial" w:eastAsia="Arial" w:hAnsi="Arial"/>
                <w:sz w:val="18"/>
                <w:szCs w:val="18"/>
                <w:color w:val="86B6A5"/>
              </w:rPr>
              <w:t>2.6</w:t>
            </w:r>
          </w:p>
        </w:tc>
        <w:tc>
          <w:tcPr>
            <w:tcW w:w="480" w:type="dxa"/>
            <w:vAlign w:val="bottom"/>
          </w:tcPr>
          <w:p>
            <w:pPr>
              <w:jc w:val="right"/>
              <w:ind w:right="29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Pr>
          <w:p>
            <w:pPr>
              <w:jc w:val="right"/>
              <w:ind w:right="50"/>
              <w:spacing w:after="0" w:line="196" w:lineRule="exact"/>
              <w:rPr>
                <w:sz w:val="20"/>
                <w:szCs w:val="20"/>
                <w:color w:val="auto"/>
              </w:rPr>
            </w:pPr>
            <w:r>
              <w:rPr>
                <w:rFonts w:ascii="Arial" w:cs="Arial" w:eastAsia="Arial" w:hAnsi="Arial"/>
                <w:sz w:val="18"/>
                <w:szCs w:val="18"/>
                <w:color w:val="auto"/>
              </w:rPr>
              <w:t>3.3</w:t>
            </w:r>
          </w:p>
        </w:tc>
        <w:tc>
          <w:tcPr>
            <w:tcW w:w="560" w:type="dxa"/>
            <w:vAlign w:val="bottom"/>
          </w:tcPr>
          <w:p>
            <w:pPr>
              <w:jc w:val="right"/>
              <w:ind w:right="290"/>
              <w:spacing w:after="0" w:line="196" w:lineRule="exact"/>
              <w:rPr>
                <w:sz w:val="20"/>
                <w:szCs w:val="20"/>
                <w:color w:val="auto"/>
              </w:rPr>
            </w:pPr>
            <w:r>
              <w:rPr>
                <w:rFonts w:ascii="Arial" w:cs="Arial" w:eastAsia="Arial" w:hAnsi="Arial"/>
                <w:sz w:val="18"/>
                <w:szCs w:val="18"/>
                <w:color w:val="auto"/>
              </w:rPr>
              <w:t>$</w:t>
            </w: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0.9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720" w:type="dxa"/>
            <w:vAlign w:val="bottom"/>
            <w:shd w:val="clear" w:color="auto" w:fill="939598"/>
          </w:tcPr>
          <w:p>
            <w:pPr>
              <w:spacing w:after="0"/>
              <w:rPr>
                <w:sz w:val="2"/>
                <w:szCs w:val="2"/>
                <w:color w:val="auto"/>
              </w:rPr>
            </w:pPr>
          </w:p>
        </w:tc>
        <w:tc>
          <w:tcPr>
            <w:tcW w:w="300" w:type="dxa"/>
            <w:vAlign w:val="bottom"/>
            <w:shd w:val="clear" w:color="auto" w:fill="939598"/>
          </w:tcPr>
          <w:p>
            <w:pPr>
              <w:spacing w:after="0"/>
              <w:rPr>
                <w:sz w:val="2"/>
                <w:szCs w:val="2"/>
                <w:color w:val="auto"/>
              </w:rPr>
            </w:pPr>
          </w:p>
        </w:tc>
        <w:tc>
          <w:tcPr>
            <w:tcW w:w="120" w:type="dxa"/>
            <w:vAlign w:val="bottom"/>
            <w:shd w:val="clear" w:color="auto" w:fill="939598"/>
          </w:tcPr>
          <w:p>
            <w:pPr>
              <w:spacing w:after="0"/>
              <w:rPr>
                <w:sz w:val="2"/>
                <w:szCs w:val="2"/>
                <w:color w:val="auto"/>
              </w:rPr>
            </w:pPr>
          </w:p>
        </w:tc>
        <w:tc>
          <w:tcPr>
            <w:tcW w:w="1340" w:type="dxa"/>
            <w:vAlign w:val="bottom"/>
            <w:shd w:val="clear" w:color="auto" w:fill="939598"/>
          </w:tcPr>
          <w:p>
            <w:pPr>
              <w:spacing w:after="0"/>
              <w:rPr>
                <w:sz w:val="2"/>
                <w:szCs w:val="2"/>
                <w:color w:val="auto"/>
              </w:rPr>
            </w:pPr>
          </w:p>
        </w:tc>
        <w:tc>
          <w:tcPr>
            <w:tcW w:w="480" w:type="dxa"/>
            <w:vAlign w:val="bottom"/>
            <w:shd w:val="clear" w:color="auto" w:fill="939598"/>
          </w:tcPr>
          <w:p>
            <w:pPr>
              <w:spacing w:after="0"/>
              <w:rPr>
                <w:sz w:val="2"/>
                <w:szCs w:val="2"/>
                <w:color w:val="auto"/>
              </w:rPr>
            </w:pPr>
          </w:p>
        </w:tc>
        <w:tc>
          <w:tcPr>
            <w:tcW w:w="900" w:type="dxa"/>
            <w:vAlign w:val="bottom"/>
            <w:shd w:val="clear" w:color="auto" w:fill="939598"/>
          </w:tcPr>
          <w:p>
            <w:pPr>
              <w:spacing w:after="0"/>
              <w:rPr>
                <w:sz w:val="2"/>
                <w:szCs w:val="2"/>
                <w:color w:val="auto"/>
              </w:rPr>
            </w:pPr>
          </w:p>
        </w:tc>
        <w:tc>
          <w:tcPr>
            <w:tcW w:w="560" w:type="dxa"/>
            <w:vAlign w:val="bottom"/>
            <w:shd w:val="clear" w:color="auto" w:fill="939598"/>
          </w:tcPr>
          <w:p>
            <w:pPr>
              <w:spacing w:after="0"/>
              <w:rPr>
                <w:sz w:val="2"/>
                <w:szCs w:val="2"/>
                <w:color w:val="auto"/>
              </w:rPr>
            </w:pPr>
          </w:p>
        </w:tc>
        <w:tc>
          <w:tcPr>
            <w:tcW w:w="760" w:type="dxa"/>
            <w:vAlign w:val="bottom"/>
            <w:shd w:val="clear" w:color="auto" w:fill="939598"/>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4541520</wp:posOffset>
            </wp:positionH>
            <wp:positionV relativeFrom="paragraph">
              <wp:posOffset>-1337310</wp:posOffset>
            </wp:positionV>
            <wp:extent cx="857885" cy="13290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857885" cy="1329055"/>
                    </a:xfrm>
                    <a:prstGeom prst="rect">
                      <a:avLst/>
                    </a:prstGeom>
                    <a:noFill/>
                  </pic:spPr>
                </pic:pic>
              </a:graphicData>
            </a:graphic>
          </wp:anchor>
        </w:drawing>
      </w:r>
    </w:p>
    <w:p>
      <w:pPr>
        <w:spacing w:after="0" w:line="195"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For the retiree health care plan, no amount is estimated to be amortized from Accumulated Other Comprehensive Loss into net periodic benefit cost during 2011.</w:t>
      </w:r>
    </w:p>
    <w:p>
      <w:pPr>
        <w:spacing w:after="0" w:line="197"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health care cost trend rate was assumed to be 8.0% for 2010, decreasing gradually to 5.0% for the years 2016 and beyond. Assumed health care cost trend rates have a significant effect on the amounts reported. A one-percentage point change in the assumed health care cost trend rate would have the following effects: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616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1260" w:type="dxa"/>
            <w:vAlign w:val="bottom"/>
          </w:tcPr>
          <w:p>
            <w:pPr>
              <w:jc w:val="right"/>
              <w:ind w:right="13"/>
              <w:spacing w:after="0"/>
              <w:rPr>
                <w:sz w:val="20"/>
                <w:szCs w:val="20"/>
                <w:color w:val="auto"/>
              </w:rPr>
            </w:pPr>
            <w:r>
              <w:rPr>
                <w:rFonts w:ascii="Arial" w:cs="Arial" w:eastAsia="Arial" w:hAnsi="Arial"/>
                <w:sz w:val="16"/>
                <w:szCs w:val="16"/>
                <w:b w:val="1"/>
                <w:bCs w:val="1"/>
                <w:color w:val="86B6A5"/>
              </w:rPr>
              <w:t>1% Increase</w:t>
            </w:r>
          </w:p>
        </w:tc>
        <w:tc>
          <w:tcPr>
            <w:tcW w:w="400" w:type="dxa"/>
            <w:vAlign w:val="bottom"/>
          </w:tcPr>
          <w:p>
            <w:pPr>
              <w:spacing w:after="0"/>
              <w:rPr>
                <w:sz w:val="19"/>
                <w:szCs w:val="19"/>
                <w:color w:val="auto"/>
              </w:rPr>
            </w:pPr>
          </w:p>
        </w:tc>
        <w:tc>
          <w:tcPr>
            <w:tcW w:w="1240" w:type="dxa"/>
            <w:vAlign w:val="bottom"/>
            <w:gridSpan w:val="2"/>
          </w:tcPr>
          <w:p>
            <w:pPr>
              <w:jc w:val="right"/>
              <w:spacing w:after="0"/>
              <w:rPr>
                <w:sz w:val="20"/>
                <w:szCs w:val="20"/>
                <w:color w:val="auto"/>
              </w:rPr>
            </w:pPr>
            <w:r>
              <w:rPr>
                <w:rFonts w:ascii="Arial" w:cs="Arial" w:eastAsia="Arial" w:hAnsi="Arial"/>
                <w:sz w:val="16"/>
                <w:szCs w:val="16"/>
                <w:b w:val="1"/>
                <w:bCs w:val="1"/>
                <w:color w:val="86B6A5"/>
              </w:rPr>
              <w:t>1% Decrease</w:t>
            </w:r>
          </w:p>
        </w:tc>
      </w:tr>
      <w:tr>
        <w:trPr>
          <w:trHeight w:val="202"/>
        </w:trPr>
        <w:tc>
          <w:tcPr>
            <w:tcW w:w="20" w:type="dxa"/>
            <w:vAlign w:val="bottom"/>
          </w:tcPr>
          <w:p>
            <w:pPr>
              <w:spacing w:after="0"/>
              <w:rPr>
                <w:sz w:val="17"/>
                <w:szCs w:val="17"/>
                <w:color w:val="auto"/>
              </w:rPr>
            </w:pPr>
          </w:p>
        </w:tc>
        <w:tc>
          <w:tcPr>
            <w:tcW w:w="6160" w:type="dxa"/>
            <w:vAlign w:val="bottom"/>
            <w:tcBorders>
              <w:top w:val="single" w:sz="8" w:color="86B6A5"/>
            </w:tcBorders>
          </w:tcPr>
          <w:p>
            <w:pPr>
              <w:spacing w:after="0" w:line="201" w:lineRule="exact"/>
              <w:rPr>
                <w:sz w:val="20"/>
                <w:szCs w:val="20"/>
                <w:color w:val="auto"/>
              </w:rPr>
            </w:pPr>
            <w:r>
              <w:rPr>
                <w:rFonts w:ascii="Arial" w:cs="Arial" w:eastAsia="Arial" w:hAnsi="Arial"/>
                <w:sz w:val="18"/>
                <w:szCs w:val="18"/>
                <w:color w:val="auto"/>
              </w:rPr>
              <w:t>Effect on total of service and interest cost components</w:t>
            </w:r>
          </w:p>
        </w:tc>
        <w:tc>
          <w:tcPr>
            <w:tcW w:w="2180" w:type="dxa"/>
            <w:vAlign w:val="bottom"/>
            <w:tcBorders>
              <w:top w:val="single" w:sz="8" w:color="86B6A5"/>
            </w:tcBorders>
          </w:tcPr>
          <w:p>
            <w:pPr>
              <w:jc w:val="right"/>
              <w:ind w:right="130"/>
              <w:spacing w:after="0" w:line="201" w:lineRule="exact"/>
              <w:rPr>
                <w:sz w:val="20"/>
                <w:szCs w:val="20"/>
                <w:color w:val="auto"/>
              </w:rPr>
            </w:pPr>
            <w:r>
              <w:rPr>
                <w:rFonts w:ascii="Arial" w:cs="Arial" w:eastAsia="Arial" w:hAnsi="Arial"/>
                <w:sz w:val="18"/>
                <w:szCs w:val="18"/>
                <w:color w:val="auto"/>
              </w:rPr>
              <w:t>$</w:t>
            </w:r>
          </w:p>
        </w:tc>
        <w:tc>
          <w:tcPr>
            <w:tcW w:w="1260" w:type="dxa"/>
            <w:vAlign w:val="bottom"/>
            <w:tcBorders>
              <w:top w:val="single" w:sz="8" w:color="86B6A5"/>
            </w:tcBorders>
          </w:tcPr>
          <w:p>
            <w:pPr>
              <w:jc w:val="right"/>
              <w:ind w:right="13"/>
              <w:spacing w:after="0" w:line="201" w:lineRule="exact"/>
              <w:rPr>
                <w:sz w:val="20"/>
                <w:szCs w:val="20"/>
                <w:color w:val="auto"/>
              </w:rPr>
            </w:pPr>
            <w:r>
              <w:rPr>
                <w:rFonts w:ascii="Arial" w:cs="Arial" w:eastAsia="Arial" w:hAnsi="Arial"/>
                <w:sz w:val="18"/>
                <w:szCs w:val="18"/>
                <w:color w:val="auto"/>
              </w:rPr>
              <w:t>0.2</w:t>
            </w:r>
          </w:p>
        </w:tc>
        <w:tc>
          <w:tcPr>
            <w:tcW w:w="400" w:type="dxa"/>
            <w:vAlign w:val="bottom"/>
            <w:tcBorders>
              <w:top w:val="single" w:sz="8" w:color="86B6A5"/>
            </w:tcBorders>
          </w:tcPr>
          <w:p>
            <w:pPr>
              <w:jc w:val="right"/>
              <w:ind w:right="90"/>
              <w:spacing w:after="0" w:line="201" w:lineRule="exact"/>
              <w:rPr>
                <w:sz w:val="20"/>
                <w:szCs w:val="20"/>
                <w:color w:val="auto"/>
              </w:rPr>
            </w:pPr>
            <w:r>
              <w:rPr>
                <w:rFonts w:ascii="Arial" w:cs="Arial" w:eastAsia="Arial" w:hAnsi="Arial"/>
                <w:sz w:val="18"/>
                <w:szCs w:val="18"/>
                <w:color w:val="auto"/>
              </w:rPr>
              <w:t>$</w:t>
            </w:r>
          </w:p>
        </w:tc>
        <w:tc>
          <w:tcPr>
            <w:tcW w:w="1180" w:type="dxa"/>
            <w:vAlign w:val="bottom"/>
            <w:tcBorders>
              <w:top w:val="single" w:sz="8" w:color="86B6A5"/>
            </w:tcBorders>
          </w:tcPr>
          <w:p>
            <w:pPr>
              <w:jc w:val="right"/>
              <w:spacing w:after="0" w:line="201" w:lineRule="exact"/>
              <w:rPr>
                <w:sz w:val="20"/>
                <w:szCs w:val="20"/>
                <w:color w:val="auto"/>
              </w:rPr>
            </w:pPr>
            <w:r>
              <w:rPr>
                <w:rFonts w:ascii="Arial" w:cs="Arial" w:eastAsia="Arial" w:hAnsi="Arial"/>
                <w:sz w:val="18"/>
                <w:szCs w:val="18"/>
                <w:color w:val="auto"/>
              </w:rPr>
              <w:t>(0.2</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3"/>
        </w:trPr>
        <w:tc>
          <w:tcPr>
            <w:tcW w:w="6180" w:type="dxa"/>
            <w:vAlign w:val="bottom"/>
            <w:gridSpan w:val="2"/>
          </w:tcPr>
          <w:p>
            <w:pPr>
              <w:spacing w:after="0" w:line="203" w:lineRule="exact"/>
              <w:rPr>
                <w:sz w:val="20"/>
                <w:szCs w:val="20"/>
                <w:color w:val="auto"/>
              </w:rPr>
            </w:pPr>
            <w:r>
              <w:rPr>
                <w:rFonts w:ascii="Arial" w:cs="Arial" w:eastAsia="Arial" w:hAnsi="Arial"/>
                <w:sz w:val="18"/>
                <w:szCs w:val="18"/>
                <w:color w:val="auto"/>
              </w:rPr>
              <w:t>Effect on benefit obligation</w:t>
            </w:r>
          </w:p>
        </w:tc>
        <w:tc>
          <w:tcPr>
            <w:tcW w:w="2180" w:type="dxa"/>
            <w:vAlign w:val="bottom"/>
          </w:tcPr>
          <w:p>
            <w:pPr>
              <w:spacing w:after="0"/>
              <w:rPr>
                <w:sz w:val="17"/>
                <w:szCs w:val="17"/>
                <w:color w:val="auto"/>
              </w:rPr>
            </w:pPr>
          </w:p>
        </w:tc>
        <w:tc>
          <w:tcPr>
            <w:tcW w:w="1260" w:type="dxa"/>
            <w:vAlign w:val="bottom"/>
          </w:tcPr>
          <w:p>
            <w:pPr>
              <w:jc w:val="right"/>
              <w:ind w:right="13"/>
              <w:spacing w:after="0" w:line="203" w:lineRule="exact"/>
              <w:rPr>
                <w:sz w:val="20"/>
                <w:szCs w:val="20"/>
                <w:color w:val="auto"/>
              </w:rPr>
            </w:pPr>
            <w:r>
              <w:rPr>
                <w:rFonts w:ascii="Arial" w:cs="Arial" w:eastAsia="Arial" w:hAnsi="Arial"/>
                <w:sz w:val="18"/>
                <w:szCs w:val="18"/>
                <w:color w:val="auto"/>
              </w:rPr>
              <w:t>3.3</w:t>
            </w:r>
          </w:p>
        </w:tc>
        <w:tc>
          <w:tcPr>
            <w:tcW w:w="400" w:type="dxa"/>
            <w:vAlign w:val="bottom"/>
          </w:tcPr>
          <w:p>
            <w:pPr>
              <w:spacing w:after="0"/>
              <w:rPr>
                <w:sz w:val="17"/>
                <w:szCs w:val="17"/>
                <w:color w:val="auto"/>
              </w:rPr>
            </w:pPr>
          </w:p>
        </w:tc>
        <w:tc>
          <w:tcPr>
            <w:tcW w:w="124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(2.8)</w:t>
            </w:r>
          </w:p>
        </w:tc>
      </w:tr>
      <w:tr>
        <w:trPr>
          <w:trHeight w:val="27"/>
        </w:trPr>
        <w:tc>
          <w:tcPr>
            <w:tcW w:w="20" w:type="dxa"/>
            <w:vAlign w:val="bottom"/>
            <w:shd w:val="clear" w:color="auto" w:fill="939598"/>
          </w:tcPr>
          <w:p>
            <w:pPr>
              <w:spacing w:after="0"/>
              <w:rPr>
                <w:sz w:val="2"/>
                <w:szCs w:val="2"/>
                <w:color w:val="auto"/>
              </w:rPr>
            </w:pPr>
          </w:p>
        </w:tc>
        <w:tc>
          <w:tcPr>
            <w:tcW w:w="6160" w:type="dxa"/>
            <w:vAlign w:val="bottom"/>
            <w:shd w:val="clear" w:color="auto" w:fill="939598"/>
          </w:tcPr>
          <w:p>
            <w:pPr>
              <w:spacing w:after="0"/>
              <w:rPr>
                <w:sz w:val="2"/>
                <w:szCs w:val="2"/>
                <w:color w:val="auto"/>
              </w:rPr>
            </w:pPr>
          </w:p>
        </w:tc>
        <w:tc>
          <w:tcPr>
            <w:tcW w:w="2180" w:type="dxa"/>
            <w:vAlign w:val="bottom"/>
            <w:shd w:val="clear" w:color="auto" w:fill="939598"/>
          </w:tcPr>
          <w:p>
            <w:pPr>
              <w:spacing w:after="0"/>
              <w:rPr>
                <w:sz w:val="2"/>
                <w:szCs w:val="2"/>
                <w:color w:val="auto"/>
              </w:rPr>
            </w:pPr>
          </w:p>
        </w:tc>
        <w:tc>
          <w:tcPr>
            <w:tcW w:w="1260" w:type="dxa"/>
            <w:vAlign w:val="bottom"/>
            <w:shd w:val="clear" w:color="auto" w:fill="939598"/>
          </w:tcPr>
          <w:p>
            <w:pPr>
              <w:spacing w:after="0"/>
              <w:rPr>
                <w:sz w:val="2"/>
                <w:szCs w:val="2"/>
                <w:color w:val="auto"/>
              </w:rPr>
            </w:pPr>
          </w:p>
        </w:tc>
        <w:tc>
          <w:tcPr>
            <w:tcW w:w="400" w:type="dxa"/>
            <w:vAlign w:val="bottom"/>
            <w:shd w:val="clear" w:color="auto" w:fill="939598"/>
          </w:tcPr>
          <w:p>
            <w:pPr>
              <w:spacing w:after="0"/>
              <w:rPr>
                <w:sz w:val="2"/>
                <w:szCs w:val="2"/>
                <w:color w:val="auto"/>
              </w:rPr>
            </w:pPr>
          </w:p>
        </w:tc>
        <w:tc>
          <w:tcPr>
            <w:tcW w:w="1180" w:type="dxa"/>
            <w:vAlign w:val="bottom"/>
            <w:shd w:val="clear" w:color="auto" w:fill="939598"/>
          </w:tcPr>
          <w:p>
            <w:pPr>
              <w:spacing w:after="0"/>
              <w:rPr>
                <w:sz w:val="2"/>
                <w:szCs w:val="2"/>
                <w:color w:val="auto"/>
              </w:rPr>
            </w:pPr>
          </w:p>
        </w:tc>
        <w:tc>
          <w:tcPr>
            <w:tcW w:w="60" w:type="dxa"/>
            <w:vAlign w:val="bottom"/>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color w:val="4D8ABE"/>
        </w:rPr>
        <w:t>FUTURE CONTRIBUTIONS AND PAYMENTS</w:t>
      </w:r>
    </w:p>
    <w:p>
      <w:pPr>
        <w:spacing w:after="0" w:line="238"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During 2011, we plan to contribute $20.0 to our pension plans and to fund our retiree health care payments as incurred. Projected benefit payments from the plans as of December 31, 2010 are estimated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32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6"/>
                <w:szCs w:val="16"/>
                <w:b w:val="1"/>
                <w:bCs w:val="1"/>
                <w:color w:val="86B6A5"/>
              </w:rPr>
              <w:t>Retiree Health</w:t>
            </w:r>
          </w:p>
        </w:tc>
      </w:tr>
      <w:tr>
        <w:trPr>
          <w:trHeight w:val="228"/>
        </w:trPr>
        <w:tc>
          <w:tcPr>
            <w:tcW w:w="5320" w:type="dxa"/>
            <w:vAlign w:val="bottom"/>
          </w:tcPr>
          <w:p>
            <w:pPr>
              <w:spacing w:after="0"/>
              <w:rPr>
                <w:sz w:val="20"/>
                <w:szCs w:val="20"/>
                <w:color w:val="auto"/>
              </w:rPr>
            </w:pPr>
            <w:r>
              <w:rPr>
                <w:rFonts w:ascii="Arial" w:cs="Arial" w:eastAsia="Arial" w:hAnsi="Arial"/>
                <w:sz w:val="16"/>
                <w:szCs w:val="16"/>
                <w:b w:val="1"/>
                <w:bCs w:val="1"/>
                <w:color w:val="86B6A5"/>
              </w:rPr>
              <w:t>Year</w:t>
            </w:r>
          </w:p>
        </w:tc>
        <w:tc>
          <w:tcPr>
            <w:tcW w:w="2960" w:type="dxa"/>
            <w:vAlign w:val="bottom"/>
          </w:tcPr>
          <w:p>
            <w:pPr>
              <w:spacing w:after="0"/>
              <w:rPr>
                <w:sz w:val="19"/>
                <w:szCs w:val="19"/>
                <w:color w:val="auto"/>
              </w:rPr>
            </w:pPr>
          </w:p>
        </w:tc>
        <w:tc>
          <w:tcPr>
            <w:tcW w:w="1340" w:type="dxa"/>
            <w:vAlign w:val="bottom"/>
          </w:tcPr>
          <w:p>
            <w:pPr>
              <w:jc w:val="right"/>
              <w:ind w:right="11"/>
              <w:spacing w:after="0"/>
              <w:rPr>
                <w:sz w:val="20"/>
                <w:szCs w:val="20"/>
                <w:color w:val="auto"/>
              </w:rPr>
            </w:pPr>
            <w:r>
              <w:rPr>
                <w:rFonts w:ascii="Arial" w:cs="Arial" w:eastAsia="Arial" w:hAnsi="Arial"/>
                <w:sz w:val="16"/>
                <w:szCs w:val="16"/>
                <w:b w:val="1"/>
                <w:bCs w:val="1"/>
                <w:color w:val="86B6A5"/>
              </w:rPr>
              <w:t>Pension Plans</w:t>
            </w:r>
          </w:p>
        </w:tc>
        <w:tc>
          <w:tcPr>
            <w:tcW w:w="360" w:type="dxa"/>
            <w:vAlign w:val="bottom"/>
          </w:tcPr>
          <w:p>
            <w:pPr>
              <w:spacing w:after="0"/>
              <w:rPr>
                <w:sz w:val="19"/>
                <w:szCs w:val="19"/>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6"/>
                <w:szCs w:val="16"/>
                <w:b w:val="1"/>
                <w:bCs w:val="1"/>
                <w:color w:val="86B6A5"/>
              </w:rPr>
              <w:t>Care Plan</w:t>
            </w:r>
          </w:p>
        </w:tc>
      </w:tr>
      <w:tr>
        <w:trPr>
          <w:trHeight w:val="202"/>
        </w:trPr>
        <w:tc>
          <w:tcPr>
            <w:tcW w:w="5320" w:type="dxa"/>
            <w:vAlign w:val="bottom"/>
            <w:tcBorders>
              <w:top w:val="single" w:sz="8" w:color="86B6A5"/>
            </w:tcBorders>
          </w:tcPr>
          <w:p>
            <w:pPr>
              <w:spacing w:after="0" w:line="201" w:lineRule="exact"/>
              <w:rPr>
                <w:sz w:val="20"/>
                <w:szCs w:val="20"/>
                <w:color w:val="auto"/>
              </w:rPr>
            </w:pPr>
            <w:r>
              <w:rPr>
                <w:rFonts w:ascii="Arial" w:cs="Arial" w:eastAsia="Arial" w:hAnsi="Arial"/>
                <w:sz w:val="18"/>
                <w:szCs w:val="18"/>
                <w:color w:val="auto"/>
              </w:rPr>
              <w:t>2011</w:t>
            </w:r>
          </w:p>
        </w:tc>
        <w:tc>
          <w:tcPr>
            <w:tcW w:w="2960" w:type="dxa"/>
            <w:vAlign w:val="bottom"/>
            <w:tcBorders>
              <w:top w:val="single" w:sz="8" w:color="86B6A5"/>
            </w:tcBorders>
          </w:tcPr>
          <w:p>
            <w:pPr>
              <w:jc w:val="right"/>
              <w:ind w:right="50"/>
              <w:spacing w:after="0" w:line="201" w:lineRule="exact"/>
              <w:rPr>
                <w:sz w:val="20"/>
                <w:szCs w:val="20"/>
                <w:color w:val="auto"/>
              </w:rPr>
            </w:pPr>
            <w:r>
              <w:rPr>
                <w:rFonts w:ascii="Arial" w:cs="Arial" w:eastAsia="Arial" w:hAnsi="Arial"/>
                <w:sz w:val="18"/>
                <w:szCs w:val="18"/>
                <w:color w:val="auto"/>
              </w:rPr>
              <w:t>$</w:t>
            </w:r>
          </w:p>
        </w:tc>
        <w:tc>
          <w:tcPr>
            <w:tcW w:w="1340" w:type="dxa"/>
            <w:vAlign w:val="bottom"/>
            <w:tcBorders>
              <w:top w:val="single" w:sz="8" w:color="86B6A5"/>
            </w:tcBorders>
          </w:tcPr>
          <w:p>
            <w:pPr>
              <w:jc w:val="right"/>
              <w:ind w:right="11"/>
              <w:spacing w:after="0" w:line="201" w:lineRule="exact"/>
              <w:rPr>
                <w:sz w:val="20"/>
                <w:szCs w:val="20"/>
                <w:color w:val="auto"/>
              </w:rPr>
            </w:pPr>
            <w:r>
              <w:rPr>
                <w:rFonts w:ascii="Arial" w:cs="Arial" w:eastAsia="Arial" w:hAnsi="Arial"/>
                <w:sz w:val="18"/>
                <w:szCs w:val="18"/>
                <w:color w:val="auto"/>
              </w:rPr>
              <w:t>9.8</w:t>
            </w:r>
          </w:p>
        </w:tc>
        <w:tc>
          <w:tcPr>
            <w:tcW w:w="360" w:type="dxa"/>
            <w:vAlign w:val="bottom"/>
            <w:tcBorders>
              <w:top w:val="single" w:sz="8" w:color="86B6A5"/>
            </w:tcBorders>
          </w:tcPr>
          <w:p>
            <w:pPr>
              <w:jc w:val="right"/>
              <w:ind w:right="50"/>
              <w:spacing w:after="0" w:line="201" w:lineRule="exact"/>
              <w:rPr>
                <w:sz w:val="20"/>
                <w:szCs w:val="20"/>
                <w:color w:val="auto"/>
              </w:rPr>
            </w:pPr>
            <w:r>
              <w:rPr>
                <w:rFonts w:ascii="Arial" w:cs="Arial" w:eastAsia="Arial" w:hAnsi="Arial"/>
                <w:sz w:val="18"/>
                <w:szCs w:val="18"/>
                <w:color w:val="auto"/>
              </w:rPr>
              <w:t>$</w:t>
            </w:r>
          </w:p>
        </w:tc>
        <w:tc>
          <w:tcPr>
            <w:tcW w:w="1220" w:type="dxa"/>
            <w:vAlign w:val="bottom"/>
            <w:tcBorders>
              <w:top w:val="single" w:sz="8" w:color="86B6A5"/>
            </w:tcBorders>
          </w:tcPr>
          <w:p>
            <w:pPr>
              <w:jc w:val="right"/>
              <w:spacing w:after="0" w:line="201" w:lineRule="exact"/>
              <w:rPr>
                <w:sz w:val="20"/>
                <w:szCs w:val="20"/>
                <w:color w:val="auto"/>
              </w:rPr>
            </w:pPr>
            <w:r>
              <w:rPr>
                <w:rFonts w:ascii="Arial" w:cs="Arial" w:eastAsia="Arial" w:hAnsi="Arial"/>
                <w:sz w:val="18"/>
                <w:szCs w:val="18"/>
                <w:color w:val="auto"/>
              </w:rPr>
              <w:t>1.4</w:t>
            </w:r>
          </w:p>
        </w:tc>
        <w:tc>
          <w:tcPr>
            <w:tcW w:w="20" w:type="dxa"/>
            <w:vAlign w:val="bottom"/>
          </w:tcPr>
          <w:p>
            <w:pPr>
              <w:spacing w:after="0"/>
              <w:rPr>
                <w:sz w:val="17"/>
                <w:szCs w:val="17"/>
                <w:color w:val="auto"/>
              </w:rPr>
            </w:pPr>
          </w:p>
        </w:tc>
      </w:tr>
      <w:tr>
        <w:trPr>
          <w:trHeight w:val="203"/>
        </w:trPr>
        <w:tc>
          <w:tcPr>
            <w:tcW w:w="5320" w:type="dxa"/>
            <w:vAlign w:val="bottom"/>
          </w:tcPr>
          <w:p>
            <w:pPr>
              <w:spacing w:after="0" w:line="202" w:lineRule="exact"/>
              <w:rPr>
                <w:sz w:val="20"/>
                <w:szCs w:val="20"/>
                <w:color w:val="auto"/>
              </w:rPr>
            </w:pPr>
            <w:r>
              <w:rPr>
                <w:rFonts w:ascii="Arial" w:cs="Arial" w:eastAsia="Arial" w:hAnsi="Arial"/>
                <w:sz w:val="18"/>
                <w:szCs w:val="18"/>
                <w:color w:val="auto"/>
              </w:rPr>
              <w:t>2012</w:t>
            </w:r>
          </w:p>
        </w:tc>
        <w:tc>
          <w:tcPr>
            <w:tcW w:w="2960" w:type="dxa"/>
            <w:vAlign w:val="bottom"/>
          </w:tcPr>
          <w:p>
            <w:pPr>
              <w:spacing w:after="0"/>
              <w:rPr>
                <w:sz w:val="17"/>
                <w:szCs w:val="17"/>
                <w:color w:val="auto"/>
              </w:rPr>
            </w:pPr>
          </w:p>
        </w:tc>
        <w:tc>
          <w:tcPr>
            <w:tcW w:w="1340" w:type="dxa"/>
            <w:vAlign w:val="bottom"/>
          </w:tcPr>
          <w:p>
            <w:pPr>
              <w:jc w:val="right"/>
              <w:ind w:right="11"/>
              <w:spacing w:after="0" w:line="202" w:lineRule="exact"/>
              <w:rPr>
                <w:sz w:val="20"/>
                <w:szCs w:val="20"/>
                <w:color w:val="auto"/>
              </w:rPr>
            </w:pPr>
            <w:r>
              <w:rPr>
                <w:rFonts w:ascii="Arial" w:cs="Arial" w:eastAsia="Arial" w:hAnsi="Arial"/>
                <w:sz w:val="18"/>
                <w:szCs w:val="18"/>
                <w:color w:val="auto"/>
              </w:rPr>
              <w:t>10.1</w:t>
            </w:r>
          </w:p>
        </w:tc>
        <w:tc>
          <w:tcPr>
            <w:tcW w:w="360" w:type="dxa"/>
            <w:vAlign w:val="bottom"/>
          </w:tcPr>
          <w:p>
            <w:pPr>
              <w:spacing w:after="0"/>
              <w:rPr>
                <w:sz w:val="17"/>
                <w:szCs w:val="17"/>
                <w:color w:val="auto"/>
              </w:rPr>
            </w:pPr>
          </w:p>
        </w:tc>
        <w:tc>
          <w:tcPr>
            <w:tcW w:w="12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1.4</w:t>
            </w:r>
          </w:p>
        </w:tc>
      </w:tr>
      <w:tr>
        <w:trPr>
          <w:trHeight w:val="203"/>
        </w:trPr>
        <w:tc>
          <w:tcPr>
            <w:tcW w:w="5320" w:type="dxa"/>
            <w:vAlign w:val="bottom"/>
          </w:tcPr>
          <w:p>
            <w:pPr>
              <w:spacing w:after="0" w:line="202" w:lineRule="exact"/>
              <w:rPr>
                <w:sz w:val="20"/>
                <w:szCs w:val="20"/>
                <w:color w:val="auto"/>
              </w:rPr>
            </w:pPr>
            <w:r>
              <w:rPr>
                <w:rFonts w:ascii="Arial" w:cs="Arial" w:eastAsia="Arial" w:hAnsi="Arial"/>
                <w:sz w:val="18"/>
                <w:szCs w:val="18"/>
                <w:color w:val="auto"/>
              </w:rPr>
              <w:t>2013</w:t>
            </w:r>
          </w:p>
        </w:tc>
        <w:tc>
          <w:tcPr>
            <w:tcW w:w="2960" w:type="dxa"/>
            <w:vAlign w:val="bottom"/>
          </w:tcPr>
          <w:p>
            <w:pPr>
              <w:spacing w:after="0"/>
              <w:rPr>
                <w:sz w:val="17"/>
                <w:szCs w:val="17"/>
                <w:color w:val="auto"/>
              </w:rPr>
            </w:pPr>
          </w:p>
        </w:tc>
        <w:tc>
          <w:tcPr>
            <w:tcW w:w="1340" w:type="dxa"/>
            <w:vAlign w:val="bottom"/>
          </w:tcPr>
          <w:p>
            <w:pPr>
              <w:jc w:val="right"/>
              <w:ind w:right="11"/>
              <w:spacing w:after="0" w:line="202" w:lineRule="exact"/>
              <w:rPr>
                <w:sz w:val="20"/>
                <w:szCs w:val="20"/>
                <w:color w:val="auto"/>
              </w:rPr>
            </w:pPr>
            <w:r>
              <w:rPr>
                <w:rFonts w:ascii="Arial" w:cs="Arial" w:eastAsia="Arial" w:hAnsi="Arial"/>
                <w:sz w:val="18"/>
                <w:szCs w:val="18"/>
                <w:color w:val="auto"/>
              </w:rPr>
              <w:t>10.5</w:t>
            </w:r>
          </w:p>
        </w:tc>
        <w:tc>
          <w:tcPr>
            <w:tcW w:w="360" w:type="dxa"/>
            <w:vAlign w:val="bottom"/>
          </w:tcPr>
          <w:p>
            <w:pPr>
              <w:spacing w:after="0"/>
              <w:rPr>
                <w:sz w:val="17"/>
                <w:szCs w:val="17"/>
                <w:color w:val="auto"/>
              </w:rPr>
            </w:pPr>
          </w:p>
        </w:tc>
        <w:tc>
          <w:tcPr>
            <w:tcW w:w="12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1.4</w:t>
            </w:r>
          </w:p>
        </w:tc>
      </w:tr>
      <w:tr>
        <w:trPr>
          <w:trHeight w:val="203"/>
        </w:trPr>
        <w:tc>
          <w:tcPr>
            <w:tcW w:w="5320" w:type="dxa"/>
            <w:vAlign w:val="bottom"/>
          </w:tcPr>
          <w:p>
            <w:pPr>
              <w:spacing w:after="0" w:line="202" w:lineRule="exact"/>
              <w:rPr>
                <w:sz w:val="20"/>
                <w:szCs w:val="20"/>
                <w:color w:val="auto"/>
              </w:rPr>
            </w:pPr>
            <w:r>
              <w:rPr>
                <w:rFonts w:ascii="Arial" w:cs="Arial" w:eastAsia="Arial" w:hAnsi="Arial"/>
                <w:sz w:val="18"/>
                <w:szCs w:val="18"/>
                <w:color w:val="auto"/>
              </w:rPr>
              <w:t>2014</w:t>
            </w:r>
          </w:p>
        </w:tc>
        <w:tc>
          <w:tcPr>
            <w:tcW w:w="2960" w:type="dxa"/>
            <w:vAlign w:val="bottom"/>
          </w:tcPr>
          <w:p>
            <w:pPr>
              <w:spacing w:after="0"/>
              <w:rPr>
                <w:sz w:val="17"/>
                <w:szCs w:val="17"/>
                <w:color w:val="auto"/>
              </w:rPr>
            </w:pPr>
          </w:p>
        </w:tc>
        <w:tc>
          <w:tcPr>
            <w:tcW w:w="1340" w:type="dxa"/>
            <w:vAlign w:val="bottom"/>
          </w:tcPr>
          <w:p>
            <w:pPr>
              <w:jc w:val="right"/>
              <w:ind w:right="11"/>
              <w:spacing w:after="0" w:line="202" w:lineRule="exact"/>
              <w:rPr>
                <w:sz w:val="20"/>
                <w:szCs w:val="20"/>
                <w:color w:val="auto"/>
              </w:rPr>
            </w:pPr>
            <w:r>
              <w:rPr>
                <w:rFonts w:ascii="Arial" w:cs="Arial" w:eastAsia="Arial" w:hAnsi="Arial"/>
                <w:sz w:val="18"/>
                <w:szCs w:val="18"/>
                <w:color w:val="auto"/>
              </w:rPr>
              <w:t>11.3</w:t>
            </w:r>
          </w:p>
        </w:tc>
        <w:tc>
          <w:tcPr>
            <w:tcW w:w="360" w:type="dxa"/>
            <w:vAlign w:val="bottom"/>
          </w:tcPr>
          <w:p>
            <w:pPr>
              <w:spacing w:after="0"/>
              <w:rPr>
                <w:sz w:val="17"/>
                <w:szCs w:val="17"/>
                <w:color w:val="auto"/>
              </w:rPr>
            </w:pPr>
          </w:p>
        </w:tc>
        <w:tc>
          <w:tcPr>
            <w:tcW w:w="12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1.4</w:t>
            </w:r>
          </w:p>
        </w:tc>
      </w:tr>
      <w:tr>
        <w:trPr>
          <w:trHeight w:val="203"/>
        </w:trPr>
        <w:tc>
          <w:tcPr>
            <w:tcW w:w="5320" w:type="dxa"/>
            <w:vAlign w:val="bottom"/>
          </w:tcPr>
          <w:p>
            <w:pPr>
              <w:spacing w:after="0" w:line="202" w:lineRule="exact"/>
              <w:rPr>
                <w:sz w:val="20"/>
                <w:szCs w:val="20"/>
                <w:color w:val="auto"/>
              </w:rPr>
            </w:pPr>
            <w:r>
              <w:rPr>
                <w:rFonts w:ascii="Arial" w:cs="Arial" w:eastAsia="Arial" w:hAnsi="Arial"/>
                <w:sz w:val="18"/>
                <w:szCs w:val="18"/>
                <w:color w:val="auto"/>
              </w:rPr>
              <w:t>2015</w:t>
            </w:r>
          </w:p>
        </w:tc>
        <w:tc>
          <w:tcPr>
            <w:tcW w:w="2960" w:type="dxa"/>
            <w:vAlign w:val="bottom"/>
          </w:tcPr>
          <w:p>
            <w:pPr>
              <w:spacing w:after="0"/>
              <w:rPr>
                <w:sz w:val="17"/>
                <w:szCs w:val="17"/>
                <w:color w:val="auto"/>
              </w:rPr>
            </w:pPr>
          </w:p>
        </w:tc>
        <w:tc>
          <w:tcPr>
            <w:tcW w:w="1340" w:type="dxa"/>
            <w:vAlign w:val="bottom"/>
          </w:tcPr>
          <w:p>
            <w:pPr>
              <w:jc w:val="right"/>
              <w:ind w:right="11"/>
              <w:spacing w:after="0" w:line="202" w:lineRule="exact"/>
              <w:rPr>
                <w:sz w:val="20"/>
                <w:szCs w:val="20"/>
                <w:color w:val="auto"/>
              </w:rPr>
            </w:pPr>
            <w:r>
              <w:rPr>
                <w:rFonts w:ascii="Arial" w:cs="Arial" w:eastAsia="Arial" w:hAnsi="Arial"/>
                <w:sz w:val="18"/>
                <w:szCs w:val="18"/>
                <w:color w:val="auto"/>
              </w:rPr>
              <w:t>12.1</w:t>
            </w:r>
          </w:p>
        </w:tc>
        <w:tc>
          <w:tcPr>
            <w:tcW w:w="360" w:type="dxa"/>
            <w:vAlign w:val="bottom"/>
          </w:tcPr>
          <w:p>
            <w:pPr>
              <w:spacing w:after="0"/>
              <w:rPr>
                <w:sz w:val="17"/>
                <w:szCs w:val="17"/>
                <w:color w:val="auto"/>
              </w:rPr>
            </w:pPr>
          </w:p>
        </w:tc>
        <w:tc>
          <w:tcPr>
            <w:tcW w:w="12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1.4</w:t>
            </w:r>
          </w:p>
        </w:tc>
      </w:tr>
      <w:tr>
        <w:trPr>
          <w:trHeight w:val="203"/>
        </w:trPr>
        <w:tc>
          <w:tcPr>
            <w:tcW w:w="5320" w:type="dxa"/>
            <w:vAlign w:val="bottom"/>
          </w:tcPr>
          <w:p>
            <w:pPr>
              <w:spacing w:after="0" w:line="203" w:lineRule="exact"/>
              <w:rPr>
                <w:sz w:val="20"/>
                <w:szCs w:val="20"/>
                <w:color w:val="auto"/>
              </w:rPr>
            </w:pPr>
            <w:r>
              <w:rPr>
                <w:rFonts w:ascii="Arial" w:cs="Arial" w:eastAsia="Arial" w:hAnsi="Arial"/>
                <w:sz w:val="18"/>
                <w:szCs w:val="18"/>
                <w:color w:val="auto"/>
              </w:rPr>
              <w:t>2016-2020</w:t>
            </w:r>
          </w:p>
        </w:tc>
        <w:tc>
          <w:tcPr>
            <w:tcW w:w="2960" w:type="dxa"/>
            <w:vAlign w:val="bottom"/>
          </w:tcPr>
          <w:p>
            <w:pPr>
              <w:spacing w:after="0"/>
              <w:rPr>
                <w:sz w:val="17"/>
                <w:szCs w:val="17"/>
                <w:color w:val="auto"/>
              </w:rPr>
            </w:pPr>
          </w:p>
        </w:tc>
        <w:tc>
          <w:tcPr>
            <w:tcW w:w="1340" w:type="dxa"/>
            <w:vAlign w:val="bottom"/>
          </w:tcPr>
          <w:p>
            <w:pPr>
              <w:jc w:val="right"/>
              <w:ind w:right="11"/>
              <w:spacing w:after="0" w:line="203" w:lineRule="exact"/>
              <w:rPr>
                <w:sz w:val="20"/>
                <w:szCs w:val="20"/>
                <w:color w:val="auto"/>
              </w:rPr>
            </w:pPr>
            <w:r>
              <w:rPr>
                <w:rFonts w:ascii="Arial" w:cs="Arial" w:eastAsia="Arial" w:hAnsi="Arial"/>
                <w:sz w:val="18"/>
                <w:szCs w:val="18"/>
                <w:color w:val="auto"/>
              </w:rPr>
              <w:t>74.7</w:t>
            </w:r>
          </w:p>
        </w:tc>
        <w:tc>
          <w:tcPr>
            <w:tcW w:w="360" w:type="dxa"/>
            <w:vAlign w:val="bottom"/>
          </w:tcPr>
          <w:p>
            <w:pPr>
              <w:spacing w:after="0"/>
              <w:rPr>
                <w:sz w:val="17"/>
                <w:szCs w:val="17"/>
                <w:color w:val="auto"/>
              </w:rPr>
            </w:pPr>
          </w:p>
        </w:tc>
        <w:tc>
          <w:tcPr>
            <w:tcW w:w="1240" w:type="dxa"/>
            <w:vAlign w:val="bottom"/>
            <w:gridSpan w:val="2"/>
          </w:tcPr>
          <w:p>
            <w:pPr>
              <w:jc w:val="right"/>
              <w:ind w:right="20"/>
              <w:spacing w:after="0" w:line="203" w:lineRule="exact"/>
              <w:rPr>
                <w:sz w:val="20"/>
                <w:szCs w:val="20"/>
                <w:color w:val="auto"/>
              </w:rPr>
            </w:pPr>
            <w:r>
              <w:rPr>
                <w:rFonts w:ascii="Arial" w:cs="Arial" w:eastAsia="Arial" w:hAnsi="Arial"/>
                <w:sz w:val="18"/>
                <w:szCs w:val="18"/>
                <w:color w:val="auto"/>
              </w:rPr>
              <w:t>6.9</w:t>
            </w:r>
          </w:p>
        </w:tc>
      </w:tr>
      <w:tr>
        <w:trPr>
          <w:trHeight w:val="203"/>
        </w:trPr>
        <w:tc>
          <w:tcPr>
            <w:tcW w:w="5320" w:type="dxa"/>
            <w:vAlign w:val="bottom"/>
            <w:tcBorders>
              <w:top w:val="single" w:sz="8" w:color="939598"/>
              <w:bottom w:val="single" w:sz="8" w:color="939598"/>
            </w:tcBorders>
          </w:tcPr>
          <w:p>
            <w:pPr>
              <w:spacing w:after="0" w:line="196" w:lineRule="exact"/>
              <w:rPr>
                <w:sz w:val="20"/>
                <w:szCs w:val="20"/>
                <w:color w:val="auto"/>
              </w:rPr>
            </w:pPr>
            <w:r>
              <w:rPr>
                <w:rFonts w:ascii="Arial" w:cs="Arial" w:eastAsia="Arial" w:hAnsi="Arial"/>
                <w:sz w:val="18"/>
                <w:szCs w:val="18"/>
                <w:color w:val="auto"/>
              </w:rPr>
              <w:t>Total projected benefit payments</w:t>
            </w:r>
          </w:p>
        </w:tc>
        <w:tc>
          <w:tcPr>
            <w:tcW w:w="2960" w:type="dxa"/>
            <w:vAlign w:val="bottom"/>
            <w:tcBorders>
              <w:top w:val="single" w:sz="8" w:color="939598"/>
              <w:bottom w:val="single" w:sz="8" w:color="939598"/>
            </w:tcBorders>
          </w:tcPr>
          <w:p>
            <w:pPr>
              <w:jc w:val="right"/>
              <w:ind w:right="50"/>
              <w:spacing w:after="0" w:line="196" w:lineRule="exact"/>
              <w:rPr>
                <w:sz w:val="20"/>
                <w:szCs w:val="20"/>
                <w:color w:val="auto"/>
              </w:rPr>
            </w:pPr>
            <w:r>
              <w:rPr>
                <w:rFonts w:ascii="Arial" w:cs="Arial" w:eastAsia="Arial" w:hAnsi="Arial"/>
                <w:sz w:val="18"/>
                <w:szCs w:val="18"/>
                <w:color w:val="auto"/>
              </w:rPr>
              <w:t>$</w:t>
            </w:r>
          </w:p>
        </w:tc>
        <w:tc>
          <w:tcPr>
            <w:tcW w:w="1340" w:type="dxa"/>
            <w:vAlign w:val="bottom"/>
            <w:tcBorders>
              <w:top w:val="single" w:sz="8" w:color="939598"/>
              <w:bottom w:val="single" w:sz="8" w:color="939598"/>
            </w:tcBorders>
          </w:tcPr>
          <w:p>
            <w:pPr>
              <w:jc w:val="right"/>
              <w:ind w:right="11"/>
              <w:spacing w:after="0" w:line="196" w:lineRule="exact"/>
              <w:rPr>
                <w:sz w:val="20"/>
                <w:szCs w:val="20"/>
                <w:color w:val="auto"/>
              </w:rPr>
            </w:pPr>
            <w:r>
              <w:rPr>
                <w:rFonts w:ascii="Arial" w:cs="Arial" w:eastAsia="Arial" w:hAnsi="Arial"/>
                <w:sz w:val="18"/>
                <w:szCs w:val="18"/>
                <w:color w:val="auto"/>
              </w:rPr>
              <w:t>128.5</w:t>
            </w:r>
          </w:p>
        </w:tc>
        <w:tc>
          <w:tcPr>
            <w:tcW w:w="360" w:type="dxa"/>
            <w:vAlign w:val="bottom"/>
            <w:tcBorders>
              <w:top w:val="single" w:sz="8" w:color="939598"/>
              <w:bottom w:val="single" w:sz="8" w:color="939598"/>
            </w:tcBorders>
          </w:tcPr>
          <w:p>
            <w:pPr>
              <w:jc w:val="right"/>
              <w:ind w:right="50"/>
              <w:spacing w:after="0" w:line="196" w:lineRule="exact"/>
              <w:rPr>
                <w:sz w:val="20"/>
                <w:szCs w:val="20"/>
                <w:color w:val="auto"/>
              </w:rPr>
            </w:pPr>
            <w:r>
              <w:rPr>
                <w:rFonts w:ascii="Arial" w:cs="Arial" w:eastAsia="Arial" w:hAnsi="Arial"/>
                <w:sz w:val="18"/>
                <w:szCs w:val="18"/>
                <w:color w:val="auto"/>
              </w:rPr>
              <w:t>$</w:t>
            </w:r>
          </w:p>
        </w:tc>
        <w:tc>
          <w:tcPr>
            <w:tcW w:w="1220" w:type="dxa"/>
            <w:vAlign w:val="bottom"/>
            <w:tcBorders>
              <w:top w:val="single" w:sz="8" w:color="939598"/>
              <w:bottom w:val="single" w:sz="8" w:color="939598"/>
            </w:tcBorders>
          </w:tcPr>
          <w:p>
            <w:pPr>
              <w:jc w:val="right"/>
              <w:spacing w:after="0" w:line="196" w:lineRule="exact"/>
              <w:rPr>
                <w:sz w:val="20"/>
                <w:szCs w:val="20"/>
                <w:color w:val="auto"/>
              </w:rPr>
            </w:pPr>
            <w:r>
              <w:rPr>
                <w:rFonts w:ascii="Arial" w:cs="Arial" w:eastAsia="Arial" w:hAnsi="Arial"/>
                <w:sz w:val="18"/>
                <w:szCs w:val="18"/>
                <w:color w:val="auto"/>
              </w:rPr>
              <w:t>13.9</w:t>
            </w:r>
          </w:p>
        </w:tc>
        <w:tc>
          <w:tcPr>
            <w:tcW w:w="20" w:type="dxa"/>
            <w:vAlign w:val="bottom"/>
          </w:tcPr>
          <w:p>
            <w:pPr>
              <w:spacing w:after="0"/>
              <w:rPr>
                <w:sz w:val="17"/>
                <w:szCs w:val="17"/>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color w:val="4D8ABE"/>
        </w:rPr>
        <w:t>DEFINED CONTRIBUTION PLANS</w:t>
      </w:r>
    </w:p>
    <w:p>
      <w:pPr>
        <w:spacing w:after="0" w:line="23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have defined contribution plans covering substantially all permanent U.S. employees and various other employees throughout the world. Employees may elect to contribute a portion of their salary to the plans and we match a portion of their contributions up to a maximum percentage of the employee’s salary. In addition, profit sharing contributions are made if a targeted earnings level is reached. The total expense for our match and any profit sharing contributions was $23.7, $22.7 and $24.2 for the years ended December 31, 2010, 2009 and 2008, respectively. One of our U.S. deferred compensation plans had an asset and liability of $35.6 and $28.2 as of December 31, 2010 and 2009, respectively.</w:t>
      </w:r>
    </w:p>
    <w:p>
      <w:pPr>
        <w:spacing w:after="0" w:line="188"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939598"/>
        </w:rPr>
        <w:t xml:space="preserve">Notes to Consolidated Financial Statements </w:t>
      </w:r>
      <w:r>
        <w:rPr>
          <w:rFonts w:ascii="Arial" w:cs="Arial" w:eastAsia="Arial" w:hAnsi="Arial"/>
          <w:sz w:val="16"/>
          <w:szCs w:val="16"/>
          <w:color w:val="4D8ABE"/>
        </w:rPr>
        <w:t>Manpower 2010 Annual Report</w:t>
      </w:r>
      <w:r>
        <w:rPr>
          <w:rFonts w:ascii="Arial" w:cs="Arial" w:eastAsia="Arial" w:hAnsi="Arial"/>
          <w:sz w:val="16"/>
          <w:szCs w:val="16"/>
          <w:b w:val="1"/>
          <w:bCs w:val="1"/>
          <w:color w:val="939598"/>
        </w:rPr>
        <w:t xml:space="preserve"> </w:t>
      </w:r>
      <w:r>
        <w:rPr>
          <w:rFonts w:ascii="Arial" w:cs="Arial" w:eastAsia="Arial" w:hAnsi="Arial"/>
          <w:sz w:val="16"/>
          <w:szCs w:val="16"/>
          <w:b w:val="1"/>
          <w:bCs w:val="1"/>
          <w:color w:val="4D8ABE"/>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wp:posOffset>
            </wp:positionV>
            <wp:extent cx="7267575" cy="469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100" w:name="page101"/>
    <w:bookmarkEnd w:id="100"/>
    <w:p>
      <w:pPr>
        <w:spacing w:after="0"/>
        <w:rPr>
          <w:sz w:val="20"/>
          <w:szCs w:val="20"/>
          <w:color w:val="auto"/>
        </w:rPr>
      </w:pPr>
      <w:r>
        <w:rPr>
          <w:rFonts w:ascii="Arial" w:cs="Arial" w:eastAsia="Arial" w:hAnsi="Arial"/>
          <w:sz w:val="22"/>
          <w:szCs w:val="22"/>
          <w:color w:val="4D8ABE"/>
        </w:rPr>
        <w:t>Notes To Consolidated Financial Statements</w:t>
      </w:r>
    </w:p>
    <w:p>
      <w:pPr>
        <w:spacing w:after="0"/>
        <w:rPr>
          <w:sz w:val="20"/>
          <w:szCs w:val="20"/>
          <w:color w:val="auto"/>
        </w:rPr>
      </w:pPr>
      <w:r>
        <w:rPr>
          <w:rFonts w:ascii="Arial" w:cs="Arial" w:eastAsia="Arial" w:hAnsi="Arial"/>
          <w:sz w:val="18"/>
          <w:szCs w:val="18"/>
          <w:color w:val="4D8ABE"/>
        </w:rPr>
        <w:t>in millions, except share and per share data</w:t>
      </w:r>
    </w:p>
    <w:p>
      <w:pPr>
        <w:spacing w:after="0" w:line="209" w:lineRule="exact"/>
        <w:rPr>
          <w:sz w:val="20"/>
          <w:szCs w:val="20"/>
          <w:color w:val="auto"/>
        </w:rPr>
      </w:pPr>
    </w:p>
    <w:p>
      <w:pPr>
        <w:spacing w:after="0"/>
        <w:rPr>
          <w:sz w:val="20"/>
          <w:szCs w:val="20"/>
          <w:color w:val="auto"/>
        </w:rPr>
      </w:pPr>
      <w:r>
        <w:rPr>
          <w:rFonts w:ascii="Arial" w:cs="Arial" w:eastAsia="Arial" w:hAnsi="Arial"/>
          <w:sz w:val="24"/>
          <w:szCs w:val="24"/>
          <w:color w:val="86B6A5"/>
        </w:rPr>
        <w:t>09.</w:t>
      </w:r>
    </w:p>
    <w:p>
      <w:pPr>
        <w:spacing w:after="0" w:line="8" w:lineRule="exact"/>
        <w:rPr>
          <w:sz w:val="20"/>
          <w:szCs w:val="20"/>
          <w:color w:val="auto"/>
        </w:rPr>
      </w:pPr>
    </w:p>
    <w:p>
      <w:pPr>
        <w:spacing w:after="0"/>
        <w:rPr>
          <w:sz w:val="20"/>
          <w:szCs w:val="20"/>
          <w:color w:val="auto"/>
        </w:rPr>
      </w:pPr>
      <w:r>
        <w:rPr>
          <w:rFonts w:ascii="Arial" w:cs="Arial" w:eastAsia="Arial" w:hAnsi="Arial"/>
          <w:sz w:val="24"/>
          <w:szCs w:val="24"/>
          <w:color w:val="86B6A5"/>
        </w:rPr>
        <w:t>Accumulated Other Comprehensive Income (Loss)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Accumulated Other Comprehensive Income (Loss), net of tax, are as follows: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040" w:type="dxa"/>
            <w:vAlign w:val="bottom"/>
            <w:gridSpan w:val="2"/>
          </w:tcPr>
          <w:p>
            <w:pPr>
              <w:spacing w:after="0"/>
              <w:rPr>
                <w:sz w:val="20"/>
                <w:szCs w:val="20"/>
                <w:color w:val="auto"/>
              </w:rPr>
            </w:pPr>
            <w:r>
              <w:rPr>
                <w:rFonts w:ascii="Arial" w:cs="Arial" w:eastAsia="Arial" w:hAnsi="Arial"/>
                <w:sz w:val="16"/>
                <w:szCs w:val="16"/>
                <w:b w:val="1"/>
                <w:bCs w:val="1"/>
                <w:color w:val="86B6A5"/>
              </w:rPr>
              <w:t>December 31</w:t>
            </w:r>
          </w:p>
        </w:tc>
        <w:tc>
          <w:tcPr>
            <w:tcW w:w="120" w:type="dxa"/>
            <w:vAlign w:val="bottom"/>
            <w:shd w:val="clear" w:color="auto" w:fill="86B6A5"/>
          </w:tcPr>
          <w:p>
            <w:pPr>
              <w:spacing w:after="0"/>
              <w:rPr>
                <w:sz w:val="18"/>
                <w:szCs w:val="18"/>
                <w:color w:val="auto"/>
              </w:rPr>
            </w:pPr>
          </w:p>
        </w:tc>
        <w:tc>
          <w:tcPr>
            <w:tcW w:w="1340" w:type="dxa"/>
            <w:vAlign w:val="bottom"/>
            <w:shd w:val="clear" w:color="auto" w:fill="86B6A5"/>
          </w:tcPr>
          <w:p>
            <w:pPr>
              <w:jc w:val="right"/>
              <w:ind w:right="131"/>
              <w:spacing w:after="0"/>
              <w:rPr>
                <w:sz w:val="20"/>
                <w:szCs w:val="20"/>
                <w:color w:val="auto"/>
              </w:rPr>
            </w:pPr>
            <w:r>
              <w:rPr>
                <w:rFonts w:ascii="Arial" w:cs="Arial" w:eastAsia="Arial" w:hAnsi="Arial"/>
                <w:sz w:val="16"/>
                <w:szCs w:val="16"/>
                <w:b w:val="1"/>
                <w:bCs w:val="1"/>
                <w:color w:val="FFFFFF"/>
              </w:rPr>
              <w:t>2010</w:t>
            </w:r>
          </w:p>
        </w:tc>
        <w:tc>
          <w:tcPr>
            <w:tcW w:w="440" w:type="dxa"/>
            <w:vAlign w:val="bottom"/>
          </w:tcPr>
          <w:p>
            <w:pPr>
              <w:spacing w:after="0"/>
              <w:rPr>
                <w:sz w:val="18"/>
                <w:szCs w:val="18"/>
                <w:color w:val="auto"/>
              </w:rPr>
            </w:pPr>
          </w:p>
        </w:tc>
        <w:tc>
          <w:tcPr>
            <w:tcW w:w="940" w:type="dxa"/>
            <w:vAlign w:val="bottom"/>
          </w:tcPr>
          <w:p>
            <w:pPr>
              <w:jc w:val="right"/>
              <w:ind w:right="51"/>
              <w:spacing w:after="0"/>
              <w:rPr>
                <w:sz w:val="20"/>
                <w:szCs w:val="20"/>
                <w:color w:val="auto"/>
              </w:rPr>
            </w:pPr>
            <w:r>
              <w:rPr>
                <w:rFonts w:ascii="Arial" w:cs="Arial" w:eastAsia="Arial" w:hAnsi="Arial"/>
                <w:sz w:val="16"/>
                <w:szCs w:val="16"/>
                <w:b w:val="1"/>
                <w:bCs w:val="1"/>
                <w:color w:val="86B6A5"/>
              </w:rPr>
              <w:t>2009</w:t>
            </w:r>
          </w:p>
        </w:tc>
        <w:tc>
          <w:tcPr>
            <w:tcW w:w="5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86B6A5"/>
              </w:rPr>
              <w:t>2008</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020" w:type="dxa"/>
            <w:vAlign w:val="bottom"/>
            <w:tcBorders>
              <w:top w:val="single" w:sz="8" w:color="86B6A5"/>
            </w:tcBorders>
          </w:tcPr>
          <w:p>
            <w:pPr>
              <w:spacing w:after="0" w:line="201" w:lineRule="exact"/>
              <w:rPr>
                <w:sz w:val="20"/>
                <w:szCs w:val="20"/>
                <w:color w:val="auto"/>
              </w:rPr>
            </w:pPr>
            <w:r>
              <w:rPr>
                <w:rFonts w:ascii="Arial" w:cs="Arial" w:eastAsia="Arial" w:hAnsi="Arial"/>
                <w:sz w:val="18"/>
                <w:szCs w:val="18"/>
                <w:color w:val="auto"/>
              </w:rPr>
              <w:t>Foreign currency translation</w:t>
            </w:r>
          </w:p>
        </w:tc>
        <w:tc>
          <w:tcPr>
            <w:tcW w:w="120" w:type="dxa"/>
            <w:vAlign w:val="bottom"/>
            <w:tcBorders>
              <w:top w:val="single" w:sz="8" w:color="86B6A5"/>
            </w:tcBorders>
            <w:shd w:val="clear" w:color="auto" w:fill="E3F1DA"/>
          </w:tcPr>
          <w:p>
            <w:pPr>
              <w:jc w:val="right"/>
              <w:spacing w:after="0" w:line="201" w:lineRule="exact"/>
              <w:rPr>
                <w:sz w:val="20"/>
                <w:szCs w:val="20"/>
                <w:color w:val="auto"/>
              </w:rPr>
            </w:pPr>
            <w:r>
              <w:rPr>
                <w:rFonts w:ascii="Arial" w:cs="Arial" w:eastAsia="Arial" w:hAnsi="Arial"/>
                <w:sz w:val="18"/>
                <w:szCs w:val="18"/>
                <w:color w:val="86B6A5"/>
                <w:w w:val="79"/>
              </w:rPr>
              <w:t>$</w:t>
            </w:r>
          </w:p>
        </w:tc>
        <w:tc>
          <w:tcPr>
            <w:tcW w:w="1340" w:type="dxa"/>
            <w:vAlign w:val="bottom"/>
            <w:tcBorders>
              <w:top w:val="single" w:sz="8" w:color="86B6A5"/>
            </w:tcBorders>
            <w:shd w:val="clear" w:color="auto" w:fill="E3F1DA"/>
          </w:tcPr>
          <w:p>
            <w:pPr>
              <w:jc w:val="right"/>
              <w:ind w:right="131"/>
              <w:spacing w:after="0" w:line="201" w:lineRule="exact"/>
              <w:rPr>
                <w:sz w:val="20"/>
                <w:szCs w:val="20"/>
                <w:color w:val="auto"/>
              </w:rPr>
            </w:pPr>
            <w:r>
              <w:rPr>
                <w:rFonts w:ascii="Arial" w:cs="Arial" w:eastAsia="Arial" w:hAnsi="Arial"/>
                <w:sz w:val="18"/>
                <w:szCs w:val="18"/>
                <w:color w:val="86B6A5"/>
              </w:rPr>
              <w:t>96.6</w:t>
            </w:r>
          </w:p>
        </w:tc>
        <w:tc>
          <w:tcPr>
            <w:tcW w:w="440" w:type="dxa"/>
            <w:vAlign w:val="bottom"/>
            <w:tcBorders>
              <w:top w:val="single" w:sz="8" w:color="86B6A5"/>
            </w:tcBorders>
          </w:tcPr>
          <w:p>
            <w:pPr>
              <w:jc w:val="right"/>
              <w:ind w:right="250"/>
              <w:spacing w:after="0" w:line="201"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86B6A5"/>
            </w:tcBorders>
          </w:tcPr>
          <w:p>
            <w:pPr>
              <w:jc w:val="right"/>
              <w:ind w:right="51"/>
              <w:spacing w:after="0" w:line="201" w:lineRule="exact"/>
              <w:rPr>
                <w:sz w:val="20"/>
                <w:szCs w:val="20"/>
                <w:color w:val="auto"/>
              </w:rPr>
            </w:pPr>
            <w:r>
              <w:rPr>
                <w:rFonts w:ascii="Arial" w:cs="Arial" w:eastAsia="Arial" w:hAnsi="Arial"/>
                <w:sz w:val="18"/>
                <w:szCs w:val="18"/>
                <w:color w:val="auto"/>
              </w:rPr>
              <w:t>111.0</w:t>
            </w:r>
          </w:p>
        </w:tc>
        <w:tc>
          <w:tcPr>
            <w:tcW w:w="540" w:type="dxa"/>
            <w:vAlign w:val="bottom"/>
            <w:tcBorders>
              <w:top w:val="single" w:sz="8" w:color="86B6A5"/>
            </w:tcBorders>
          </w:tcPr>
          <w:p>
            <w:pPr>
              <w:jc w:val="right"/>
              <w:ind w:right="270"/>
              <w:spacing w:after="0" w:line="201" w:lineRule="exact"/>
              <w:rPr>
                <w:sz w:val="20"/>
                <w:szCs w:val="20"/>
                <w:color w:val="auto"/>
              </w:rPr>
            </w:pPr>
            <w:r>
              <w:rPr>
                <w:rFonts w:ascii="Arial" w:cs="Arial" w:eastAsia="Arial" w:hAnsi="Arial"/>
                <w:sz w:val="18"/>
                <w:szCs w:val="18"/>
                <w:color w:val="auto"/>
              </w:rPr>
              <w:t>$</w:t>
            </w:r>
          </w:p>
        </w:tc>
        <w:tc>
          <w:tcPr>
            <w:tcW w:w="780" w:type="dxa"/>
            <w:vAlign w:val="bottom"/>
            <w:tcBorders>
              <w:top w:val="single" w:sz="8" w:color="86B6A5"/>
            </w:tcBorders>
          </w:tcPr>
          <w:p>
            <w:pPr>
              <w:jc w:val="right"/>
              <w:spacing w:after="0" w:line="201" w:lineRule="exact"/>
              <w:rPr>
                <w:sz w:val="20"/>
                <w:szCs w:val="20"/>
                <w:color w:val="auto"/>
              </w:rPr>
            </w:pPr>
            <w:r>
              <w:rPr>
                <w:rFonts w:ascii="Arial" w:cs="Arial" w:eastAsia="Arial" w:hAnsi="Arial"/>
                <w:sz w:val="18"/>
                <w:szCs w:val="18"/>
                <w:color w:val="auto"/>
              </w:rPr>
              <w:t>4.0</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40" w:type="dxa"/>
            <w:vAlign w:val="bottom"/>
            <w:gridSpan w:val="2"/>
          </w:tcPr>
          <w:p>
            <w:pPr>
              <w:spacing w:after="0" w:line="202" w:lineRule="exact"/>
              <w:rPr>
                <w:sz w:val="20"/>
                <w:szCs w:val="20"/>
                <w:color w:val="auto"/>
              </w:rPr>
            </w:pPr>
            <w:r>
              <w:rPr>
                <w:rFonts w:ascii="Arial" w:cs="Arial" w:eastAsia="Arial" w:hAnsi="Arial"/>
                <w:sz w:val="18"/>
                <w:szCs w:val="18"/>
                <w:color w:val="auto"/>
              </w:rPr>
              <w:t>Unrealized gain on investments</w:t>
            </w:r>
          </w:p>
        </w:tc>
        <w:tc>
          <w:tcPr>
            <w:tcW w:w="120" w:type="dxa"/>
            <w:vAlign w:val="bottom"/>
            <w:shd w:val="clear" w:color="auto" w:fill="E3F1DA"/>
          </w:tcPr>
          <w:p>
            <w:pPr>
              <w:spacing w:after="0"/>
              <w:rPr>
                <w:sz w:val="17"/>
                <w:szCs w:val="17"/>
                <w:color w:val="auto"/>
              </w:rPr>
            </w:pPr>
          </w:p>
        </w:tc>
        <w:tc>
          <w:tcPr>
            <w:tcW w:w="1340" w:type="dxa"/>
            <w:vAlign w:val="bottom"/>
            <w:shd w:val="clear" w:color="auto" w:fill="E3F1DA"/>
          </w:tcPr>
          <w:p>
            <w:pPr>
              <w:jc w:val="right"/>
              <w:ind w:right="131"/>
              <w:spacing w:after="0" w:line="202" w:lineRule="exact"/>
              <w:rPr>
                <w:sz w:val="20"/>
                <w:szCs w:val="20"/>
                <w:color w:val="auto"/>
              </w:rPr>
            </w:pPr>
            <w:r>
              <w:rPr>
                <w:rFonts w:ascii="Arial" w:cs="Arial" w:eastAsia="Arial" w:hAnsi="Arial"/>
                <w:sz w:val="18"/>
                <w:szCs w:val="18"/>
                <w:color w:val="86B6A5"/>
              </w:rPr>
              <w:t>8.0</w:t>
            </w:r>
          </w:p>
        </w:tc>
        <w:tc>
          <w:tcPr>
            <w:tcW w:w="440" w:type="dxa"/>
            <w:vAlign w:val="bottom"/>
          </w:tcPr>
          <w:p>
            <w:pPr>
              <w:spacing w:after="0"/>
              <w:rPr>
                <w:sz w:val="17"/>
                <w:szCs w:val="17"/>
                <w:color w:val="auto"/>
              </w:rPr>
            </w:pPr>
          </w:p>
        </w:tc>
        <w:tc>
          <w:tcPr>
            <w:tcW w:w="940" w:type="dxa"/>
            <w:vAlign w:val="bottom"/>
          </w:tcPr>
          <w:p>
            <w:pPr>
              <w:jc w:val="right"/>
              <w:ind w:right="51"/>
              <w:spacing w:after="0" w:line="202" w:lineRule="exact"/>
              <w:rPr>
                <w:sz w:val="20"/>
                <w:szCs w:val="20"/>
                <w:color w:val="auto"/>
              </w:rPr>
            </w:pPr>
            <w:r>
              <w:rPr>
                <w:rFonts w:ascii="Arial" w:cs="Arial" w:eastAsia="Arial" w:hAnsi="Arial"/>
                <w:sz w:val="18"/>
                <w:szCs w:val="18"/>
                <w:color w:val="auto"/>
              </w:rPr>
              <w:t>6.6</w:t>
            </w:r>
          </w:p>
        </w:tc>
        <w:tc>
          <w:tcPr>
            <w:tcW w:w="540" w:type="dxa"/>
            <w:vAlign w:val="bottom"/>
          </w:tcPr>
          <w:p>
            <w:pPr>
              <w:spacing w:after="0"/>
              <w:rPr>
                <w:sz w:val="17"/>
                <w:szCs w:val="17"/>
                <w:color w:val="auto"/>
              </w:rPr>
            </w:pPr>
          </w:p>
        </w:tc>
        <w:tc>
          <w:tcPr>
            <w:tcW w:w="8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040" w:type="dxa"/>
            <w:vAlign w:val="bottom"/>
            <w:gridSpan w:val="2"/>
          </w:tcPr>
          <w:p>
            <w:pPr>
              <w:spacing w:after="0" w:line="201" w:lineRule="exact"/>
              <w:rPr>
                <w:sz w:val="20"/>
                <w:szCs w:val="20"/>
                <w:color w:val="auto"/>
              </w:rPr>
            </w:pPr>
            <w:r>
              <w:rPr>
                <w:rFonts w:ascii="Arial" w:cs="Arial" w:eastAsia="Arial" w:hAnsi="Arial"/>
                <w:sz w:val="18"/>
                <w:szCs w:val="18"/>
                <w:color w:val="auto"/>
              </w:rPr>
              <w:t>Unrealized loss on derivatives (Note 12)</w:t>
            </w:r>
          </w:p>
        </w:tc>
        <w:tc>
          <w:tcPr>
            <w:tcW w:w="120" w:type="dxa"/>
            <w:vAlign w:val="bottom"/>
            <w:shd w:val="clear" w:color="auto" w:fill="E3F1DA"/>
          </w:tcPr>
          <w:p>
            <w:pPr>
              <w:spacing w:after="0"/>
              <w:rPr>
                <w:sz w:val="17"/>
                <w:szCs w:val="17"/>
                <w:color w:val="auto"/>
              </w:rPr>
            </w:pPr>
          </w:p>
        </w:tc>
        <w:tc>
          <w:tcPr>
            <w:tcW w:w="1340" w:type="dxa"/>
            <w:vAlign w:val="bottom"/>
          </w:tcPr>
          <w:p>
            <w:pPr>
              <w:jc w:val="right"/>
              <w:ind w:right="131"/>
              <w:spacing w:after="0" w:line="201" w:lineRule="exact"/>
              <w:rPr>
                <w:sz w:val="20"/>
                <w:szCs w:val="20"/>
                <w:color w:val="auto"/>
              </w:rPr>
            </w:pPr>
            <w:r>
              <w:rPr>
                <w:rFonts w:ascii="Arial" w:cs="Arial" w:eastAsia="Arial" w:hAnsi="Arial"/>
                <w:sz w:val="18"/>
                <w:szCs w:val="18"/>
                <w:color w:val="86B6A5"/>
              </w:rPr>
              <w:t>–</w:t>
            </w:r>
          </w:p>
        </w:tc>
        <w:tc>
          <w:tcPr>
            <w:tcW w:w="440" w:type="dxa"/>
            <w:vAlign w:val="bottom"/>
          </w:tcPr>
          <w:p>
            <w:pPr>
              <w:spacing w:after="0"/>
              <w:rPr>
                <w:sz w:val="17"/>
                <w:szCs w:val="17"/>
                <w:color w:val="auto"/>
              </w:rPr>
            </w:pPr>
          </w:p>
        </w:tc>
        <w:tc>
          <w:tcPr>
            <w:tcW w:w="940" w:type="dxa"/>
            <w:vAlign w:val="bottom"/>
          </w:tcPr>
          <w:p>
            <w:pPr>
              <w:jc w:val="right"/>
              <w:ind w:right="51"/>
              <w:spacing w:after="0" w:line="201" w:lineRule="exact"/>
              <w:rPr>
                <w:sz w:val="20"/>
                <w:szCs w:val="20"/>
                <w:color w:val="auto"/>
              </w:rPr>
            </w:pPr>
            <w:r>
              <w:rPr>
                <w:rFonts w:ascii="Arial" w:cs="Arial" w:eastAsia="Arial" w:hAnsi="Arial"/>
                <w:sz w:val="18"/>
                <w:szCs w:val="18"/>
                <w:color w:val="auto"/>
              </w:rPr>
              <w:t>–</w:t>
            </w:r>
          </w:p>
        </w:tc>
        <w:tc>
          <w:tcPr>
            <w:tcW w:w="540" w:type="dxa"/>
            <w:vAlign w:val="bottom"/>
          </w:tcPr>
          <w:p>
            <w:pPr>
              <w:spacing w:after="0"/>
              <w:rPr>
                <w:sz w:val="17"/>
                <w:szCs w:val="17"/>
                <w:color w:val="auto"/>
              </w:rPr>
            </w:pPr>
          </w:p>
        </w:tc>
        <w:tc>
          <w:tcPr>
            <w:tcW w:w="840" w:type="dxa"/>
            <w:vAlign w:val="bottom"/>
            <w:gridSpan w:val="3"/>
          </w:tcPr>
          <w:p>
            <w:pPr>
              <w:jc w:val="right"/>
              <w:spacing w:after="0" w:line="201" w:lineRule="exact"/>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03"/>
        </w:trPr>
        <w:tc>
          <w:tcPr>
            <w:tcW w:w="7040" w:type="dxa"/>
            <w:vAlign w:val="bottom"/>
            <w:gridSpan w:val="2"/>
          </w:tcPr>
          <w:p>
            <w:pPr>
              <w:spacing w:after="0" w:line="202" w:lineRule="exact"/>
              <w:rPr>
                <w:sz w:val="20"/>
                <w:szCs w:val="20"/>
                <w:color w:val="auto"/>
              </w:rPr>
            </w:pPr>
            <w:r>
              <w:rPr>
                <w:rFonts w:ascii="Arial" w:cs="Arial" w:eastAsia="Arial" w:hAnsi="Arial"/>
                <w:sz w:val="18"/>
                <w:szCs w:val="18"/>
                <w:color w:val="auto"/>
              </w:rPr>
              <w:t>Defined benefit pension plans (Note 8)</w:t>
            </w:r>
          </w:p>
        </w:tc>
        <w:tc>
          <w:tcPr>
            <w:tcW w:w="120" w:type="dxa"/>
            <w:vAlign w:val="bottom"/>
            <w:shd w:val="clear" w:color="auto" w:fill="E3F1DA"/>
          </w:tcPr>
          <w:p>
            <w:pPr>
              <w:spacing w:after="0"/>
              <w:rPr>
                <w:sz w:val="17"/>
                <w:szCs w:val="17"/>
                <w:color w:val="auto"/>
              </w:rPr>
            </w:pPr>
          </w:p>
        </w:tc>
        <w:tc>
          <w:tcPr>
            <w:tcW w:w="1340" w:type="dxa"/>
            <w:vAlign w:val="bottom"/>
          </w:tcPr>
          <w:p>
            <w:pPr>
              <w:jc w:val="right"/>
              <w:ind w:right="71"/>
              <w:spacing w:after="0" w:line="202" w:lineRule="exact"/>
              <w:rPr>
                <w:sz w:val="20"/>
                <w:szCs w:val="20"/>
                <w:color w:val="auto"/>
              </w:rPr>
            </w:pPr>
            <w:r>
              <w:rPr>
                <w:rFonts w:ascii="Arial" w:cs="Arial" w:eastAsia="Arial" w:hAnsi="Arial"/>
                <w:sz w:val="18"/>
                <w:szCs w:val="18"/>
                <w:color w:val="86B6A5"/>
              </w:rPr>
              <w:t>(19.1)</w:t>
            </w:r>
          </w:p>
        </w:tc>
        <w:tc>
          <w:tcPr>
            <w:tcW w:w="44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(13.2)</w:t>
            </w:r>
          </w:p>
        </w:tc>
        <w:tc>
          <w:tcPr>
            <w:tcW w:w="540" w:type="dxa"/>
            <w:vAlign w:val="bottom"/>
          </w:tcPr>
          <w:p>
            <w:pPr>
              <w:spacing w:after="0"/>
              <w:rPr>
                <w:sz w:val="17"/>
                <w:szCs w:val="17"/>
                <w:color w:val="auto"/>
              </w:rPr>
            </w:pPr>
          </w:p>
        </w:tc>
        <w:tc>
          <w:tcPr>
            <w:tcW w:w="84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03"/>
        </w:trPr>
        <w:tc>
          <w:tcPr>
            <w:tcW w:w="7040" w:type="dxa"/>
            <w:vAlign w:val="bottom"/>
            <w:tcBorders>
              <w:bottom w:val="single" w:sz="8" w:color="939598"/>
            </w:tcBorders>
            <w:gridSpan w:val="2"/>
          </w:tcPr>
          <w:p>
            <w:pPr>
              <w:spacing w:after="0" w:line="203" w:lineRule="exact"/>
              <w:rPr>
                <w:sz w:val="20"/>
                <w:szCs w:val="20"/>
                <w:color w:val="auto"/>
              </w:rPr>
            </w:pPr>
            <w:r>
              <w:rPr>
                <w:rFonts w:ascii="Arial" w:cs="Arial" w:eastAsia="Arial" w:hAnsi="Arial"/>
                <w:sz w:val="18"/>
                <w:szCs w:val="18"/>
                <w:color w:val="auto"/>
              </w:rPr>
              <w:t>Retiree health care plan (Note 8)</w:t>
            </w:r>
          </w:p>
        </w:tc>
        <w:tc>
          <w:tcPr>
            <w:tcW w:w="120" w:type="dxa"/>
            <w:vAlign w:val="bottom"/>
            <w:tcBorders>
              <w:bottom w:val="single" w:sz="8" w:color="939598"/>
            </w:tcBorders>
            <w:shd w:val="clear" w:color="auto" w:fill="E3F1DA"/>
          </w:tcPr>
          <w:p>
            <w:pPr>
              <w:spacing w:after="0"/>
              <w:rPr>
                <w:sz w:val="17"/>
                <w:szCs w:val="17"/>
                <w:color w:val="auto"/>
              </w:rPr>
            </w:pPr>
          </w:p>
        </w:tc>
        <w:tc>
          <w:tcPr>
            <w:tcW w:w="1340" w:type="dxa"/>
            <w:vAlign w:val="bottom"/>
            <w:tcBorders>
              <w:bottom w:val="single" w:sz="8" w:color="939598"/>
            </w:tcBorders>
          </w:tcPr>
          <w:p>
            <w:pPr>
              <w:jc w:val="right"/>
              <w:ind w:right="131"/>
              <w:spacing w:after="0" w:line="203" w:lineRule="exact"/>
              <w:rPr>
                <w:sz w:val="20"/>
                <w:szCs w:val="20"/>
                <w:color w:val="auto"/>
              </w:rPr>
            </w:pPr>
            <w:r>
              <w:rPr>
                <w:rFonts w:ascii="Arial" w:cs="Arial" w:eastAsia="Arial" w:hAnsi="Arial"/>
                <w:sz w:val="18"/>
                <w:szCs w:val="18"/>
                <w:color w:val="86B6A5"/>
              </w:rPr>
              <w:t>1.5</w:t>
            </w:r>
          </w:p>
        </w:tc>
        <w:tc>
          <w:tcPr>
            <w:tcW w:w="440" w:type="dxa"/>
            <w:vAlign w:val="bottom"/>
            <w:tcBorders>
              <w:bottom w:val="single" w:sz="8" w:color="939598"/>
            </w:tcBorders>
          </w:tcPr>
          <w:p>
            <w:pPr>
              <w:spacing w:after="0"/>
              <w:rPr>
                <w:sz w:val="17"/>
                <w:szCs w:val="17"/>
                <w:color w:val="auto"/>
              </w:rPr>
            </w:pPr>
          </w:p>
        </w:tc>
        <w:tc>
          <w:tcPr>
            <w:tcW w:w="940" w:type="dxa"/>
            <w:vAlign w:val="bottom"/>
            <w:tcBorders>
              <w:bottom w:val="single" w:sz="8" w:color="939598"/>
            </w:tcBorders>
          </w:tcPr>
          <w:p>
            <w:pPr>
              <w:jc w:val="right"/>
              <w:ind w:right="51"/>
              <w:spacing w:after="0" w:line="203" w:lineRule="exact"/>
              <w:rPr>
                <w:sz w:val="20"/>
                <w:szCs w:val="20"/>
                <w:color w:val="auto"/>
              </w:rPr>
            </w:pPr>
            <w:r>
              <w:rPr>
                <w:rFonts w:ascii="Arial" w:cs="Arial" w:eastAsia="Arial" w:hAnsi="Arial"/>
                <w:sz w:val="18"/>
                <w:szCs w:val="18"/>
                <w:color w:val="auto"/>
              </w:rPr>
              <w:t>2.5</w:t>
            </w:r>
          </w:p>
        </w:tc>
        <w:tc>
          <w:tcPr>
            <w:tcW w:w="540" w:type="dxa"/>
            <w:vAlign w:val="bottom"/>
            <w:tcBorders>
              <w:bottom w:val="single" w:sz="8" w:color="939598"/>
            </w:tcBorders>
          </w:tcPr>
          <w:p>
            <w:pPr>
              <w:spacing w:after="0"/>
              <w:rPr>
                <w:sz w:val="17"/>
                <w:szCs w:val="17"/>
                <w:color w:val="auto"/>
              </w:rPr>
            </w:pPr>
          </w:p>
        </w:tc>
        <w:tc>
          <w:tcPr>
            <w:tcW w:w="800" w:type="dxa"/>
            <w:vAlign w:val="bottom"/>
            <w:tcBorders>
              <w:bottom w:val="single" w:sz="8" w:color="939598"/>
            </w:tcBorders>
            <w:gridSpan w:val="2"/>
          </w:tcPr>
          <w:p>
            <w:pPr>
              <w:jc w:val="right"/>
              <w:ind w:right="20"/>
              <w:spacing w:after="0" w:line="203" w:lineRule="exact"/>
              <w:rPr>
                <w:sz w:val="20"/>
                <w:szCs w:val="20"/>
                <w:color w:val="auto"/>
              </w:rPr>
            </w:pPr>
            <w:r>
              <w:rPr>
                <w:rFonts w:ascii="Arial" w:cs="Arial" w:eastAsia="Arial" w:hAnsi="Arial"/>
                <w:sz w:val="18"/>
                <w:szCs w:val="18"/>
                <w:color w:val="auto"/>
              </w:rPr>
              <w:t>4.6</w:t>
            </w:r>
          </w:p>
        </w:tc>
        <w:tc>
          <w:tcPr>
            <w:tcW w:w="40" w:type="dxa"/>
            <w:vAlign w:val="bottom"/>
            <w:vMerge w:val="restart"/>
          </w:tcPr>
          <w:p>
            <w:pPr>
              <w:jc w:val="right"/>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196"/>
        </w:trPr>
        <w:tc>
          <w:tcPr>
            <w:tcW w:w="7040" w:type="dxa"/>
            <w:vAlign w:val="bottom"/>
            <w:gridSpan w:val="2"/>
          </w:tcPr>
          <w:p>
            <w:pPr>
              <w:spacing w:after="0" w:line="196" w:lineRule="exact"/>
              <w:rPr>
                <w:sz w:val="20"/>
                <w:szCs w:val="20"/>
                <w:color w:val="auto"/>
              </w:rPr>
            </w:pPr>
            <w:r>
              <w:rPr>
                <w:rFonts w:ascii="Arial" w:cs="Arial" w:eastAsia="Arial" w:hAnsi="Arial"/>
                <w:sz w:val="18"/>
                <w:szCs w:val="18"/>
                <w:color w:val="auto"/>
              </w:rPr>
              <w:t>Accumulated other comprehensive income (loss)</w:t>
            </w:r>
          </w:p>
        </w:tc>
        <w:tc>
          <w:tcPr>
            <w:tcW w:w="120" w:type="dxa"/>
            <w:vAlign w:val="bottom"/>
            <w:shd w:val="clear" w:color="auto" w:fill="E3F1DA"/>
          </w:tcPr>
          <w:p>
            <w:pPr>
              <w:jc w:val="right"/>
              <w:spacing w:after="0" w:line="196" w:lineRule="exact"/>
              <w:rPr>
                <w:sz w:val="20"/>
                <w:szCs w:val="20"/>
                <w:color w:val="auto"/>
              </w:rPr>
            </w:pPr>
            <w:r>
              <w:rPr>
                <w:rFonts w:ascii="Arial" w:cs="Arial" w:eastAsia="Arial" w:hAnsi="Arial"/>
                <w:sz w:val="18"/>
                <w:szCs w:val="18"/>
                <w:color w:val="86B6A5"/>
                <w:w w:val="79"/>
              </w:rPr>
              <w:t>$</w:t>
            </w:r>
          </w:p>
        </w:tc>
        <w:tc>
          <w:tcPr>
            <w:tcW w:w="1340" w:type="dxa"/>
            <w:vAlign w:val="bottom"/>
          </w:tcPr>
          <w:p>
            <w:pPr>
              <w:jc w:val="right"/>
              <w:ind w:right="131"/>
              <w:spacing w:after="0" w:line="196" w:lineRule="exact"/>
              <w:rPr>
                <w:sz w:val="20"/>
                <w:szCs w:val="20"/>
                <w:color w:val="auto"/>
              </w:rPr>
            </w:pPr>
            <w:r>
              <w:rPr>
                <w:rFonts w:ascii="Arial" w:cs="Arial" w:eastAsia="Arial" w:hAnsi="Arial"/>
                <w:sz w:val="18"/>
                <w:szCs w:val="18"/>
                <w:color w:val="86B6A5"/>
              </w:rPr>
              <w:t>87.0</w:t>
            </w:r>
          </w:p>
        </w:tc>
        <w:tc>
          <w:tcPr>
            <w:tcW w:w="440" w:type="dxa"/>
            <w:vAlign w:val="bottom"/>
          </w:tcPr>
          <w:p>
            <w:pPr>
              <w:jc w:val="right"/>
              <w:ind w:right="25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Pr>
          <w:p>
            <w:pPr>
              <w:jc w:val="right"/>
              <w:ind w:right="51"/>
              <w:spacing w:after="0" w:line="196" w:lineRule="exact"/>
              <w:rPr>
                <w:sz w:val="20"/>
                <w:szCs w:val="20"/>
                <w:color w:val="auto"/>
              </w:rPr>
            </w:pPr>
            <w:r>
              <w:rPr>
                <w:rFonts w:ascii="Arial" w:cs="Arial" w:eastAsia="Arial" w:hAnsi="Arial"/>
                <w:sz w:val="18"/>
                <w:szCs w:val="18"/>
                <w:color w:val="auto"/>
              </w:rPr>
              <w:t>106.9</w:t>
            </w:r>
          </w:p>
        </w:tc>
        <w:tc>
          <w:tcPr>
            <w:tcW w:w="540" w:type="dxa"/>
            <w:vAlign w:val="bottom"/>
          </w:tcPr>
          <w:p>
            <w:pPr>
              <w:jc w:val="right"/>
              <w:ind w:right="270"/>
              <w:spacing w:after="0" w:line="196" w:lineRule="exact"/>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(8.9</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020" w:type="dxa"/>
            <w:vAlign w:val="bottom"/>
            <w:shd w:val="clear" w:color="auto" w:fill="939598"/>
          </w:tcPr>
          <w:p>
            <w:pPr>
              <w:spacing w:after="0"/>
              <w:rPr>
                <w:sz w:val="2"/>
                <w:szCs w:val="2"/>
                <w:color w:val="auto"/>
              </w:rPr>
            </w:pPr>
          </w:p>
        </w:tc>
        <w:tc>
          <w:tcPr>
            <w:tcW w:w="120" w:type="dxa"/>
            <w:vAlign w:val="bottom"/>
            <w:shd w:val="clear" w:color="auto" w:fill="939598"/>
          </w:tcPr>
          <w:p>
            <w:pPr>
              <w:spacing w:after="0"/>
              <w:rPr>
                <w:sz w:val="2"/>
                <w:szCs w:val="2"/>
                <w:color w:val="auto"/>
              </w:rPr>
            </w:pPr>
          </w:p>
        </w:tc>
        <w:tc>
          <w:tcPr>
            <w:tcW w:w="1340" w:type="dxa"/>
            <w:vAlign w:val="bottom"/>
            <w:shd w:val="clear" w:color="auto" w:fill="939598"/>
          </w:tcPr>
          <w:p>
            <w:pPr>
              <w:spacing w:after="0"/>
              <w:rPr>
                <w:sz w:val="2"/>
                <w:szCs w:val="2"/>
                <w:color w:val="auto"/>
              </w:rPr>
            </w:pPr>
          </w:p>
        </w:tc>
        <w:tc>
          <w:tcPr>
            <w:tcW w:w="440" w:type="dxa"/>
            <w:vAlign w:val="bottom"/>
            <w:shd w:val="clear" w:color="auto" w:fill="939598"/>
          </w:tcPr>
          <w:p>
            <w:pPr>
              <w:spacing w:after="0"/>
              <w:rPr>
                <w:sz w:val="2"/>
                <w:szCs w:val="2"/>
                <w:color w:val="auto"/>
              </w:rPr>
            </w:pPr>
          </w:p>
        </w:tc>
        <w:tc>
          <w:tcPr>
            <w:tcW w:w="940" w:type="dxa"/>
            <w:vAlign w:val="bottom"/>
            <w:shd w:val="clear" w:color="auto" w:fill="939598"/>
          </w:tcPr>
          <w:p>
            <w:pPr>
              <w:spacing w:after="0"/>
              <w:rPr>
                <w:sz w:val="2"/>
                <w:szCs w:val="2"/>
                <w:color w:val="auto"/>
              </w:rPr>
            </w:pPr>
          </w:p>
        </w:tc>
        <w:tc>
          <w:tcPr>
            <w:tcW w:w="540" w:type="dxa"/>
            <w:vAlign w:val="bottom"/>
            <w:shd w:val="clear" w:color="auto" w:fill="939598"/>
          </w:tcPr>
          <w:p>
            <w:pPr>
              <w:spacing w:after="0"/>
              <w:rPr>
                <w:sz w:val="2"/>
                <w:szCs w:val="2"/>
                <w:color w:val="auto"/>
              </w:rPr>
            </w:pPr>
          </w:p>
        </w:tc>
        <w:tc>
          <w:tcPr>
            <w:tcW w:w="780" w:type="dxa"/>
            <w:vAlign w:val="bottom"/>
            <w:shd w:val="clear" w:color="auto" w:fill="939598"/>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4541520</wp:posOffset>
            </wp:positionH>
            <wp:positionV relativeFrom="paragraph">
              <wp:posOffset>-668020</wp:posOffset>
            </wp:positionV>
            <wp:extent cx="857885" cy="6604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857885" cy="660400"/>
                    </a:xfrm>
                    <a:prstGeom prst="rect">
                      <a:avLst/>
                    </a:prstGeom>
                    <a:noFill/>
                  </pic:spPr>
                </pic:pic>
              </a:graphicData>
            </a:graphic>
          </wp:anchor>
        </w:drawing>
      </w:r>
    </w:p>
    <w:p>
      <w:pPr>
        <w:spacing w:after="0" w:line="192" w:lineRule="exact"/>
        <w:rPr>
          <w:sz w:val="20"/>
          <w:szCs w:val="20"/>
          <w:color w:val="auto"/>
        </w:rPr>
      </w:pPr>
    </w:p>
    <w:p>
      <w:pPr>
        <w:spacing w:after="0"/>
        <w:rPr>
          <w:sz w:val="20"/>
          <w:szCs w:val="20"/>
          <w:color w:val="auto"/>
        </w:rPr>
      </w:pPr>
      <w:r>
        <w:rPr>
          <w:rFonts w:ascii="Arial" w:cs="Arial" w:eastAsia="Arial" w:hAnsi="Arial"/>
          <w:sz w:val="24"/>
          <w:szCs w:val="24"/>
          <w:color w:val="86B6A5"/>
        </w:rPr>
        <w:t>10.</w:t>
      </w:r>
    </w:p>
    <w:p>
      <w:pPr>
        <w:spacing w:after="0" w:line="8" w:lineRule="exact"/>
        <w:rPr>
          <w:sz w:val="20"/>
          <w:szCs w:val="20"/>
          <w:color w:val="auto"/>
        </w:rPr>
      </w:pPr>
    </w:p>
    <w:p>
      <w:pPr>
        <w:spacing w:after="0"/>
        <w:rPr>
          <w:sz w:val="20"/>
          <w:szCs w:val="20"/>
          <w:color w:val="auto"/>
        </w:rPr>
      </w:pPr>
      <w:r>
        <w:rPr>
          <w:rFonts w:ascii="Arial" w:cs="Arial" w:eastAsia="Arial" w:hAnsi="Arial"/>
          <w:sz w:val="24"/>
          <w:szCs w:val="24"/>
          <w:color w:val="86B6A5"/>
        </w:rPr>
        <w:t>Leases</w:t>
      </w:r>
    </w:p>
    <w:p>
      <w:pPr>
        <w:spacing w:after="0" w:line="227"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lease property and equipment primarily under operating leases. Renewal options exist for substantially all leases. Future minimum payments, by year and in the aggregate, under noncancelable operating leases with any remaining terms consist of the following as of December 31, 2010:</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b w:val="1"/>
          <w:bCs w:val="1"/>
          <w:color w:val="86B6A5"/>
        </w:rPr>
        <w:t>Year</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100" w:type="dxa"/>
            <w:vAlign w:val="bottom"/>
            <w:tcBorders>
              <w:top w:val="single" w:sz="8" w:color="86B6A5"/>
            </w:tcBorders>
          </w:tcPr>
          <w:p>
            <w:pPr>
              <w:spacing w:after="0"/>
              <w:rPr>
                <w:sz w:val="20"/>
                <w:szCs w:val="20"/>
                <w:color w:val="auto"/>
              </w:rPr>
            </w:pPr>
            <w:r>
              <w:rPr>
                <w:rFonts w:ascii="Arial" w:cs="Arial" w:eastAsia="Arial" w:hAnsi="Arial"/>
                <w:sz w:val="18"/>
                <w:szCs w:val="18"/>
                <w:color w:val="auto"/>
              </w:rPr>
              <w:t>2011</w:t>
            </w:r>
          </w:p>
        </w:tc>
        <w:tc>
          <w:tcPr>
            <w:tcW w:w="4200" w:type="dxa"/>
            <w:vAlign w:val="bottom"/>
            <w:tcBorders>
              <w:top w:val="single" w:sz="8" w:color="86B6A5"/>
            </w:tcBorders>
          </w:tcPr>
          <w:p>
            <w:pPr>
              <w:jc w:val="right"/>
              <w:ind w:right="37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86B6A5"/>
            </w:tcBorders>
          </w:tcPr>
          <w:p>
            <w:pPr>
              <w:jc w:val="right"/>
              <w:spacing w:after="0"/>
              <w:rPr>
                <w:sz w:val="20"/>
                <w:szCs w:val="20"/>
                <w:color w:val="auto"/>
              </w:rPr>
            </w:pPr>
            <w:r>
              <w:rPr>
                <w:rFonts w:ascii="Arial" w:cs="Arial" w:eastAsia="Arial" w:hAnsi="Arial"/>
                <w:sz w:val="18"/>
                <w:szCs w:val="18"/>
                <w:color w:val="auto"/>
              </w:rPr>
              <w:t>208.0</w:t>
            </w:r>
          </w:p>
        </w:tc>
      </w:tr>
      <w:tr>
        <w:trPr>
          <w:trHeight w:val="203"/>
        </w:trPr>
        <w:tc>
          <w:tcPr>
            <w:tcW w:w="6100" w:type="dxa"/>
            <w:vAlign w:val="bottom"/>
          </w:tcPr>
          <w:p>
            <w:pPr>
              <w:spacing w:after="0" w:line="202" w:lineRule="exact"/>
              <w:rPr>
                <w:sz w:val="20"/>
                <w:szCs w:val="20"/>
                <w:color w:val="auto"/>
              </w:rPr>
            </w:pPr>
            <w:r>
              <w:rPr>
                <w:rFonts w:ascii="Arial" w:cs="Arial" w:eastAsia="Arial" w:hAnsi="Arial"/>
                <w:sz w:val="18"/>
                <w:szCs w:val="18"/>
                <w:color w:val="auto"/>
              </w:rPr>
              <w:t>2012</w:t>
            </w:r>
          </w:p>
        </w:tc>
        <w:tc>
          <w:tcPr>
            <w:tcW w:w="420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155.0</w:t>
            </w:r>
          </w:p>
        </w:tc>
      </w:tr>
      <w:tr>
        <w:trPr>
          <w:trHeight w:val="203"/>
        </w:trPr>
        <w:tc>
          <w:tcPr>
            <w:tcW w:w="6100" w:type="dxa"/>
            <w:vAlign w:val="bottom"/>
          </w:tcPr>
          <w:p>
            <w:pPr>
              <w:spacing w:after="0" w:line="202" w:lineRule="exact"/>
              <w:rPr>
                <w:sz w:val="20"/>
                <w:szCs w:val="20"/>
                <w:color w:val="auto"/>
              </w:rPr>
            </w:pPr>
            <w:r>
              <w:rPr>
                <w:rFonts w:ascii="Arial" w:cs="Arial" w:eastAsia="Arial" w:hAnsi="Arial"/>
                <w:sz w:val="18"/>
                <w:szCs w:val="18"/>
                <w:color w:val="auto"/>
              </w:rPr>
              <w:t>2013</w:t>
            </w:r>
          </w:p>
        </w:tc>
        <w:tc>
          <w:tcPr>
            <w:tcW w:w="420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111.4</w:t>
            </w:r>
          </w:p>
        </w:tc>
      </w:tr>
      <w:tr>
        <w:trPr>
          <w:trHeight w:val="203"/>
        </w:trPr>
        <w:tc>
          <w:tcPr>
            <w:tcW w:w="6100" w:type="dxa"/>
            <w:vAlign w:val="bottom"/>
          </w:tcPr>
          <w:p>
            <w:pPr>
              <w:spacing w:after="0" w:line="202" w:lineRule="exact"/>
              <w:rPr>
                <w:sz w:val="20"/>
                <w:szCs w:val="20"/>
                <w:color w:val="auto"/>
              </w:rPr>
            </w:pPr>
            <w:r>
              <w:rPr>
                <w:rFonts w:ascii="Arial" w:cs="Arial" w:eastAsia="Arial" w:hAnsi="Arial"/>
                <w:sz w:val="18"/>
                <w:szCs w:val="18"/>
                <w:color w:val="auto"/>
              </w:rPr>
              <w:t>2014</w:t>
            </w:r>
          </w:p>
        </w:tc>
        <w:tc>
          <w:tcPr>
            <w:tcW w:w="420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79.9</w:t>
            </w:r>
          </w:p>
        </w:tc>
      </w:tr>
      <w:tr>
        <w:trPr>
          <w:trHeight w:val="203"/>
        </w:trPr>
        <w:tc>
          <w:tcPr>
            <w:tcW w:w="6100" w:type="dxa"/>
            <w:vAlign w:val="bottom"/>
          </w:tcPr>
          <w:p>
            <w:pPr>
              <w:spacing w:after="0" w:line="202" w:lineRule="exact"/>
              <w:rPr>
                <w:sz w:val="20"/>
                <w:szCs w:val="20"/>
                <w:color w:val="auto"/>
              </w:rPr>
            </w:pPr>
            <w:r>
              <w:rPr>
                <w:rFonts w:ascii="Arial" w:cs="Arial" w:eastAsia="Arial" w:hAnsi="Arial"/>
                <w:sz w:val="18"/>
                <w:szCs w:val="18"/>
                <w:color w:val="auto"/>
              </w:rPr>
              <w:t>2015</w:t>
            </w:r>
          </w:p>
        </w:tc>
        <w:tc>
          <w:tcPr>
            <w:tcW w:w="420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61.3</w:t>
            </w:r>
          </w:p>
        </w:tc>
      </w:tr>
      <w:tr>
        <w:trPr>
          <w:trHeight w:val="203"/>
        </w:trPr>
        <w:tc>
          <w:tcPr>
            <w:tcW w:w="6100" w:type="dxa"/>
            <w:vAlign w:val="bottom"/>
            <w:tcBorders>
              <w:bottom w:val="single" w:sz="8" w:color="939598"/>
            </w:tcBorders>
          </w:tcPr>
          <w:p>
            <w:pPr>
              <w:spacing w:after="0" w:line="203" w:lineRule="exact"/>
              <w:rPr>
                <w:sz w:val="20"/>
                <w:szCs w:val="20"/>
                <w:color w:val="auto"/>
              </w:rPr>
            </w:pPr>
            <w:r>
              <w:rPr>
                <w:rFonts w:ascii="Arial" w:cs="Arial" w:eastAsia="Arial" w:hAnsi="Arial"/>
                <w:sz w:val="18"/>
                <w:szCs w:val="18"/>
                <w:color w:val="auto"/>
              </w:rPr>
              <w:t>Thereafter</w:t>
            </w:r>
          </w:p>
        </w:tc>
        <w:tc>
          <w:tcPr>
            <w:tcW w:w="4200" w:type="dxa"/>
            <w:vAlign w:val="bottom"/>
            <w:tcBorders>
              <w:bottom w:val="single" w:sz="8" w:color="939598"/>
            </w:tcBorders>
          </w:tcPr>
          <w:p>
            <w:pPr>
              <w:spacing w:after="0"/>
              <w:rPr>
                <w:sz w:val="17"/>
                <w:szCs w:val="17"/>
                <w:color w:val="auto"/>
              </w:rPr>
            </w:pPr>
          </w:p>
        </w:tc>
        <w:tc>
          <w:tcPr>
            <w:tcW w:w="900" w:type="dxa"/>
            <w:vAlign w:val="bottom"/>
            <w:tcBorders>
              <w:bottom w:val="single" w:sz="8" w:color="939598"/>
            </w:tcBorders>
          </w:tcPr>
          <w:p>
            <w:pPr>
              <w:jc w:val="right"/>
              <w:spacing w:after="0" w:line="203" w:lineRule="exact"/>
              <w:rPr>
                <w:sz w:val="20"/>
                <w:szCs w:val="20"/>
                <w:color w:val="auto"/>
              </w:rPr>
            </w:pPr>
            <w:r>
              <w:rPr>
                <w:rFonts w:ascii="Arial" w:cs="Arial" w:eastAsia="Arial" w:hAnsi="Arial"/>
                <w:sz w:val="18"/>
                <w:szCs w:val="18"/>
                <w:color w:val="auto"/>
              </w:rPr>
              <w:t>137.4</w:t>
            </w:r>
          </w:p>
        </w:tc>
      </w:tr>
      <w:tr>
        <w:trPr>
          <w:trHeight w:val="203"/>
        </w:trPr>
        <w:tc>
          <w:tcPr>
            <w:tcW w:w="6100" w:type="dxa"/>
            <w:vAlign w:val="bottom"/>
            <w:tcBorders>
              <w:bottom w:val="single" w:sz="8" w:color="939598"/>
            </w:tcBorders>
          </w:tcPr>
          <w:p>
            <w:pPr>
              <w:spacing w:after="0" w:line="196" w:lineRule="exact"/>
              <w:rPr>
                <w:sz w:val="20"/>
                <w:szCs w:val="20"/>
                <w:color w:val="auto"/>
              </w:rPr>
            </w:pPr>
            <w:r>
              <w:rPr>
                <w:rFonts w:ascii="Arial" w:cs="Arial" w:eastAsia="Arial" w:hAnsi="Arial"/>
                <w:sz w:val="18"/>
                <w:szCs w:val="18"/>
                <w:color w:val="auto"/>
              </w:rPr>
              <w:t>Total minimum lease payments</w:t>
            </w:r>
          </w:p>
        </w:tc>
        <w:tc>
          <w:tcPr>
            <w:tcW w:w="4200" w:type="dxa"/>
            <w:vAlign w:val="bottom"/>
            <w:tcBorders>
              <w:bottom w:val="single" w:sz="8" w:color="939598"/>
            </w:tcBorders>
          </w:tcPr>
          <w:p>
            <w:pPr>
              <w:jc w:val="right"/>
              <w:ind w:right="370"/>
              <w:spacing w:after="0" w:line="196" w:lineRule="exact"/>
              <w:rPr>
                <w:sz w:val="20"/>
                <w:szCs w:val="20"/>
                <w:color w:val="auto"/>
              </w:rPr>
            </w:pPr>
            <w:r>
              <w:rPr>
                <w:rFonts w:ascii="Arial" w:cs="Arial" w:eastAsia="Arial" w:hAnsi="Arial"/>
                <w:sz w:val="18"/>
                <w:szCs w:val="18"/>
                <w:color w:val="auto"/>
              </w:rPr>
              <w:t>$</w:t>
            </w:r>
          </w:p>
        </w:tc>
        <w:tc>
          <w:tcPr>
            <w:tcW w:w="900" w:type="dxa"/>
            <w:vAlign w:val="bottom"/>
            <w:tcBorders>
              <w:bottom w:val="single" w:sz="8" w:color="939598"/>
            </w:tcBorders>
          </w:tcPr>
          <w:p>
            <w:pPr>
              <w:jc w:val="right"/>
              <w:spacing w:after="0" w:line="196" w:lineRule="exact"/>
              <w:rPr>
                <w:sz w:val="20"/>
                <w:szCs w:val="20"/>
                <w:color w:val="auto"/>
              </w:rPr>
            </w:pPr>
            <w:r>
              <w:rPr>
                <w:rFonts w:ascii="Arial" w:cs="Arial" w:eastAsia="Arial" w:hAnsi="Arial"/>
                <w:sz w:val="18"/>
                <w:szCs w:val="18"/>
                <w:color w:val="auto"/>
              </w:rPr>
              <w:t>753.0</w:t>
            </w: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Rental expense for all operating leases was $248.8, $250.8 and $284.4 for the years ended December 31, 2010, 2009 and 2008, respectively.</w:t>
      </w:r>
    </w:p>
    <w:p>
      <w:pPr>
        <w:spacing w:after="0" w:line="209" w:lineRule="exact"/>
        <w:rPr>
          <w:sz w:val="20"/>
          <w:szCs w:val="20"/>
          <w:color w:val="auto"/>
        </w:rPr>
      </w:pPr>
    </w:p>
    <w:p>
      <w:pPr>
        <w:spacing w:after="0"/>
        <w:rPr>
          <w:sz w:val="20"/>
          <w:szCs w:val="20"/>
          <w:color w:val="auto"/>
        </w:rPr>
      </w:pPr>
      <w:r>
        <w:rPr>
          <w:rFonts w:ascii="Arial" w:cs="Arial" w:eastAsia="Arial" w:hAnsi="Arial"/>
          <w:sz w:val="24"/>
          <w:szCs w:val="24"/>
          <w:color w:val="86B6A5"/>
        </w:rPr>
        <w:t>11.</w:t>
      </w:r>
    </w:p>
    <w:p>
      <w:pPr>
        <w:spacing w:after="0" w:line="8" w:lineRule="exact"/>
        <w:rPr>
          <w:sz w:val="20"/>
          <w:szCs w:val="20"/>
          <w:color w:val="auto"/>
        </w:rPr>
      </w:pPr>
    </w:p>
    <w:p>
      <w:pPr>
        <w:spacing w:after="0"/>
        <w:rPr>
          <w:sz w:val="20"/>
          <w:szCs w:val="20"/>
          <w:color w:val="auto"/>
        </w:rPr>
      </w:pPr>
      <w:r>
        <w:rPr>
          <w:rFonts w:ascii="Arial" w:cs="Arial" w:eastAsia="Arial" w:hAnsi="Arial"/>
          <w:sz w:val="24"/>
          <w:szCs w:val="24"/>
          <w:color w:val="86B6A5"/>
        </w:rPr>
        <w:t>Interest and Other Expense</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Interest and Other Expense consists of the following:</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040" w:type="dxa"/>
            <w:vAlign w:val="bottom"/>
            <w:gridSpan w:val="2"/>
          </w:tcPr>
          <w:p>
            <w:pPr>
              <w:spacing w:after="0"/>
              <w:rPr>
                <w:sz w:val="20"/>
                <w:szCs w:val="20"/>
                <w:color w:val="auto"/>
              </w:rPr>
            </w:pPr>
            <w:r>
              <w:rPr>
                <w:rFonts w:ascii="Arial" w:cs="Arial" w:eastAsia="Arial" w:hAnsi="Arial"/>
                <w:sz w:val="16"/>
                <w:szCs w:val="16"/>
                <w:b w:val="1"/>
                <w:bCs w:val="1"/>
                <w:color w:val="86B6A5"/>
              </w:rPr>
              <w:t>Year Ended December 31</w:t>
            </w:r>
          </w:p>
        </w:tc>
        <w:tc>
          <w:tcPr>
            <w:tcW w:w="120" w:type="dxa"/>
            <w:vAlign w:val="bottom"/>
            <w:shd w:val="clear" w:color="auto" w:fill="86B6A5"/>
          </w:tcPr>
          <w:p>
            <w:pPr>
              <w:spacing w:after="0"/>
              <w:rPr>
                <w:sz w:val="18"/>
                <w:szCs w:val="18"/>
                <w:color w:val="auto"/>
              </w:rPr>
            </w:pPr>
          </w:p>
        </w:tc>
        <w:tc>
          <w:tcPr>
            <w:tcW w:w="1340" w:type="dxa"/>
            <w:vAlign w:val="bottom"/>
            <w:gridSpan w:val="2"/>
            <w:shd w:val="clear" w:color="auto" w:fill="86B6A5"/>
          </w:tcPr>
          <w:p>
            <w:pPr>
              <w:jc w:val="right"/>
              <w:ind w:right="220"/>
              <w:spacing w:after="0"/>
              <w:rPr>
                <w:sz w:val="20"/>
                <w:szCs w:val="20"/>
                <w:color w:val="auto"/>
              </w:rPr>
            </w:pPr>
            <w:r>
              <w:rPr>
                <w:rFonts w:ascii="Arial" w:cs="Arial" w:eastAsia="Arial" w:hAnsi="Arial"/>
                <w:sz w:val="16"/>
                <w:szCs w:val="16"/>
                <w:b w:val="1"/>
                <w:bCs w:val="1"/>
                <w:color w:val="FFFFFF"/>
              </w:rPr>
              <w:t>2010</w:t>
            </w:r>
          </w:p>
        </w:tc>
        <w:tc>
          <w:tcPr>
            <w:tcW w:w="460" w:type="dxa"/>
            <w:vAlign w:val="bottom"/>
          </w:tcPr>
          <w:p>
            <w:pPr>
              <w:spacing w:after="0"/>
              <w:rPr>
                <w:sz w:val="18"/>
                <w:szCs w:val="18"/>
                <w:color w:val="auto"/>
              </w:rPr>
            </w:pPr>
          </w:p>
        </w:tc>
        <w:tc>
          <w:tcPr>
            <w:tcW w:w="920" w:type="dxa"/>
            <w:vAlign w:val="bottom"/>
          </w:tcPr>
          <w:p>
            <w:pPr>
              <w:jc w:val="right"/>
              <w:ind w:right="51"/>
              <w:spacing w:after="0"/>
              <w:rPr>
                <w:sz w:val="20"/>
                <w:szCs w:val="20"/>
                <w:color w:val="auto"/>
              </w:rPr>
            </w:pPr>
            <w:r>
              <w:rPr>
                <w:rFonts w:ascii="Arial" w:cs="Arial" w:eastAsia="Arial" w:hAnsi="Arial"/>
                <w:sz w:val="16"/>
                <w:szCs w:val="16"/>
                <w:b w:val="1"/>
                <w:bCs w:val="1"/>
                <w:color w:val="86B6A5"/>
              </w:rPr>
              <w:t>2009</w:t>
            </w:r>
          </w:p>
        </w:tc>
        <w:tc>
          <w:tcPr>
            <w:tcW w:w="5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86B6A5"/>
              </w:rPr>
              <w:t>2008</w:t>
            </w:r>
          </w:p>
        </w:tc>
        <w:tc>
          <w:tcPr>
            <w:tcW w:w="6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7020" w:type="dxa"/>
            <w:vAlign w:val="bottom"/>
            <w:tcBorders>
              <w:top w:val="single" w:sz="8" w:color="86B6A5"/>
            </w:tcBorders>
          </w:tcPr>
          <w:p>
            <w:pPr>
              <w:spacing w:after="0" w:line="201" w:lineRule="exact"/>
              <w:rPr>
                <w:sz w:val="20"/>
                <w:szCs w:val="20"/>
                <w:color w:val="auto"/>
              </w:rPr>
            </w:pPr>
            <w:r>
              <w:rPr>
                <w:rFonts w:ascii="Arial" w:cs="Arial" w:eastAsia="Arial" w:hAnsi="Arial"/>
                <w:sz w:val="18"/>
                <w:szCs w:val="18"/>
                <w:color w:val="auto"/>
              </w:rPr>
              <w:t>Interest expense</w:t>
            </w:r>
          </w:p>
        </w:tc>
        <w:tc>
          <w:tcPr>
            <w:tcW w:w="120" w:type="dxa"/>
            <w:vAlign w:val="bottom"/>
            <w:tcBorders>
              <w:top w:val="single" w:sz="8" w:color="86B6A5"/>
            </w:tcBorders>
            <w:shd w:val="clear" w:color="auto" w:fill="E3F1DA"/>
          </w:tcPr>
          <w:p>
            <w:pPr>
              <w:jc w:val="right"/>
              <w:spacing w:after="0" w:line="201" w:lineRule="exact"/>
              <w:rPr>
                <w:sz w:val="20"/>
                <w:szCs w:val="20"/>
                <w:color w:val="auto"/>
              </w:rPr>
            </w:pPr>
            <w:r>
              <w:rPr>
                <w:rFonts w:ascii="Arial" w:cs="Arial" w:eastAsia="Arial" w:hAnsi="Arial"/>
                <w:sz w:val="18"/>
                <w:szCs w:val="18"/>
                <w:color w:val="86B6A5"/>
                <w:w w:val="79"/>
              </w:rPr>
              <w:t>$</w:t>
            </w:r>
          </w:p>
        </w:tc>
        <w:tc>
          <w:tcPr>
            <w:tcW w:w="1340" w:type="dxa"/>
            <w:vAlign w:val="bottom"/>
            <w:tcBorders>
              <w:top w:val="single" w:sz="8" w:color="86B6A5"/>
            </w:tcBorders>
            <w:gridSpan w:val="2"/>
            <w:shd w:val="clear" w:color="auto" w:fill="E3F1DA"/>
          </w:tcPr>
          <w:p>
            <w:pPr>
              <w:jc w:val="right"/>
              <w:ind w:right="220"/>
              <w:spacing w:after="0" w:line="201" w:lineRule="exact"/>
              <w:rPr>
                <w:sz w:val="20"/>
                <w:szCs w:val="20"/>
                <w:color w:val="auto"/>
              </w:rPr>
            </w:pPr>
            <w:r>
              <w:rPr>
                <w:rFonts w:ascii="Arial" w:cs="Arial" w:eastAsia="Arial" w:hAnsi="Arial"/>
                <w:sz w:val="18"/>
                <w:szCs w:val="18"/>
                <w:color w:val="86B6A5"/>
              </w:rPr>
              <w:t>43.7</w:t>
            </w:r>
          </w:p>
        </w:tc>
        <w:tc>
          <w:tcPr>
            <w:tcW w:w="460" w:type="dxa"/>
            <w:vAlign w:val="bottom"/>
            <w:tcBorders>
              <w:top w:val="single" w:sz="8" w:color="86B6A5"/>
            </w:tcBorders>
          </w:tcPr>
          <w:p>
            <w:pPr>
              <w:jc w:val="right"/>
              <w:ind w:right="270"/>
              <w:spacing w:after="0" w:line="201"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86B6A5"/>
            </w:tcBorders>
          </w:tcPr>
          <w:p>
            <w:pPr>
              <w:jc w:val="right"/>
              <w:ind w:right="51"/>
              <w:spacing w:after="0" w:line="201" w:lineRule="exact"/>
              <w:rPr>
                <w:sz w:val="20"/>
                <w:szCs w:val="20"/>
                <w:color w:val="auto"/>
              </w:rPr>
            </w:pPr>
            <w:r>
              <w:rPr>
                <w:rFonts w:ascii="Arial" w:cs="Arial" w:eastAsia="Arial" w:hAnsi="Arial"/>
                <w:sz w:val="18"/>
                <w:szCs w:val="18"/>
                <w:color w:val="auto"/>
              </w:rPr>
              <w:t>61.7</w:t>
            </w:r>
          </w:p>
        </w:tc>
        <w:tc>
          <w:tcPr>
            <w:tcW w:w="540" w:type="dxa"/>
            <w:vAlign w:val="bottom"/>
            <w:tcBorders>
              <w:top w:val="single" w:sz="8" w:color="86B6A5"/>
            </w:tcBorders>
          </w:tcPr>
          <w:p>
            <w:pPr>
              <w:jc w:val="right"/>
              <w:ind w:right="270"/>
              <w:spacing w:after="0" w:line="201" w:lineRule="exact"/>
              <w:rPr>
                <w:sz w:val="20"/>
                <w:szCs w:val="20"/>
                <w:color w:val="auto"/>
              </w:rPr>
            </w:pPr>
            <w:r>
              <w:rPr>
                <w:rFonts w:ascii="Arial" w:cs="Arial" w:eastAsia="Arial" w:hAnsi="Arial"/>
                <w:sz w:val="18"/>
                <w:szCs w:val="18"/>
                <w:color w:val="auto"/>
              </w:rPr>
              <w:t>$</w:t>
            </w:r>
          </w:p>
        </w:tc>
        <w:tc>
          <w:tcPr>
            <w:tcW w:w="780" w:type="dxa"/>
            <w:vAlign w:val="bottom"/>
            <w:tcBorders>
              <w:top w:val="single" w:sz="8" w:color="86B6A5"/>
            </w:tcBorders>
          </w:tcPr>
          <w:p>
            <w:pPr>
              <w:jc w:val="right"/>
              <w:spacing w:after="0" w:line="201" w:lineRule="exact"/>
              <w:rPr>
                <w:sz w:val="20"/>
                <w:szCs w:val="20"/>
                <w:color w:val="auto"/>
              </w:rPr>
            </w:pPr>
            <w:r>
              <w:rPr>
                <w:rFonts w:ascii="Arial" w:cs="Arial" w:eastAsia="Arial" w:hAnsi="Arial"/>
                <w:sz w:val="18"/>
                <w:szCs w:val="18"/>
                <w:color w:val="auto"/>
              </w:rPr>
              <w:t>63.9</w:t>
            </w:r>
          </w:p>
        </w:tc>
        <w:tc>
          <w:tcPr>
            <w:tcW w:w="60" w:type="dxa"/>
            <w:vAlign w:val="bottom"/>
          </w:tcPr>
          <w:p>
            <w:pPr>
              <w:spacing w:after="0"/>
              <w:rPr>
                <w:sz w:val="17"/>
                <w:szCs w:val="17"/>
                <w:color w:val="auto"/>
              </w:rPr>
            </w:pPr>
          </w:p>
        </w:tc>
      </w:tr>
      <w:tr>
        <w:trPr>
          <w:trHeight w:val="203"/>
        </w:trPr>
        <w:tc>
          <w:tcPr>
            <w:tcW w:w="7040" w:type="dxa"/>
            <w:vAlign w:val="bottom"/>
            <w:gridSpan w:val="2"/>
          </w:tcPr>
          <w:p>
            <w:pPr>
              <w:spacing w:after="0" w:line="202" w:lineRule="exact"/>
              <w:rPr>
                <w:sz w:val="20"/>
                <w:szCs w:val="20"/>
                <w:color w:val="auto"/>
              </w:rPr>
            </w:pPr>
            <w:r>
              <w:rPr>
                <w:rFonts w:ascii="Arial" w:cs="Arial" w:eastAsia="Arial" w:hAnsi="Arial"/>
                <w:sz w:val="18"/>
                <w:szCs w:val="18"/>
                <w:color w:val="auto"/>
              </w:rPr>
              <w:t>Interest income</w:t>
            </w:r>
          </w:p>
        </w:tc>
        <w:tc>
          <w:tcPr>
            <w:tcW w:w="120" w:type="dxa"/>
            <w:vAlign w:val="bottom"/>
            <w:shd w:val="clear" w:color="auto" w:fill="E3F1DA"/>
          </w:tcPr>
          <w:p>
            <w:pPr>
              <w:spacing w:after="0"/>
              <w:rPr>
                <w:sz w:val="17"/>
                <w:szCs w:val="17"/>
                <w:color w:val="auto"/>
              </w:rPr>
            </w:pPr>
          </w:p>
        </w:tc>
        <w:tc>
          <w:tcPr>
            <w:tcW w:w="1340" w:type="dxa"/>
            <w:vAlign w:val="bottom"/>
            <w:gridSpan w:val="2"/>
            <w:shd w:val="clear" w:color="auto" w:fill="E3F1DA"/>
          </w:tcPr>
          <w:p>
            <w:pPr>
              <w:jc w:val="right"/>
              <w:ind w:right="160"/>
              <w:spacing w:after="0" w:line="202" w:lineRule="exact"/>
              <w:rPr>
                <w:sz w:val="20"/>
                <w:szCs w:val="20"/>
                <w:color w:val="auto"/>
              </w:rPr>
            </w:pPr>
            <w:r>
              <w:rPr>
                <w:rFonts w:ascii="Arial" w:cs="Arial" w:eastAsia="Arial" w:hAnsi="Arial"/>
                <w:sz w:val="18"/>
                <w:szCs w:val="18"/>
                <w:color w:val="86B6A5"/>
              </w:rPr>
              <w:t>(6.2)</w:t>
            </w:r>
          </w:p>
        </w:tc>
        <w:tc>
          <w:tcPr>
            <w:tcW w:w="46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(11.7)</w:t>
            </w:r>
          </w:p>
        </w:tc>
        <w:tc>
          <w:tcPr>
            <w:tcW w:w="540" w:type="dxa"/>
            <w:vAlign w:val="bottom"/>
          </w:tcPr>
          <w:p>
            <w:pPr>
              <w:spacing w:after="0"/>
              <w:rPr>
                <w:sz w:val="17"/>
                <w:szCs w:val="17"/>
                <w:color w:val="auto"/>
              </w:rPr>
            </w:pPr>
          </w:p>
        </w:tc>
        <w:tc>
          <w:tcPr>
            <w:tcW w:w="8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(22.1)</w:t>
            </w:r>
          </w:p>
        </w:tc>
      </w:tr>
      <w:tr>
        <w:trPr>
          <w:trHeight w:val="202"/>
        </w:trPr>
        <w:tc>
          <w:tcPr>
            <w:tcW w:w="7040" w:type="dxa"/>
            <w:vAlign w:val="bottom"/>
            <w:gridSpan w:val="2"/>
          </w:tcPr>
          <w:p>
            <w:pPr>
              <w:spacing w:after="0" w:line="201" w:lineRule="exact"/>
              <w:rPr>
                <w:sz w:val="20"/>
                <w:szCs w:val="20"/>
                <w:color w:val="auto"/>
              </w:rPr>
            </w:pPr>
            <w:r>
              <w:rPr>
                <w:rFonts w:ascii="Arial" w:cs="Arial" w:eastAsia="Arial" w:hAnsi="Arial"/>
                <w:sz w:val="18"/>
                <w:szCs w:val="18"/>
                <w:color w:val="auto"/>
              </w:rPr>
              <w:t>Foreign exchange losses (gains)</w:t>
            </w:r>
          </w:p>
        </w:tc>
        <w:tc>
          <w:tcPr>
            <w:tcW w:w="120" w:type="dxa"/>
            <w:vAlign w:val="bottom"/>
            <w:shd w:val="clear" w:color="auto" w:fill="E3F1DA"/>
          </w:tcPr>
          <w:p>
            <w:pPr>
              <w:spacing w:after="0"/>
              <w:rPr>
                <w:sz w:val="17"/>
                <w:szCs w:val="17"/>
                <w:color w:val="auto"/>
              </w:rPr>
            </w:pPr>
          </w:p>
        </w:tc>
        <w:tc>
          <w:tcPr>
            <w:tcW w:w="1120" w:type="dxa"/>
            <w:vAlign w:val="bottom"/>
          </w:tcPr>
          <w:p>
            <w:pPr>
              <w:jc w:val="right"/>
              <w:spacing w:after="0" w:line="201" w:lineRule="exact"/>
              <w:rPr>
                <w:sz w:val="20"/>
                <w:szCs w:val="20"/>
                <w:color w:val="auto"/>
              </w:rPr>
            </w:pPr>
            <w:r>
              <w:rPr>
                <w:rFonts w:ascii="Arial" w:cs="Arial" w:eastAsia="Arial" w:hAnsi="Arial"/>
                <w:sz w:val="18"/>
                <w:szCs w:val="18"/>
                <w:color w:val="86B6A5"/>
              </w:rPr>
              <w:t>3.3</w:t>
            </w:r>
          </w:p>
        </w:tc>
        <w:tc>
          <w:tcPr>
            <w:tcW w:w="220" w:type="dxa"/>
            <w:vAlign w:val="bottom"/>
            <w:shd w:val="clear" w:color="auto" w:fill="E3F1DA"/>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tcPr>
          <w:p>
            <w:pPr>
              <w:jc w:val="right"/>
              <w:ind w:right="51"/>
              <w:spacing w:after="0" w:line="201" w:lineRule="exact"/>
              <w:rPr>
                <w:sz w:val="20"/>
                <w:szCs w:val="20"/>
                <w:color w:val="auto"/>
              </w:rPr>
            </w:pPr>
            <w:r>
              <w:rPr>
                <w:rFonts w:ascii="Arial" w:cs="Arial" w:eastAsia="Arial" w:hAnsi="Arial"/>
                <w:sz w:val="18"/>
                <w:szCs w:val="18"/>
                <w:color w:val="auto"/>
              </w:rPr>
              <w:t>0.8</w:t>
            </w:r>
          </w:p>
        </w:tc>
        <w:tc>
          <w:tcPr>
            <w:tcW w:w="540" w:type="dxa"/>
            <w:vAlign w:val="bottom"/>
          </w:tcPr>
          <w:p>
            <w:pPr>
              <w:spacing w:after="0"/>
              <w:rPr>
                <w:sz w:val="17"/>
                <w:szCs w:val="17"/>
                <w:color w:val="auto"/>
              </w:rPr>
            </w:pPr>
          </w:p>
        </w:tc>
        <w:tc>
          <w:tcPr>
            <w:tcW w:w="84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(2.9)</w:t>
            </w:r>
          </w:p>
        </w:tc>
      </w:tr>
      <w:tr>
        <w:trPr>
          <w:trHeight w:val="203"/>
        </w:trPr>
        <w:tc>
          <w:tcPr>
            <w:tcW w:w="7040" w:type="dxa"/>
            <w:vAlign w:val="bottom"/>
            <w:gridSpan w:val="2"/>
          </w:tcPr>
          <w:p>
            <w:pPr>
              <w:spacing w:after="0" w:line="202" w:lineRule="exact"/>
              <w:rPr>
                <w:sz w:val="20"/>
                <w:szCs w:val="20"/>
                <w:color w:val="auto"/>
              </w:rPr>
            </w:pPr>
            <w:r>
              <w:rPr>
                <w:rFonts w:ascii="Arial" w:cs="Arial" w:eastAsia="Arial" w:hAnsi="Arial"/>
                <w:sz w:val="18"/>
                <w:szCs w:val="18"/>
                <w:color w:val="auto"/>
              </w:rPr>
              <w:t>Miscellaneous expenses, net</w:t>
            </w:r>
          </w:p>
        </w:tc>
        <w:tc>
          <w:tcPr>
            <w:tcW w:w="120" w:type="dxa"/>
            <w:vAlign w:val="bottom"/>
            <w:shd w:val="clear" w:color="auto" w:fill="E3F1DA"/>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86B6A5"/>
              </w:rPr>
              <w:t>2.4</w:t>
            </w:r>
          </w:p>
        </w:tc>
        <w:tc>
          <w:tcPr>
            <w:tcW w:w="220" w:type="dxa"/>
            <w:vAlign w:val="bottom"/>
            <w:shd w:val="clear" w:color="auto" w:fill="E3F1DA"/>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tcPr>
          <w:p>
            <w:pPr>
              <w:jc w:val="right"/>
              <w:ind w:right="51"/>
              <w:spacing w:after="0" w:line="202" w:lineRule="exact"/>
              <w:rPr>
                <w:sz w:val="20"/>
                <w:szCs w:val="20"/>
                <w:color w:val="auto"/>
              </w:rPr>
            </w:pPr>
            <w:r>
              <w:rPr>
                <w:rFonts w:ascii="Arial" w:cs="Arial" w:eastAsia="Arial" w:hAnsi="Arial"/>
                <w:sz w:val="18"/>
                <w:szCs w:val="18"/>
                <w:color w:val="auto"/>
              </w:rPr>
              <w:t>3.5</w:t>
            </w:r>
          </w:p>
        </w:tc>
        <w:tc>
          <w:tcPr>
            <w:tcW w:w="54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12.0</w:t>
            </w:r>
          </w:p>
        </w:tc>
        <w:tc>
          <w:tcPr>
            <w:tcW w:w="60" w:type="dxa"/>
            <w:vAlign w:val="bottom"/>
          </w:tcPr>
          <w:p>
            <w:pPr>
              <w:spacing w:after="0"/>
              <w:rPr>
                <w:sz w:val="17"/>
                <w:szCs w:val="17"/>
                <w:color w:val="auto"/>
              </w:rPr>
            </w:pPr>
          </w:p>
        </w:tc>
      </w:tr>
      <w:tr>
        <w:trPr>
          <w:trHeight w:val="203"/>
        </w:trPr>
        <w:tc>
          <w:tcPr>
            <w:tcW w:w="7040" w:type="dxa"/>
            <w:vAlign w:val="bottom"/>
            <w:gridSpan w:val="2"/>
          </w:tcPr>
          <w:p>
            <w:pPr>
              <w:spacing w:after="0" w:line="203" w:lineRule="exact"/>
              <w:rPr>
                <w:sz w:val="20"/>
                <w:szCs w:val="20"/>
                <w:color w:val="auto"/>
              </w:rPr>
            </w:pPr>
            <w:r>
              <w:rPr>
                <w:rFonts w:ascii="Arial" w:cs="Arial" w:eastAsia="Arial" w:hAnsi="Arial"/>
                <w:sz w:val="18"/>
                <w:szCs w:val="18"/>
                <w:color w:val="auto"/>
              </w:rPr>
              <w:t>Loss from sale of an equity investment</w:t>
            </w:r>
          </w:p>
        </w:tc>
        <w:tc>
          <w:tcPr>
            <w:tcW w:w="120" w:type="dxa"/>
            <w:vAlign w:val="bottom"/>
            <w:shd w:val="clear" w:color="auto" w:fill="E3F1DA"/>
          </w:tcPr>
          <w:p>
            <w:pPr>
              <w:spacing w:after="0"/>
              <w:rPr>
                <w:sz w:val="17"/>
                <w:szCs w:val="17"/>
                <w:color w:val="auto"/>
              </w:rPr>
            </w:pPr>
          </w:p>
        </w:tc>
        <w:tc>
          <w:tcPr>
            <w:tcW w:w="1120" w:type="dxa"/>
            <w:vAlign w:val="bottom"/>
          </w:tcPr>
          <w:p>
            <w:pPr>
              <w:jc w:val="right"/>
              <w:spacing w:after="0" w:line="203" w:lineRule="exact"/>
              <w:rPr>
                <w:sz w:val="20"/>
                <w:szCs w:val="20"/>
                <w:color w:val="auto"/>
              </w:rPr>
            </w:pPr>
            <w:r>
              <w:rPr>
                <w:rFonts w:ascii="Arial" w:cs="Arial" w:eastAsia="Arial" w:hAnsi="Arial"/>
                <w:sz w:val="18"/>
                <w:szCs w:val="18"/>
                <w:color w:val="86B6A5"/>
              </w:rPr>
              <w:t>–</w:t>
            </w:r>
          </w:p>
        </w:tc>
        <w:tc>
          <w:tcPr>
            <w:tcW w:w="220" w:type="dxa"/>
            <w:vAlign w:val="bottom"/>
            <w:shd w:val="clear" w:color="auto" w:fill="E3F1DA"/>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tcPr>
          <w:p>
            <w:pPr>
              <w:jc w:val="right"/>
              <w:ind w:right="51"/>
              <w:spacing w:after="0" w:line="203" w:lineRule="exact"/>
              <w:rPr>
                <w:sz w:val="20"/>
                <w:szCs w:val="20"/>
                <w:color w:val="auto"/>
              </w:rPr>
            </w:pPr>
            <w:r>
              <w:rPr>
                <w:rFonts w:ascii="Arial" w:cs="Arial" w:eastAsia="Arial" w:hAnsi="Arial"/>
                <w:sz w:val="18"/>
                <w:szCs w:val="18"/>
                <w:color w:val="auto"/>
              </w:rPr>
              <w:t>10.3</w:t>
            </w:r>
          </w:p>
        </w:tc>
        <w:tc>
          <w:tcPr>
            <w:tcW w:w="540" w:type="dxa"/>
            <w:vAlign w:val="bottom"/>
          </w:tcPr>
          <w:p>
            <w:pPr>
              <w:spacing w:after="0"/>
              <w:rPr>
                <w:sz w:val="17"/>
                <w:szCs w:val="17"/>
                <w:color w:val="auto"/>
              </w:rPr>
            </w:pPr>
          </w:p>
        </w:tc>
        <w:tc>
          <w:tcPr>
            <w:tcW w:w="840" w:type="dxa"/>
            <w:vAlign w:val="bottom"/>
            <w:gridSpan w:val="2"/>
          </w:tcPr>
          <w:p>
            <w:pPr>
              <w:jc w:val="right"/>
              <w:ind w:right="60"/>
              <w:spacing w:after="0" w:line="203"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7020" w:type="dxa"/>
            <w:vAlign w:val="bottom"/>
            <w:tcBorders>
              <w:top w:val="single" w:sz="8" w:color="939598"/>
              <w:bottom w:val="single" w:sz="8" w:color="939598"/>
            </w:tcBorders>
          </w:tcPr>
          <w:p>
            <w:pPr>
              <w:ind w:left="260"/>
              <w:spacing w:after="0" w:line="196" w:lineRule="exact"/>
              <w:rPr>
                <w:sz w:val="20"/>
                <w:szCs w:val="20"/>
                <w:color w:val="auto"/>
              </w:rPr>
            </w:pPr>
            <w:r>
              <w:rPr>
                <w:rFonts w:ascii="Arial" w:cs="Arial" w:eastAsia="Arial" w:hAnsi="Arial"/>
                <w:sz w:val="18"/>
                <w:szCs w:val="18"/>
                <w:color w:val="auto"/>
              </w:rPr>
              <w:t>Interest and other expense</w:t>
            </w:r>
          </w:p>
        </w:tc>
        <w:tc>
          <w:tcPr>
            <w:tcW w:w="120" w:type="dxa"/>
            <w:vAlign w:val="bottom"/>
            <w:tcBorders>
              <w:top w:val="single" w:sz="8" w:color="939598"/>
              <w:bottom w:val="single" w:sz="8" w:color="939598"/>
            </w:tcBorders>
            <w:shd w:val="clear" w:color="auto" w:fill="E3F1DA"/>
          </w:tcPr>
          <w:p>
            <w:pPr>
              <w:jc w:val="right"/>
              <w:spacing w:after="0" w:line="196" w:lineRule="exact"/>
              <w:rPr>
                <w:sz w:val="20"/>
                <w:szCs w:val="20"/>
                <w:color w:val="auto"/>
              </w:rPr>
            </w:pPr>
            <w:r>
              <w:rPr>
                <w:rFonts w:ascii="Arial" w:cs="Arial" w:eastAsia="Arial" w:hAnsi="Arial"/>
                <w:sz w:val="18"/>
                <w:szCs w:val="18"/>
                <w:color w:val="86B6A5"/>
                <w:w w:val="79"/>
              </w:rPr>
              <w:t>$</w:t>
            </w:r>
          </w:p>
        </w:tc>
        <w:tc>
          <w:tcPr>
            <w:tcW w:w="1120" w:type="dxa"/>
            <w:vAlign w:val="bottom"/>
            <w:tcBorders>
              <w:top w:val="single" w:sz="8" w:color="939598"/>
              <w:bottom w:val="single" w:sz="8" w:color="939598"/>
            </w:tcBorders>
          </w:tcPr>
          <w:p>
            <w:pPr>
              <w:jc w:val="right"/>
              <w:spacing w:after="0" w:line="196" w:lineRule="exact"/>
              <w:rPr>
                <w:sz w:val="20"/>
                <w:szCs w:val="20"/>
                <w:color w:val="auto"/>
              </w:rPr>
            </w:pPr>
            <w:r>
              <w:rPr>
                <w:rFonts w:ascii="Arial" w:cs="Arial" w:eastAsia="Arial" w:hAnsi="Arial"/>
                <w:sz w:val="18"/>
                <w:szCs w:val="18"/>
                <w:color w:val="86B6A5"/>
              </w:rPr>
              <w:t>43.2</w:t>
            </w:r>
          </w:p>
        </w:tc>
        <w:tc>
          <w:tcPr>
            <w:tcW w:w="220" w:type="dxa"/>
            <w:vAlign w:val="bottom"/>
            <w:tcBorders>
              <w:top w:val="single" w:sz="8" w:color="939598"/>
              <w:bottom w:val="single" w:sz="8" w:color="939598"/>
            </w:tcBorders>
            <w:shd w:val="clear" w:color="auto" w:fill="E3F1DA"/>
          </w:tcPr>
          <w:p>
            <w:pPr>
              <w:spacing w:after="0"/>
              <w:rPr>
                <w:sz w:val="17"/>
                <w:szCs w:val="17"/>
                <w:color w:val="auto"/>
              </w:rPr>
            </w:pPr>
          </w:p>
        </w:tc>
        <w:tc>
          <w:tcPr>
            <w:tcW w:w="460" w:type="dxa"/>
            <w:vAlign w:val="bottom"/>
            <w:tcBorders>
              <w:top w:val="single" w:sz="8" w:color="939598"/>
              <w:bottom w:val="single" w:sz="8" w:color="939598"/>
            </w:tcBorders>
          </w:tcPr>
          <w:p>
            <w:pPr>
              <w:jc w:val="right"/>
              <w:ind w:right="27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939598"/>
              <w:bottom w:val="single" w:sz="8" w:color="939598"/>
            </w:tcBorders>
          </w:tcPr>
          <w:p>
            <w:pPr>
              <w:jc w:val="right"/>
              <w:ind w:right="51"/>
              <w:spacing w:after="0" w:line="196" w:lineRule="exact"/>
              <w:rPr>
                <w:sz w:val="20"/>
                <w:szCs w:val="20"/>
                <w:color w:val="auto"/>
              </w:rPr>
            </w:pPr>
            <w:r>
              <w:rPr>
                <w:rFonts w:ascii="Arial" w:cs="Arial" w:eastAsia="Arial" w:hAnsi="Arial"/>
                <w:sz w:val="18"/>
                <w:szCs w:val="18"/>
                <w:color w:val="auto"/>
              </w:rPr>
              <w:t>64.6</w:t>
            </w:r>
          </w:p>
        </w:tc>
        <w:tc>
          <w:tcPr>
            <w:tcW w:w="540" w:type="dxa"/>
            <w:vAlign w:val="bottom"/>
            <w:tcBorders>
              <w:top w:val="single" w:sz="8" w:color="939598"/>
              <w:bottom w:val="single" w:sz="8" w:color="939598"/>
            </w:tcBorders>
          </w:tcPr>
          <w:p>
            <w:pPr>
              <w:jc w:val="right"/>
              <w:ind w:right="270"/>
              <w:spacing w:after="0" w:line="196" w:lineRule="exact"/>
              <w:rPr>
                <w:sz w:val="20"/>
                <w:szCs w:val="20"/>
                <w:color w:val="auto"/>
              </w:rPr>
            </w:pPr>
            <w:r>
              <w:rPr>
                <w:rFonts w:ascii="Arial" w:cs="Arial" w:eastAsia="Arial" w:hAnsi="Arial"/>
                <w:sz w:val="18"/>
                <w:szCs w:val="18"/>
                <w:color w:val="auto"/>
              </w:rPr>
              <w:t>$</w:t>
            </w:r>
          </w:p>
        </w:tc>
        <w:tc>
          <w:tcPr>
            <w:tcW w:w="780" w:type="dxa"/>
            <w:vAlign w:val="bottom"/>
            <w:tcBorders>
              <w:top w:val="single" w:sz="8" w:color="939598"/>
              <w:bottom w:val="single" w:sz="8" w:color="939598"/>
            </w:tcBorders>
          </w:tcPr>
          <w:p>
            <w:pPr>
              <w:jc w:val="right"/>
              <w:spacing w:after="0" w:line="196" w:lineRule="exact"/>
              <w:rPr>
                <w:sz w:val="20"/>
                <w:szCs w:val="20"/>
                <w:color w:val="auto"/>
              </w:rPr>
            </w:pPr>
            <w:r>
              <w:rPr>
                <w:rFonts w:ascii="Arial" w:cs="Arial" w:eastAsia="Arial" w:hAnsi="Arial"/>
                <w:sz w:val="18"/>
                <w:szCs w:val="18"/>
                <w:color w:val="auto"/>
              </w:rPr>
              <w:t>50.9</w:t>
            </w:r>
          </w:p>
        </w:tc>
        <w:tc>
          <w:tcPr>
            <w:tcW w:w="6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4541520</wp:posOffset>
            </wp:positionH>
            <wp:positionV relativeFrom="paragraph">
              <wp:posOffset>-668020</wp:posOffset>
            </wp:positionV>
            <wp:extent cx="720090" cy="6604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0090" cy="660400"/>
                    </a:xfrm>
                    <a:prstGeom prst="rect">
                      <a:avLst/>
                    </a:prstGeom>
                    <a:noFill/>
                  </pic:spPr>
                </pic:pic>
              </a:graphicData>
            </a:graphic>
          </wp:anchor>
        </w:drawing>
      </w:r>
    </w:p>
    <w:p>
      <w:pPr>
        <w:spacing w:after="0" w:line="195"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Included in interest expense for the year ended December 31, 2009 is $7.5, which was recorded as a result of our repayment of the borrowings outstanding under the Amended Revolving Credit Agreement and our termination of the interest rate swap agreements. Loss from sale of an equity investment in 2009 resulted as we sold an equity investment in Japan for cash proceeds of $13.3 in September 2009.</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b w:val="1"/>
          <w:bCs w:val="1"/>
          <w:color w:val="4D8ABE"/>
        </w:rPr>
        <w:t xml:space="preserve">70 </w:t>
      </w:r>
      <w:r>
        <w:rPr>
          <w:rFonts w:ascii="Arial" w:cs="Arial" w:eastAsia="Arial" w:hAnsi="Arial"/>
          <w:sz w:val="16"/>
          <w:szCs w:val="16"/>
          <w:color w:val="4D8ABE"/>
        </w:rPr>
        <w:t>Manpower 2010 Annual Report</w:t>
      </w:r>
      <w:r>
        <w:rPr>
          <w:rFonts w:ascii="Arial" w:cs="Arial" w:eastAsia="Arial" w:hAnsi="Arial"/>
          <w:sz w:val="16"/>
          <w:szCs w:val="16"/>
          <w:b w:val="1"/>
          <w:bCs w:val="1"/>
          <w:color w:val="4D8ABE"/>
        </w:rPr>
        <w:t xml:space="preserve"> </w:t>
      </w:r>
      <w:r>
        <w:rPr>
          <w:rFonts w:ascii="Arial" w:cs="Arial" w:eastAsia="Arial" w:hAnsi="Arial"/>
          <w:sz w:val="16"/>
          <w:szCs w:val="16"/>
          <w:b w:val="1"/>
          <w:bCs w:val="1"/>
          <w:color w:val="939598"/>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wp:posOffset>
            </wp:positionV>
            <wp:extent cx="7267575" cy="469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ectPr>
          <w:pgSz w:w="11900" w:h="16838" w:orient="portrait"/>
          <w:cols w:equalWidth="0" w:num="1">
            <w:col w:w="11420"/>
          </w:cols>
          <w:pgMar w:left="240" w:top="345" w:right="239" w:bottom="1440" w:gutter="0" w:footer="0" w:header="0"/>
        </w:sectPr>
      </w:pPr>
    </w:p>
    <w:bookmarkStart w:id="101" w:name="page102"/>
    <w:bookmarkEnd w:id="101"/>
    <w:p>
      <w:pPr>
        <w:spacing w:after="0"/>
        <w:rPr>
          <w:sz w:val="20"/>
          <w:szCs w:val="20"/>
          <w:color w:val="auto"/>
        </w:rPr>
      </w:pPr>
      <w:r>
        <w:rPr>
          <w:rFonts w:ascii="Arial" w:cs="Arial" w:eastAsia="Arial" w:hAnsi="Arial"/>
          <w:sz w:val="24"/>
          <w:szCs w:val="24"/>
          <w:color w:val="86B6A5"/>
        </w:rPr>
        <w:t>12.</w:t>
      </w:r>
    </w:p>
    <w:p>
      <w:pPr>
        <w:spacing w:after="0" w:line="8" w:lineRule="exact"/>
        <w:rPr>
          <w:sz w:val="20"/>
          <w:szCs w:val="20"/>
          <w:color w:val="auto"/>
        </w:rPr>
      </w:pPr>
    </w:p>
    <w:p>
      <w:pPr>
        <w:spacing w:after="0"/>
        <w:rPr>
          <w:sz w:val="20"/>
          <w:szCs w:val="20"/>
          <w:color w:val="auto"/>
        </w:rPr>
      </w:pPr>
      <w:r>
        <w:rPr>
          <w:rFonts w:ascii="Arial" w:cs="Arial" w:eastAsia="Arial" w:hAnsi="Arial"/>
          <w:sz w:val="24"/>
          <w:szCs w:val="24"/>
          <w:color w:val="86B6A5"/>
        </w:rPr>
        <w:t>Derivative Financial Instruments</w:t>
      </w:r>
    </w:p>
    <w:p>
      <w:pPr>
        <w:spacing w:after="0" w:line="227"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are exposed to various risks relating to our ongoing business operations. The primary risks, which are managed through the use of derivative instruments, are foreign currency exchange rate risk and interest rate risk. In certain circumstances, we enter into foreign currency forward exchange contracts (“forward contracts”) to reduce the effects of fluctuating foreign currency exchange rates on our cash flows denominated in foreign currencies. Our exposure to market risk for changes in interest rates relates primarily to our Long-Term Debt obligations. We have historically managed interest rate risk through the use of a combination of fixed and variable rate borrowings and interest rate swap agreements. In accordance with the current accounting guidance for derivative instruments and hedging activities, we record all of our derivative instruments as either an asset or liability measured at their fair values.</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b w:val="1"/>
          <w:bCs w:val="1"/>
          <w:color w:val="4D8ABE"/>
        </w:rPr>
        <w:t>INTEREST RATE RISK MANAGEMENT</w:t>
      </w:r>
    </w:p>
    <w:p>
      <w:pPr>
        <w:spacing w:after="0" w:line="23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As we disclosed in Note 7 to the Consolidated Financial Statements, we repaid the €100.0 ($146.4) borrowing outstanding under our Revolving Credit Agreement and terminated the related interest rate swap agreements on October 16, 2009. Our interest rate swap agreements had been designated as cash flow hedges of the interest costs on our Euro-denominated variable rate borrowings. The interest rate swap agreements had a notional value of €100.0 ($146.4) and fixed the variable portion of the interest rate on these borrowings, on a weighted-average basis, at 5.71% . The total interest rate on these borrowings was 6.21%, including the 50 basis point credit spread as defined in our previous revolving credit agreement.</w:t>
      </w:r>
    </w:p>
    <w:p>
      <w:pPr>
        <w:spacing w:after="0" w:line="20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For cash flow hedges, we recorded the effective portions of our interest rate swap agreements as a component of Accumulated Other Comprehensive Income (Loss) until we determined that it was probable (as of September 30, 2009) that we would repay our outstanding borrowings under our revolving credit facility. We realized the costs included in Accumulated Other Comprehensive Income (Loss) as interest expense by recording $6.4 in the Consolidated Statement of Operations for the year ended December 31, 2009. We had no interest rate swap agreements as of December 31, 2010 or 2009 or at any time during 2010.</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color w:val="4D8ABE"/>
        </w:rPr>
        <w:t>FOREIGN CURRENCY EXCHANGE RATE RISK MANAGEMENT</w:t>
      </w:r>
    </w:p>
    <w:p>
      <w:pPr>
        <w:spacing w:after="0" w:line="238"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 €300.0 ($401.2) Notes and the €200.0 ($ 267.1) Notes were designated as economic hedges of our net investment in our foreign subsidiaries with a Euro functional currency as of December 31, 2010.</w:t>
      </w:r>
    </w:p>
    <w:p>
      <w:pPr>
        <w:spacing w:after="0" w:line="197"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For derivatives designated as an economic hedge of the foreign currency exposure of a net investment in a foreign subsidiary, the gain or loss associated with foreign currency translation is recorded as a component of Accumulated Other Comprehensive Income (Loss), net of taxes. As of December 31, 2010, we had a $56.1 loss included in Accumulated Other Comprehensive Income (Loss), net of taxes, as the net investment hedge was deemed effective.</w:t>
      </w:r>
    </w:p>
    <w:p>
      <w:pPr>
        <w:spacing w:after="0" w:line="20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Our forward contracts are not designated as hedges. Consequently, any gain or loss resulting from the change in fair value is recognized in the current period earnings. These gains or losses are offset by the exposure related to receivables and payables with our foreign subsidiaries and to interest due on our Euro-denominated notes, which is paid annually in June. We recorded a loss of $2.7 associated with our forward contracts in Interest and Other Expenses for the year ended December 31, 2010 related to the forward contracts. We had a $0.1 asset related to the forward contracts’ fair value included in Other Long-Term Liabilities as of December 31, 2010.</w:t>
      </w:r>
    </w:p>
    <w:p>
      <w:pPr>
        <w:spacing w:after="0" w:line="203"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 fair value measurements of these items recorded in our consolidated balance sheets as of December 31, 2010 and 2009 are disclosed in Note 1 to the Consolidated Financial Statements.</w:t>
      </w:r>
    </w:p>
    <w:p>
      <w:pPr>
        <w:spacing w:after="0" w:line="194" w:lineRule="exact"/>
        <w:rPr>
          <w:sz w:val="20"/>
          <w:szCs w:val="20"/>
          <w:color w:val="auto"/>
        </w:rPr>
      </w:pPr>
    </w:p>
    <w:p>
      <w:pPr>
        <w:spacing w:after="0"/>
        <w:rPr>
          <w:sz w:val="20"/>
          <w:szCs w:val="20"/>
          <w:color w:val="auto"/>
        </w:rPr>
      </w:pPr>
      <w:r>
        <w:rPr>
          <w:rFonts w:ascii="Arial" w:cs="Arial" w:eastAsia="Arial" w:hAnsi="Arial"/>
          <w:sz w:val="24"/>
          <w:szCs w:val="24"/>
          <w:color w:val="86B6A5"/>
        </w:rPr>
        <w:t>13.</w:t>
      </w:r>
    </w:p>
    <w:p>
      <w:pPr>
        <w:spacing w:after="0" w:line="8" w:lineRule="exact"/>
        <w:rPr>
          <w:sz w:val="20"/>
          <w:szCs w:val="20"/>
          <w:color w:val="auto"/>
        </w:rPr>
      </w:pPr>
    </w:p>
    <w:p>
      <w:pPr>
        <w:spacing w:after="0"/>
        <w:rPr>
          <w:sz w:val="20"/>
          <w:szCs w:val="20"/>
          <w:color w:val="auto"/>
        </w:rPr>
      </w:pPr>
      <w:r>
        <w:rPr>
          <w:rFonts w:ascii="Arial" w:cs="Arial" w:eastAsia="Arial" w:hAnsi="Arial"/>
          <w:sz w:val="24"/>
          <w:szCs w:val="24"/>
          <w:color w:val="86B6A5"/>
        </w:rPr>
        <w:t>Contingencies</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color w:val="4D8ABE"/>
        </w:rPr>
        <w:t>LITIGATION</w:t>
      </w:r>
    </w:p>
    <w:p>
      <w:pPr>
        <w:spacing w:after="0" w:line="238"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We are involved in a number of lawsuits arising in the ordinary course of business which will not, in the opinion of management, have a material effect on our results of operations, financial position or cash flows.</w:t>
      </w:r>
    </w:p>
    <w:p>
      <w:pPr>
        <w:spacing w:after="0" w:line="197"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In February 2009, the French Competition Council rendered its decision and levied a fine of €42.0 ($55.9) related to the competition investigation that began in November 2004, conducted by France’s Direction Generale de la concurrence, de la Consommation et de la Repression des Fraudes (“DGCCRF”), a body of the French Finance Minister that investigates frauds and competition violations. We had accrued for this fine as of December 31, 2008, paid this fine in April 2009 and appealed the Competition Council’s decision. In January 2010 we received notification that our appeal was denied and in March 2010, we again appealed the Competition Council’s decision to the Cour de Cassation.</w:t>
      </w:r>
    </w:p>
    <w:p>
      <w:pPr>
        <w:spacing w:after="0" w:line="188"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939598"/>
        </w:rPr>
        <w:t xml:space="preserve">Notes to Consolidated Financial Statements </w:t>
      </w:r>
      <w:r>
        <w:rPr>
          <w:rFonts w:ascii="Arial" w:cs="Arial" w:eastAsia="Arial" w:hAnsi="Arial"/>
          <w:sz w:val="16"/>
          <w:szCs w:val="16"/>
          <w:color w:val="4D8ABE"/>
        </w:rPr>
        <w:t>Manpower 2010 Annual Report</w:t>
      </w:r>
      <w:r>
        <w:rPr>
          <w:rFonts w:ascii="Arial" w:cs="Arial" w:eastAsia="Arial" w:hAnsi="Arial"/>
          <w:sz w:val="16"/>
          <w:szCs w:val="16"/>
          <w:b w:val="1"/>
          <w:bCs w:val="1"/>
          <w:color w:val="939598"/>
        </w:rPr>
        <w:t xml:space="preserve"> </w:t>
      </w:r>
      <w:r>
        <w:rPr>
          <w:rFonts w:ascii="Arial" w:cs="Arial" w:eastAsia="Arial" w:hAnsi="Arial"/>
          <w:sz w:val="16"/>
          <w:szCs w:val="16"/>
          <w:b w:val="1"/>
          <w:bCs w:val="1"/>
          <w:color w:val="4D8ABE"/>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wp:posOffset>
            </wp:positionV>
            <wp:extent cx="7267575" cy="469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ectPr>
          <w:pgSz w:w="11900" w:h="16838" w:orient="portrait"/>
          <w:cols w:equalWidth="0" w:num="1">
            <w:col w:w="11420"/>
          </w:cols>
          <w:pgMar w:left="240" w:top="352" w:right="239" w:bottom="1440" w:gutter="0" w:footer="0" w:header="0"/>
        </w:sectPr>
      </w:pPr>
    </w:p>
    <w:bookmarkStart w:id="102" w:name="page103"/>
    <w:bookmarkEnd w:id="102"/>
    <w:p>
      <w:pPr>
        <w:spacing w:after="0"/>
        <w:rPr>
          <w:sz w:val="20"/>
          <w:szCs w:val="20"/>
          <w:color w:val="auto"/>
        </w:rPr>
      </w:pPr>
      <w:r>
        <w:rPr>
          <w:rFonts w:ascii="Arial" w:cs="Arial" w:eastAsia="Arial" w:hAnsi="Arial"/>
          <w:sz w:val="22"/>
          <w:szCs w:val="22"/>
          <w:color w:val="4D8ABE"/>
        </w:rPr>
        <w:t>Notes To Consolidated Financial Statements</w:t>
      </w:r>
    </w:p>
    <w:p>
      <w:pPr>
        <w:spacing w:after="0"/>
        <w:rPr>
          <w:sz w:val="20"/>
          <w:szCs w:val="20"/>
          <w:color w:val="auto"/>
        </w:rPr>
      </w:pPr>
      <w:r>
        <w:rPr>
          <w:rFonts w:ascii="Arial" w:cs="Arial" w:eastAsia="Arial" w:hAnsi="Arial"/>
          <w:sz w:val="18"/>
          <w:szCs w:val="18"/>
          <w:color w:val="4D8ABE"/>
        </w:rPr>
        <w:t>in millions, except share and per share data</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4D8ABE"/>
        </w:rPr>
        <w:t>GUARANTEES</w:t>
      </w:r>
    </w:p>
    <w:p>
      <w:pPr>
        <w:spacing w:after="0" w:line="23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have entered into certain guarantee contracts and stand-by letters of credit that total $168.1 ($131.4 for guarantees and $36.7 for stand-by letters of credit). The guarantees primarily relate to operating leases and indebtedness. The stand-by letters of credit relate to insurance requirements and debt facilities. If certain conditions were met under these arrangements, we would be required to satisfy our obligation in cash. Due to the nature of these arrangements and our historical experience, we do not expect to make any significant payments under these arrangements.</w:t>
      </w:r>
    </w:p>
    <w:p>
      <w:pPr>
        <w:spacing w:after="0" w:line="200" w:lineRule="exact"/>
        <w:rPr>
          <w:sz w:val="20"/>
          <w:szCs w:val="20"/>
          <w:color w:val="auto"/>
        </w:rPr>
      </w:pPr>
    </w:p>
    <w:p>
      <w:pPr>
        <w:spacing w:after="0"/>
        <w:rPr>
          <w:sz w:val="20"/>
          <w:szCs w:val="20"/>
          <w:color w:val="auto"/>
        </w:rPr>
      </w:pPr>
      <w:r>
        <w:rPr>
          <w:rFonts w:ascii="Arial" w:cs="Arial" w:eastAsia="Arial" w:hAnsi="Arial"/>
          <w:sz w:val="24"/>
          <w:szCs w:val="24"/>
          <w:color w:val="86B6A5"/>
        </w:rPr>
        <w:t>14.</w:t>
      </w:r>
    </w:p>
    <w:p>
      <w:pPr>
        <w:spacing w:after="0" w:line="8" w:lineRule="exact"/>
        <w:rPr>
          <w:sz w:val="20"/>
          <w:szCs w:val="20"/>
          <w:color w:val="auto"/>
        </w:rPr>
      </w:pPr>
    </w:p>
    <w:p>
      <w:pPr>
        <w:spacing w:after="0"/>
        <w:rPr>
          <w:sz w:val="20"/>
          <w:szCs w:val="20"/>
          <w:color w:val="auto"/>
        </w:rPr>
      </w:pPr>
      <w:r>
        <w:rPr>
          <w:rFonts w:ascii="Arial" w:cs="Arial" w:eastAsia="Arial" w:hAnsi="Arial"/>
          <w:sz w:val="24"/>
          <w:szCs w:val="24"/>
          <w:color w:val="86B6A5"/>
        </w:rPr>
        <w:t>Segment Data</w:t>
      </w:r>
    </w:p>
    <w:p>
      <w:pPr>
        <w:spacing w:after="0" w:line="227"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During the fourth quarter of 2010, our segment reporting was realigned due to our Jefferson Wells business being combined with our Professional Finance and Accounting vertical within the United States. Accordingly, our former reportable segment, Jefferson Wells, is now reported within our United States operating segment as part of the Americas reportable segment. All previously reported results have been restated to conform to the current year presentation.</w:t>
      </w:r>
    </w:p>
    <w:p>
      <w:pPr>
        <w:spacing w:after="0" w:line="202"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are organized and managed primarily on a geographic basis, with the exception of Right Management, which is operated as a separate global business unit. Each country and business unit primarily has its own distinct operations, is managed locally by its own management team and maintains its own financial reports. Each operation reports directly or indirectly through a regional manager, to a member of executive management. Given this reporting structure, all of our operations have been segregated into the following reporting segments: Americas, which includes United States and Other Americas; France; EMEA (Europe, Middle East and Africa, excluding France), which includes Italy and Other EMEA; Asia Pacific; and Right Management.</w:t>
      </w:r>
    </w:p>
    <w:p>
      <w:pPr>
        <w:spacing w:after="0" w:line="205"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Americas, France, EMEA, and Asia Pacific segments derive a significant majority of their revenues from the placement of contingent workers. The remaining revenues within these segments are derived from other workforce solutions and services, including recruitment and assessment, training and development, and Manpower Business Solutions (MBS). MBS includes Talent Based Outsourcing (TBO), Managed Service Programs (MSP), Borderless Talent Solutions (BTS) and Recruitment Process Outsourcing (RPO). The Right Management segment revenues are derived from career management and workforce consulting services. Segment revenues represent sales to external clients primarily within a single segment. Due to the nature of our business, we generally do not have export or intersegment sales. We provide services to a wide variety of clients, none of wh ich individually comprise a significant portion of revenue for us as a whole.</w:t>
      </w:r>
    </w:p>
    <w:p>
      <w:pPr>
        <w:spacing w:after="0" w:line="203"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accounting policies of the segments are the same as those described in the summary of significant accounting policies. We evaluate performance based on Operating Unit Profit, which is equal to segment revenues less direct costs and branch and national headquarters operating costs. This profit measure does not include goodwill and intangible asset impairment charges or amortization of intangible assets related to acquisitions, interest and other income and expense amounts or income taxes. During the third quarter of 2010, we redefined Operating Unit Profit to exclude intangible asset amortization related to all acquisitions. Therefore, these costs are no longer included as operating costs within the reportable segments and Corporate Expenses, and all intangible asset amortization expense is now shown separately. All previously reporte d results have been restated to conform to the current year presentation.</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Total assets for the segments are reported after the elimination of investments in subsidiaries and intercompany accounts.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4D8ABE"/>
        </w:rPr>
        <w:t xml:space="preserve">72 </w:t>
      </w:r>
      <w:r>
        <w:rPr>
          <w:rFonts w:ascii="Arial" w:cs="Arial" w:eastAsia="Arial" w:hAnsi="Arial"/>
          <w:sz w:val="16"/>
          <w:szCs w:val="16"/>
          <w:color w:val="4D8ABE"/>
        </w:rPr>
        <w:t>Manpower 2010 Annual Report</w:t>
      </w:r>
      <w:r>
        <w:rPr>
          <w:rFonts w:ascii="Arial" w:cs="Arial" w:eastAsia="Arial" w:hAnsi="Arial"/>
          <w:sz w:val="16"/>
          <w:szCs w:val="16"/>
          <w:b w:val="1"/>
          <w:bCs w:val="1"/>
          <w:color w:val="4D8ABE"/>
        </w:rPr>
        <w:t xml:space="preserve"> </w:t>
      </w:r>
      <w:r>
        <w:rPr>
          <w:rFonts w:ascii="Arial" w:cs="Arial" w:eastAsia="Arial" w:hAnsi="Arial"/>
          <w:sz w:val="16"/>
          <w:szCs w:val="16"/>
          <w:b w:val="1"/>
          <w:bCs w:val="1"/>
          <w:color w:val="939598"/>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wp:posOffset>
            </wp:positionV>
            <wp:extent cx="7267575" cy="469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ectPr>
          <w:pgSz w:w="11900" w:h="16838" w:orient="portrait"/>
          <w:cols w:equalWidth="0" w:num="1">
            <w:col w:w="11420"/>
          </w:cols>
          <w:pgMar w:left="240" w:top="345" w:right="239" w:bottom="1440" w:gutter="0" w:footer="0" w:header="0"/>
        </w:sectPr>
      </w:pPr>
    </w:p>
    <w:bookmarkStart w:id="103" w:name="page104"/>
    <w:bookmarkEnd w:id="103"/>
    <w:tbl>
      <w:tblPr>
        <w:tblLayout w:type="fixed"/>
        <w:tblInd w:w="0" w:type="dxa"/>
        <w:tblCellMar>
          <w:top w:w="0" w:type="dxa"/>
          <w:left w:w="0" w:type="dxa"/>
          <w:bottom w:w="0" w:type="dxa"/>
          <w:right w:w="0" w:type="dxa"/>
        </w:tblCellMar>
      </w:tblPr>
      <w:tr>
        <w:trPr>
          <w:trHeight w:val="209"/>
        </w:trPr>
        <w:tc>
          <w:tcPr>
            <w:tcW w:w="6700" w:type="dxa"/>
            <w:vAlign w:val="bottom"/>
            <w:gridSpan w:val="2"/>
          </w:tcPr>
          <w:p>
            <w:pPr>
              <w:spacing w:after="0"/>
              <w:rPr>
                <w:sz w:val="20"/>
                <w:szCs w:val="20"/>
                <w:color w:val="auto"/>
              </w:rPr>
            </w:pPr>
            <w:r>
              <w:rPr>
                <w:rFonts w:ascii="Arial" w:cs="Arial" w:eastAsia="Arial" w:hAnsi="Arial"/>
                <w:sz w:val="16"/>
                <w:szCs w:val="16"/>
                <w:b w:val="1"/>
                <w:bCs w:val="1"/>
                <w:color w:val="86B6A5"/>
              </w:rPr>
              <w:t>Year Ended December 31</w:t>
            </w:r>
          </w:p>
        </w:tc>
        <w:tc>
          <w:tcPr>
            <w:tcW w:w="340" w:type="dxa"/>
            <w:vAlign w:val="bottom"/>
          </w:tcPr>
          <w:p>
            <w:pPr>
              <w:spacing w:after="0"/>
              <w:rPr>
                <w:sz w:val="18"/>
                <w:szCs w:val="18"/>
                <w:color w:val="auto"/>
              </w:rPr>
            </w:pPr>
          </w:p>
        </w:tc>
        <w:tc>
          <w:tcPr>
            <w:tcW w:w="120" w:type="dxa"/>
            <w:vAlign w:val="bottom"/>
            <w:shd w:val="clear" w:color="auto" w:fill="86B6A5"/>
          </w:tcPr>
          <w:p>
            <w:pPr>
              <w:spacing w:after="0"/>
              <w:rPr>
                <w:sz w:val="18"/>
                <w:szCs w:val="18"/>
                <w:color w:val="auto"/>
              </w:rPr>
            </w:pPr>
          </w:p>
        </w:tc>
        <w:tc>
          <w:tcPr>
            <w:tcW w:w="1340" w:type="dxa"/>
            <w:vAlign w:val="bottom"/>
            <w:shd w:val="clear" w:color="auto" w:fill="86B6A5"/>
          </w:tcPr>
          <w:p>
            <w:pPr>
              <w:jc w:val="right"/>
              <w:ind w:right="131"/>
              <w:spacing w:after="0"/>
              <w:rPr>
                <w:sz w:val="20"/>
                <w:szCs w:val="20"/>
                <w:color w:val="auto"/>
              </w:rPr>
            </w:pPr>
            <w:r>
              <w:rPr>
                <w:rFonts w:ascii="Arial" w:cs="Arial" w:eastAsia="Arial" w:hAnsi="Arial"/>
                <w:sz w:val="16"/>
                <w:szCs w:val="16"/>
                <w:b w:val="1"/>
                <w:bCs w:val="1"/>
                <w:color w:val="FFFFFF"/>
              </w:rPr>
              <w:t>2010</w:t>
            </w:r>
          </w:p>
        </w:tc>
        <w:tc>
          <w:tcPr>
            <w:tcW w:w="320" w:type="dxa"/>
            <w:vAlign w:val="bottom"/>
          </w:tcPr>
          <w:p>
            <w:pPr>
              <w:spacing w:after="0"/>
              <w:rPr>
                <w:sz w:val="18"/>
                <w:szCs w:val="18"/>
                <w:color w:val="auto"/>
              </w:rPr>
            </w:pPr>
          </w:p>
        </w:tc>
        <w:tc>
          <w:tcPr>
            <w:tcW w:w="1060" w:type="dxa"/>
            <w:vAlign w:val="bottom"/>
          </w:tcPr>
          <w:p>
            <w:pPr>
              <w:jc w:val="right"/>
              <w:ind w:right="51"/>
              <w:spacing w:after="0"/>
              <w:rPr>
                <w:sz w:val="20"/>
                <w:szCs w:val="20"/>
                <w:color w:val="auto"/>
              </w:rPr>
            </w:pPr>
            <w:r>
              <w:rPr>
                <w:rFonts w:ascii="Arial" w:cs="Arial" w:eastAsia="Arial" w:hAnsi="Arial"/>
                <w:sz w:val="16"/>
                <w:szCs w:val="16"/>
                <w:b w:val="1"/>
                <w:bCs w:val="1"/>
                <w:color w:val="86B6A5"/>
              </w:rPr>
              <w:t>2009</w:t>
            </w: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86B6A5"/>
              </w:rPr>
              <w:t>2008</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680" w:type="dxa"/>
            <w:vAlign w:val="bottom"/>
            <w:tcBorders>
              <w:top w:val="single" w:sz="8" w:color="86B6A5"/>
            </w:tcBorders>
          </w:tcPr>
          <w:p>
            <w:pPr>
              <w:spacing w:after="0" w:line="202" w:lineRule="exact"/>
              <w:rPr>
                <w:sz w:val="20"/>
                <w:szCs w:val="20"/>
                <w:color w:val="auto"/>
              </w:rPr>
            </w:pPr>
            <w:r>
              <w:rPr>
                <w:rFonts w:ascii="Arial" w:cs="Arial" w:eastAsia="Arial" w:hAnsi="Arial"/>
                <w:sz w:val="17"/>
                <w:szCs w:val="17"/>
                <w:b w:val="1"/>
                <w:bCs w:val="1"/>
                <w:color w:val="939598"/>
              </w:rPr>
              <w:t xml:space="preserve">Revenues from Services </w:t>
            </w:r>
            <w:r>
              <w:rPr>
                <w:rFonts w:ascii="Arial" w:cs="Arial" w:eastAsia="Arial" w:hAnsi="Arial"/>
                <w:sz w:val="23"/>
                <w:szCs w:val="23"/>
                <w:b w:val="1"/>
                <w:bCs w:val="1"/>
                <w:color w:val="939598"/>
                <w:vertAlign w:val="superscript"/>
              </w:rPr>
              <w:t>(a)</w:t>
            </w:r>
          </w:p>
        </w:tc>
        <w:tc>
          <w:tcPr>
            <w:tcW w:w="340" w:type="dxa"/>
            <w:vAlign w:val="bottom"/>
            <w:tcBorders>
              <w:top w:val="single" w:sz="8" w:color="86B6A5"/>
            </w:tcBorders>
          </w:tcPr>
          <w:p>
            <w:pPr>
              <w:spacing w:after="0"/>
              <w:rPr>
                <w:sz w:val="17"/>
                <w:szCs w:val="17"/>
                <w:color w:val="auto"/>
              </w:rPr>
            </w:pPr>
          </w:p>
        </w:tc>
        <w:tc>
          <w:tcPr>
            <w:tcW w:w="120" w:type="dxa"/>
            <w:vAlign w:val="bottom"/>
            <w:tcBorders>
              <w:top w:val="single" w:sz="8" w:color="86B6A5"/>
            </w:tcBorders>
            <w:shd w:val="clear" w:color="auto" w:fill="E3F1DA"/>
          </w:tcPr>
          <w:p>
            <w:pPr>
              <w:spacing w:after="0"/>
              <w:rPr>
                <w:sz w:val="17"/>
                <w:szCs w:val="17"/>
                <w:color w:val="auto"/>
              </w:rPr>
            </w:pPr>
          </w:p>
        </w:tc>
        <w:tc>
          <w:tcPr>
            <w:tcW w:w="1340" w:type="dxa"/>
            <w:vAlign w:val="bottom"/>
            <w:tcBorders>
              <w:top w:val="single" w:sz="8" w:color="86B6A5"/>
            </w:tcBorders>
            <w:shd w:val="clear" w:color="auto" w:fill="E3F1DA"/>
          </w:tcPr>
          <w:p>
            <w:pPr>
              <w:spacing w:after="0"/>
              <w:rPr>
                <w:sz w:val="17"/>
                <w:szCs w:val="17"/>
                <w:color w:val="auto"/>
              </w:rPr>
            </w:pPr>
          </w:p>
        </w:tc>
        <w:tc>
          <w:tcPr>
            <w:tcW w:w="320" w:type="dxa"/>
            <w:vAlign w:val="bottom"/>
            <w:tcBorders>
              <w:top w:val="single" w:sz="8" w:color="86B6A5"/>
            </w:tcBorders>
          </w:tcPr>
          <w:p>
            <w:pPr>
              <w:spacing w:after="0"/>
              <w:rPr>
                <w:sz w:val="17"/>
                <w:szCs w:val="17"/>
                <w:color w:val="auto"/>
              </w:rPr>
            </w:pPr>
          </w:p>
        </w:tc>
        <w:tc>
          <w:tcPr>
            <w:tcW w:w="1060" w:type="dxa"/>
            <w:vAlign w:val="bottom"/>
            <w:tcBorders>
              <w:top w:val="single" w:sz="8" w:color="86B6A5"/>
            </w:tcBorders>
          </w:tcPr>
          <w:p>
            <w:pPr>
              <w:spacing w:after="0"/>
              <w:rPr>
                <w:sz w:val="17"/>
                <w:szCs w:val="17"/>
                <w:color w:val="auto"/>
              </w:rPr>
            </w:pPr>
          </w:p>
        </w:tc>
        <w:tc>
          <w:tcPr>
            <w:tcW w:w="400" w:type="dxa"/>
            <w:vAlign w:val="bottom"/>
            <w:tcBorders>
              <w:top w:val="single" w:sz="8" w:color="86B6A5"/>
            </w:tcBorders>
          </w:tcPr>
          <w:p>
            <w:pPr>
              <w:spacing w:after="0"/>
              <w:rPr>
                <w:sz w:val="17"/>
                <w:szCs w:val="17"/>
                <w:color w:val="auto"/>
              </w:rPr>
            </w:pPr>
          </w:p>
        </w:tc>
        <w:tc>
          <w:tcPr>
            <w:tcW w:w="920" w:type="dxa"/>
            <w:vAlign w:val="bottom"/>
            <w:tcBorders>
              <w:top w:val="single" w:sz="8" w:color="86B6A5"/>
            </w:tcBorders>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00" w:type="dxa"/>
            <w:vAlign w:val="bottom"/>
            <w:gridSpan w:val="2"/>
          </w:tcPr>
          <w:p>
            <w:pPr>
              <w:spacing w:after="0" w:line="197" w:lineRule="exact"/>
              <w:rPr>
                <w:sz w:val="20"/>
                <w:szCs w:val="20"/>
                <w:color w:val="auto"/>
              </w:rPr>
            </w:pPr>
            <w:r>
              <w:rPr>
                <w:rFonts w:ascii="Arial" w:cs="Arial" w:eastAsia="Arial" w:hAnsi="Arial"/>
                <w:sz w:val="18"/>
                <w:szCs w:val="18"/>
                <w:color w:val="auto"/>
              </w:rPr>
              <w:t>Americas:</w:t>
            </w:r>
          </w:p>
        </w:tc>
        <w:tc>
          <w:tcPr>
            <w:tcW w:w="340" w:type="dxa"/>
            <w:vAlign w:val="bottom"/>
          </w:tcPr>
          <w:p>
            <w:pPr>
              <w:spacing w:after="0"/>
              <w:rPr>
                <w:sz w:val="17"/>
                <w:szCs w:val="17"/>
                <w:color w:val="auto"/>
              </w:rPr>
            </w:pPr>
          </w:p>
        </w:tc>
        <w:tc>
          <w:tcPr>
            <w:tcW w:w="120" w:type="dxa"/>
            <w:vAlign w:val="bottom"/>
            <w:shd w:val="clear" w:color="auto" w:fill="E3F1DA"/>
          </w:tcPr>
          <w:p>
            <w:pPr>
              <w:spacing w:after="0"/>
              <w:rPr>
                <w:sz w:val="17"/>
                <w:szCs w:val="17"/>
                <w:color w:val="auto"/>
              </w:rPr>
            </w:pPr>
          </w:p>
        </w:tc>
        <w:tc>
          <w:tcPr>
            <w:tcW w:w="1340" w:type="dxa"/>
            <w:vAlign w:val="bottom"/>
            <w:shd w:val="clear" w:color="auto" w:fill="E3F1DA"/>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680" w:type="dxa"/>
            <w:vAlign w:val="bottom"/>
          </w:tcPr>
          <w:p>
            <w:pPr>
              <w:ind w:left="260"/>
              <w:spacing w:after="0" w:line="202" w:lineRule="exact"/>
              <w:rPr>
                <w:sz w:val="20"/>
                <w:szCs w:val="20"/>
                <w:color w:val="auto"/>
              </w:rPr>
            </w:pPr>
            <w:r>
              <w:rPr>
                <w:rFonts w:ascii="Arial" w:cs="Arial" w:eastAsia="Arial" w:hAnsi="Arial"/>
                <w:sz w:val="17"/>
                <w:szCs w:val="17"/>
                <w:color w:val="auto"/>
              </w:rPr>
              <w:t>United States</w:t>
            </w:r>
            <w:r>
              <w:rPr>
                <w:rFonts w:ascii="Arial" w:cs="Arial" w:eastAsia="Arial" w:hAnsi="Arial"/>
                <w:sz w:val="23"/>
                <w:szCs w:val="23"/>
                <w:color w:val="auto"/>
                <w:vertAlign w:val="superscript"/>
              </w:rPr>
              <w:t>(b)</w:t>
            </w:r>
          </w:p>
        </w:tc>
        <w:tc>
          <w:tcPr>
            <w:tcW w:w="340" w:type="dxa"/>
            <w:vAlign w:val="bottom"/>
          </w:tcPr>
          <w:p>
            <w:pPr>
              <w:spacing w:after="0"/>
              <w:rPr>
                <w:sz w:val="17"/>
                <w:szCs w:val="17"/>
                <w:color w:val="auto"/>
              </w:rPr>
            </w:pPr>
          </w:p>
        </w:tc>
        <w:tc>
          <w:tcPr>
            <w:tcW w:w="120" w:type="dxa"/>
            <w:vAlign w:val="bottom"/>
            <w:shd w:val="clear" w:color="auto" w:fill="E3F1DA"/>
          </w:tcPr>
          <w:p>
            <w:pPr>
              <w:jc w:val="right"/>
              <w:spacing w:after="0" w:line="201" w:lineRule="exact"/>
              <w:rPr>
                <w:sz w:val="20"/>
                <w:szCs w:val="20"/>
                <w:color w:val="auto"/>
              </w:rPr>
            </w:pPr>
            <w:r>
              <w:rPr>
                <w:rFonts w:ascii="Arial" w:cs="Arial" w:eastAsia="Arial" w:hAnsi="Arial"/>
                <w:sz w:val="18"/>
                <w:szCs w:val="18"/>
                <w:color w:val="86B6A5"/>
                <w:w w:val="79"/>
              </w:rPr>
              <w:t>$</w:t>
            </w:r>
          </w:p>
        </w:tc>
        <w:tc>
          <w:tcPr>
            <w:tcW w:w="1340" w:type="dxa"/>
            <w:vAlign w:val="bottom"/>
          </w:tcPr>
          <w:p>
            <w:pPr>
              <w:jc w:val="right"/>
              <w:ind w:right="131"/>
              <w:spacing w:after="0" w:line="201" w:lineRule="exact"/>
              <w:rPr>
                <w:sz w:val="20"/>
                <w:szCs w:val="20"/>
                <w:color w:val="auto"/>
              </w:rPr>
            </w:pPr>
            <w:r>
              <w:rPr>
                <w:rFonts w:ascii="Arial" w:cs="Arial" w:eastAsia="Arial" w:hAnsi="Arial"/>
                <w:sz w:val="18"/>
                <w:szCs w:val="18"/>
                <w:color w:val="86B6A5"/>
              </w:rPr>
              <w:t>2,783.4</w:t>
            </w:r>
          </w:p>
        </w:tc>
        <w:tc>
          <w:tcPr>
            <w:tcW w:w="320" w:type="dxa"/>
            <w:vAlign w:val="bottom"/>
          </w:tcPr>
          <w:p>
            <w:pPr>
              <w:jc w:val="right"/>
              <w:ind w:right="130"/>
              <w:spacing w:after="0" w:line="201" w:lineRule="exact"/>
              <w:rPr>
                <w:sz w:val="20"/>
                <w:szCs w:val="20"/>
                <w:color w:val="auto"/>
              </w:rPr>
            </w:pPr>
            <w:r>
              <w:rPr>
                <w:rFonts w:ascii="Arial" w:cs="Arial" w:eastAsia="Arial" w:hAnsi="Arial"/>
                <w:sz w:val="18"/>
                <w:szCs w:val="18"/>
                <w:color w:val="auto"/>
                <w:w w:val="79"/>
              </w:rPr>
              <w:t>$</w:t>
            </w:r>
          </w:p>
        </w:tc>
        <w:tc>
          <w:tcPr>
            <w:tcW w:w="1060" w:type="dxa"/>
            <w:vAlign w:val="bottom"/>
          </w:tcPr>
          <w:p>
            <w:pPr>
              <w:jc w:val="right"/>
              <w:ind w:right="51"/>
              <w:spacing w:after="0" w:line="201" w:lineRule="exact"/>
              <w:rPr>
                <w:sz w:val="20"/>
                <w:szCs w:val="20"/>
                <w:color w:val="auto"/>
              </w:rPr>
            </w:pPr>
            <w:r>
              <w:rPr>
                <w:rFonts w:ascii="Arial" w:cs="Arial" w:eastAsia="Arial" w:hAnsi="Arial"/>
                <w:sz w:val="18"/>
                <w:szCs w:val="18"/>
                <w:color w:val="auto"/>
              </w:rPr>
              <w:t>1,786.0</w:t>
            </w:r>
          </w:p>
        </w:tc>
        <w:tc>
          <w:tcPr>
            <w:tcW w:w="400" w:type="dxa"/>
            <w:vAlign w:val="bottom"/>
          </w:tcPr>
          <w:p>
            <w:pPr>
              <w:jc w:val="right"/>
              <w:ind w:right="130"/>
              <w:spacing w:after="0" w:line="201" w:lineRule="exact"/>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
              <w:spacing w:after="0" w:line="201" w:lineRule="exact"/>
              <w:rPr>
                <w:sz w:val="20"/>
                <w:szCs w:val="20"/>
                <w:color w:val="auto"/>
              </w:rPr>
            </w:pPr>
            <w:r>
              <w:rPr>
                <w:rFonts w:ascii="Arial" w:cs="Arial" w:eastAsia="Arial" w:hAnsi="Arial"/>
                <w:sz w:val="18"/>
                <w:szCs w:val="18"/>
                <w:color w:val="auto"/>
              </w:rPr>
              <w:t>2,236.4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80" w:type="dxa"/>
            <w:vAlign w:val="bottom"/>
            <w:tcBorders>
              <w:bottom w:val="single" w:sz="8" w:color="939598"/>
            </w:tcBorders>
          </w:tcPr>
          <w:p>
            <w:pPr>
              <w:ind w:left="260"/>
              <w:spacing w:after="0" w:line="203" w:lineRule="exact"/>
              <w:rPr>
                <w:sz w:val="20"/>
                <w:szCs w:val="20"/>
                <w:color w:val="auto"/>
              </w:rPr>
            </w:pPr>
            <w:r>
              <w:rPr>
                <w:rFonts w:ascii="Arial" w:cs="Arial" w:eastAsia="Arial" w:hAnsi="Arial"/>
                <w:sz w:val="18"/>
                <w:szCs w:val="18"/>
                <w:color w:val="auto"/>
              </w:rPr>
              <w:t>Other Americas</w:t>
            </w:r>
          </w:p>
        </w:tc>
        <w:tc>
          <w:tcPr>
            <w:tcW w:w="340" w:type="dxa"/>
            <w:vAlign w:val="bottom"/>
            <w:tcBorders>
              <w:bottom w:val="single" w:sz="8" w:color="939598"/>
            </w:tcBorders>
          </w:tcPr>
          <w:p>
            <w:pPr>
              <w:spacing w:after="0"/>
              <w:rPr>
                <w:sz w:val="17"/>
                <w:szCs w:val="17"/>
                <w:color w:val="auto"/>
              </w:rPr>
            </w:pPr>
          </w:p>
        </w:tc>
        <w:tc>
          <w:tcPr>
            <w:tcW w:w="120" w:type="dxa"/>
            <w:vAlign w:val="bottom"/>
            <w:tcBorders>
              <w:bottom w:val="single" w:sz="8" w:color="939598"/>
            </w:tcBorders>
            <w:shd w:val="clear" w:color="auto" w:fill="E3F1DA"/>
          </w:tcPr>
          <w:p>
            <w:pPr>
              <w:spacing w:after="0"/>
              <w:rPr>
                <w:sz w:val="17"/>
                <w:szCs w:val="17"/>
                <w:color w:val="auto"/>
              </w:rPr>
            </w:pPr>
          </w:p>
        </w:tc>
        <w:tc>
          <w:tcPr>
            <w:tcW w:w="1340" w:type="dxa"/>
            <w:vAlign w:val="bottom"/>
            <w:tcBorders>
              <w:bottom w:val="single" w:sz="8" w:color="939598"/>
            </w:tcBorders>
          </w:tcPr>
          <w:p>
            <w:pPr>
              <w:jc w:val="right"/>
              <w:ind w:right="131"/>
              <w:spacing w:after="0" w:line="203" w:lineRule="exact"/>
              <w:rPr>
                <w:sz w:val="20"/>
                <w:szCs w:val="20"/>
                <w:color w:val="auto"/>
              </w:rPr>
            </w:pPr>
            <w:r>
              <w:rPr>
                <w:rFonts w:ascii="Arial" w:cs="Arial" w:eastAsia="Arial" w:hAnsi="Arial"/>
                <w:sz w:val="18"/>
                <w:szCs w:val="18"/>
                <w:color w:val="86B6A5"/>
              </w:rPr>
              <w:t>1,265.5</w:t>
            </w:r>
          </w:p>
        </w:tc>
        <w:tc>
          <w:tcPr>
            <w:tcW w:w="320" w:type="dxa"/>
            <w:vAlign w:val="bottom"/>
            <w:tcBorders>
              <w:bottom w:val="single" w:sz="8" w:color="939598"/>
            </w:tcBorders>
          </w:tcPr>
          <w:p>
            <w:pPr>
              <w:spacing w:after="0"/>
              <w:rPr>
                <w:sz w:val="17"/>
                <w:szCs w:val="17"/>
                <w:color w:val="auto"/>
              </w:rPr>
            </w:pPr>
          </w:p>
        </w:tc>
        <w:tc>
          <w:tcPr>
            <w:tcW w:w="1060" w:type="dxa"/>
            <w:vAlign w:val="bottom"/>
            <w:tcBorders>
              <w:bottom w:val="single" w:sz="8" w:color="939598"/>
            </w:tcBorders>
          </w:tcPr>
          <w:p>
            <w:pPr>
              <w:jc w:val="right"/>
              <w:ind w:right="51"/>
              <w:spacing w:after="0" w:line="203" w:lineRule="exact"/>
              <w:rPr>
                <w:sz w:val="20"/>
                <w:szCs w:val="20"/>
                <w:color w:val="auto"/>
              </w:rPr>
            </w:pPr>
            <w:r>
              <w:rPr>
                <w:rFonts w:ascii="Arial" w:cs="Arial" w:eastAsia="Arial" w:hAnsi="Arial"/>
                <w:sz w:val="18"/>
                <w:szCs w:val="18"/>
                <w:color w:val="auto"/>
              </w:rPr>
              <w:t>967.3</w:t>
            </w:r>
          </w:p>
        </w:tc>
        <w:tc>
          <w:tcPr>
            <w:tcW w:w="400" w:type="dxa"/>
            <w:vAlign w:val="bottom"/>
            <w:tcBorders>
              <w:bottom w:val="single" w:sz="8" w:color="939598"/>
            </w:tcBorders>
          </w:tcPr>
          <w:p>
            <w:pPr>
              <w:spacing w:after="0"/>
              <w:rPr>
                <w:sz w:val="17"/>
                <w:szCs w:val="17"/>
                <w:color w:val="auto"/>
              </w:rPr>
            </w:pPr>
          </w:p>
        </w:tc>
        <w:tc>
          <w:tcPr>
            <w:tcW w:w="940" w:type="dxa"/>
            <w:vAlign w:val="bottom"/>
            <w:tcBorders>
              <w:bottom w:val="single" w:sz="8" w:color="939598"/>
            </w:tcBorders>
            <w:gridSpan w:val="2"/>
          </w:tcPr>
          <w:p>
            <w:pPr>
              <w:jc w:val="right"/>
              <w:ind w:right="20"/>
              <w:spacing w:after="0" w:line="203" w:lineRule="exact"/>
              <w:rPr>
                <w:sz w:val="20"/>
                <w:szCs w:val="20"/>
                <w:color w:val="auto"/>
              </w:rPr>
            </w:pPr>
            <w:r>
              <w:rPr>
                <w:rFonts w:ascii="Arial" w:cs="Arial" w:eastAsia="Arial" w:hAnsi="Arial"/>
                <w:sz w:val="18"/>
                <w:szCs w:val="18"/>
                <w:color w:val="auto"/>
              </w:rPr>
              <w:t>1,129.8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80" w:type="dxa"/>
            <w:vAlign w:val="bottom"/>
            <w:tcBorders>
              <w:bottom w:val="single" w:sz="8" w:color="939598"/>
            </w:tcBorders>
          </w:tcPr>
          <w:p>
            <w:pPr>
              <w:spacing w:after="0"/>
              <w:rPr>
                <w:sz w:val="17"/>
                <w:szCs w:val="17"/>
                <w:color w:val="auto"/>
              </w:rPr>
            </w:pPr>
          </w:p>
        </w:tc>
        <w:tc>
          <w:tcPr>
            <w:tcW w:w="340" w:type="dxa"/>
            <w:vAlign w:val="bottom"/>
            <w:tcBorders>
              <w:bottom w:val="single" w:sz="8" w:color="939598"/>
            </w:tcBorders>
          </w:tcPr>
          <w:p>
            <w:pPr>
              <w:spacing w:after="0"/>
              <w:rPr>
                <w:sz w:val="17"/>
                <w:szCs w:val="17"/>
                <w:color w:val="auto"/>
              </w:rPr>
            </w:pPr>
          </w:p>
        </w:tc>
        <w:tc>
          <w:tcPr>
            <w:tcW w:w="120" w:type="dxa"/>
            <w:vAlign w:val="bottom"/>
            <w:tcBorders>
              <w:bottom w:val="single" w:sz="8" w:color="939598"/>
            </w:tcBorders>
            <w:shd w:val="clear" w:color="auto" w:fill="E3F1DA"/>
          </w:tcPr>
          <w:p>
            <w:pPr>
              <w:spacing w:after="0"/>
              <w:rPr>
                <w:sz w:val="17"/>
                <w:szCs w:val="17"/>
                <w:color w:val="auto"/>
              </w:rPr>
            </w:pPr>
          </w:p>
        </w:tc>
        <w:tc>
          <w:tcPr>
            <w:tcW w:w="1340" w:type="dxa"/>
            <w:vAlign w:val="bottom"/>
            <w:tcBorders>
              <w:bottom w:val="single" w:sz="8" w:color="939598"/>
            </w:tcBorders>
          </w:tcPr>
          <w:p>
            <w:pPr>
              <w:jc w:val="right"/>
              <w:ind w:right="131"/>
              <w:spacing w:after="0" w:line="196" w:lineRule="exact"/>
              <w:rPr>
                <w:sz w:val="20"/>
                <w:szCs w:val="20"/>
                <w:color w:val="auto"/>
              </w:rPr>
            </w:pPr>
            <w:r>
              <w:rPr>
                <w:rFonts w:ascii="Arial" w:cs="Arial" w:eastAsia="Arial" w:hAnsi="Arial"/>
                <w:sz w:val="18"/>
                <w:szCs w:val="18"/>
                <w:color w:val="86B6A5"/>
              </w:rPr>
              <w:t>4,048.9</w:t>
            </w:r>
          </w:p>
        </w:tc>
        <w:tc>
          <w:tcPr>
            <w:tcW w:w="320" w:type="dxa"/>
            <w:vAlign w:val="bottom"/>
            <w:tcBorders>
              <w:bottom w:val="single" w:sz="8" w:color="939598"/>
            </w:tcBorders>
          </w:tcPr>
          <w:p>
            <w:pPr>
              <w:spacing w:after="0"/>
              <w:rPr>
                <w:sz w:val="17"/>
                <w:szCs w:val="17"/>
                <w:color w:val="auto"/>
              </w:rPr>
            </w:pPr>
          </w:p>
        </w:tc>
        <w:tc>
          <w:tcPr>
            <w:tcW w:w="1060" w:type="dxa"/>
            <w:vAlign w:val="bottom"/>
            <w:tcBorders>
              <w:bottom w:val="single" w:sz="8" w:color="939598"/>
            </w:tcBorders>
          </w:tcPr>
          <w:p>
            <w:pPr>
              <w:jc w:val="right"/>
              <w:ind w:right="51"/>
              <w:spacing w:after="0" w:line="196" w:lineRule="exact"/>
              <w:rPr>
                <w:sz w:val="20"/>
                <w:szCs w:val="20"/>
                <w:color w:val="auto"/>
              </w:rPr>
            </w:pPr>
            <w:r>
              <w:rPr>
                <w:rFonts w:ascii="Arial" w:cs="Arial" w:eastAsia="Arial" w:hAnsi="Arial"/>
                <w:sz w:val="18"/>
                <w:szCs w:val="18"/>
                <w:color w:val="auto"/>
              </w:rPr>
              <w:t>2,753.3</w:t>
            </w:r>
          </w:p>
        </w:tc>
        <w:tc>
          <w:tcPr>
            <w:tcW w:w="400" w:type="dxa"/>
            <w:vAlign w:val="bottom"/>
            <w:tcBorders>
              <w:bottom w:val="single" w:sz="8" w:color="939598"/>
            </w:tcBorders>
          </w:tcPr>
          <w:p>
            <w:pPr>
              <w:spacing w:after="0"/>
              <w:rPr>
                <w:sz w:val="17"/>
                <w:szCs w:val="17"/>
                <w:color w:val="auto"/>
              </w:rPr>
            </w:pPr>
          </w:p>
        </w:tc>
        <w:tc>
          <w:tcPr>
            <w:tcW w:w="940" w:type="dxa"/>
            <w:vAlign w:val="bottom"/>
            <w:tcBorders>
              <w:bottom w:val="single" w:sz="8" w:color="939598"/>
            </w:tcBorders>
            <w:gridSpan w:val="2"/>
          </w:tcPr>
          <w:p>
            <w:pPr>
              <w:jc w:val="right"/>
              <w:ind w:right="20"/>
              <w:spacing w:after="0" w:line="196" w:lineRule="exact"/>
              <w:rPr>
                <w:sz w:val="20"/>
                <w:szCs w:val="20"/>
                <w:color w:val="auto"/>
              </w:rPr>
            </w:pPr>
            <w:r>
              <w:rPr>
                <w:rFonts w:ascii="Arial" w:cs="Arial" w:eastAsia="Arial" w:hAnsi="Arial"/>
                <w:sz w:val="18"/>
                <w:szCs w:val="18"/>
                <w:color w:val="auto"/>
              </w:rPr>
              <w:t>3,366.2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680" w:type="dxa"/>
            <w:vAlign w:val="bottom"/>
          </w:tcPr>
          <w:p>
            <w:pPr>
              <w:spacing w:after="0" w:line="195" w:lineRule="exact"/>
              <w:rPr>
                <w:sz w:val="20"/>
                <w:szCs w:val="20"/>
                <w:color w:val="auto"/>
              </w:rPr>
            </w:pPr>
            <w:r>
              <w:rPr>
                <w:rFonts w:ascii="Arial" w:cs="Arial" w:eastAsia="Arial" w:hAnsi="Arial"/>
                <w:sz w:val="18"/>
                <w:szCs w:val="18"/>
                <w:color w:val="auto"/>
              </w:rPr>
              <w:t>France</w:t>
            </w:r>
          </w:p>
        </w:tc>
        <w:tc>
          <w:tcPr>
            <w:tcW w:w="340" w:type="dxa"/>
            <w:vAlign w:val="bottom"/>
          </w:tcPr>
          <w:p>
            <w:pPr>
              <w:spacing w:after="0"/>
              <w:rPr>
                <w:sz w:val="16"/>
                <w:szCs w:val="16"/>
                <w:color w:val="auto"/>
              </w:rPr>
            </w:pPr>
          </w:p>
        </w:tc>
        <w:tc>
          <w:tcPr>
            <w:tcW w:w="120" w:type="dxa"/>
            <w:vAlign w:val="bottom"/>
            <w:shd w:val="clear" w:color="auto" w:fill="E3F1DA"/>
          </w:tcPr>
          <w:p>
            <w:pPr>
              <w:spacing w:after="0"/>
              <w:rPr>
                <w:sz w:val="16"/>
                <w:szCs w:val="16"/>
                <w:color w:val="auto"/>
              </w:rPr>
            </w:pPr>
          </w:p>
        </w:tc>
        <w:tc>
          <w:tcPr>
            <w:tcW w:w="1340" w:type="dxa"/>
            <w:vAlign w:val="bottom"/>
          </w:tcPr>
          <w:p>
            <w:pPr>
              <w:jc w:val="right"/>
              <w:ind w:right="131"/>
              <w:spacing w:after="0" w:line="195" w:lineRule="exact"/>
              <w:rPr>
                <w:sz w:val="20"/>
                <w:szCs w:val="20"/>
                <w:color w:val="auto"/>
              </w:rPr>
            </w:pPr>
            <w:r>
              <w:rPr>
                <w:rFonts w:ascii="Arial" w:cs="Arial" w:eastAsia="Arial" w:hAnsi="Arial"/>
                <w:sz w:val="18"/>
                <w:szCs w:val="18"/>
                <w:color w:val="86B6A5"/>
              </w:rPr>
              <w:t>5,208.6</w:t>
            </w:r>
          </w:p>
        </w:tc>
        <w:tc>
          <w:tcPr>
            <w:tcW w:w="320" w:type="dxa"/>
            <w:vAlign w:val="bottom"/>
          </w:tcPr>
          <w:p>
            <w:pPr>
              <w:spacing w:after="0"/>
              <w:rPr>
                <w:sz w:val="16"/>
                <w:szCs w:val="16"/>
                <w:color w:val="auto"/>
              </w:rPr>
            </w:pPr>
          </w:p>
        </w:tc>
        <w:tc>
          <w:tcPr>
            <w:tcW w:w="1060" w:type="dxa"/>
            <w:vAlign w:val="bottom"/>
          </w:tcPr>
          <w:p>
            <w:pPr>
              <w:jc w:val="right"/>
              <w:ind w:right="51"/>
              <w:spacing w:after="0" w:line="195" w:lineRule="exact"/>
              <w:rPr>
                <w:sz w:val="20"/>
                <w:szCs w:val="20"/>
                <w:color w:val="auto"/>
              </w:rPr>
            </w:pPr>
            <w:r>
              <w:rPr>
                <w:rFonts w:ascii="Arial" w:cs="Arial" w:eastAsia="Arial" w:hAnsi="Arial"/>
                <w:sz w:val="18"/>
                <w:szCs w:val="18"/>
                <w:color w:val="auto"/>
              </w:rPr>
              <w:t>4,675.5</w:t>
            </w:r>
          </w:p>
        </w:tc>
        <w:tc>
          <w:tcPr>
            <w:tcW w:w="400" w:type="dxa"/>
            <w:vAlign w:val="bottom"/>
          </w:tcPr>
          <w:p>
            <w:pPr>
              <w:spacing w:after="0"/>
              <w:rPr>
                <w:sz w:val="16"/>
                <w:szCs w:val="16"/>
                <w:color w:val="auto"/>
              </w:rPr>
            </w:pPr>
          </w:p>
        </w:tc>
        <w:tc>
          <w:tcPr>
            <w:tcW w:w="940" w:type="dxa"/>
            <w:vAlign w:val="bottom"/>
            <w:gridSpan w:val="2"/>
          </w:tcPr>
          <w:p>
            <w:pPr>
              <w:jc w:val="right"/>
              <w:ind w:right="20"/>
              <w:spacing w:after="0" w:line="195" w:lineRule="exact"/>
              <w:rPr>
                <w:sz w:val="20"/>
                <w:szCs w:val="20"/>
                <w:color w:val="auto"/>
              </w:rPr>
            </w:pPr>
            <w:r>
              <w:rPr>
                <w:rFonts w:ascii="Arial" w:cs="Arial" w:eastAsia="Arial" w:hAnsi="Arial"/>
                <w:sz w:val="18"/>
                <w:szCs w:val="18"/>
                <w:color w:val="auto"/>
              </w:rPr>
              <w:t>6,935.6</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700" w:type="dxa"/>
            <w:vAlign w:val="bottom"/>
            <w:gridSpan w:val="2"/>
          </w:tcPr>
          <w:p>
            <w:pPr>
              <w:spacing w:after="0" w:line="202" w:lineRule="exact"/>
              <w:rPr>
                <w:sz w:val="20"/>
                <w:szCs w:val="20"/>
                <w:color w:val="auto"/>
              </w:rPr>
            </w:pPr>
            <w:r>
              <w:rPr>
                <w:rFonts w:ascii="Arial" w:cs="Arial" w:eastAsia="Arial" w:hAnsi="Arial"/>
                <w:sz w:val="18"/>
                <w:szCs w:val="18"/>
                <w:color w:val="auto"/>
              </w:rPr>
              <w:t>EMEA:</w:t>
            </w:r>
          </w:p>
        </w:tc>
        <w:tc>
          <w:tcPr>
            <w:tcW w:w="340" w:type="dxa"/>
            <w:vAlign w:val="bottom"/>
          </w:tcPr>
          <w:p>
            <w:pPr>
              <w:spacing w:after="0"/>
              <w:rPr>
                <w:sz w:val="17"/>
                <w:szCs w:val="17"/>
                <w:color w:val="auto"/>
              </w:rPr>
            </w:pPr>
          </w:p>
        </w:tc>
        <w:tc>
          <w:tcPr>
            <w:tcW w:w="120" w:type="dxa"/>
            <w:vAlign w:val="bottom"/>
            <w:shd w:val="clear" w:color="auto" w:fill="E3F1DA"/>
          </w:tcPr>
          <w:p>
            <w:pPr>
              <w:spacing w:after="0"/>
              <w:rPr>
                <w:sz w:val="17"/>
                <w:szCs w:val="17"/>
                <w:color w:val="auto"/>
              </w:rPr>
            </w:pPr>
          </w:p>
        </w:tc>
        <w:tc>
          <w:tcPr>
            <w:tcW w:w="1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80" w:type="dxa"/>
            <w:vAlign w:val="bottom"/>
          </w:tcPr>
          <w:p>
            <w:pPr>
              <w:ind w:left="260"/>
              <w:spacing w:after="0" w:line="202" w:lineRule="exact"/>
              <w:rPr>
                <w:sz w:val="20"/>
                <w:szCs w:val="20"/>
                <w:color w:val="auto"/>
              </w:rPr>
            </w:pPr>
            <w:r>
              <w:rPr>
                <w:rFonts w:ascii="Arial" w:cs="Arial" w:eastAsia="Arial" w:hAnsi="Arial"/>
                <w:sz w:val="18"/>
                <w:szCs w:val="18"/>
                <w:color w:val="auto"/>
              </w:rPr>
              <w:t>Italy</w:t>
            </w:r>
          </w:p>
        </w:tc>
        <w:tc>
          <w:tcPr>
            <w:tcW w:w="340" w:type="dxa"/>
            <w:vAlign w:val="bottom"/>
          </w:tcPr>
          <w:p>
            <w:pPr>
              <w:spacing w:after="0"/>
              <w:rPr>
                <w:sz w:val="17"/>
                <w:szCs w:val="17"/>
                <w:color w:val="auto"/>
              </w:rPr>
            </w:pPr>
          </w:p>
        </w:tc>
        <w:tc>
          <w:tcPr>
            <w:tcW w:w="120" w:type="dxa"/>
            <w:vAlign w:val="bottom"/>
            <w:shd w:val="clear" w:color="auto" w:fill="E3F1DA"/>
          </w:tcPr>
          <w:p>
            <w:pPr>
              <w:spacing w:after="0"/>
              <w:rPr>
                <w:sz w:val="17"/>
                <w:szCs w:val="17"/>
                <w:color w:val="auto"/>
              </w:rPr>
            </w:pPr>
          </w:p>
        </w:tc>
        <w:tc>
          <w:tcPr>
            <w:tcW w:w="1340" w:type="dxa"/>
            <w:vAlign w:val="bottom"/>
          </w:tcPr>
          <w:p>
            <w:pPr>
              <w:jc w:val="right"/>
              <w:ind w:right="131"/>
              <w:spacing w:after="0" w:line="202" w:lineRule="exact"/>
              <w:rPr>
                <w:sz w:val="20"/>
                <w:szCs w:val="20"/>
                <w:color w:val="auto"/>
              </w:rPr>
            </w:pPr>
            <w:r>
              <w:rPr>
                <w:rFonts w:ascii="Arial" w:cs="Arial" w:eastAsia="Arial" w:hAnsi="Arial"/>
                <w:sz w:val="18"/>
                <w:szCs w:val="18"/>
                <w:color w:val="86B6A5"/>
              </w:rPr>
              <w:t>1,044.2</w:t>
            </w:r>
          </w:p>
        </w:tc>
        <w:tc>
          <w:tcPr>
            <w:tcW w:w="320" w:type="dxa"/>
            <w:vAlign w:val="bottom"/>
          </w:tcPr>
          <w:p>
            <w:pPr>
              <w:spacing w:after="0"/>
              <w:rPr>
                <w:sz w:val="17"/>
                <w:szCs w:val="17"/>
                <w:color w:val="auto"/>
              </w:rPr>
            </w:pPr>
          </w:p>
        </w:tc>
        <w:tc>
          <w:tcPr>
            <w:tcW w:w="1060" w:type="dxa"/>
            <w:vAlign w:val="bottom"/>
          </w:tcPr>
          <w:p>
            <w:pPr>
              <w:jc w:val="right"/>
              <w:ind w:right="51"/>
              <w:spacing w:after="0" w:line="202" w:lineRule="exact"/>
              <w:rPr>
                <w:sz w:val="20"/>
                <w:szCs w:val="20"/>
                <w:color w:val="auto"/>
              </w:rPr>
            </w:pPr>
            <w:r>
              <w:rPr>
                <w:rFonts w:ascii="Arial" w:cs="Arial" w:eastAsia="Arial" w:hAnsi="Arial"/>
                <w:sz w:val="18"/>
                <w:szCs w:val="18"/>
                <w:color w:val="auto"/>
              </w:rPr>
              <w:t>950.8</w:t>
            </w:r>
          </w:p>
        </w:tc>
        <w:tc>
          <w:tcPr>
            <w:tcW w:w="400" w:type="dxa"/>
            <w:vAlign w:val="bottom"/>
          </w:tcPr>
          <w:p>
            <w:pPr>
              <w:spacing w:after="0"/>
              <w:rPr>
                <w:sz w:val="17"/>
                <w:szCs w:val="17"/>
                <w:color w:val="auto"/>
              </w:rPr>
            </w:pPr>
          </w:p>
        </w:tc>
        <w:tc>
          <w:tcPr>
            <w:tcW w:w="9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1,519.5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80" w:type="dxa"/>
            <w:vAlign w:val="bottom"/>
            <w:tcBorders>
              <w:bottom w:val="single" w:sz="8" w:color="939598"/>
            </w:tcBorders>
          </w:tcPr>
          <w:p>
            <w:pPr>
              <w:ind w:left="260"/>
              <w:spacing w:after="0" w:line="203" w:lineRule="exact"/>
              <w:rPr>
                <w:sz w:val="20"/>
                <w:szCs w:val="20"/>
                <w:color w:val="auto"/>
              </w:rPr>
            </w:pPr>
            <w:r>
              <w:rPr>
                <w:rFonts w:ascii="Arial" w:cs="Arial" w:eastAsia="Arial" w:hAnsi="Arial"/>
                <w:sz w:val="18"/>
                <w:szCs w:val="18"/>
                <w:color w:val="auto"/>
              </w:rPr>
              <w:t>Other EMEA</w:t>
            </w:r>
          </w:p>
        </w:tc>
        <w:tc>
          <w:tcPr>
            <w:tcW w:w="340" w:type="dxa"/>
            <w:vAlign w:val="bottom"/>
            <w:tcBorders>
              <w:bottom w:val="single" w:sz="8" w:color="939598"/>
            </w:tcBorders>
          </w:tcPr>
          <w:p>
            <w:pPr>
              <w:spacing w:after="0"/>
              <w:rPr>
                <w:sz w:val="17"/>
                <w:szCs w:val="17"/>
                <w:color w:val="auto"/>
              </w:rPr>
            </w:pPr>
          </w:p>
        </w:tc>
        <w:tc>
          <w:tcPr>
            <w:tcW w:w="120" w:type="dxa"/>
            <w:vAlign w:val="bottom"/>
            <w:tcBorders>
              <w:bottom w:val="single" w:sz="8" w:color="939598"/>
            </w:tcBorders>
            <w:shd w:val="clear" w:color="auto" w:fill="E3F1DA"/>
          </w:tcPr>
          <w:p>
            <w:pPr>
              <w:spacing w:after="0"/>
              <w:rPr>
                <w:sz w:val="17"/>
                <w:szCs w:val="17"/>
                <w:color w:val="auto"/>
              </w:rPr>
            </w:pPr>
          </w:p>
        </w:tc>
        <w:tc>
          <w:tcPr>
            <w:tcW w:w="1340" w:type="dxa"/>
            <w:vAlign w:val="bottom"/>
            <w:tcBorders>
              <w:bottom w:val="single" w:sz="8" w:color="939598"/>
            </w:tcBorders>
          </w:tcPr>
          <w:p>
            <w:pPr>
              <w:jc w:val="right"/>
              <w:ind w:right="131"/>
              <w:spacing w:after="0" w:line="203" w:lineRule="exact"/>
              <w:rPr>
                <w:sz w:val="20"/>
                <w:szCs w:val="20"/>
                <w:color w:val="auto"/>
              </w:rPr>
            </w:pPr>
            <w:r>
              <w:rPr>
                <w:rFonts w:ascii="Arial" w:cs="Arial" w:eastAsia="Arial" w:hAnsi="Arial"/>
                <w:sz w:val="18"/>
                <w:szCs w:val="18"/>
                <w:color w:val="86B6A5"/>
              </w:rPr>
              <w:t>6,043.0</w:t>
            </w:r>
          </w:p>
        </w:tc>
        <w:tc>
          <w:tcPr>
            <w:tcW w:w="320" w:type="dxa"/>
            <w:vAlign w:val="bottom"/>
            <w:tcBorders>
              <w:bottom w:val="single" w:sz="8" w:color="939598"/>
            </w:tcBorders>
          </w:tcPr>
          <w:p>
            <w:pPr>
              <w:spacing w:after="0"/>
              <w:rPr>
                <w:sz w:val="17"/>
                <w:szCs w:val="17"/>
                <w:color w:val="auto"/>
              </w:rPr>
            </w:pPr>
          </w:p>
        </w:tc>
        <w:tc>
          <w:tcPr>
            <w:tcW w:w="1060" w:type="dxa"/>
            <w:vAlign w:val="bottom"/>
            <w:tcBorders>
              <w:bottom w:val="single" w:sz="8" w:color="939598"/>
            </w:tcBorders>
          </w:tcPr>
          <w:p>
            <w:pPr>
              <w:jc w:val="right"/>
              <w:ind w:right="51"/>
              <w:spacing w:after="0" w:line="203" w:lineRule="exact"/>
              <w:rPr>
                <w:sz w:val="20"/>
                <w:szCs w:val="20"/>
                <w:color w:val="auto"/>
              </w:rPr>
            </w:pPr>
            <w:r>
              <w:rPr>
                <w:rFonts w:ascii="Arial" w:cs="Arial" w:eastAsia="Arial" w:hAnsi="Arial"/>
                <w:sz w:val="18"/>
                <w:szCs w:val="18"/>
                <w:color w:val="auto"/>
              </w:rPr>
              <w:t>5,371.7</w:t>
            </w:r>
          </w:p>
        </w:tc>
        <w:tc>
          <w:tcPr>
            <w:tcW w:w="400" w:type="dxa"/>
            <w:vAlign w:val="bottom"/>
            <w:tcBorders>
              <w:bottom w:val="single" w:sz="8" w:color="939598"/>
            </w:tcBorders>
          </w:tcPr>
          <w:p>
            <w:pPr>
              <w:spacing w:after="0"/>
              <w:rPr>
                <w:sz w:val="17"/>
                <w:szCs w:val="17"/>
                <w:color w:val="auto"/>
              </w:rPr>
            </w:pPr>
          </w:p>
        </w:tc>
        <w:tc>
          <w:tcPr>
            <w:tcW w:w="940" w:type="dxa"/>
            <w:vAlign w:val="bottom"/>
            <w:tcBorders>
              <w:bottom w:val="single" w:sz="8" w:color="939598"/>
            </w:tcBorders>
            <w:gridSpan w:val="2"/>
          </w:tcPr>
          <w:p>
            <w:pPr>
              <w:jc w:val="right"/>
              <w:ind w:right="20"/>
              <w:spacing w:after="0" w:line="203" w:lineRule="exact"/>
              <w:rPr>
                <w:sz w:val="20"/>
                <w:szCs w:val="20"/>
                <w:color w:val="auto"/>
              </w:rPr>
            </w:pPr>
            <w:r>
              <w:rPr>
                <w:rFonts w:ascii="Arial" w:cs="Arial" w:eastAsia="Arial" w:hAnsi="Arial"/>
                <w:sz w:val="18"/>
                <w:szCs w:val="18"/>
                <w:color w:val="auto"/>
              </w:rPr>
              <w:t>7,422.0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80" w:type="dxa"/>
            <w:vAlign w:val="bottom"/>
            <w:tcBorders>
              <w:bottom w:val="single" w:sz="8" w:color="939598"/>
            </w:tcBorders>
          </w:tcPr>
          <w:p>
            <w:pPr>
              <w:spacing w:after="0"/>
              <w:rPr>
                <w:sz w:val="17"/>
                <w:szCs w:val="17"/>
                <w:color w:val="auto"/>
              </w:rPr>
            </w:pPr>
          </w:p>
        </w:tc>
        <w:tc>
          <w:tcPr>
            <w:tcW w:w="340" w:type="dxa"/>
            <w:vAlign w:val="bottom"/>
            <w:tcBorders>
              <w:bottom w:val="single" w:sz="8" w:color="939598"/>
            </w:tcBorders>
          </w:tcPr>
          <w:p>
            <w:pPr>
              <w:spacing w:after="0"/>
              <w:rPr>
                <w:sz w:val="17"/>
                <w:szCs w:val="17"/>
                <w:color w:val="auto"/>
              </w:rPr>
            </w:pPr>
          </w:p>
        </w:tc>
        <w:tc>
          <w:tcPr>
            <w:tcW w:w="120" w:type="dxa"/>
            <w:vAlign w:val="bottom"/>
            <w:tcBorders>
              <w:bottom w:val="single" w:sz="8" w:color="939598"/>
            </w:tcBorders>
            <w:shd w:val="clear" w:color="auto" w:fill="E3F1DA"/>
          </w:tcPr>
          <w:p>
            <w:pPr>
              <w:spacing w:after="0"/>
              <w:rPr>
                <w:sz w:val="17"/>
                <w:szCs w:val="17"/>
                <w:color w:val="auto"/>
              </w:rPr>
            </w:pPr>
          </w:p>
        </w:tc>
        <w:tc>
          <w:tcPr>
            <w:tcW w:w="1340" w:type="dxa"/>
            <w:vAlign w:val="bottom"/>
            <w:tcBorders>
              <w:bottom w:val="single" w:sz="8" w:color="939598"/>
            </w:tcBorders>
          </w:tcPr>
          <w:p>
            <w:pPr>
              <w:jc w:val="right"/>
              <w:ind w:right="131"/>
              <w:spacing w:after="0" w:line="196" w:lineRule="exact"/>
              <w:rPr>
                <w:sz w:val="20"/>
                <w:szCs w:val="20"/>
                <w:color w:val="auto"/>
              </w:rPr>
            </w:pPr>
            <w:r>
              <w:rPr>
                <w:rFonts w:ascii="Arial" w:cs="Arial" w:eastAsia="Arial" w:hAnsi="Arial"/>
                <w:sz w:val="18"/>
                <w:szCs w:val="18"/>
                <w:color w:val="86B6A5"/>
              </w:rPr>
              <w:t>7,087.2</w:t>
            </w:r>
          </w:p>
        </w:tc>
        <w:tc>
          <w:tcPr>
            <w:tcW w:w="320" w:type="dxa"/>
            <w:vAlign w:val="bottom"/>
            <w:tcBorders>
              <w:bottom w:val="single" w:sz="8" w:color="939598"/>
            </w:tcBorders>
          </w:tcPr>
          <w:p>
            <w:pPr>
              <w:spacing w:after="0"/>
              <w:rPr>
                <w:sz w:val="17"/>
                <w:szCs w:val="17"/>
                <w:color w:val="auto"/>
              </w:rPr>
            </w:pPr>
          </w:p>
        </w:tc>
        <w:tc>
          <w:tcPr>
            <w:tcW w:w="1060" w:type="dxa"/>
            <w:vAlign w:val="bottom"/>
            <w:tcBorders>
              <w:bottom w:val="single" w:sz="8" w:color="939598"/>
            </w:tcBorders>
          </w:tcPr>
          <w:p>
            <w:pPr>
              <w:jc w:val="right"/>
              <w:ind w:right="51"/>
              <w:spacing w:after="0" w:line="196" w:lineRule="exact"/>
              <w:rPr>
                <w:sz w:val="20"/>
                <w:szCs w:val="20"/>
                <w:color w:val="auto"/>
              </w:rPr>
            </w:pPr>
            <w:r>
              <w:rPr>
                <w:rFonts w:ascii="Arial" w:cs="Arial" w:eastAsia="Arial" w:hAnsi="Arial"/>
                <w:sz w:val="18"/>
                <w:szCs w:val="18"/>
                <w:color w:val="auto"/>
              </w:rPr>
              <w:t>6,322.5</w:t>
            </w:r>
          </w:p>
        </w:tc>
        <w:tc>
          <w:tcPr>
            <w:tcW w:w="400" w:type="dxa"/>
            <w:vAlign w:val="bottom"/>
            <w:tcBorders>
              <w:bottom w:val="single" w:sz="8" w:color="939598"/>
            </w:tcBorders>
          </w:tcPr>
          <w:p>
            <w:pPr>
              <w:spacing w:after="0"/>
              <w:rPr>
                <w:sz w:val="17"/>
                <w:szCs w:val="17"/>
                <w:color w:val="auto"/>
              </w:rPr>
            </w:pPr>
          </w:p>
        </w:tc>
        <w:tc>
          <w:tcPr>
            <w:tcW w:w="940" w:type="dxa"/>
            <w:vAlign w:val="bottom"/>
            <w:tcBorders>
              <w:bottom w:val="single" w:sz="8" w:color="939598"/>
            </w:tcBorders>
            <w:gridSpan w:val="2"/>
          </w:tcPr>
          <w:p>
            <w:pPr>
              <w:jc w:val="right"/>
              <w:ind w:right="20"/>
              <w:spacing w:after="0" w:line="196" w:lineRule="exact"/>
              <w:rPr>
                <w:sz w:val="20"/>
                <w:szCs w:val="20"/>
                <w:color w:val="auto"/>
              </w:rPr>
            </w:pPr>
            <w:r>
              <w:rPr>
                <w:rFonts w:ascii="Arial" w:cs="Arial" w:eastAsia="Arial" w:hAnsi="Arial"/>
                <w:sz w:val="18"/>
                <w:szCs w:val="18"/>
                <w:color w:val="auto"/>
              </w:rPr>
              <w:t>8,941.5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680" w:type="dxa"/>
            <w:vAlign w:val="bottom"/>
          </w:tcPr>
          <w:p>
            <w:pPr>
              <w:spacing w:after="0" w:line="195" w:lineRule="exact"/>
              <w:rPr>
                <w:sz w:val="20"/>
                <w:szCs w:val="20"/>
                <w:color w:val="auto"/>
              </w:rPr>
            </w:pPr>
            <w:r>
              <w:rPr>
                <w:rFonts w:ascii="Arial" w:cs="Arial" w:eastAsia="Arial" w:hAnsi="Arial"/>
                <w:sz w:val="18"/>
                <w:szCs w:val="18"/>
                <w:color w:val="auto"/>
              </w:rPr>
              <w:t>Asia Pacific</w:t>
            </w:r>
          </w:p>
        </w:tc>
        <w:tc>
          <w:tcPr>
            <w:tcW w:w="340" w:type="dxa"/>
            <w:vAlign w:val="bottom"/>
          </w:tcPr>
          <w:p>
            <w:pPr>
              <w:spacing w:after="0"/>
              <w:rPr>
                <w:sz w:val="16"/>
                <w:szCs w:val="16"/>
                <w:color w:val="auto"/>
              </w:rPr>
            </w:pPr>
          </w:p>
        </w:tc>
        <w:tc>
          <w:tcPr>
            <w:tcW w:w="120" w:type="dxa"/>
            <w:vAlign w:val="bottom"/>
            <w:shd w:val="clear" w:color="auto" w:fill="E3F1DA"/>
          </w:tcPr>
          <w:p>
            <w:pPr>
              <w:spacing w:after="0"/>
              <w:rPr>
                <w:sz w:val="16"/>
                <w:szCs w:val="16"/>
                <w:color w:val="auto"/>
              </w:rPr>
            </w:pPr>
          </w:p>
        </w:tc>
        <w:tc>
          <w:tcPr>
            <w:tcW w:w="1340" w:type="dxa"/>
            <w:vAlign w:val="bottom"/>
          </w:tcPr>
          <w:p>
            <w:pPr>
              <w:jc w:val="right"/>
              <w:ind w:right="131"/>
              <w:spacing w:after="0" w:line="195" w:lineRule="exact"/>
              <w:rPr>
                <w:sz w:val="20"/>
                <w:szCs w:val="20"/>
                <w:color w:val="auto"/>
              </w:rPr>
            </w:pPr>
            <w:r>
              <w:rPr>
                <w:rFonts w:ascii="Arial" w:cs="Arial" w:eastAsia="Arial" w:hAnsi="Arial"/>
                <w:sz w:val="18"/>
                <w:szCs w:val="18"/>
                <w:color w:val="86B6A5"/>
              </w:rPr>
              <w:t>2,147.2</w:t>
            </w:r>
          </w:p>
        </w:tc>
        <w:tc>
          <w:tcPr>
            <w:tcW w:w="320" w:type="dxa"/>
            <w:vAlign w:val="bottom"/>
          </w:tcPr>
          <w:p>
            <w:pPr>
              <w:spacing w:after="0"/>
              <w:rPr>
                <w:sz w:val="16"/>
                <w:szCs w:val="16"/>
                <w:color w:val="auto"/>
              </w:rPr>
            </w:pPr>
          </w:p>
        </w:tc>
        <w:tc>
          <w:tcPr>
            <w:tcW w:w="1060" w:type="dxa"/>
            <w:vAlign w:val="bottom"/>
          </w:tcPr>
          <w:p>
            <w:pPr>
              <w:jc w:val="right"/>
              <w:ind w:right="51"/>
              <w:spacing w:after="0" w:line="195" w:lineRule="exact"/>
              <w:rPr>
                <w:sz w:val="20"/>
                <w:szCs w:val="20"/>
                <w:color w:val="auto"/>
              </w:rPr>
            </w:pPr>
            <w:r>
              <w:rPr>
                <w:rFonts w:ascii="Arial" w:cs="Arial" w:eastAsia="Arial" w:hAnsi="Arial"/>
                <w:sz w:val="18"/>
                <w:szCs w:val="18"/>
                <w:color w:val="auto"/>
              </w:rPr>
              <w:t>1,728.0</w:t>
            </w:r>
          </w:p>
        </w:tc>
        <w:tc>
          <w:tcPr>
            <w:tcW w:w="400" w:type="dxa"/>
            <w:vAlign w:val="bottom"/>
          </w:tcPr>
          <w:p>
            <w:pPr>
              <w:spacing w:after="0"/>
              <w:rPr>
                <w:sz w:val="16"/>
                <w:szCs w:val="16"/>
                <w:color w:val="auto"/>
              </w:rPr>
            </w:pPr>
          </w:p>
        </w:tc>
        <w:tc>
          <w:tcPr>
            <w:tcW w:w="940" w:type="dxa"/>
            <w:vAlign w:val="bottom"/>
            <w:gridSpan w:val="2"/>
          </w:tcPr>
          <w:p>
            <w:pPr>
              <w:jc w:val="right"/>
              <w:ind w:right="20"/>
              <w:spacing w:after="0" w:line="195" w:lineRule="exact"/>
              <w:rPr>
                <w:sz w:val="20"/>
                <w:szCs w:val="20"/>
                <w:color w:val="auto"/>
              </w:rPr>
            </w:pPr>
            <w:r>
              <w:rPr>
                <w:rFonts w:ascii="Arial" w:cs="Arial" w:eastAsia="Arial" w:hAnsi="Arial"/>
                <w:sz w:val="18"/>
                <w:szCs w:val="18"/>
                <w:color w:val="auto"/>
              </w:rPr>
              <w:t>1,841.6</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700" w:type="dxa"/>
            <w:vAlign w:val="bottom"/>
            <w:gridSpan w:val="2"/>
          </w:tcPr>
          <w:p>
            <w:pPr>
              <w:spacing w:after="0" w:line="203" w:lineRule="exact"/>
              <w:rPr>
                <w:sz w:val="20"/>
                <w:szCs w:val="20"/>
                <w:color w:val="auto"/>
              </w:rPr>
            </w:pPr>
            <w:r>
              <w:rPr>
                <w:rFonts w:ascii="Arial" w:cs="Arial" w:eastAsia="Arial" w:hAnsi="Arial"/>
                <w:sz w:val="18"/>
                <w:szCs w:val="18"/>
                <w:color w:val="auto"/>
              </w:rPr>
              <w:t>Right Management</w:t>
            </w:r>
          </w:p>
        </w:tc>
        <w:tc>
          <w:tcPr>
            <w:tcW w:w="340" w:type="dxa"/>
            <w:vAlign w:val="bottom"/>
          </w:tcPr>
          <w:p>
            <w:pPr>
              <w:spacing w:after="0"/>
              <w:rPr>
                <w:sz w:val="17"/>
                <w:szCs w:val="17"/>
                <w:color w:val="auto"/>
              </w:rPr>
            </w:pPr>
          </w:p>
        </w:tc>
        <w:tc>
          <w:tcPr>
            <w:tcW w:w="120" w:type="dxa"/>
            <w:vAlign w:val="bottom"/>
            <w:shd w:val="clear" w:color="auto" w:fill="E3F1DA"/>
          </w:tcPr>
          <w:p>
            <w:pPr>
              <w:spacing w:after="0"/>
              <w:rPr>
                <w:sz w:val="17"/>
                <w:szCs w:val="17"/>
                <w:color w:val="auto"/>
              </w:rPr>
            </w:pPr>
          </w:p>
        </w:tc>
        <w:tc>
          <w:tcPr>
            <w:tcW w:w="1340" w:type="dxa"/>
            <w:vAlign w:val="bottom"/>
          </w:tcPr>
          <w:p>
            <w:pPr>
              <w:jc w:val="right"/>
              <w:ind w:right="131"/>
              <w:spacing w:after="0" w:line="203" w:lineRule="exact"/>
              <w:rPr>
                <w:sz w:val="20"/>
                <w:szCs w:val="20"/>
                <w:color w:val="auto"/>
              </w:rPr>
            </w:pPr>
            <w:r>
              <w:rPr>
                <w:rFonts w:ascii="Arial" w:cs="Arial" w:eastAsia="Arial" w:hAnsi="Arial"/>
                <w:sz w:val="18"/>
                <w:szCs w:val="18"/>
                <w:color w:val="86B6A5"/>
              </w:rPr>
              <w:t>374.6</w:t>
            </w:r>
          </w:p>
        </w:tc>
        <w:tc>
          <w:tcPr>
            <w:tcW w:w="320" w:type="dxa"/>
            <w:vAlign w:val="bottom"/>
          </w:tcPr>
          <w:p>
            <w:pPr>
              <w:spacing w:after="0"/>
              <w:rPr>
                <w:sz w:val="17"/>
                <w:szCs w:val="17"/>
                <w:color w:val="auto"/>
              </w:rPr>
            </w:pPr>
          </w:p>
        </w:tc>
        <w:tc>
          <w:tcPr>
            <w:tcW w:w="1060" w:type="dxa"/>
            <w:vAlign w:val="bottom"/>
          </w:tcPr>
          <w:p>
            <w:pPr>
              <w:jc w:val="right"/>
              <w:ind w:right="51"/>
              <w:spacing w:after="0" w:line="203" w:lineRule="exact"/>
              <w:rPr>
                <w:sz w:val="20"/>
                <w:szCs w:val="20"/>
                <w:color w:val="auto"/>
              </w:rPr>
            </w:pPr>
            <w:r>
              <w:rPr>
                <w:rFonts w:ascii="Arial" w:cs="Arial" w:eastAsia="Arial" w:hAnsi="Arial"/>
                <w:sz w:val="18"/>
                <w:szCs w:val="18"/>
                <w:color w:val="auto"/>
              </w:rPr>
              <w:t>559.4</w:t>
            </w:r>
          </w:p>
        </w:tc>
        <w:tc>
          <w:tcPr>
            <w:tcW w:w="400" w:type="dxa"/>
            <w:vAlign w:val="bottom"/>
          </w:tcPr>
          <w:p>
            <w:pPr>
              <w:spacing w:after="0"/>
              <w:rPr>
                <w:sz w:val="17"/>
                <w:szCs w:val="17"/>
                <w:color w:val="auto"/>
              </w:rPr>
            </w:pPr>
          </w:p>
        </w:tc>
        <w:tc>
          <w:tcPr>
            <w:tcW w:w="940" w:type="dxa"/>
            <w:vAlign w:val="bottom"/>
            <w:gridSpan w:val="2"/>
          </w:tcPr>
          <w:p>
            <w:pPr>
              <w:jc w:val="right"/>
              <w:ind w:right="20"/>
              <w:spacing w:after="0" w:line="203" w:lineRule="exact"/>
              <w:rPr>
                <w:sz w:val="20"/>
                <w:szCs w:val="20"/>
                <w:color w:val="auto"/>
              </w:rPr>
            </w:pPr>
            <w:r>
              <w:rPr>
                <w:rFonts w:ascii="Arial" w:cs="Arial" w:eastAsia="Arial" w:hAnsi="Arial"/>
                <w:sz w:val="18"/>
                <w:szCs w:val="18"/>
                <w:color w:val="auto"/>
              </w:rPr>
              <w:t>452.2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80" w:type="dxa"/>
            <w:vAlign w:val="bottom"/>
            <w:tcBorders>
              <w:top w:val="single" w:sz="8" w:color="939598"/>
            </w:tcBorders>
          </w:tcPr>
          <w:p>
            <w:pPr>
              <w:spacing w:after="0"/>
              <w:rPr>
                <w:sz w:val="17"/>
                <w:szCs w:val="17"/>
                <w:color w:val="auto"/>
              </w:rPr>
            </w:pPr>
          </w:p>
        </w:tc>
        <w:tc>
          <w:tcPr>
            <w:tcW w:w="340" w:type="dxa"/>
            <w:vAlign w:val="bottom"/>
            <w:tcBorders>
              <w:top w:val="single" w:sz="8" w:color="939598"/>
            </w:tcBorders>
          </w:tcPr>
          <w:p>
            <w:pPr>
              <w:spacing w:after="0"/>
              <w:rPr>
                <w:sz w:val="17"/>
                <w:szCs w:val="17"/>
                <w:color w:val="auto"/>
              </w:rPr>
            </w:pPr>
          </w:p>
        </w:tc>
        <w:tc>
          <w:tcPr>
            <w:tcW w:w="120" w:type="dxa"/>
            <w:vAlign w:val="bottom"/>
            <w:tcBorders>
              <w:top w:val="single" w:sz="8" w:color="939598"/>
            </w:tcBorders>
            <w:shd w:val="clear" w:color="auto" w:fill="E3F1DA"/>
          </w:tcPr>
          <w:p>
            <w:pPr>
              <w:jc w:val="right"/>
              <w:spacing w:after="0" w:line="196" w:lineRule="exact"/>
              <w:rPr>
                <w:sz w:val="20"/>
                <w:szCs w:val="20"/>
                <w:color w:val="auto"/>
              </w:rPr>
            </w:pPr>
            <w:r>
              <w:rPr>
                <w:rFonts w:ascii="Arial" w:cs="Arial" w:eastAsia="Arial" w:hAnsi="Arial"/>
                <w:sz w:val="18"/>
                <w:szCs w:val="18"/>
                <w:color w:val="86B6A5"/>
                <w:w w:val="79"/>
              </w:rPr>
              <w:t>$</w:t>
            </w:r>
          </w:p>
        </w:tc>
        <w:tc>
          <w:tcPr>
            <w:tcW w:w="1340" w:type="dxa"/>
            <w:vAlign w:val="bottom"/>
            <w:tcBorders>
              <w:top w:val="single" w:sz="8" w:color="939598"/>
            </w:tcBorders>
          </w:tcPr>
          <w:p>
            <w:pPr>
              <w:jc w:val="right"/>
              <w:ind w:right="131"/>
              <w:spacing w:after="0" w:line="196" w:lineRule="exact"/>
              <w:rPr>
                <w:sz w:val="20"/>
                <w:szCs w:val="20"/>
                <w:color w:val="auto"/>
              </w:rPr>
            </w:pPr>
            <w:r>
              <w:rPr>
                <w:rFonts w:ascii="Arial" w:cs="Arial" w:eastAsia="Arial" w:hAnsi="Arial"/>
                <w:sz w:val="18"/>
                <w:szCs w:val="18"/>
                <w:color w:val="86B6A5"/>
              </w:rPr>
              <w:t>18,866.5</w:t>
            </w:r>
          </w:p>
        </w:tc>
        <w:tc>
          <w:tcPr>
            <w:tcW w:w="320" w:type="dxa"/>
            <w:vAlign w:val="bottom"/>
            <w:tcBorders>
              <w:top w:val="single" w:sz="8" w:color="939598"/>
            </w:tcBorders>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top w:val="single" w:sz="8" w:color="939598"/>
            </w:tcBorders>
          </w:tcPr>
          <w:p>
            <w:pPr>
              <w:jc w:val="right"/>
              <w:ind w:right="51"/>
              <w:spacing w:after="0" w:line="196" w:lineRule="exact"/>
              <w:rPr>
                <w:sz w:val="20"/>
                <w:szCs w:val="20"/>
                <w:color w:val="auto"/>
              </w:rPr>
            </w:pPr>
            <w:r>
              <w:rPr>
                <w:rFonts w:ascii="Arial" w:cs="Arial" w:eastAsia="Arial" w:hAnsi="Arial"/>
                <w:sz w:val="18"/>
                <w:szCs w:val="18"/>
                <w:color w:val="auto"/>
              </w:rPr>
              <w:t>16,038.7</w:t>
            </w:r>
          </w:p>
        </w:tc>
        <w:tc>
          <w:tcPr>
            <w:tcW w:w="400" w:type="dxa"/>
            <w:vAlign w:val="bottom"/>
            <w:tcBorders>
              <w:top w:val="single" w:sz="8" w:color="939598"/>
            </w:tcBorders>
          </w:tcPr>
          <w:p>
            <w:pPr>
              <w:jc w:val="right"/>
              <w:ind w:right="130"/>
              <w:spacing w:after="0" w:line="196" w:lineRule="exact"/>
              <w:rPr>
                <w:sz w:val="20"/>
                <w:szCs w:val="20"/>
                <w:color w:val="auto"/>
              </w:rPr>
            </w:pPr>
            <w:r>
              <w:rPr>
                <w:rFonts w:ascii="Arial" w:cs="Arial" w:eastAsia="Arial" w:hAnsi="Arial"/>
                <w:sz w:val="18"/>
                <w:szCs w:val="18"/>
                <w:color w:val="auto"/>
              </w:rPr>
              <w:t>$</w:t>
            </w:r>
          </w:p>
        </w:tc>
        <w:tc>
          <w:tcPr>
            <w:tcW w:w="940" w:type="dxa"/>
            <w:vAlign w:val="bottom"/>
            <w:tcBorders>
              <w:top w:val="single" w:sz="8" w:color="939598"/>
            </w:tcBorders>
            <w:gridSpan w:val="2"/>
          </w:tcPr>
          <w:p>
            <w:pPr>
              <w:jc w:val="right"/>
              <w:ind w:right="20"/>
              <w:spacing w:after="0" w:line="196" w:lineRule="exact"/>
              <w:rPr>
                <w:sz w:val="20"/>
                <w:szCs w:val="20"/>
                <w:color w:val="auto"/>
              </w:rPr>
            </w:pPr>
            <w:r>
              <w:rPr>
                <w:rFonts w:ascii="Arial" w:cs="Arial" w:eastAsia="Arial" w:hAnsi="Arial"/>
                <w:sz w:val="18"/>
                <w:szCs w:val="18"/>
                <w:color w:val="auto"/>
              </w:rPr>
              <w:t>21,537.1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680" w:type="dxa"/>
            <w:vAlign w:val="bottom"/>
            <w:tcBorders>
              <w:top w:val="single" w:sz="8" w:color="939598"/>
            </w:tcBorders>
          </w:tcPr>
          <w:p>
            <w:pPr>
              <w:spacing w:after="0" w:line="201" w:lineRule="exact"/>
              <w:rPr>
                <w:sz w:val="20"/>
                <w:szCs w:val="20"/>
                <w:color w:val="auto"/>
              </w:rPr>
            </w:pPr>
            <w:r>
              <w:rPr>
                <w:rFonts w:ascii="Arial" w:cs="Arial" w:eastAsia="Arial" w:hAnsi="Arial"/>
                <w:sz w:val="18"/>
                <w:szCs w:val="18"/>
                <w:b w:val="1"/>
                <w:bCs w:val="1"/>
                <w:color w:val="939598"/>
              </w:rPr>
              <w:t>Operating Unit Profit (Loss)</w:t>
            </w:r>
          </w:p>
        </w:tc>
        <w:tc>
          <w:tcPr>
            <w:tcW w:w="340" w:type="dxa"/>
            <w:vAlign w:val="bottom"/>
            <w:tcBorders>
              <w:top w:val="single" w:sz="8" w:color="939598"/>
            </w:tcBorders>
          </w:tcPr>
          <w:p>
            <w:pPr>
              <w:spacing w:after="0"/>
              <w:rPr>
                <w:sz w:val="17"/>
                <w:szCs w:val="17"/>
                <w:color w:val="auto"/>
              </w:rPr>
            </w:pPr>
          </w:p>
        </w:tc>
        <w:tc>
          <w:tcPr>
            <w:tcW w:w="120" w:type="dxa"/>
            <w:vAlign w:val="bottom"/>
            <w:tcBorders>
              <w:top w:val="single" w:sz="8" w:color="939598"/>
            </w:tcBorders>
            <w:shd w:val="clear" w:color="auto" w:fill="E3F1DA"/>
          </w:tcPr>
          <w:p>
            <w:pPr>
              <w:spacing w:after="0"/>
              <w:rPr>
                <w:sz w:val="17"/>
                <w:szCs w:val="17"/>
                <w:color w:val="auto"/>
              </w:rPr>
            </w:pPr>
          </w:p>
        </w:tc>
        <w:tc>
          <w:tcPr>
            <w:tcW w:w="1340" w:type="dxa"/>
            <w:vAlign w:val="bottom"/>
            <w:tcBorders>
              <w:top w:val="single" w:sz="8" w:color="939598"/>
            </w:tcBorders>
          </w:tcPr>
          <w:p>
            <w:pPr>
              <w:spacing w:after="0"/>
              <w:rPr>
                <w:sz w:val="17"/>
                <w:szCs w:val="17"/>
                <w:color w:val="auto"/>
              </w:rPr>
            </w:pPr>
          </w:p>
        </w:tc>
        <w:tc>
          <w:tcPr>
            <w:tcW w:w="320" w:type="dxa"/>
            <w:vAlign w:val="bottom"/>
            <w:tcBorders>
              <w:top w:val="single" w:sz="8" w:color="939598"/>
            </w:tcBorders>
          </w:tcPr>
          <w:p>
            <w:pPr>
              <w:spacing w:after="0"/>
              <w:rPr>
                <w:sz w:val="17"/>
                <w:szCs w:val="17"/>
                <w:color w:val="auto"/>
              </w:rPr>
            </w:pPr>
          </w:p>
        </w:tc>
        <w:tc>
          <w:tcPr>
            <w:tcW w:w="1060" w:type="dxa"/>
            <w:vAlign w:val="bottom"/>
            <w:tcBorders>
              <w:top w:val="single" w:sz="8" w:color="939598"/>
            </w:tcBorders>
          </w:tcPr>
          <w:p>
            <w:pPr>
              <w:spacing w:after="0"/>
              <w:rPr>
                <w:sz w:val="17"/>
                <w:szCs w:val="17"/>
                <w:color w:val="auto"/>
              </w:rPr>
            </w:pPr>
          </w:p>
        </w:tc>
        <w:tc>
          <w:tcPr>
            <w:tcW w:w="400" w:type="dxa"/>
            <w:vAlign w:val="bottom"/>
            <w:tcBorders>
              <w:top w:val="single" w:sz="8" w:color="939598"/>
            </w:tcBorders>
          </w:tcPr>
          <w:p>
            <w:pPr>
              <w:spacing w:after="0"/>
              <w:rPr>
                <w:sz w:val="17"/>
                <w:szCs w:val="17"/>
                <w:color w:val="auto"/>
              </w:rPr>
            </w:pPr>
          </w:p>
        </w:tc>
        <w:tc>
          <w:tcPr>
            <w:tcW w:w="920" w:type="dxa"/>
            <w:vAlign w:val="bottom"/>
            <w:tcBorders>
              <w:top w:val="single" w:sz="8" w:color="939598"/>
            </w:tcBorders>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00" w:type="dxa"/>
            <w:vAlign w:val="bottom"/>
            <w:gridSpan w:val="2"/>
          </w:tcPr>
          <w:p>
            <w:pPr>
              <w:spacing w:after="0" w:line="202" w:lineRule="exact"/>
              <w:rPr>
                <w:sz w:val="20"/>
                <w:szCs w:val="20"/>
                <w:color w:val="auto"/>
              </w:rPr>
            </w:pPr>
            <w:r>
              <w:rPr>
                <w:rFonts w:ascii="Arial" w:cs="Arial" w:eastAsia="Arial" w:hAnsi="Arial"/>
                <w:sz w:val="18"/>
                <w:szCs w:val="18"/>
                <w:color w:val="auto"/>
              </w:rPr>
              <w:t>Americas:</w:t>
            </w:r>
          </w:p>
        </w:tc>
        <w:tc>
          <w:tcPr>
            <w:tcW w:w="340" w:type="dxa"/>
            <w:vAlign w:val="bottom"/>
          </w:tcPr>
          <w:p>
            <w:pPr>
              <w:spacing w:after="0"/>
              <w:rPr>
                <w:sz w:val="17"/>
                <w:szCs w:val="17"/>
                <w:color w:val="auto"/>
              </w:rPr>
            </w:pPr>
          </w:p>
        </w:tc>
        <w:tc>
          <w:tcPr>
            <w:tcW w:w="120" w:type="dxa"/>
            <w:vAlign w:val="bottom"/>
            <w:shd w:val="clear" w:color="auto" w:fill="E3F1DA"/>
          </w:tcPr>
          <w:p>
            <w:pPr>
              <w:spacing w:after="0"/>
              <w:rPr>
                <w:sz w:val="17"/>
                <w:szCs w:val="17"/>
                <w:color w:val="auto"/>
              </w:rPr>
            </w:pPr>
          </w:p>
        </w:tc>
        <w:tc>
          <w:tcPr>
            <w:tcW w:w="1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80" w:type="dxa"/>
            <w:vAlign w:val="bottom"/>
          </w:tcPr>
          <w:p>
            <w:pPr>
              <w:ind w:left="260"/>
              <w:spacing w:after="0" w:line="202" w:lineRule="exact"/>
              <w:rPr>
                <w:sz w:val="20"/>
                <w:szCs w:val="20"/>
                <w:color w:val="auto"/>
              </w:rPr>
            </w:pPr>
            <w:r>
              <w:rPr>
                <w:rFonts w:ascii="Arial" w:cs="Arial" w:eastAsia="Arial" w:hAnsi="Arial"/>
                <w:sz w:val="18"/>
                <w:szCs w:val="18"/>
                <w:color w:val="auto"/>
              </w:rPr>
              <w:t>United States</w:t>
            </w:r>
          </w:p>
        </w:tc>
        <w:tc>
          <w:tcPr>
            <w:tcW w:w="340" w:type="dxa"/>
            <w:vAlign w:val="bottom"/>
          </w:tcPr>
          <w:p>
            <w:pPr>
              <w:spacing w:after="0"/>
              <w:rPr>
                <w:sz w:val="17"/>
                <w:szCs w:val="17"/>
                <w:color w:val="auto"/>
              </w:rPr>
            </w:pPr>
          </w:p>
        </w:tc>
        <w:tc>
          <w:tcPr>
            <w:tcW w:w="120" w:type="dxa"/>
            <w:vAlign w:val="bottom"/>
            <w:shd w:val="clear" w:color="auto" w:fill="E3F1DA"/>
          </w:tcPr>
          <w:p>
            <w:pPr>
              <w:jc w:val="right"/>
              <w:spacing w:after="0" w:line="202" w:lineRule="exact"/>
              <w:rPr>
                <w:sz w:val="20"/>
                <w:szCs w:val="20"/>
                <w:color w:val="auto"/>
              </w:rPr>
            </w:pPr>
            <w:r>
              <w:rPr>
                <w:rFonts w:ascii="Arial" w:cs="Arial" w:eastAsia="Arial" w:hAnsi="Arial"/>
                <w:sz w:val="18"/>
                <w:szCs w:val="18"/>
                <w:color w:val="86B6A5"/>
                <w:w w:val="79"/>
              </w:rPr>
              <w:t>$</w:t>
            </w:r>
          </w:p>
        </w:tc>
        <w:tc>
          <w:tcPr>
            <w:tcW w:w="1340" w:type="dxa"/>
            <w:vAlign w:val="bottom"/>
          </w:tcPr>
          <w:p>
            <w:pPr>
              <w:jc w:val="right"/>
              <w:ind w:right="131"/>
              <w:spacing w:after="0" w:line="202" w:lineRule="exact"/>
              <w:rPr>
                <w:sz w:val="20"/>
                <w:szCs w:val="20"/>
                <w:color w:val="auto"/>
              </w:rPr>
            </w:pPr>
            <w:r>
              <w:rPr>
                <w:rFonts w:ascii="Arial" w:cs="Arial" w:eastAsia="Arial" w:hAnsi="Arial"/>
                <w:sz w:val="18"/>
                <w:szCs w:val="18"/>
                <w:color w:val="86B6A5"/>
              </w:rPr>
              <w:t>42.8</w:t>
            </w:r>
          </w:p>
        </w:tc>
        <w:tc>
          <w:tcPr>
            <w:tcW w:w="320" w:type="dxa"/>
            <w:vAlign w:val="bottom"/>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(41.4)</w:t>
            </w:r>
          </w:p>
        </w:tc>
        <w:tc>
          <w:tcPr>
            <w:tcW w:w="40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17.3</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80" w:type="dxa"/>
            <w:vAlign w:val="bottom"/>
            <w:tcBorders>
              <w:bottom w:val="single" w:sz="8" w:color="939598"/>
            </w:tcBorders>
          </w:tcPr>
          <w:p>
            <w:pPr>
              <w:ind w:left="260"/>
              <w:spacing w:after="0" w:line="203" w:lineRule="exact"/>
              <w:rPr>
                <w:sz w:val="20"/>
                <w:szCs w:val="20"/>
                <w:color w:val="auto"/>
              </w:rPr>
            </w:pPr>
            <w:r>
              <w:rPr>
                <w:rFonts w:ascii="Arial" w:cs="Arial" w:eastAsia="Arial" w:hAnsi="Arial"/>
                <w:sz w:val="18"/>
                <w:szCs w:val="18"/>
                <w:color w:val="auto"/>
              </w:rPr>
              <w:t>Other Americas</w:t>
            </w:r>
          </w:p>
        </w:tc>
        <w:tc>
          <w:tcPr>
            <w:tcW w:w="340" w:type="dxa"/>
            <w:vAlign w:val="bottom"/>
            <w:tcBorders>
              <w:bottom w:val="single" w:sz="8" w:color="939598"/>
            </w:tcBorders>
          </w:tcPr>
          <w:p>
            <w:pPr>
              <w:spacing w:after="0"/>
              <w:rPr>
                <w:sz w:val="17"/>
                <w:szCs w:val="17"/>
                <w:color w:val="auto"/>
              </w:rPr>
            </w:pPr>
          </w:p>
        </w:tc>
        <w:tc>
          <w:tcPr>
            <w:tcW w:w="120" w:type="dxa"/>
            <w:vAlign w:val="bottom"/>
            <w:tcBorders>
              <w:bottom w:val="single" w:sz="8" w:color="939598"/>
            </w:tcBorders>
            <w:shd w:val="clear" w:color="auto" w:fill="E3F1DA"/>
          </w:tcPr>
          <w:p>
            <w:pPr>
              <w:spacing w:after="0"/>
              <w:rPr>
                <w:sz w:val="17"/>
                <w:szCs w:val="17"/>
                <w:color w:val="auto"/>
              </w:rPr>
            </w:pPr>
          </w:p>
        </w:tc>
        <w:tc>
          <w:tcPr>
            <w:tcW w:w="1340" w:type="dxa"/>
            <w:vAlign w:val="bottom"/>
            <w:tcBorders>
              <w:bottom w:val="single" w:sz="8" w:color="939598"/>
            </w:tcBorders>
          </w:tcPr>
          <w:p>
            <w:pPr>
              <w:jc w:val="right"/>
              <w:ind w:right="131"/>
              <w:spacing w:after="0" w:line="203" w:lineRule="exact"/>
              <w:rPr>
                <w:sz w:val="20"/>
                <w:szCs w:val="20"/>
                <w:color w:val="auto"/>
              </w:rPr>
            </w:pPr>
            <w:r>
              <w:rPr>
                <w:rFonts w:ascii="Arial" w:cs="Arial" w:eastAsia="Arial" w:hAnsi="Arial"/>
                <w:sz w:val="18"/>
                <w:szCs w:val="18"/>
                <w:color w:val="86B6A5"/>
              </w:rPr>
              <w:t>36.5</w:t>
            </w:r>
          </w:p>
        </w:tc>
        <w:tc>
          <w:tcPr>
            <w:tcW w:w="320" w:type="dxa"/>
            <w:vAlign w:val="bottom"/>
            <w:tcBorders>
              <w:bottom w:val="single" w:sz="8" w:color="939598"/>
            </w:tcBorders>
          </w:tcPr>
          <w:p>
            <w:pPr>
              <w:spacing w:after="0"/>
              <w:rPr>
                <w:sz w:val="17"/>
                <w:szCs w:val="17"/>
                <w:color w:val="auto"/>
              </w:rPr>
            </w:pPr>
          </w:p>
        </w:tc>
        <w:tc>
          <w:tcPr>
            <w:tcW w:w="1060" w:type="dxa"/>
            <w:vAlign w:val="bottom"/>
            <w:tcBorders>
              <w:bottom w:val="single" w:sz="8" w:color="939598"/>
            </w:tcBorders>
          </w:tcPr>
          <w:p>
            <w:pPr>
              <w:jc w:val="right"/>
              <w:ind w:right="51"/>
              <w:spacing w:after="0" w:line="203" w:lineRule="exact"/>
              <w:rPr>
                <w:sz w:val="20"/>
                <w:szCs w:val="20"/>
                <w:color w:val="auto"/>
              </w:rPr>
            </w:pPr>
            <w:r>
              <w:rPr>
                <w:rFonts w:ascii="Arial" w:cs="Arial" w:eastAsia="Arial" w:hAnsi="Arial"/>
                <w:sz w:val="18"/>
                <w:szCs w:val="18"/>
                <w:color w:val="auto"/>
              </w:rPr>
              <w:t>20.1</w:t>
            </w:r>
          </w:p>
        </w:tc>
        <w:tc>
          <w:tcPr>
            <w:tcW w:w="400" w:type="dxa"/>
            <w:vAlign w:val="bottom"/>
            <w:tcBorders>
              <w:bottom w:val="single" w:sz="8" w:color="939598"/>
            </w:tcBorders>
          </w:tcPr>
          <w:p>
            <w:pPr>
              <w:spacing w:after="0"/>
              <w:rPr>
                <w:sz w:val="17"/>
                <w:szCs w:val="17"/>
                <w:color w:val="auto"/>
              </w:rPr>
            </w:pPr>
          </w:p>
        </w:tc>
        <w:tc>
          <w:tcPr>
            <w:tcW w:w="920" w:type="dxa"/>
            <w:vAlign w:val="bottom"/>
            <w:tcBorders>
              <w:bottom w:val="single" w:sz="8" w:color="939598"/>
            </w:tcBorders>
          </w:tcPr>
          <w:p>
            <w:pPr>
              <w:jc w:val="right"/>
              <w:spacing w:after="0" w:line="203" w:lineRule="exact"/>
              <w:rPr>
                <w:sz w:val="20"/>
                <w:szCs w:val="20"/>
                <w:color w:val="auto"/>
              </w:rPr>
            </w:pPr>
            <w:r>
              <w:rPr>
                <w:rFonts w:ascii="Arial" w:cs="Arial" w:eastAsia="Arial" w:hAnsi="Arial"/>
                <w:sz w:val="18"/>
                <w:szCs w:val="18"/>
                <w:color w:val="auto"/>
              </w:rPr>
              <w:t>25.9</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80" w:type="dxa"/>
            <w:vAlign w:val="bottom"/>
            <w:tcBorders>
              <w:bottom w:val="single" w:sz="8" w:color="939598"/>
            </w:tcBorders>
          </w:tcPr>
          <w:p>
            <w:pPr>
              <w:spacing w:after="0"/>
              <w:rPr>
                <w:sz w:val="17"/>
                <w:szCs w:val="17"/>
                <w:color w:val="auto"/>
              </w:rPr>
            </w:pPr>
          </w:p>
        </w:tc>
        <w:tc>
          <w:tcPr>
            <w:tcW w:w="340" w:type="dxa"/>
            <w:vAlign w:val="bottom"/>
            <w:tcBorders>
              <w:bottom w:val="single" w:sz="8" w:color="939598"/>
            </w:tcBorders>
          </w:tcPr>
          <w:p>
            <w:pPr>
              <w:spacing w:after="0"/>
              <w:rPr>
                <w:sz w:val="17"/>
                <w:szCs w:val="17"/>
                <w:color w:val="auto"/>
              </w:rPr>
            </w:pPr>
          </w:p>
        </w:tc>
        <w:tc>
          <w:tcPr>
            <w:tcW w:w="120" w:type="dxa"/>
            <w:vAlign w:val="bottom"/>
            <w:tcBorders>
              <w:bottom w:val="single" w:sz="8" w:color="939598"/>
            </w:tcBorders>
            <w:shd w:val="clear" w:color="auto" w:fill="E3F1DA"/>
          </w:tcPr>
          <w:p>
            <w:pPr>
              <w:spacing w:after="0"/>
              <w:rPr>
                <w:sz w:val="17"/>
                <w:szCs w:val="17"/>
                <w:color w:val="auto"/>
              </w:rPr>
            </w:pPr>
          </w:p>
        </w:tc>
        <w:tc>
          <w:tcPr>
            <w:tcW w:w="1340" w:type="dxa"/>
            <w:vAlign w:val="bottom"/>
            <w:tcBorders>
              <w:bottom w:val="single" w:sz="8" w:color="939598"/>
            </w:tcBorders>
          </w:tcPr>
          <w:p>
            <w:pPr>
              <w:jc w:val="right"/>
              <w:ind w:right="131"/>
              <w:spacing w:after="0" w:line="196" w:lineRule="exact"/>
              <w:rPr>
                <w:sz w:val="20"/>
                <w:szCs w:val="20"/>
                <w:color w:val="auto"/>
              </w:rPr>
            </w:pPr>
            <w:r>
              <w:rPr>
                <w:rFonts w:ascii="Arial" w:cs="Arial" w:eastAsia="Arial" w:hAnsi="Arial"/>
                <w:sz w:val="18"/>
                <w:szCs w:val="18"/>
                <w:color w:val="86B6A5"/>
              </w:rPr>
              <w:t>79.3</w:t>
            </w:r>
          </w:p>
        </w:tc>
        <w:tc>
          <w:tcPr>
            <w:tcW w:w="320" w:type="dxa"/>
            <w:vAlign w:val="bottom"/>
            <w:tcBorders>
              <w:bottom w:val="single" w:sz="8" w:color="939598"/>
            </w:tcBorders>
          </w:tcPr>
          <w:p>
            <w:pPr>
              <w:spacing w:after="0"/>
              <w:rPr>
                <w:sz w:val="17"/>
                <w:szCs w:val="17"/>
                <w:color w:val="auto"/>
              </w:rPr>
            </w:pPr>
          </w:p>
        </w:tc>
        <w:tc>
          <w:tcPr>
            <w:tcW w:w="1060" w:type="dxa"/>
            <w:vAlign w:val="bottom"/>
            <w:tcBorders>
              <w:bottom w:val="single" w:sz="8" w:color="939598"/>
            </w:tcBorders>
          </w:tcPr>
          <w:p>
            <w:pPr>
              <w:jc w:val="right"/>
              <w:spacing w:after="0" w:line="196" w:lineRule="exact"/>
              <w:rPr>
                <w:sz w:val="20"/>
                <w:szCs w:val="20"/>
                <w:color w:val="auto"/>
              </w:rPr>
            </w:pPr>
            <w:r>
              <w:rPr>
                <w:rFonts w:ascii="Arial" w:cs="Arial" w:eastAsia="Arial" w:hAnsi="Arial"/>
                <w:sz w:val="18"/>
                <w:szCs w:val="18"/>
                <w:color w:val="auto"/>
              </w:rPr>
              <w:t>(21.3)</w:t>
            </w:r>
          </w:p>
        </w:tc>
        <w:tc>
          <w:tcPr>
            <w:tcW w:w="400" w:type="dxa"/>
            <w:vAlign w:val="bottom"/>
            <w:tcBorders>
              <w:bottom w:val="single" w:sz="8" w:color="939598"/>
            </w:tcBorders>
          </w:tcPr>
          <w:p>
            <w:pPr>
              <w:spacing w:after="0"/>
              <w:rPr>
                <w:sz w:val="17"/>
                <w:szCs w:val="17"/>
                <w:color w:val="auto"/>
              </w:rPr>
            </w:pPr>
          </w:p>
        </w:tc>
        <w:tc>
          <w:tcPr>
            <w:tcW w:w="920" w:type="dxa"/>
            <w:vAlign w:val="bottom"/>
            <w:tcBorders>
              <w:bottom w:val="single" w:sz="8" w:color="939598"/>
            </w:tcBorders>
          </w:tcPr>
          <w:p>
            <w:pPr>
              <w:jc w:val="right"/>
              <w:spacing w:after="0" w:line="196" w:lineRule="exact"/>
              <w:rPr>
                <w:sz w:val="20"/>
                <w:szCs w:val="20"/>
                <w:color w:val="auto"/>
              </w:rPr>
            </w:pPr>
            <w:r>
              <w:rPr>
                <w:rFonts w:ascii="Arial" w:cs="Arial" w:eastAsia="Arial" w:hAnsi="Arial"/>
                <w:sz w:val="18"/>
                <w:szCs w:val="18"/>
                <w:color w:val="auto"/>
              </w:rPr>
              <w:t>43.2</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680" w:type="dxa"/>
            <w:vAlign w:val="bottom"/>
          </w:tcPr>
          <w:p>
            <w:pPr>
              <w:spacing w:after="0" w:line="195" w:lineRule="exact"/>
              <w:rPr>
                <w:sz w:val="20"/>
                <w:szCs w:val="20"/>
                <w:color w:val="auto"/>
              </w:rPr>
            </w:pPr>
            <w:r>
              <w:rPr>
                <w:rFonts w:ascii="Arial" w:cs="Arial" w:eastAsia="Arial" w:hAnsi="Arial"/>
                <w:sz w:val="18"/>
                <w:szCs w:val="18"/>
                <w:color w:val="auto"/>
              </w:rPr>
              <w:t>France</w:t>
            </w:r>
          </w:p>
        </w:tc>
        <w:tc>
          <w:tcPr>
            <w:tcW w:w="340" w:type="dxa"/>
            <w:vAlign w:val="bottom"/>
          </w:tcPr>
          <w:p>
            <w:pPr>
              <w:spacing w:after="0"/>
              <w:rPr>
                <w:sz w:val="16"/>
                <w:szCs w:val="16"/>
                <w:color w:val="auto"/>
              </w:rPr>
            </w:pPr>
          </w:p>
        </w:tc>
        <w:tc>
          <w:tcPr>
            <w:tcW w:w="120" w:type="dxa"/>
            <w:vAlign w:val="bottom"/>
            <w:shd w:val="clear" w:color="auto" w:fill="E3F1DA"/>
          </w:tcPr>
          <w:p>
            <w:pPr>
              <w:spacing w:after="0"/>
              <w:rPr>
                <w:sz w:val="16"/>
                <w:szCs w:val="16"/>
                <w:color w:val="auto"/>
              </w:rPr>
            </w:pPr>
          </w:p>
        </w:tc>
        <w:tc>
          <w:tcPr>
            <w:tcW w:w="1340" w:type="dxa"/>
            <w:vAlign w:val="bottom"/>
          </w:tcPr>
          <w:p>
            <w:pPr>
              <w:jc w:val="right"/>
              <w:ind w:right="131"/>
              <w:spacing w:after="0" w:line="195" w:lineRule="exact"/>
              <w:rPr>
                <w:sz w:val="20"/>
                <w:szCs w:val="20"/>
                <w:color w:val="auto"/>
              </w:rPr>
            </w:pPr>
            <w:r>
              <w:rPr>
                <w:rFonts w:ascii="Arial" w:cs="Arial" w:eastAsia="Arial" w:hAnsi="Arial"/>
                <w:sz w:val="18"/>
                <w:szCs w:val="18"/>
                <w:color w:val="86B6A5"/>
              </w:rPr>
              <w:t>47.1</w:t>
            </w:r>
          </w:p>
        </w:tc>
        <w:tc>
          <w:tcPr>
            <w:tcW w:w="320" w:type="dxa"/>
            <w:vAlign w:val="bottom"/>
          </w:tcPr>
          <w:p>
            <w:pPr>
              <w:spacing w:after="0"/>
              <w:rPr>
                <w:sz w:val="16"/>
                <w:szCs w:val="16"/>
                <w:color w:val="auto"/>
              </w:rPr>
            </w:pPr>
          </w:p>
        </w:tc>
        <w:tc>
          <w:tcPr>
            <w:tcW w:w="1060" w:type="dxa"/>
            <w:vAlign w:val="bottom"/>
          </w:tcPr>
          <w:p>
            <w:pPr>
              <w:jc w:val="right"/>
              <w:ind w:right="51"/>
              <w:spacing w:after="0" w:line="195" w:lineRule="exact"/>
              <w:rPr>
                <w:sz w:val="20"/>
                <w:szCs w:val="20"/>
                <w:color w:val="auto"/>
              </w:rPr>
            </w:pPr>
            <w:r>
              <w:rPr>
                <w:rFonts w:ascii="Arial" w:cs="Arial" w:eastAsia="Arial" w:hAnsi="Arial"/>
                <w:sz w:val="18"/>
                <w:szCs w:val="18"/>
                <w:color w:val="auto"/>
              </w:rPr>
              <w:t>20.8</w:t>
            </w:r>
          </w:p>
        </w:tc>
        <w:tc>
          <w:tcPr>
            <w:tcW w:w="400" w:type="dxa"/>
            <w:vAlign w:val="bottom"/>
          </w:tcPr>
          <w:p>
            <w:pPr>
              <w:spacing w:after="0"/>
              <w:rPr>
                <w:sz w:val="16"/>
                <w:szCs w:val="16"/>
                <w:color w:val="auto"/>
              </w:rPr>
            </w:pPr>
          </w:p>
        </w:tc>
        <w:tc>
          <w:tcPr>
            <w:tcW w:w="920" w:type="dxa"/>
            <w:vAlign w:val="bottom"/>
          </w:tcPr>
          <w:p>
            <w:pPr>
              <w:jc w:val="right"/>
              <w:spacing w:after="0" w:line="195" w:lineRule="exact"/>
              <w:rPr>
                <w:sz w:val="20"/>
                <w:szCs w:val="20"/>
                <w:color w:val="auto"/>
              </w:rPr>
            </w:pPr>
            <w:r>
              <w:rPr>
                <w:rFonts w:ascii="Arial" w:cs="Arial" w:eastAsia="Arial" w:hAnsi="Arial"/>
                <w:sz w:val="18"/>
                <w:szCs w:val="18"/>
                <w:color w:val="auto"/>
              </w:rPr>
              <w:t>299.0</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700" w:type="dxa"/>
            <w:vAlign w:val="bottom"/>
            <w:gridSpan w:val="2"/>
          </w:tcPr>
          <w:p>
            <w:pPr>
              <w:spacing w:after="0" w:line="202" w:lineRule="exact"/>
              <w:rPr>
                <w:sz w:val="20"/>
                <w:szCs w:val="20"/>
                <w:color w:val="auto"/>
              </w:rPr>
            </w:pPr>
            <w:r>
              <w:rPr>
                <w:rFonts w:ascii="Arial" w:cs="Arial" w:eastAsia="Arial" w:hAnsi="Arial"/>
                <w:sz w:val="18"/>
                <w:szCs w:val="18"/>
                <w:color w:val="auto"/>
              </w:rPr>
              <w:t>EMEA:</w:t>
            </w:r>
          </w:p>
        </w:tc>
        <w:tc>
          <w:tcPr>
            <w:tcW w:w="340" w:type="dxa"/>
            <w:vAlign w:val="bottom"/>
          </w:tcPr>
          <w:p>
            <w:pPr>
              <w:spacing w:after="0"/>
              <w:rPr>
                <w:sz w:val="17"/>
                <w:szCs w:val="17"/>
                <w:color w:val="auto"/>
              </w:rPr>
            </w:pPr>
          </w:p>
        </w:tc>
        <w:tc>
          <w:tcPr>
            <w:tcW w:w="120" w:type="dxa"/>
            <w:vAlign w:val="bottom"/>
            <w:shd w:val="clear" w:color="auto" w:fill="E3F1DA"/>
          </w:tcPr>
          <w:p>
            <w:pPr>
              <w:spacing w:after="0"/>
              <w:rPr>
                <w:sz w:val="17"/>
                <w:szCs w:val="17"/>
                <w:color w:val="auto"/>
              </w:rPr>
            </w:pPr>
          </w:p>
        </w:tc>
        <w:tc>
          <w:tcPr>
            <w:tcW w:w="1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80" w:type="dxa"/>
            <w:vAlign w:val="bottom"/>
          </w:tcPr>
          <w:p>
            <w:pPr>
              <w:ind w:left="260"/>
              <w:spacing w:after="0" w:line="202" w:lineRule="exact"/>
              <w:rPr>
                <w:sz w:val="20"/>
                <w:szCs w:val="20"/>
                <w:color w:val="auto"/>
              </w:rPr>
            </w:pPr>
            <w:r>
              <w:rPr>
                <w:rFonts w:ascii="Arial" w:cs="Arial" w:eastAsia="Arial" w:hAnsi="Arial"/>
                <w:sz w:val="18"/>
                <w:szCs w:val="18"/>
                <w:color w:val="auto"/>
              </w:rPr>
              <w:t>Italy</w:t>
            </w:r>
          </w:p>
        </w:tc>
        <w:tc>
          <w:tcPr>
            <w:tcW w:w="340" w:type="dxa"/>
            <w:vAlign w:val="bottom"/>
          </w:tcPr>
          <w:p>
            <w:pPr>
              <w:spacing w:after="0"/>
              <w:rPr>
                <w:sz w:val="17"/>
                <w:szCs w:val="17"/>
                <w:color w:val="auto"/>
              </w:rPr>
            </w:pPr>
          </w:p>
        </w:tc>
        <w:tc>
          <w:tcPr>
            <w:tcW w:w="120" w:type="dxa"/>
            <w:vAlign w:val="bottom"/>
            <w:shd w:val="clear" w:color="auto" w:fill="E3F1DA"/>
          </w:tcPr>
          <w:p>
            <w:pPr>
              <w:spacing w:after="0"/>
              <w:rPr>
                <w:sz w:val="17"/>
                <w:szCs w:val="17"/>
                <w:color w:val="auto"/>
              </w:rPr>
            </w:pPr>
          </w:p>
        </w:tc>
        <w:tc>
          <w:tcPr>
            <w:tcW w:w="1340" w:type="dxa"/>
            <w:vAlign w:val="bottom"/>
          </w:tcPr>
          <w:p>
            <w:pPr>
              <w:jc w:val="right"/>
              <w:ind w:right="131"/>
              <w:spacing w:after="0" w:line="202" w:lineRule="exact"/>
              <w:rPr>
                <w:sz w:val="20"/>
                <w:szCs w:val="20"/>
                <w:color w:val="auto"/>
              </w:rPr>
            </w:pPr>
            <w:r>
              <w:rPr>
                <w:rFonts w:ascii="Arial" w:cs="Arial" w:eastAsia="Arial" w:hAnsi="Arial"/>
                <w:sz w:val="18"/>
                <w:szCs w:val="18"/>
                <w:color w:val="86B6A5"/>
              </w:rPr>
              <w:t>47.5</w:t>
            </w:r>
          </w:p>
        </w:tc>
        <w:tc>
          <w:tcPr>
            <w:tcW w:w="320" w:type="dxa"/>
            <w:vAlign w:val="bottom"/>
          </w:tcPr>
          <w:p>
            <w:pPr>
              <w:spacing w:after="0"/>
              <w:rPr>
                <w:sz w:val="17"/>
                <w:szCs w:val="17"/>
                <w:color w:val="auto"/>
              </w:rPr>
            </w:pPr>
          </w:p>
        </w:tc>
        <w:tc>
          <w:tcPr>
            <w:tcW w:w="1060" w:type="dxa"/>
            <w:vAlign w:val="bottom"/>
          </w:tcPr>
          <w:p>
            <w:pPr>
              <w:jc w:val="right"/>
              <w:ind w:right="51"/>
              <w:spacing w:after="0" w:line="202" w:lineRule="exact"/>
              <w:rPr>
                <w:sz w:val="20"/>
                <w:szCs w:val="20"/>
                <w:color w:val="auto"/>
              </w:rPr>
            </w:pPr>
            <w:r>
              <w:rPr>
                <w:rFonts w:ascii="Arial" w:cs="Arial" w:eastAsia="Arial" w:hAnsi="Arial"/>
                <w:sz w:val="18"/>
                <w:szCs w:val="18"/>
                <w:color w:val="auto"/>
              </w:rPr>
              <w:t>27.9</w:t>
            </w:r>
          </w:p>
        </w:tc>
        <w:tc>
          <w:tcPr>
            <w:tcW w:w="400" w:type="dxa"/>
            <w:vAlign w:val="bottom"/>
          </w:tcPr>
          <w:p>
            <w:pPr>
              <w:spacing w:after="0"/>
              <w:rPr>
                <w:sz w:val="17"/>
                <w:szCs w:val="17"/>
                <w:color w:val="auto"/>
              </w:rPr>
            </w:pPr>
          </w:p>
        </w:tc>
        <w:tc>
          <w:tcPr>
            <w:tcW w:w="9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120.4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80" w:type="dxa"/>
            <w:vAlign w:val="bottom"/>
            <w:tcBorders>
              <w:bottom w:val="single" w:sz="8" w:color="939598"/>
            </w:tcBorders>
          </w:tcPr>
          <w:p>
            <w:pPr>
              <w:ind w:left="260"/>
              <w:spacing w:after="0" w:line="203" w:lineRule="exact"/>
              <w:rPr>
                <w:sz w:val="20"/>
                <w:szCs w:val="20"/>
                <w:color w:val="auto"/>
              </w:rPr>
            </w:pPr>
            <w:r>
              <w:rPr>
                <w:rFonts w:ascii="Arial" w:cs="Arial" w:eastAsia="Arial" w:hAnsi="Arial"/>
                <w:sz w:val="18"/>
                <w:szCs w:val="18"/>
                <w:color w:val="auto"/>
              </w:rPr>
              <w:t>Other EMEA</w:t>
            </w:r>
          </w:p>
        </w:tc>
        <w:tc>
          <w:tcPr>
            <w:tcW w:w="340" w:type="dxa"/>
            <w:vAlign w:val="bottom"/>
            <w:tcBorders>
              <w:bottom w:val="single" w:sz="8" w:color="939598"/>
            </w:tcBorders>
          </w:tcPr>
          <w:p>
            <w:pPr>
              <w:spacing w:after="0"/>
              <w:rPr>
                <w:sz w:val="17"/>
                <w:szCs w:val="17"/>
                <w:color w:val="auto"/>
              </w:rPr>
            </w:pPr>
          </w:p>
        </w:tc>
        <w:tc>
          <w:tcPr>
            <w:tcW w:w="120" w:type="dxa"/>
            <w:vAlign w:val="bottom"/>
            <w:tcBorders>
              <w:bottom w:val="single" w:sz="8" w:color="939598"/>
            </w:tcBorders>
            <w:shd w:val="clear" w:color="auto" w:fill="E3F1DA"/>
          </w:tcPr>
          <w:p>
            <w:pPr>
              <w:spacing w:after="0"/>
              <w:rPr>
                <w:sz w:val="17"/>
                <w:szCs w:val="17"/>
                <w:color w:val="auto"/>
              </w:rPr>
            </w:pPr>
          </w:p>
        </w:tc>
        <w:tc>
          <w:tcPr>
            <w:tcW w:w="1340" w:type="dxa"/>
            <w:vAlign w:val="bottom"/>
            <w:tcBorders>
              <w:bottom w:val="single" w:sz="8" w:color="939598"/>
            </w:tcBorders>
          </w:tcPr>
          <w:p>
            <w:pPr>
              <w:jc w:val="right"/>
              <w:ind w:right="131"/>
              <w:spacing w:after="0" w:line="203" w:lineRule="exact"/>
              <w:rPr>
                <w:sz w:val="20"/>
                <w:szCs w:val="20"/>
                <w:color w:val="auto"/>
              </w:rPr>
            </w:pPr>
            <w:r>
              <w:rPr>
                <w:rFonts w:ascii="Arial" w:cs="Arial" w:eastAsia="Arial" w:hAnsi="Arial"/>
                <w:sz w:val="18"/>
                <w:szCs w:val="18"/>
                <w:color w:val="86B6A5"/>
              </w:rPr>
              <w:t>157.4</w:t>
            </w:r>
          </w:p>
        </w:tc>
        <w:tc>
          <w:tcPr>
            <w:tcW w:w="320" w:type="dxa"/>
            <w:vAlign w:val="bottom"/>
            <w:tcBorders>
              <w:bottom w:val="single" w:sz="8" w:color="939598"/>
            </w:tcBorders>
          </w:tcPr>
          <w:p>
            <w:pPr>
              <w:spacing w:after="0"/>
              <w:rPr>
                <w:sz w:val="17"/>
                <w:szCs w:val="17"/>
                <w:color w:val="auto"/>
              </w:rPr>
            </w:pPr>
          </w:p>
        </w:tc>
        <w:tc>
          <w:tcPr>
            <w:tcW w:w="1060" w:type="dxa"/>
            <w:vAlign w:val="bottom"/>
            <w:tcBorders>
              <w:bottom w:val="single" w:sz="8" w:color="939598"/>
            </w:tcBorders>
          </w:tcPr>
          <w:p>
            <w:pPr>
              <w:jc w:val="right"/>
              <w:ind w:right="51"/>
              <w:spacing w:after="0" w:line="203" w:lineRule="exact"/>
              <w:rPr>
                <w:sz w:val="20"/>
                <w:szCs w:val="20"/>
                <w:color w:val="auto"/>
              </w:rPr>
            </w:pPr>
            <w:r>
              <w:rPr>
                <w:rFonts w:ascii="Arial" w:cs="Arial" w:eastAsia="Arial" w:hAnsi="Arial"/>
                <w:sz w:val="18"/>
                <w:szCs w:val="18"/>
                <w:color w:val="auto"/>
              </w:rPr>
              <w:t>34.7</w:t>
            </w:r>
          </w:p>
        </w:tc>
        <w:tc>
          <w:tcPr>
            <w:tcW w:w="400" w:type="dxa"/>
            <w:vAlign w:val="bottom"/>
            <w:tcBorders>
              <w:bottom w:val="single" w:sz="8" w:color="939598"/>
            </w:tcBorders>
          </w:tcPr>
          <w:p>
            <w:pPr>
              <w:spacing w:after="0"/>
              <w:rPr>
                <w:sz w:val="17"/>
                <w:szCs w:val="17"/>
                <w:color w:val="auto"/>
              </w:rPr>
            </w:pPr>
          </w:p>
        </w:tc>
        <w:tc>
          <w:tcPr>
            <w:tcW w:w="940" w:type="dxa"/>
            <w:vAlign w:val="bottom"/>
            <w:tcBorders>
              <w:bottom w:val="single" w:sz="8" w:color="939598"/>
            </w:tcBorders>
            <w:gridSpan w:val="2"/>
          </w:tcPr>
          <w:p>
            <w:pPr>
              <w:jc w:val="right"/>
              <w:ind w:right="20"/>
              <w:spacing w:after="0" w:line="203" w:lineRule="exact"/>
              <w:rPr>
                <w:sz w:val="20"/>
                <w:szCs w:val="20"/>
                <w:color w:val="auto"/>
              </w:rPr>
            </w:pPr>
            <w:r>
              <w:rPr>
                <w:rFonts w:ascii="Arial" w:cs="Arial" w:eastAsia="Arial" w:hAnsi="Arial"/>
                <w:sz w:val="18"/>
                <w:szCs w:val="18"/>
                <w:color w:val="auto"/>
              </w:rPr>
              <w:t>237.8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shd w:val="clear" w:color="auto" w:fill="E3F1DA"/>
          </w:tcPr>
          <w:p>
            <w:pPr>
              <w:spacing w:after="0"/>
              <w:rPr>
                <w:sz w:val="17"/>
                <w:szCs w:val="17"/>
                <w:color w:val="auto"/>
              </w:rPr>
            </w:pPr>
          </w:p>
        </w:tc>
        <w:tc>
          <w:tcPr>
            <w:tcW w:w="1340" w:type="dxa"/>
            <w:vAlign w:val="bottom"/>
          </w:tcPr>
          <w:p>
            <w:pPr>
              <w:jc w:val="right"/>
              <w:ind w:right="131"/>
              <w:spacing w:after="0" w:line="196" w:lineRule="exact"/>
              <w:rPr>
                <w:sz w:val="20"/>
                <w:szCs w:val="20"/>
                <w:color w:val="auto"/>
              </w:rPr>
            </w:pPr>
            <w:r>
              <w:rPr>
                <w:rFonts w:ascii="Arial" w:cs="Arial" w:eastAsia="Arial" w:hAnsi="Arial"/>
                <w:sz w:val="18"/>
                <w:szCs w:val="18"/>
                <w:color w:val="86B6A5"/>
              </w:rPr>
              <w:t>204.9</w:t>
            </w:r>
          </w:p>
        </w:tc>
        <w:tc>
          <w:tcPr>
            <w:tcW w:w="320" w:type="dxa"/>
            <w:vAlign w:val="bottom"/>
          </w:tcPr>
          <w:p>
            <w:pPr>
              <w:spacing w:after="0"/>
              <w:rPr>
                <w:sz w:val="17"/>
                <w:szCs w:val="17"/>
                <w:color w:val="auto"/>
              </w:rPr>
            </w:pPr>
          </w:p>
        </w:tc>
        <w:tc>
          <w:tcPr>
            <w:tcW w:w="1060" w:type="dxa"/>
            <w:vAlign w:val="bottom"/>
          </w:tcPr>
          <w:p>
            <w:pPr>
              <w:jc w:val="right"/>
              <w:ind w:right="51"/>
              <w:spacing w:after="0" w:line="196" w:lineRule="exact"/>
              <w:rPr>
                <w:sz w:val="20"/>
                <w:szCs w:val="20"/>
                <w:color w:val="auto"/>
              </w:rPr>
            </w:pPr>
            <w:r>
              <w:rPr>
                <w:rFonts w:ascii="Arial" w:cs="Arial" w:eastAsia="Arial" w:hAnsi="Arial"/>
                <w:sz w:val="18"/>
                <w:szCs w:val="18"/>
                <w:color w:val="auto"/>
              </w:rPr>
              <w:t>62.6</w:t>
            </w:r>
          </w:p>
        </w:tc>
        <w:tc>
          <w:tcPr>
            <w:tcW w:w="400" w:type="dxa"/>
            <w:vAlign w:val="bottom"/>
          </w:tcPr>
          <w:p>
            <w:pPr>
              <w:spacing w:after="0"/>
              <w:rPr>
                <w:sz w:val="17"/>
                <w:szCs w:val="17"/>
                <w:color w:val="auto"/>
              </w:rPr>
            </w:pPr>
          </w:p>
        </w:tc>
        <w:tc>
          <w:tcPr>
            <w:tcW w:w="9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358.2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680" w:type="dxa"/>
            <w:vAlign w:val="bottom"/>
            <w:tcBorders>
              <w:top w:val="single" w:sz="8" w:color="939598"/>
            </w:tcBorders>
          </w:tcPr>
          <w:p>
            <w:pPr>
              <w:spacing w:after="0" w:line="195" w:lineRule="exact"/>
              <w:rPr>
                <w:sz w:val="20"/>
                <w:szCs w:val="20"/>
                <w:color w:val="auto"/>
              </w:rPr>
            </w:pPr>
            <w:r>
              <w:rPr>
                <w:rFonts w:ascii="Arial" w:cs="Arial" w:eastAsia="Arial" w:hAnsi="Arial"/>
                <w:sz w:val="18"/>
                <w:szCs w:val="18"/>
                <w:color w:val="auto"/>
              </w:rPr>
              <w:t>Asia Pacific</w:t>
            </w:r>
          </w:p>
        </w:tc>
        <w:tc>
          <w:tcPr>
            <w:tcW w:w="340" w:type="dxa"/>
            <w:vAlign w:val="bottom"/>
            <w:tcBorders>
              <w:top w:val="single" w:sz="8" w:color="939598"/>
            </w:tcBorders>
          </w:tcPr>
          <w:p>
            <w:pPr>
              <w:spacing w:after="0"/>
              <w:rPr>
                <w:sz w:val="16"/>
                <w:szCs w:val="16"/>
                <w:color w:val="auto"/>
              </w:rPr>
            </w:pPr>
          </w:p>
        </w:tc>
        <w:tc>
          <w:tcPr>
            <w:tcW w:w="120" w:type="dxa"/>
            <w:vAlign w:val="bottom"/>
            <w:tcBorders>
              <w:top w:val="single" w:sz="8" w:color="939598"/>
            </w:tcBorders>
            <w:shd w:val="clear" w:color="auto" w:fill="E3F1DA"/>
          </w:tcPr>
          <w:p>
            <w:pPr>
              <w:spacing w:after="0"/>
              <w:rPr>
                <w:sz w:val="16"/>
                <w:szCs w:val="16"/>
                <w:color w:val="auto"/>
              </w:rPr>
            </w:pPr>
          </w:p>
        </w:tc>
        <w:tc>
          <w:tcPr>
            <w:tcW w:w="1340" w:type="dxa"/>
            <w:vAlign w:val="bottom"/>
            <w:tcBorders>
              <w:top w:val="single" w:sz="8" w:color="939598"/>
            </w:tcBorders>
          </w:tcPr>
          <w:p>
            <w:pPr>
              <w:jc w:val="right"/>
              <w:ind w:right="131"/>
              <w:spacing w:after="0" w:line="195" w:lineRule="exact"/>
              <w:rPr>
                <w:sz w:val="20"/>
                <w:szCs w:val="20"/>
                <w:color w:val="auto"/>
              </w:rPr>
            </w:pPr>
            <w:r>
              <w:rPr>
                <w:rFonts w:ascii="Arial" w:cs="Arial" w:eastAsia="Arial" w:hAnsi="Arial"/>
                <w:sz w:val="18"/>
                <w:szCs w:val="18"/>
                <w:color w:val="86B6A5"/>
              </w:rPr>
              <w:t>47.2</w:t>
            </w:r>
          </w:p>
        </w:tc>
        <w:tc>
          <w:tcPr>
            <w:tcW w:w="320" w:type="dxa"/>
            <w:vAlign w:val="bottom"/>
            <w:tcBorders>
              <w:top w:val="single" w:sz="8" w:color="939598"/>
            </w:tcBorders>
          </w:tcPr>
          <w:p>
            <w:pPr>
              <w:spacing w:after="0"/>
              <w:rPr>
                <w:sz w:val="16"/>
                <w:szCs w:val="16"/>
                <w:color w:val="auto"/>
              </w:rPr>
            </w:pPr>
          </w:p>
        </w:tc>
        <w:tc>
          <w:tcPr>
            <w:tcW w:w="1060" w:type="dxa"/>
            <w:vAlign w:val="bottom"/>
            <w:tcBorders>
              <w:top w:val="single" w:sz="8" w:color="939598"/>
            </w:tcBorders>
          </w:tcPr>
          <w:p>
            <w:pPr>
              <w:jc w:val="right"/>
              <w:ind w:right="51"/>
              <w:spacing w:after="0" w:line="195" w:lineRule="exact"/>
              <w:rPr>
                <w:sz w:val="20"/>
                <w:szCs w:val="20"/>
                <w:color w:val="auto"/>
              </w:rPr>
            </w:pPr>
            <w:r>
              <w:rPr>
                <w:rFonts w:ascii="Arial" w:cs="Arial" w:eastAsia="Arial" w:hAnsi="Arial"/>
                <w:sz w:val="18"/>
                <w:szCs w:val="18"/>
                <w:color w:val="auto"/>
              </w:rPr>
              <w:t>26.5</w:t>
            </w:r>
          </w:p>
        </w:tc>
        <w:tc>
          <w:tcPr>
            <w:tcW w:w="400" w:type="dxa"/>
            <w:vAlign w:val="bottom"/>
            <w:tcBorders>
              <w:top w:val="single" w:sz="8" w:color="939598"/>
            </w:tcBorders>
          </w:tcPr>
          <w:p>
            <w:pPr>
              <w:spacing w:after="0"/>
              <w:rPr>
                <w:sz w:val="16"/>
                <w:szCs w:val="16"/>
                <w:color w:val="auto"/>
              </w:rPr>
            </w:pPr>
          </w:p>
        </w:tc>
        <w:tc>
          <w:tcPr>
            <w:tcW w:w="920" w:type="dxa"/>
            <w:vAlign w:val="bottom"/>
            <w:tcBorders>
              <w:top w:val="single" w:sz="8" w:color="939598"/>
            </w:tcBorders>
          </w:tcPr>
          <w:p>
            <w:pPr>
              <w:jc w:val="right"/>
              <w:spacing w:after="0" w:line="195" w:lineRule="exact"/>
              <w:rPr>
                <w:sz w:val="20"/>
                <w:szCs w:val="20"/>
                <w:color w:val="auto"/>
              </w:rPr>
            </w:pPr>
            <w:r>
              <w:rPr>
                <w:rFonts w:ascii="Arial" w:cs="Arial" w:eastAsia="Arial" w:hAnsi="Arial"/>
                <w:sz w:val="18"/>
                <w:szCs w:val="18"/>
                <w:color w:val="auto"/>
              </w:rPr>
              <w:t>29.2</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700" w:type="dxa"/>
            <w:vAlign w:val="bottom"/>
            <w:gridSpan w:val="2"/>
          </w:tcPr>
          <w:p>
            <w:pPr>
              <w:spacing w:after="0" w:line="203" w:lineRule="exact"/>
              <w:rPr>
                <w:sz w:val="20"/>
                <w:szCs w:val="20"/>
                <w:color w:val="auto"/>
              </w:rPr>
            </w:pPr>
            <w:r>
              <w:rPr>
                <w:rFonts w:ascii="Arial" w:cs="Arial" w:eastAsia="Arial" w:hAnsi="Arial"/>
                <w:sz w:val="18"/>
                <w:szCs w:val="18"/>
                <w:color w:val="auto"/>
              </w:rPr>
              <w:t>Right Management</w:t>
            </w:r>
          </w:p>
        </w:tc>
        <w:tc>
          <w:tcPr>
            <w:tcW w:w="340" w:type="dxa"/>
            <w:vAlign w:val="bottom"/>
          </w:tcPr>
          <w:p>
            <w:pPr>
              <w:spacing w:after="0"/>
              <w:rPr>
                <w:sz w:val="17"/>
                <w:szCs w:val="17"/>
                <w:color w:val="auto"/>
              </w:rPr>
            </w:pPr>
          </w:p>
        </w:tc>
        <w:tc>
          <w:tcPr>
            <w:tcW w:w="120" w:type="dxa"/>
            <w:vAlign w:val="bottom"/>
            <w:shd w:val="clear" w:color="auto" w:fill="E3F1DA"/>
          </w:tcPr>
          <w:p>
            <w:pPr>
              <w:spacing w:after="0"/>
              <w:rPr>
                <w:sz w:val="17"/>
                <w:szCs w:val="17"/>
                <w:color w:val="auto"/>
              </w:rPr>
            </w:pPr>
          </w:p>
        </w:tc>
        <w:tc>
          <w:tcPr>
            <w:tcW w:w="1340" w:type="dxa"/>
            <w:vAlign w:val="bottom"/>
          </w:tcPr>
          <w:p>
            <w:pPr>
              <w:jc w:val="right"/>
              <w:ind w:right="131"/>
              <w:spacing w:after="0" w:line="203" w:lineRule="exact"/>
              <w:rPr>
                <w:sz w:val="20"/>
                <w:szCs w:val="20"/>
                <w:color w:val="auto"/>
              </w:rPr>
            </w:pPr>
            <w:r>
              <w:rPr>
                <w:rFonts w:ascii="Arial" w:cs="Arial" w:eastAsia="Arial" w:hAnsi="Arial"/>
                <w:sz w:val="18"/>
                <w:szCs w:val="18"/>
                <w:color w:val="86B6A5"/>
              </w:rPr>
              <w:t>3.5</w:t>
            </w:r>
          </w:p>
        </w:tc>
        <w:tc>
          <w:tcPr>
            <w:tcW w:w="320" w:type="dxa"/>
            <w:vAlign w:val="bottom"/>
          </w:tcPr>
          <w:p>
            <w:pPr>
              <w:spacing w:after="0"/>
              <w:rPr>
                <w:sz w:val="17"/>
                <w:szCs w:val="17"/>
                <w:color w:val="auto"/>
              </w:rPr>
            </w:pPr>
          </w:p>
        </w:tc>
        <w:tc>
          <w:tcPr>
            <w:tcW w:w="1060" w:type="dxa"/>
            <w:vAlign w:val="bottom"/>
          </w:tcPr>
          <w:p>
            <w:pPr>
              <w:jc w:val="right"/>
              <w:ind w:right="51"/>
              <w:spacing w:after="0" w:line="203" w:lineRule="exact"/>
              <w:rPr>
                <w:sz w:val="20"/>
                <w:szCs w:val="20"/>
                <w:color w:val="auto"/>
              </w:rPr>
            </w:pPr>
            <w:r>
              <w:rPr>
                <w:rFonts w:ascii="Arial" w:cs="Arial" w:eastAsia="Arial" w:hAnsi="Arial"/>
                <w:sz w:val="18"/>
                <w:szCs w:val="18"/>
                <w:color w:val="auto"/>
              </w:rPr>
              <w:t>113.4</w:t>
            </w:r>
          </w:p>
        </w:tc>
        <w:tc>
          <w:tcPr>
            <w:tcW w:w="400" w:type="dxa"/>
            <w:vAlign w:val="bottom"/>
          </w:tcPr>
          <w:p>
            <w:pPr>
              <w:spacing w:after="0"/>
              <w:rPr>
                <w:sz w:val="17"/>
                <w:szCs w:val="17"/>
                <w:color w:val="auto"/>
              </w:rPr>
            </w:pPr>
          </w:p>
        </w:tc>
        <w:tc>
          <w:tcPr>
            <w:tcW w:w="920" w:type="dxa"/>
            <w:vAlign w:val="bottom"/>
          </w:tcPr>
          <w:p>
            <w:pPr>
              <w:jc w:val="right"/>
              <w:spacing w:after="0" w:line="203" w:lineRule="exact"/>
              <w:rPr>
                <w:sz w:val="20"/>
                <w:szCs w:val="20"/>
                <w:color w:val="auto"/>
              </w:rPr>
            </w:pPr>
            <w:r>
              <w:rPr>
                <w:rFonts w:ascii="Arial" w:cs="Arial" w:eastAsia="Arial" w:hAnsi="Arial"/>
                <w:sz w:val="18"/>
                <w:szCs w:val="18"/>
                <w:color w:val="auto"/>
              </w:rPr>
              <w:t>44.7</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80" w:type="dxa"/>
            <w:vAlign w:val="bottom"/>
            <w:tcBorders>
              <w:top w:val="single" w:sz="8" w:color="939598"/>
              <w:bottom w:val="single" w:sz="8" w:color="939598"/>
            </w:tcBorders>
          </w:tcPr>
          <w:p>
            <w:pPr>
              <w:spacing w:after="0"/>
              <w:rPr>
                <w:sz w:val="17"/>
                <w:szCs w:val="17"/>
                <w:color w:val="auto"/>
              </w:rPr>
            </w:pPr>
          </w:p>
        </w:tc>
        <w:tc>
          <w:tcPr>
            <w:tcW w:w="340" w:type="dxa"/>
            <w:vAlign w:val="bottom"/>
            <w:tcBorders>
              <w:top w:val="single" w:sz="8" w:color="939598"/>
              <w:bottom w:val="single" w:sz="8" w:color="939598"/>
            </w:tcBorders>
          </w:tcPr>
          <w:p>
            <w:pPr>
              <w:spacing w:after="0"/>
              <w:rPr>
                <w:sz w:val="17"/>
                <w:szCs w:val="17"/>
                <w:color w:val="auto"/>
              </w:rPr>
            </w:pPr>
          </w:p>
        </w:tc>
        <w:tc>
          <w:tcPr>
            <w:tcW w:w="120" w:type="dxa"/>
            <w:vAlign w:val="bottom"/>
            <w:tcBorders>
              <w:top w:val="single" w:sz="8" w:color="939598"/>
              <w:bottom w:val="single" w:sz="8" w:color="939598"/>
            </w:tcBorders>
            <w:shd w:val="clear" w:color="auto" w:fill="E3F1DA"/>
          </w:tcPr>
          <w:p>
            <w:pPr>
              <w:spacing w:after="0"/>
              <w:rPr>
                <w:sz w:val="17"/>
                <w:szCs w:val="17"/>
                <w:color w:val="auto"/>
              </w:rPr>
            </w:pPr>
          </w:p>
        </w:tc>
        <w:tc>
          <w:tcPr>
            <w:tcW w:w="1340" w:type="dxa"/>
            <w:vAlign w:val="bottom"/>
            <w:tcBorders>
              <w:top w:val="single" w:sz="8" w:color="939598"/>
              <w:bottom w:val="single" w:sz="8" w:color="939598"/>
            </w:tcBorders>
          </w:tcPr>
          <w:p>
            <w:pPr>
              <w:jc w:val="right"/>
              <w:ind w:right="131"/>
              <w:spacing w:after="0" w:line="196" w:lineRule="exact"/>
              <w:rPr>
                <w:sz w:val="20"/>
                <w:szCs w:val="20"/>
                <w:color w:val="auto"/>
              </w:rPr>
            </w:pPr>
            <w:r>
              <w:rPr>
                <w:rFonts w:ascii="Arial" w:cs="Arial" w:eastAsia="Arial" w:hAnsi="Arial"/>
                <w:sz w:val="18"/>
                <w:szCs w:val="18"/>
                <w:color w:val="86B6A5"/>
              </w:rPr>
              <w:t>382.0</w:t>
            </w:r>
          </w:p>
        </w:tc>
        <w:tc>
          <w:tcPr>
            <w:tcW w:w="320" w:type="dxa"/>
            <w:vAlign w:val="bottom"/>
            <w:tcBorders>
              <w:top w:val="single" w:sz="8" w:color="939598"/>
              <w:bottom w:val="single" w:sz="8" w:color="939598"/>
            </w:tcBorders>
          </w:tcPr>
          <w:p>
            <w:pPr>
              <w:spacing w:after="0"/>
              <w:rPr>
                <w:sz w:val="17"/>
                <w:szCs w:val="17"/>
                <w:color w:val="auto"/>
              </w:rPr>
            </w:pPr>
          </w:p>
        </w:tc>
        <w:tc>
          <w:tcPr>
            <w:tcW w:w="1060" w:type="dxa"/>
            <w:vAlign w:val="bottom"/>
            <w:tcBorders>
              <w:top w:val="single" w:sz="8" w:color="939598"/>
              <w:bottom w:val="single" w:sz="8" w:color="939598"/>
            </w:tcBorders>
          </w:tcPr>
          <w:p>
            <w:pPr>
              <w:jc w:val="right"/>
              <w:ind w:right="51"/>
              <w:spacing w:after="0" w:line="196" w:lineRule="exact"/>
              <w:rPr>
                <w:sz w:val="20"/>
                <w:szCs w:val="20"/>
                <w:color w:val="auto"/>
              </w:rPr>
            </w:pPr>
            <w:r>
              <w:rPr>
                <w:rFonts w:ascii="Arial" w:cs="Arial" w:eastAsia="Arial" w:hAnsi="Arial"/>
                <w:sz w:val="18"/>
                <w:szCs w:val="18"/>
                <w:color w:val="auto"/>
              </w:rPr>
              <w:t>202.0</w:t>
            </w:r>
          </w:p>
        </w:tc>
        <w:tc>
          <w:tcPr>
            <w:tcW w:w="400" w:type="dxa"/>
            <w:vAlign w:val="bottom"/>
            <w:tcBorders>
              <w:top w:val="single" w:sz="8" w:color="939598"/>
              <w:bottom w:val="single" w:sz="8" w:color="939598"/>
            </w:tcBorders>
          </w:tcPr>
          <w:p>
            <w:pPr>
              <w:spacing w:after="0"/>
              <w:rPr>
                <w:sz w:val="17"/>
                <w:szCs w:val="17"/>
                <w:color w:val="auto"/>
              </w:rPr>
            </w:pPr>
          </w:p>
        </w:tc>
        <w:tc>
          <w:tcPr>
            <w:tcW w:w="920" w:type="dxa"/>
            <w:vAlign w:val="bottom"/>
            <w:tcBorders>
              <w:top w:val="single" w:sz="8" w:color="939598"/>
              <w:bottom w:val="single" w:sz="8" w:color="939598"/>
            </w:tcBorders>
          </w:tcPr>
          <w:p>
            <w:pPr>
              <w:jc w:val="right"/>
              <w:spacing w:after="0" w:line="196" w:lineRule="exact"/>
              <w:rPr>
                <w:sz w:val="20"/>
                <w:szCs w:val="20"/>
                <w:color w:val="auto"/>
              </w:rPr>
            </w:pPr>
            <w:r>
              <w:rPr>
                <w:rFonts w:ascii="Arial" w:cs="Arial" w:eastAsia="Arial" w:hAnsi="Arial"/>
                <w:sz w:val="18"/>
                <w:szCs w:val="18"/>
                <w:color w:val="auto"/>
              </w:rPr>
              <w:t>774.3</w:t>
            </w:r>
          </w:p>
        </w:tc>
        <w:tc>
          <w:tcPr>
            <w:tcW w:w="20" w:type="dxa"/>
            <w:vAlign w:val="bottom"/>
            <w:tcBorders>
              <w:bottom w:val="single" w:sz="8" w:color="939598"/>
            </w:tcBorders>
          </w:tcPr>
          <w:p>
            <w:pPr>
              <w:spacing w:after="0"/>
              <w:rPr>
                <w:sz w:val="17"/>
                <w:szCs w:val="17"/>
                <w:color w:val="auto"/>
              </w:rPr>
            </w:pPr>
          </w:p>
        </w:tc>
        <w:tc>
          <w:tcPr>
            <w:tcW w:w="40" w:type="dxa"/>
            <w:vAlign w:val="bottom"/>
            <w:vMerge w:val="restart"/>
          </w:tcPr>
          <w:p>
            <w:pPr>
              <w:jc w:val="right"/>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680" w:type="dxa"/>
            <w:vAlign w:val="bottom"/>
          </w:tcPr>
          <w:p>
            <w:pPr>
              <w:spacing w:after="0" w:line="195" w:lineRule="exact"/>
              <w:rPr>
                <w:sz w:val="20"/>
                <w:szCs w:val="20"/>
                <w:color w:val="auto"/>
              </w:rPr>
            </w:pPr>
            <w:r>
              <w:rPr>
                <w:rFonts w:ascii="Arial" w:cs="Arial" w:eastAsia="Arial" w:hAnsi="Arial"/>
                <w:sz w:val="18"/>
                <w:szCs w:val="18"/>
                <w:color w:val="auto"/>
              </w:rPr>
              <w:t>Corporate expenses</w:t>
            </w:r>
          </w:p>
        </w:tc>
        <w:tc>
          <w:tcPr>
            <w:tcW w:w="340" w:type="dxa"/>
            <w:vAlign w:val="bottom"/>
          </w:tcPr>
          <w:p>
            <w:pPr>
              <w:spacing w:after="0"/>
              <w:rPr>
                <w:sz w:val="16"/>
                <w:szCs w:val="16"/>
                <w:color w:val="auto"/>
              </w:rPr>
            </w:pPr>
          </w:p>
        </w:tc>
        <w:tc>
          <w:tcPr>
            <w:tcW w:w="120" w:type="dxa"/>
            <w:vAlign w:val="bottom"/>
            <w:shd w:val="clear" w:color="auto" w:fill="E3F1DA"/>
          </w:tcPr>
          <w:p>
            <w:pPr>
              <w:spacing w:after="0"/>
              <w:rPr>
                <w:sz w:val="16"/>
                <w:szCs w:val="16"/>
                <w:color w:val="auto"/>
              </w:rPr>
            </w:pPr>
          </w:p>
        </w:tc>
        <w:tc>
          <w:tcPr>
            <w:tcW w:w="1340" w:type="dxa"/>
            <w:vAlign w:val="bottom"/>
          </w:tcPr>
          <w:p>
            <w:pPr>
              <w:jc w:val="right"/>
              <w:ind w:right="71"/>
              <w:spacing w:after="0" w:line="195" w:lineRule="exact"/>
              <w:rPr>
                <w:sz w:val="20"/>
                <w:szCs w:val="20"/>
                <w:color w:val="auto"/>
              </w:rPr>
            </w:pPr>
            <w:r>
              <w:rPr>
                <w:rFonts w:ascii="Arial" w:cs="Arial" w:eastAsia="Arial" w:hAnsi="Arial"/>
                <w:sz w:val="18"/>
                <w:szCs w:val="18"/>
                <w:color w:val="86B6A5"/>
              </w:rPr>
              <w:t>(101.2)</w:t>
            </w:r>
          </w:p>
        </w:tc>
        <w:tc>
          <w:tcPr>
            <w:tcW w:w="320" w:type="dxa"/>
            <w:vAlign w:val="bottom"/>
          </w:tcPr>
          <w:p>
            <w:pPr>
              <w:spacing w:after="0"/>
              <w:rPr>
                <w:sz w:val="16"/>
                <w:szCs w:val="16"/>
                <w:color w:val="auto"/>
              </w:rPr>
            </w:pPr>
          </w:p>
        </w:tc>
        <w:tc>
          <w:tcPr>
            <w:tcW w:w="1060" w:type="dxa"/>
            <w:vAlign w:val="bottom"/>
          </w:tcPr>
          <w:p>
            <w:pPr>
              <w:jc w:val="right"/>
              <w:spacing w:after="0" w:line="195" w:lineRule="exact"/>
              <w:rPr>
                <w:sz w:val="20"/>
                <w:szCs w:val="20"/>
                <w:color w:val="auto"/>
              </w:rPr>
            </w:pPr>
            <w:r>
              <w:rPr>
                <w:rFonts w:ascii="Arial" w:cs="Arial" w:eastAsia="Arial" w:hAnsi="Arial"/>
                <w:sz w:val="18"/>
                <w:szCs w:val="18"/>
                <w:color w:val="auto"/>
              </w:rPr>
              <w:t>(77.4)</w:t>
            </w:r>
          </w:p>
        </w:tc>
        <w:tc>
          <w:tcPr>
            <w:tcW w:w="400" w:type="dxa"/>
            <w:vAlign w:val="bottom"/>
          </w:tcPr>
          <w:p>
            <w:pPr>
              <w:spacing w:after="0"/>
              <w:rPr>
                <w:sz w:val="16"/>
                <w:szCs w:val="16"/>
                <w:color w:val="auto"/>
              </w:rPr>
            </w:pPr>
          </w:p>
        </w:tc>
        <w:tc>
          <w:tcPr>
            <w:tcW w:w="940" w:type="dxa"/>
            <w:vAlign w:val="bottom"/>
            <w:gridSpan w:val="2"/>
          </w:tcPr>
          <w:p>
            <w:pPr>
              <w:jc w:val="right"/>
              <w:ind w:right="20"/>
              <w:spacing w:after="0" w:line="195" w:lineRule="exact"/>
              <w:rPr>
                <w:sz w:val="20"/>
                <w:szCs w:val="20"/>
                <w:color w:val="auto"/>
              </w:rPr>
            </w:pPr>
            <w:r>
              <w:rPr>
                <w:rFonts w:ascii="Arial" w:cs="Arial" w:eastAsia="Arial" w:hAnsi="Arial"/>
                <w:sz w:val="18"/>
                <w:szCs w:val="18"/>
                <w:color w:val="auto"/>
              </w:rPr>
              <w:t>(95.6</w:t>
            </w:r>
          </w:p>
        </w:tc>
        <w:tc>
          <w:tcPr>
            <w:tcW w:w="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6700" w:type="dxa"/>
            <w:vAlign w:val="bottom"/>
            <w:gridSpan w:val="2"/>
          </w:tcPr>
          <w:p>
            <w:pPr>
              <w:spacing w:after="0" w:line="197" w:lineRule="exact"/>
              <w:rPr>
                <w:sz w:val="20"/>
                <w:szCs w:val="20"/>
                <w:color w:val="auto"/>
              </w:rPr>
            </w:pPr>
            <w:r>
              <w:rPr>
                <w:rFonts w:ascii="Arial" w:cs="Arial" w:eastAsia="Arial" w:hAnsi="Arial"/>
                <w:sz w:val="18"/>
                <w:szCs w:val="18"/>
                <w:color w:val="auto"/>
              </w:rPr>
              <w:t>Goodwill and intangible asset impairment charges</w:t>
            </w:r>
          </w:p>
        </w:tc>
        <w:tc>
          <w:tcPr>
            <w:tcW w:w="340" w:type="dxa"/>
            <w:vAlign w:val="bottom"/>
          </w:tcPr>
          <w:p>
            <w:pPr>
              <w:spacing w:after="0"/>
              <w:rPr>
                <w:sz w:val="17"/>
                <w:szCs w:val="17"/>
                <w:color w:val="auto"/>
              </w:rPr>
            </w:pPr>
          </w:p>
        </w:tc>
        <w:tc>
          <w:tcPr>
            <w:tcW w:w="120" w:type="dxa"/>
            <w:vAlign w:val="bottom"/>
            <w:shd w:val="clear" w:color="auto" w:fill="E3F1DA"/>
          </w:tcPr>
          <w:p>
            <w:pPr>
              <w:spacing w:after="0"/>
              <w:rPr>
                <w:sz w:val="17"/>
                <w:szCs w:val="17"/>
                <w:color w:val="auto"/>
              </w:rPr>
            </w:pPr>
          </w:p>
        </w:tc>
        <w:tc>
          <w:tcPr>
            <w:tcW w:w="1340" w:type="dxa"/>
            <w:vAlign w:val="bottom"/>
          </w:tcPr>
          <w:p>
            <w:pPr>
              <w:jc w:val="right"/>
              <w:ind w:right="71"/>
              <w:spacing w:after="0" w:line="197" w:lineRule="exact"/>
              <w:rPr>
                <w:sz w:val="20"/>
                <w:szCs w:val="20"/>
                <w:color w:val="auto"/>
              </w:rPr>
            </w:pPr>
            <w:r>
              <w:rPr>
                <w:rFonts w:ascii="Arial" w:cs="Arial" w:eastAsia="Arial" w:hAnsi="Arial"/>
                <w:sz w:val="18"/>
                <w:szCs w:val="18"/>
                <w:color w:val="86B6A5"/>
              </w:rPr>
              <w:t>(428.8)</w:t>
            </w:r>
          </w:p>
        </w:tc>
        <w:tc>
          <w:tcPr>
            <w:tcW w:w="320" w:type="dxa"/>
            <w:vAlign w:val="bottom"/>
          </w:tcPr>
          <w:p>
            <w:pPr>
              <w:spacing w:after="0"/>
              <w:rPr>
                <w:sz w:val="17"/>
                <w:szCs w:val="17"/>
                <w:color w:val="auto"/>
              </w:rPr>
            </w:pPr>
          </w:p>
        </w:tc>
        <w:tc>
          <w:tcPr>
            <w:tcW w:w="1060" w:type="dxa"/>
            <w:vAlign w:val="bottom"/>
          </w:tcPr>
          <w:p>
            <w:pPr>
              <w:jc w:val="right"/>
              <w:spacing w:after="0" w:line="197" w:lineRule="exact"/>
              <w:rPr>
                <w:sz w:val="20"/>
                <w:szCs w:val="20"/>
                <w:color w:val="auto"/>
              </w:rPr>
            </w:pPr>
            <w:r>
              <w:rPr>
                <w:rFonts w:ascii="Arial" w:cs="Arial" w:eastAsia="Arial" w:hAnsi="Arial"/>
                <w:sz w:val="18"/>
                <w:szCs w:val="18"/>
                <w:color w:val="auto"/>
              </w:rPr>
              <w:t>(61.0)</w:t>
            </w:r>
          </w:p>
        </w:tc>
        <w:tc>
          <w:tcPr>
            <w:tcW w:w="400" w:type="dxa"/>
            <w:vAlign w:val="bottom"/>
          </w:tcPr>
          <w:p>
            <w:pPr>
              <w:spacing w:after="0"/>
              <w:rPr>
                <w:sz w:val="17"/>
                <w:szCs w:val="17"/>
                <w:color w:val="auto"/>
              </w:rPr>
            </w:pPr>
          </w:p>
        </w:tc>
        <w:tc>
          <w:tcPr>
            <w:tcW w:w="980" w:type="dxa"/>
            <w:vAlign w:val="bottom"/>
            <w:gridSpan w:val="3"/>
          </w:tcPr>
          <w:p>
            <w:pPr>
              <w:jc w:val="right"/>
              <w:spacing w:after="0" w:line="197" w:lineRule="exact"/>
              <w:rPr>
                <w:sz w:val="20"/>
                <w:szCs w:val="20"/>
                <w:color w:val="auto"/>
              </w:rPr>
            </w:pPr>
            <w:r>
              <w:rPr>
                <w:rFonts w:ascii="Arial" w:cs="Arial" w:eastAsia="Arial" w:hAnsi="Arial"/>
                <w:sz w:val="18"/>
                <w:szCs w:val="18"/>
                <w:color w:val="auto"/>
              </w:rPr>
              <w:t>(163.1)</w:t>
            </w:r>
          </w:p>
        </w:tc>
        <w:tc>
          <w:tcPr>
            <w:tcW w:w="0" w:type="dxa"/>
            <w:vAlign w:val="bottom"/>
          </w:tcPr>
          <w:p>
            <w:pPr>
              <w:spacing w:after="0"/>
              <w:rPr>
                <w:sz w:val="1"/>
                <w:szCs w:val="1"/>
                <w:color w:val="auto"/>
              </w:rPr>
            </w:pPr>
          </w:p>
        </w:tc>
      </w:tr>
      <w:tr>
        <w:trPr>
          <w:trHeight w:val="203"/>
        </w:trPr>
        <w:tc>
          <w:tcPr>
            <w:tcW w:w="6700" w:type="dxa"/>
            <w:vAlign w:val="bottom"/>
            <w:gridSpan w:val="2"/>
          </w:tcPr>
          <w:p>
            <w:pPr>
              <w:spacing w:after="0" w:line="202" w:lineRule="exact"/>
              <w:rPr>
                <w:sz w:val="20"/>
                <w:szCs w:val="20"/>
                <w:color w:val="auto"/>
              </w:rPr>
            </w:pPr>
            <w:r>
              <w:rPr>
                <w:rFonts w:ascii="Arial" w:cs="Arial" w:eastAsia="Arial" w:hAnsi="Arial"/>
                <w:sz w:val="17"/>
                <w:szCs w:val="17"/>
                <w:color w:val="auto"/>
              </w:rPr>
              <w:t>Intangible asset amortization expense</w:t>
            </w:r>
            <w:r>
              <w:rPr>
                <w:rFonts w:ascii="Arial" w:cs="Arial" w:eastAsia="Arial" w:hAnsi="Arial"/>
                <w:sz w:val="23"/>
                <w:szCs w:val="23"/>
                <w:color w:val="auto"/>
                <w:vertAlign w:val="superscript"/>
              </w:rPr>
              <w:t>(c)</w:t>
            </w:r>
          </w:p>
        </w:tc>
        <w:tc>
          <w:tcPr>
            <w:tcW w:w="340" w:type="dxa"/>
            <w:vAlign w:val="bottom"/>
          </w:tcPr>
          <w:p>
            <w:pPr>
              <w:spacing w:after="0"/>
              <w:rPr>
                <w:sz w:val="17"/>
                <w:szCs w:val="17"/>
                <w:color w:val="auto"/>
              </w:rPr>
            </w:pPr>
          </w:p>
        </w:tc>
        <w:tc>
          <w:tcPr>
            <w:tcW w:w="120" w:type="dxa"/>
            <w:vAlign w:val="bottom"/>
            <w:shd w:val="clear" w:color="auto" w:fill="E3F1DA"/>
          </w:tcPr>
          <w:p>
            <w:pPr>
              <w:spacing w:after="0"/>
              <w:rPr>
                <w:sz w:val="17"/>
                <w:szCs w:val="17"/>
                <w:color w:val="auto"/>
              </w:rPr>
            </w:pPr>
          </w:p>
        </w:tc>
        <w:tc>
          <w:tcPr>
            <w:tcW w:w="1340" w:type="dxa"/>
            <w:vAlign w:val="bottom"/>
          </w:tcPr>
          <w:p>
            <w:pPr>
              <w:jc w:val="right"/>
              <w:ind w:right="71"/>
              <w:spacing w:after="0" w:line="202" w:lineRule="exact"/>
              <w:rPr>
                <w:sz w:val="20"/>
                <w:szCs w:val="20"/>
                <w:color w:val="auto"/>
              </w:rPr>
            </w:pPr>
            <w:r>
              <w:rPr>
                <w:rFonts w:ascii="Arial" w:cs="Arial" w:eastAsia="Arial" w:hAnsi="Arial"/>
                <w:sz w:val="18"/>
                <w:szCs w:val="18"/>
                <w:color w:val="86B6A5"/>
              </w:rPr>
              <w:t>(39.3)</w:t>
            </w:r>
          </w:p>
        </w:tc>
        <w:tc>
          <w:tcPr>
            <w:tcW w:w="32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(21.9)</w:t>
            </w:r>
          </w:p>
        </w:tc>
        <w:tc>
          <w:tcPr>
            <w:tcW w:w="400" w:type="dxa"/>
            <w:vAlign w:val="bottom"/>
          </w:tcPr>
          <w:p>
            <w:pPr>
              <w:spacing w:after="0"/>
              <w:rPr>
                <w:sz w:val="17"/>
                <w:szCs w:val="17"/>
                <w:color w:val="auto"/>
              </w:rPr>
            </w:pPr>
          </w:p>
        </w:tc>
        <w:tc>
          <w:tcPr>
            <w:tcW w:w="98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08"/>
        </w:trPr>
        <w:tc>
          <w:tcPr>
            <w:tcW w:w="6700" w:type="dxa"/>
            <w:vAlign w:val="bottom"/>
            <w:gridSpan w:val="2"/>
          </w:tcPr>
          <w:p>
            <w:pPr>
              <w:spacing w:after="0" w:line="207" w:lineRule="exact"/>
              <w:rPr>
                <w:sz w:val="20"/>
                <w:szCs w:val="20"/>
                <w:color w:val="auto"/>
              </w:rPr>
            </w:pPr>
            <w:r>
              <w:rPr>
                <w:rFonts w:ascii="Arial" w:cs="Arial" w:eastAsia="Arial" w:hAnsi="Arial"/>
                <w:sz w:val="17"/>
                <w:szCs w:val="17"/>
                <w:color w:val="auto"/>
              </w:rPr>
              <w:t>Reclassification of French business tax</w:t>
            </w:r>
            <w:r>
              <w:rPr>
                <w:rFonts w:ascii="Arial" w:cs="Arial" w:eastAsia="Arial" w:hAnsi="Arial"/>
                <w:sz w:val="24"/>
                <w:szCs w:val="24"/>
                <w:color w:val="auto"/>
                <w:vertAlign w:val="superscript"/>
              </w:rPr>
              <w:t>(d)</w:t>
            </w:r>
          </w:p>
        </w:tc>
        <w:tc>
          <w:tcPr>
            <w:tcW w:w="340" w:type="dxa"/>
            <w:vAlign w:val="bottom"/>
          </w:tcPr>
          <w:p>
            <w:pPr>
              <w:spacing w:after="0"/>
              <w:rPr>
                <w:sz w:val="18"/>
                <w:szCs w:val="18"/>
                <w:color w:val="auto"/>
              </w:rPr>
            </w:pPr>
          </w:p>
        </w:tc>
        <w:tc>
          <w:tcPr>
            <w:tcW w:w="120" w:type="dxa"/>
            <w:vAlign w:val="bottom"/>
            <w:shd w:val="clear" w:color="auto" w:fill="E3F1DA"/>
          </w:tcPr>
          <w:p>
            <w:pPr>
              <w:spacing w:after="0"/>
              <w:rPr>
                <w:sz w:val="18"/>
                <w:szCs w:val="18"/>
                <w:color w:val="auto"/>
              </w:rPr>
            </w:pPr>
          </w:p>
        </w:tc>
        <w:tc>
          <w:tcPr>
            <w:tcW w:w="1340" w:type="dxa"/>
            <w:vAlign w:val="bottom"/>
          </w:tcPr>
          <w:p>
            <w:pPr>
              <w:jc w:val="right"/>
              <w:ind w:right="131"/>
              <w:spacing w:after="0"/>
              <w:rPr>
                <w:sz w:val="20"/>
                <w:szCs w:val="20"/>
                <w:color w:val="auto"/>
              </w:rPr>
            </w:pPr>
            <w:r>
              <w:rPr>
                <w:rFonts w:ascii="Arial" w:cs="Arial" w:eastAsia="Arial" w:hAnsi="Arial"/>
                <w:sz w:val="18"/>
                <w:szCs w:val="18"/>
                <w:color w:val="86B6A5"/>
              </w:rPr>
              <w:t>65.3</w:t>
            </w:r>
          </w:p>
        </w:tc>
        <w:tc>
          <w:tcPr>
            <w:tcW w:w="320" w:type="dxa"/>
            <w:vAlign w:val="bottom"/>
          </w:tcPr>
          <w:p>
            <w:pPr>
              <w:spacing w:after="0"/>
              <w:rPr>
                <w:sz w:val="18"/>
                <w:szCs w:val="18"/>
                <w:color w:val="auto"/>
              </w:rPr>
            </w:pPr>
          </w:p>
        </w:tc>
        <w:tc>
          <w:tcPr>
            <w:tcW w:w="106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98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7"/>
        </w:trPr>
        <w:tc>
          <w:tcPr>
            <w:tcW w:w="6700" w:type="dxa"/>
            <w:vAlign w:val="bottom"/>
            <w:tcBorders>
              <w:top w:val="single" w:sz="8" w:color="939598"/>
              <w:bottom w:val="single" w:sz="8" w:color="939598"/>
            </w:tcBorders>
            <w:gridSpan w:val="2"/>
          </w:tcPr>
          <w:p>
            <w:pPr>
              <w:spacing w:after="0" w:line="197" w:lineRule="exact"/>
              <w:rPr>
                <w:sz w:val="20"/>
                <w:szCs w:val="20"/>
                <w:color w:val="auto"/>
              </w:rPr>
            </w:pPr>
            <w:r>
              <w:rPr>
                <w:rFonts w:ascii="Arial" w:cs="Arial" w:eastAsia="Arial" w:hAnsi="Arial"/>
                <w:sz w:val="18"/>
                <w:szCs w:val="18"/>
                <w:color w:val="auto"/>
              </w:rPr>
              <w:t>Interest and other expenses</w:t>
            </w:r>
          </w:p>
        </w:tc>
        <w:tc>
          <w:tcPr>
            <w:tcW w:w="340" w:type="dxa"/>
            <w:vAlign w:val="bottom"/>
            <w:tcBorders>
              <w:top w:val="single" w:sz="8" w:color="939598"/>
              <w:bottom w:val="single" w:sz="8" w:color="939598"/>
            </w:tcBorders>
          </w:tcPr>
          <w:p>
            <w:pPr>
              <w:spacing w:after="0"/>
              <w:rPr>
                <w:sz w:val="17"/>
                <w:szCs w:val="17"/>
                <w:color w:val="auto"/>
              </w:rPr>
            </w:pPr>
          </w:p>
        </w:tc>
        <w:tc>
          <w:tcPr>
            <w:tcW w:w="120" w:type="dxa"/>
            <w:vAlign w:val="bottom"/>
            <w:tcBorders>
              <w:top w:val="single" w:sz="8" w:color="939598"/>
              <w:bottom w:val="single" w:sz="8" w:color="939598"/>
            </w:tcBorders>
            <w:shd w:val="clear" w:color="auto" w:fill="E3F1DA"/>
          </w:tcPr>
          <w:p>
            <w:pPr>
              <w:spacing w:after="0"/>
              <w:rPr>
                <w:sz w:val="17"/>
                <w:szCs w:val="17"/>
                <w:color w:val="auto"/>
              </w:rPr>
            </w:pPr>
          </w:p>
        </w:tc>
        <w:tc>
          <w:tcPr>
            <w:tcW w:w="1340" w:type="dxa"/>
            <w:vAlign w:val="bottom"/>
            <w:tcBorders>
              <w:top w:val="single" w:sz="8" w:color="939598"/>
              <w:bottom w:val="single" w:sz="8" w:color="939598"/>
            </w:tcBorders>
          </w:tcPr>
          <w:p>
            <w:pPr>
              <w:jc w:val="right"/>
              <w:ind w:right="71"/>
              <w:spacing w:after="0" w:line="197" w:lineRule="exact"/>
              <w:rPr>
                <w:sz w:val="20"/>
                <w:szCs w:val="20"/>
                <w:color w:val="auto"/>
              </w:rPr>
            </w:pPr>
            <w:r>
              <w:rPr>
                <w:rFonts w:ascii="Arial" w:cs="Arial" w:eastAsia="Arial" w:hAnsi="Arial"/>
                <w:sz w:val="18"/>
                <w:szCs w:val="18"/>
                <w:color w:val="86B6A5"/>
              </w:rPr>
              <w:t>(43.2)</w:t>
            </w:r>
          </w:p>
        </w:tc>
        <w:tc>
          <w:tcPr>
            <w:tcW w:w="320" w:type="dxa"/>
            <w:vAlign w:val="bottom"/>
            <w:tcBorders>
              <w:top w:val="single" w:sz="8" w:color="939598"/>
              <w:bottom w:val="single" w:sz="8" w:color="939598"/>
            </w:tcBorders>
          </w:tcPr>
          <w:p>
            <w:pPr>
              <w:spacing w:after="0"/>
              <w:rPr>
                <w:sz w:val="17"/>
                <w:szCs w:val="17"/>
                <w:color w:val="auto"/>
              </w:rPr>
            </w:pPr>
          </w:p>
        </w:tc>
        <w:tc>
          <w:tcPr>
            <w:tcW w:w="1060" w:type="dxa"/>
            <w:vAlign w:val="bottom"/>
            <w:tcBorders>
              <w:top w:val="single" w:sz="8" w:color="939598"/>
              <w:bottom w:val="single" w:sz="8" w:color="939598"/>
            </w:tcBorders>
          </w:tcPr>
          <w:p>
            <w:pPr>
              <w:jc w:val="right"/>
              <w:spacing w:after="0" w:line="197" w:lineRule="exact"/>
              <w:rPr>
                <w:sz w:val="20"/>
                <w:szCs w:val="20"/>
                <w:color w:val="auto"/>
              </w:rPr>
            </w:pPr>
            <w:r>
              <w:rPr>
                <w:rFonts w:ascii="Arial" w:cs="Arial" w:eastAsia="Arial" w:hAnsi="Arial"/>
                <w:sz w:val="18"/>
                <w:szCs w:val="18"/>
                <w:color w:val="auto"/>
              </w:rPr>
              <w:t>(64.6)</w:t>
            </w:r>
          </w:p>
        </w:tc>
        <w:tc>
          <w:tcPr>
            <w:tcW w:w="400" w:type="dxa"/>
            <w:vAlign w:val="bottom"/>
            <w:tcBorders>
              <w:top w:val="single" w:sz="8" w:color="939598"/>
              <w:bottom w:val="single" w:sz="8" w:color="939598"/>
            </w:tcBorders>
          </w:tcPr>
          <w:p>
            <w:pPr>
              <w:spacing w:after="0"/>
              <w:rPr>
                <w:sz w:val="17"/>
                <w:szCs w:val="17"/>
                <w:color w:val="auto"/>
              </w:rPr>
            </w:pPr>
          </w:p>
        </w:tc>
        <w:tc>
          <w:tcPr>
            <w:tcW w:w="940" w:type="dxa"/>
            <w:vAlign w:val="bottom"/>
            <w:tcBorders>
              <w:top w:val="single" w:sz="8" w:color="939598"/>
              <w:bottom w:val="single" w:sz="8" w:color="939598"/>
            </w:tcBorders>
            <w:gridSpan w:val="2"/>
          </w:tcPr>
          <w:p>
            <w:pPr>
              <w:jc w:val="right"/>
              <w:ind w:right="20"/>
              <w:spacing w:after="0" w:line="197" w:lineRule="exact"/>
              <w:rPr>
                <w:sz w:val="20"/>
                <w:szCs w:val="20"/>
                <w:color w:val="auto"/>
              </w:rPr>
            </w:pPr>
            <w:r>
              <w:rPr>
                <w:rFonts w:ascii="Arial" w:cs="Arial" w:eastAsia="Arial" w:hAnsi="Arial"/>
                <w:sz w:val="18"/>
                <w:szCs w:val="18"/>
                <w:color w:val="auto"/>
              </w:rPr>
              <w:t>(50.9</w:t>
            </w:r>
          </w:p>
        </w:tc>
        <w:tc>
          <w:tcPr>
            <w:tcW w:w="40" w:type="dxa"/>
            <w:vAlign w:val="bottom"/>
          </w:tcPr>
          <w:p>
            <w:pPr>
              <w:jc w:val="right"/>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196"/>
        </w:trPr>
        <w:tc>
          <w:tcPr>
            <w:tcW w:w="6700" w:type="dxa"/>
            <w:vAlign w:val="bottom"/>
            <w:gridSpan w:val="2"/>
          </w:tcPr>
          <w:p>
            <w:pPr>
              <w:spacing w:after="0" w:line="196" w:lineRule="exact"/>
              <w:rPr>
                <w:sz w:val="20"/>
                <w:szCs w:val="20"/>
                <w:color w:val="auto"/>
              </w:rPr>
            </w:pPr>
            <w:r>
              <w:rPr>
                <w:rFonts w:ascii="Arial" w:cs="Arial" w:eastAsia="Arial" w:hAnsi="Arial"/>
                <w:sz w:val="18"/>
                <w:szCs w:val="18"/>
                <w:color w:val="auto"/>
              </w:rPr>
              <w:t>(Loss) earnings before income taxes</w:t>
            </w:r>
          </w:p>
        </w:tc>
        <w:tc>
          <w:tcPr>
            <w:tcW w:w="340" w:type="dxa"/>
            <w:vAlign w:val="bottom"/>
          </w:tcPr>
          <w:p>
            <w:pPr>
              <w:spacing w:after="0"/>
              <w:rPr>
                <w:sz w:val="17"/>
                <w:szCs w:val="17"/>
                <w:color w:val="auto"/>
              </w:rPr>
            </w:pPr>
          </w:p>
        </w:tc>
        <w:tc>
          <w:tcPr>
            <w:tcW w:w="120" w:type="dxa"/>
            <w:vAlign w:val="bottom"/>
            <w:shd w:val="clear" w:color="auto" w:fill="E3F1DA"/>
          </w:tcPr>
          <w:p>
            <w:pPr>
              <w:jc w:val="right"/>
              <w:spacing w:after="0" w:line="196" w:lineRule="exact"/>
              <w:rPr>
                <w:sz w:val="20"/>
                <w:szCs w:val="20"/>
                <w:color w:val="auto"/>
              </w:rPr>
            </w:pPr>
            <w:r>
              <w:rPr>
                <w:rFonts w:ascii="Arial" w:cs="Arial" w:eastAsia="Arial" w:hAnsi="Arial"/>
                <w:sz w:val="18"/>
                <w:szCs w:val="18"/>
                <w:color w:val="86B6A5"/>
                <w:w w:val="79"/>
              </w:rPr>
              <w:t>$</w:t>
            </w:r>
          </w:p>
        </w:tc>
        <w:tc>
          <w:tcPr>
            <w:tcW w:w="1340" w:type="dxa"/>
            <w:vAlign w:val="bottom"/>
          </w:tcPr>
          <w:p>
            <w:pPr>
              <w:jc w:val="right"/>
              <w:ind w:right="71"/>
              <w:spacing w:after="0" w:line="196" w:lineRule="exact"/>
              <w:rPr>
                <w:sz w:val="20"/>
                <w:szCs w:val="20"/>
                <w:color w:val="auto"/>
              </w:rPr>
            </w:pPr>
            <w:r>
              <w:rPr>
                <w:rFonts w:ascii="Arial" w:cs="Arial" w:eastAsia="Arial" w:hAnsi="Arial"/>
                <w:sz w:val="18"/>
                <w:szCs w:val="18"/>
                <w:color w:val="86B6A5"/>
              </w:rPr>
              <w:t>(165.2)</w:t>
            </w:r>
          </w:p>
        </w:tc>
        <w:tc>
          <w:tcPr>
            <w:tcW w:w="320" w:type="dxa"/>
            <w:vAlign w:val="bottom"/>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line="196" w:lineRule="exact"/>
              <w:rPr>
                <w:sz w:val="20"/>
                <w:szCs w:val="20"/>
                <w:color w:val="auto"/>
              </w:rPr>
            </w:pPr>
            <w:r>
              <w:rPr>
                <w:rFonts w:ascii="Arial" w:cs="Arial" w:eastAsia="Arial" w:hAnsi="Arial"/>
                <w:sz w:val="18"/>
                <w:szCs w:val="18"/>
                <w:color w:val="auto"/>
              </w:rPr>
              <w:t>(22.9)</w:t>
            </w:r>
          </w:p>
        </w:tc>
        <w:tc>
          <w:tcPr>
            <w:tcW w:w="400" w:type="dxa"/>
            <w:vAlign w:val="bottom"/>
          </w:tcPr>
          <w:p>
            <w:pPr>
              <w:jc w:val="right"/>
              <w:ind w:right="130"/>
              <w:spacing w:after="0" w:line="196" w:lineRule="exact"/>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442.6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680" w:type="dxa"/>
            <w:vAlign w:val="bottom"/>
            <w:shd w:val="clear" w:color="auto" w:fill="939598"/>
          </w:tcPr>
          <w:p>
            <w:pPr>
              <w:spacing w:after="0"/>
              <w:rPr>
                <w:sz w:val="2"/>
                <w:szCs w:val="2"/>
                <w:color w:val="auto"/>
              </w:rPr>
            </w:pPr>
          </w:p>
        </w:tc>
        <w:tc>
          <w:tcPr>
            <w:tcW w:w="340" w:type="dxa"/>
            <w:vAlign w:val="bottom"/>
            <w:shd w:val="clear" w:color="auto" w:fill="939598"/>
          </w:tcPr>
          <w:p>
            <w:pPr>
              <w:spacing w:after="0"/>
              <w:rPr>
                <w:sz w:val="2"/>
                <w:szCs w:val="2"/>
                <w:color w:val="auto"/>
              </w:rPr>
            </w:pPr>
          </w:p>
        </w:tc>
        <w:tc>
          <w:tcPr>
            <w:tcW w:w="120" w:type="dxa"/>
            <w:vAlign w:val="bottom"/>
            <w:shd w:val="clear" w:color="auto" w:fill="939598"/>
          </w:tcPr>
          <w:p>
            <w:pPr>
              <w:spacing w:after="0"/>
              <w:rPr>
                <w:sz w:val="2"/>
                <w:szCs w:val="2"/>
                <w:color w:val="auto"/>
              </w:rPr>
            </w:pPr>
          </w:p>
        </w:tc>
        <w:tc>
          <w:tcPr>
            <w:tcW w:w="1340" w:type="dxa"/>
            <w:vAlign w:val="bottom"/>
            <w:shd w:val="clear" w:color="auto" w:fill="939598"/>
          </w:tcPr>
          <w:p>
            <w:pPr>
              <w:spacing w:after="0"/>
              <w:rPr>
                <w:sz w:val="2"/>
                <w:szCs w:val="2"/>
                <w:color w:val="auto"/>
              </w:rPr>
            </w:pPr>
          </w:p>
        </w:tc>
        <w:tc>
          <w:tcPr>
            <w:tcW w:w="320" w:type="dxa"/>
            <w:vAlign w:val="bottom"/>
            <w:shd w:val="clear" w:color="auto" w:fill="939598"/>
          </w:tcPr>
          <w:p>
            <w:pPr>
              <w:spacing w:after="0"/>
              <w:rPr>
                <w:sz w:val="2"/>
                <w:szCs w:val="2"/>
                <w:color w:val="auto"/>
              </w:rPr>
            </w:pPr>
          </w:p>
        </w:tc>
        <w:tc>
          <w:tcPr>
            <w:tcW w:w="1060" w:type="dxa"/>
            <w:vAlign w:val="bottom"/>
            <w:shd w:val="clear" w:color="auto" w:fill="939598"/>
          </w:tcPr>
          <w:p>
            <w:pPr>
              <w:spacing w:after="0"/>
              <w:rPr>
                <w:sz w:val="2"/>
                <w:szCs w:val="2"/>
                <w:color w:val="auto"/>
              </w:rPr>
            </w:pPr>
          </w:p>
        </w:tc>
        <w:tc>
          <w:tcPr>
            <w:tcW w:w="400" w:type="dxa"/>
            <w:vAlign w:val="bottom"/>
            <w:shd w:val="clear" w:color="auto" w:fill="939598"/>
          </w:tcPr>
          <w:p>
            <w:pPr>
              <w:spacing w:after="0"/>
              <w:rPr>
                <w:sz w:val="2"/>
                <w:szCs w:val="2"/>
                <w:color w:val="auto"/>
              </w:rPr>
            </w:pPr>
          </w:p>
        </w:tc>
        <w:tc>
          <w:tcPr>
            <w:tcW w:w="920" w:type="dxa"/>
            <w:vAlign w:val="bottom"/>
            <w:shd w:val="clear" w:color="auto" w:fill="939598"/>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13"/>
        </w:trPr>
        <w:tc>
          <w:tcPr>
            <w:tcW w:w="6700" w:type="dxa"/>
            <w:vAlign w:val="bottom"/>
            <w:gridSpan w:val="2"/>
          </w:tcPr>
          <w:p>
            <w:pPr>
              <w:spacing w:after="0"/>
              <w:rPr>
                <w:sz w:val="20"/>
                <w:szCs w:val="20"/>
                <w:color w:val="auto"/>
              </w:rPr>
            </w:pPr>
            <w:r>
              <w:rPr>
                <w:rFonts w:ascii="Arial" w:cs="Arial" w:eastAsia="Arial" w:hAnsi="Arial"/>
                <w:sz w:val="16"/>
                <w:szCs w:val="16"/>
                <w:color w:val="auto"/>
              </w:rPr>
              <w:t>(a)  Further breakdown of Revenues from Services by geographical region is as follows:</w:t>
            </w: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6700" w:type="dxa"/>
            <w:vAlign w:val="bottom"/>
            <w:gridSpan w:val="2"/>
            <w:vMerge w:val="restart"/>
          </w:tcPr>
          <w:p>
            <w:pPr>
              <w:spacing w:after="0"/>
              <w:rPr>
                <w:sz w:val="20"/>
                <w:szCs w:val="20"/>
                <w:color w:val="auto"/>
              </w:rPr>
            </w:pPr>
            <w:r>
              <w:rPr>
                <w:rFonts w:ascii="Arial" w:cs="Arial" w:eastAsia="Arial" w:hAnsi="Arial"/>
                <w:sz w:val="16"/>
                <w:szCs w:val="16"/>
                <w:b w:val="1"/>
                <w:bCs w:val="1"/>
                <w:color w:val="86B6A5"/>
              </w:rPr>
              <w:t>Revenues from Services</w:t>
            </w:r>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vMerge w:val="restart"/>
          </w:tcPr>
          <w:p>
            <w:pPr>
              <w:jc w:val="right"/>
              <w:ind w:right="51"/>
              <w:spacing w:after="0"/>
              <w:rPr>
                <w:sz w:val="20"/>
                <w:szCs w:val="20"/>
                <w:color w:val="auto"/>
              </w:rPr>
            </w:pPr>
            <w:r>
              <w:rPr>
                <w:rFonts w:ascii="Arial" w:cs="Arial" w:eastAsia="Arial" w:hAnsi="Arial"/>
                <w:sz w:val="16"/>
                <w:szCs w:val="16"/>
                <w:b w:val="1"/>
                <w:bCs w:val="1"/>
                <w:color w:val="86B6A5"/>
              </w:rPr>
              <w:t>2009</w:t>
            </w:r>
          </w:p>
        </w:tc>
        <w:tc>
          <w:tcPr>
            <w:tcW w:w="400" w:type="dxa"/>
            <w:vAlign w:val="bottom"/>
          </w:tcPr>
          <w:p>
            <w:pPr>
              <w:spacing w:after="0"/>
              <w:rPr>
                <w:sz w:val="22"/>
                <w:szCs w:val="22"/>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b w:val="1"/>
                <w:bCs w:val="1"/>
                <w:color w:val="86B6A5"/>
              </w:rPr>
              <w:t>2008</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6700" w:type="dxa"/>
            <w:vAlign w:val="bottom"/>
            <w:gridSpan w:val="2"/>
            <w:vMerge w:val="continue"/>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shd w:val="clear" w:color="auto" w:fill="86B6A5"/>
          </w:tcPr>
          <w:p>
            <w:pPr>
              <w:spacing w:after="0"/>
              <w:rPr>
                <w:sz w:val="18"/>
                <w:szCs w:val="18"/>
                <w:color w:val="auto"/>
              </w:rPr>
            </w:pPr>
          </w:p>
        </w:tc>
        <w:tc>
          <w:tcPr>
            <w:tcW w:w="1340" w:type="dxa"/>
            <w:vAlign w:val="bottom"/>
            <w:shd w:val="clear" w:color="auto" w:fill="86B6A5"/>
          </w:tcPr>
          <w:p>
            <w:pPr>
              <w:jc w:val="right"/>
              <w:ind w:right="131"/>
              <w:spacing w:after="0"/>
              <w:rPr>
                <w:sz w:val="20"/>
                <w:szCs w:val="20"/>
                <w:color w:val="auto"/>
              </w:rPr>
            </w:pPr>
            <w:r>
              <w:rPr>
                <w:rFonts w:ascii="Arial" w:cs="Arial" w:eastAsia="Arial" w:hAnsi="Arial"/>
                <w:sz w:val="16"/>
                <w:szCs w:val="16"/>
                <w:b w:val="1"/>
                <w:bCs w:val="1"/>
                <w:color w:val="FFFFFF"/>
              </w:rPr>
              <w:t>2010</w:t>
            </w:r>
          </w:p>
        </w:tc>
        <w:tc>
          <w:tcPr>
            <w:tcW w:w="32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680" w:type="dxa"/>
            <w:vAlign w:val="bottom"/>
            <w:tcBorders>
              <w:top w:val="single" w:sz="8" w:color="86B6A5"/>
            </w:tcBorders>
          </w:tcPr>
          <w:p>
            <w:pPr>
              <w:spacing w:after="0" w:line="201" w:lineRule="exact"/>
              <w:rPr>
                <w:sz w:val="20"/>
                <w:szCs w:val="20"/>
                <w:color w:val="auto"/>
              </w:rPr>
            </w:pPr>
            <w:r>
              <w:rPr>
                <w:rFonts w:ascii="Arial" w:cs="Arial" w:eastAsia="Arial" w:hAnsi="Arial"/>
                <w:sz w:val="18"/>
                <w:szCs w:val="18"/>
                <w:color w:val="auto"/>
              </w:rPr>
              <w:t>United States</w:t>
            </w:r>
          </w:p>
        </w:tc>
        <w:tc>
          <w:tcPr>
            <w:tcW w:w="340" w:type="dxa"/>
            <w:vAlign w:val="bottom"/>
            <w:tcBorders>
              <w:top w:val="single" w:sz="8" w:color="86B6A5"/>
            </w:tcBorders>
          </w:tcPr>
          <w:p>
            <w:pPr>
              <w:spacing w:after="0"/>
              <w:rPr>
                <w:sz w:val="17"/>
                <w:szCs w:val="17"/>
                <w:color w:val="auto"/>
              </w:rPr>
            </w:pPr>
          </w:p>
        </w:tc>
        <w:tc>
          <w:tcPr>
            <w:tcW w:w="120" w:type="dxa"/>
            <w:vAlign w:val="bottom"/>
            <w:tcBorders>
              <w:top w:val="single" w:sz="8" w:color="86B6A5"/>
            </w:tcBorders>
            <w:shd w:val="clear" w:color="auto" w:fill="E3F1DA"/>
          </w:tcPr>
          <w:p>
            <w:pPr>
              <w:jc w:val="right"/>
              <w:spacing w:after="0" w:line="201" w:lineRule="exact"/>
              <w:rPr>
                <w:sz w:val="20"/>
                <w:szCs w:val="20"/>
                <w:color w:val="auto"/>
              </w:rPr>
            </w:pPr>
            <w:r>
              <w:rPr>
                <w:rFonts w:ascii="Arial" w:cs="Arial" w:eastAsia="Arial" w:hAnsi="Arial"/>
                <w:sz w:val="18"/>
                <w:szCs w:val="18"/>
                <w:color w:val="86B6A5"/>
                <w:w w:val="79"/>
              </w:rPr>
              <w:t>$</w:t>
            </w:r>
          </w:p>
        </w:tc>
        <w:tc>
          <w:tcPr>
            <w:tcW w:w="1340" w:type="dxa"/>
            <w:vAlign w:val="bottom"/>
            <w:tcBorders>
              <w:top w:val="single" w:sz="8" w:color="86B6A5"/>
            </w:tcBorders>
            <w:shd w:val="clear" w:color="auto" w:fill="E3F1DA"/>
          </w:tcPr>
          <w:p>
            <w:pPr>
              <w:jc w:val="right"/>
              <w:ind w:right="131"/>
              <w:spacing w:after="0" w:line="201" w:lineRule="exact"/>
              <w:rPr>
                <w:sz w:val="20"/>
                <w:szCs w:val="20"/>
                <w:color w:val="auto"/>
              </w:rPr>
            </w:pPr>
            <w:r>
              <w:rPr>
                <w:rFonts w:ascii="Arial" w:cs="Arial" w:eastAsia="Arial" w:hAnsi="Arial"/>
                <w:sz w:val="18"/>
                <w:szCs w:val="18"/>
                <w:color w:val="86B6A5"/>
              </w:rPr>
              <w:t>2,940.1</w:t>
            </w:r>
          </w:p>
        </w:tc>
        <w:tc>
          <w:tcPr>
            <w:tcW w:w="320" w:type="dxa"/>
            <w:vAlign w:val="bottom"/>
            <w:tcBorders>
              <w:top w:val="single" w:sz="8" w:color="86B6A5"/>
            </w:tcBorders>
          </w:tcPr>
          <w:p>
            <w:pPr>
              <w:jc w:val="right"/>
              <w:ind w:right="130"/>
              <w:spacing w:after="0" w:line="201" w:lineRule="exact"/>
              <w:rPr>
                <w:sz w:val="20"/>
                <w:szCs w:val="20"/>
                <w:color w:val="auto"/>
              </w:rPr>
            </w:pPr>
            <w:r>
              <w:rPr>
                <w:rFonts w:ascii="Arial" w:cs="Arial" w:eastAsia="Arial" w:hAnsi="Arial"/>
                <w:sz w:val="18"/>
                <w:szCs w:val="18"/>
                <w:color w:val="auto"/>
                <w:w w:val="79"/>
              </w:rPr>
              <w:t>$</w:t>
            </w:r>
          </w:p>
        </w:tc>
        <w:tc>
          <w:tcPr>
            <w:tcW w:w="1060" w:type="dxa"/>
            <w:vAlign w:val="bottom"/>
            <w:tcBorders>
              <w:top w:val="single" w:sz="8" w:color="86B6A5"/>
            </w:tcBorders>
          </w:tcPr>
          <w:p>
            <w:pPr>
              <w:jc w:val="right"/>
              <w:ind w:right="51"/>
              <w:spacing w:after="0" w:line="201" w:lineRule="exact"/>
              <w:rPr>
                <w:sz w:val="20"/>
                <w:szCs w:val="20"/>
                <w:color w:val="auto"/>
              </w:rPr>
            </w:pPr>
            <w:r>
              <w:rPr>
                <w:rFonts w:ascii="Arial" w:cs="Arial" w:eastAsia="Arial" w:hAnsi="Arial"/>
                <w:sz w:val="18"/>
                <w:szCs w:val="18"/>
                <w:color w:val="auto"/>
              </w:rPr>
              <w:t>2,059.4</w:t>
            </w:r>
          </w:p>
        </w:tc>
        <w:tc>
          <w:tcPr>
            <w:tcW w:w="400" w:type="dxa"/>
            <w:vAlign w:val="bottom"/>
            <w:tcBorders>
              <w:top w:val="single" w:sz="8" w:color="86B6A5"/>
            </w:tcBorders>
          </w:tcPr>
          <w:p>
            <w:pPr>
              <w:jc w:val="right"/>
              <w:ind w:right="130"/>
              <w:spacing w:after="0" w:line="201" w:lineRule="exact"/>
              <w:rPr>
                <w:sz w:val="20"/>
                <w:szCs w:val="20"/>
                <w:color w:val="auto"/>
              </w:rPr>
            </w:pPr>
            <w:r>
              <w:rPr>
                <w:rFonts w:ascii="Arial" w:cs="Arial" w:eastAsia="Arial" w:hAnsi="Arial"/>
                <w:sz w:val="18"/>
                <w:szCs w:val="18"/>
                <w:color w:val="auto"/>
              </w:rPr>
              <w:t>$</w:t>
            </w:r>
          </w:p>
        </w:tc>
        <w:tc>
          <w:tcPr>
            <w:tcW w:w="920" w:type="dxa"/>
            <w:vAlign w:val="bottom"/>
            <w:tcBorders>
              <w:top w:val="single" w:sz="8" w:color="86B6A5"/>
            </w:tcBorders>
          </w:tcPr>
          <w:p>
            <w:pPr>
              <w:jc w:val="right"/>
              <w:spacing w:after="0" w:line="201" w:lineRule="exact"/>
              <w:rPr>
                <w:sz w:val="20"/>
                <w:szCs w:val="20"/>
                <w:color w:val="auto"/>
              </w:rPr>
            </w:pPr>
            <w:r>
              <w:rPr>
                <w:rFonts w:ascii="Arial" w:cs="Arial" w:eastAsia="Arial" w:hAnsi="Arial"/>
                <w:sz w:val="18"/>
                <w:szCs w:val="18"/>
                <w:color w:val="auto"/>
              </w:rPr>
              <w:t>2,436.3</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00" w:type="dxa"/>
            <w:vAlign w:val="bottom"/>
            <w:gridSpan w:val="2"/>
          </w:tcPr>
          <w:p>
            <w:pPr>
              <w:spacing w:after="0" w:line="202" w:lineRule="exact"/>
              <w:rPr>
                <w:sz w:val="20"/>
                <w:szCs w:val="20"/>
                <w:color w:val="auto"/>
              </w:rPr>
            </w:pPr>
            <w:r>
              <w:rPr>
                <w:rFonts w:ascii="Arial" w:cs="Arial" w:eastAsia="Arial" w:hAnsi="Arial"/>
                <w:sz w:val="18"/>
                <w:szCs w:val="18"/>
                <w:color w:val="auto"/>
              </w:rPr>
              <w:t>France</w:t>
            </w:r>
          </w:p>
        </w:tc>
        <w:tc>
          <w:tcPr>
            <w:tcW w:w="340" w:type="dxa"/>
            <w:vAlign w:val="bottom"/>
          </w:tcPr>
          <w:p>
            <w:pPr>
              <w:spacing w:after="0"/>
              <w:rPr>
                <w:sz w:val="17"/>
                <w:szCs w:val="17"/>
                <w:color w:val="auto"/>
              </w:rPr>
            </w:pPr>
          </w:p>
        </w:tc>
        <w:tc>
          <w:tcPr>
            <w:tcW w:w="120" w:type="dxa"/>
            <w:vAlign w:val="bottom"/>
            <w:shd w:val="clear" w:color="auto" w:fill="E3F1DA"/>
          </w:tcPr>
          <w:p>
            <w:pPr>
              <w:spacing w:after="0"/>
              <w:rPr>
                <w:sz w:val="17"/>
                <w:szCs w:val="17"/>
                <w:color w:val="auto"/>
              </w:rPr>
            </w:pPr>
          </w:p>
        </w:tc>
        <w:tc>
          <w:tcPr>
            <w:tcW w:w="1340" w:type="dxa"/>
            <w:vAlign w:val="bottom"/>
            <w:shd w:val="clear" w:color="auto" w:fill="E3F1DA"/>
          </w:tcPr>
          <w:p>
            <w:pPr>
              <w:jc w:val="right"/>
              <w:ind w:right="131"/>
              <w:spacing w:after="0" w:line="202" w:lineRule="exact"/>
              <w:rPr>
                <w:sz w:val="20"/>
                <w:szCs w:val="20"/>
                <w:color w:val="auto"/>
              </w:rPr>
            </w:pPr>
            <w:r>
              <w:rPr>
                <w:rFonts w:ascii="Arial" w:cs="Arial" w:eastAsia="Arial" w:hAnsi="Arial"/>
                <w:sz w:val="18"/>
                <w:szCs w:val="18"/>
                <w:color w:val="86B6A5"/>
              </w:rPr>
              <w:t>5,240.7</w:t>
            </w:r>
          </w:p>
        </w:tc>
        <w:tc>
          <w:tcPr>
            <w:tcW w:w="320" w:type="dxa"/>
            <w:vAlign w:val="bottom"/>
          </w:tcPr>
          <w:p>
            <w:pPr>
              <w:spacing w:after="0"/>
              <w:rPr>
                <w:sz w:val="17"/>
                <w:szCs w:val="17"/>
                <w:color w:val="auto"/>
              </w:rPr>
            </w:pPr>
          </w:p>
        </w:tc>
        <w:tc>
          <w:tcPr>
            <w:tcW w:w="1060" w:type="dxa"/>
            <w:vAlign w:val="bottom"/>
          </w:tcPr>
          <w:p>
            <w:pPr>
              <w:jc w:val="right"/>
              <w:ind w:right="51"/>
              <w:spacing w:after="0" w:line="202" w:lineRule="exact"/>
              <w:rPr>
                <w:sz w:val="20"/>
                <w:szCs w:val="20"/>
                <w:color w:val="auto"/>
              </w:rPr>
            </w:pPr>
            <w:r>
              <w:rPr>
                <w:rFonts w:ascii="Arial" w:cs="Arial" w:eastAsia="Arial" w:hAnsi="Arial"/>
                <w:sz w:val="18"/>
                <w:szCs w:val="18"/>
                <w:color w:val="auto"/>
              </w:rPr>
              <w:t>4,710.3</w:t>
            </w:r>
          </w:p>
        </w:tc>
        <w:tc>
          <w:tcPr>
            <w:tcW w:w="400" w:type="dxa"/>
            <w:vAlign w:val="bottom"/>
          </w:tcPr>
          <w:p>
            <w:pPr>
              <w:spacing w:after="0"/>
              <w:rPr>
                <w:sz w:val="17"/>
                <w:szCs w:val="17"/>
                <w:color w:val="auto"/>
              </w:rPr>
            </w:pPr>
          </w:p>
        </w:tc>
        <w:tc>
          <w:tcPr>
            <w:tcW w:w="9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6,968.8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00" w:type="dxa"/>
            <w:vAlign w:val="bottom"/>
            <w:gridSpan w:val="2"/>
          </w:tcPr>
          <w:p>
            <w:pPr>
              <w:spacing w:after="0" w:line="202" w:lineRule="exact"/>
              <w:rPr>
                <w:sz w:val="20"/>
                <w:szCs w:val="20"/>
                <w:color w:val="auto"/>
              </w:rPr>
            </w:pPr>
            <w:r>
              <w:rPr>
                <w:rFonts w:ascii="Arial" w:cs="Arial" w:eastAsia="Arial" w:hAnsi="Arial"/>
                <w:sz w:val="18"/>
                <w:szCs w:val="18"/>
                <w:color w:val="auto"/>
              </w:rPr>
              <w:t>Italy</w:t>
            </w:r>
          </w:p>
        </w:tc>
        <w:tc>
          <w:tcPr>
            <w:tcW w:w="340" w:type="dxa"/>
            <w:vAlign w:val="bottom"/>
          </w:tcPr>
          <w:p>
            <w:pPr>
              <w:spacing w:after="0"/>
              <w:rPr>
                <w:sz w:val="17"/>
                <w:szCs w:val="17"/>
                <w:color w:val="auto"/>
              </w:rPr>
            </w:pPr>
          </w:p>
        </w:tc>
        <w:tc>
          <w:tcPr>
            <w:tcW w:w="120" w:type="dxa"/>
            <w:vAlign w:val="bottom"/>
            <w:shd w:val="clear" w:color="auto" w:fill="E3F1DA"/>
          </w:tcPr>
          <w:p>
            <w:pPr>
              <w:spacing w:after="0"/>
              <w:rPr>
                <w:sz w:val="17"/>
                <w:szCs w:val="17"/>
                <w:color w:val="auto"/>
              </w:rPr>
            </w:pPr>
          </w:p>
        </w:tc>
        <w:tc>
          <w:tcPr>
            <w:tcW w:w="1340" w:type="dxa"/>
            <w:vAlign w:val="bottom"/>
            <w:shd w:val="clear" w:color="auto" w:fill="E3F1DA"/>
          </w:tcPr>
          <w:p>
            <w:pPr>
              <w:jc w:val="right"/>
              <w:ind w:right="131"/>
              <w:spacing w:after="0" w:line="202" w:lineRule="exact"/>
              <w:rPr>
                <w:sz w:val="20"/>
                <w:szCs w:val="20"/>
                <w:color w:val="auto"/>
              </w:rPr>
            </w:pPr>
            <w:r>
              <w:rPr>
                <w:rFonts w:ascii="Arial" w:cs="Arial" w:eastAsia="Arial" w:hAnsi="Arial"/>
                <w:sz w:val="18"/>
                <w:szCs w:val="18"/>
                <w:color w:val="86B6A5"/>
              </w:rPr>
              <w:t>1,065.0</w:t>
            </w:r>
          </w:p>
        </w:tc>
        <w:tc>
          <w:tcPr>
            <w:tcW w:w="320" w:type="dxa"/>
            <w:vAlign w:val="bottom"/>
          </w:tcPr>
          <w:p>
            <w:pPr>
              <w:spacing w:after="0"/>
              <w:rPr>
                <w:sz w:val="17"/>
                <w:szCs w:val="17"/>
                <w:color w:val="auto"/>
              </w:rPr>
            </w:pPr>
          </w:p>
        </w:tc>
        <w:tc>
          <w:tcPr>
            <w:tcW w:w="1060" w:type="dxa"/>
            <w:vAlign w:val="bottom"/>
          </w:tcPr>
          <w:p>
            <w:pPr>
              <w:jc w:val="right"/>
              <w:ind w:right="51"/>
              <w:spacing w:after="0" w:line="202" w:lineRule="exact"/>
              <w:rPr>
                <w:sz w:val="20"/>
                <w:szCs w:val="20"/>
                <w:color w:val="auto"/>
              </w:rPr>
            </w:pPr>
            <w:r>
              <w:rPr>
                <w:rFonts w:ascii="Arial" w:cs="Arial" w:eastAsia="Arial" w:hAnsi="Arial"/>
                <w:sz w:val="18"/>
                <w:szCs w:val="18"/>
                <w:color w:val="auto"/>
              </w:rPr>
              <w:t>967.8</w:t>
            </w:r>
          </w:p>
        </w:tc>
        <w:tc>
          <w:tcPr>
            <w:tcW w:w="400" w:type="dxa"/>
            <w:vAlign w:val="bottom"/>
          </w:tcPr>
          <w:p>
            <w:pPr>
              <w:spacing w:after="0"/>
              <w:rPr>
                <w:sz w:val="17"/>
                <w:szCs w:val="17"/>
                <w:color w:val="auto"/>
              </w:rPr>
            </w:pPr>
          </w:p>
        </w:tc>
        <w:tc>
          <w:tcPr>
            <w:tcW w:w="9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1,534.9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00" w:type="dxa"/>
            <w:vAlign w:val="bottom"/>
            <w:gridSpan w:val="2"/>
          </w:tcPr>
          <w:p>
            <w:pPr>
              <w:spacing w:after="0" w:line="202" w:lineRule="exact"/>
              <w:rPr>
                <w:sz w:val="20"/>
                <w:szCs w:val="20"/>
                <w:color w:val="auto"/>
              </w:rPr>
            </w:pPr>
            <w:r>
              <w:rPr>
                <w:rFonts w:ascii="Arial" w:cs="Arial" w:eastAsia="Arial" w:hAnsi="Arial"/>
                <w:sz w:val="18"/>
                <w:szCs w:val="18"/>
                <w:color w:val="auto"/>
              </w:rPr>
              <w:t>United Kingdom</w:t>
            </w:r>
          </w:p>
        </w:tc>
        <w:tc>
          <w:tcPr>
            <w:tcW w:w="340" w:type="dxa"/>
            <w:vAlign w:val="bottom"/>
          </w:tcPr>
          <w:p>
            <w:pPr>
              <w:spacing w:after="0"/>
              <w:rPr>
                <w:sz w:val="17"/>
                <w:szCs w:val="17"/>
                <w:color w:val="auto"/>
              </w:rPr>
            </w:pPr>
          </w:p>
        </w:tc>
        <w:tc>
          <w:tcPr>
            <w:tcW w:w="120" w:type="dxa"/>
            <w:vAlign w:val="bottom"/>
            <w:shd w:val="clear" w:color="auto" w:fill="E3F1DA"/>
          </w:tcPr>
          <w:p>
            <w:pPr>
              <w:spacing w:after="0"/>
              <w:rPr>
                <w:sz w:val="17"/>
                <w:szCs w:val="17"/>
                <w:color w:val="auto"/>
              </w:rPr>
            </w:pPr>
          </w:p>
        </w:tc>
        <w:tc>
          <w:tcPr>
            <w:tcW w:w="1340" w:type="dxa"/>
            <w:vAlign w:val="bottom"/>
            <w:shd w:val="clear" w:color="auto" w:fill="E3F1DA"/>
          </w:tcPr>
          <w:p>
            <w:pPr>
              <w:jc w:val="right"/>
              <w:ind w:right="131"/>
              <w:spacing w:after="0" w:line="202" w:lineRule="exact"/>
              <w:rPr>
                <w:sz w:val="20"/>
                <w:szCs w:val="20"/>
                <w:color w:val="auto"/>
              </w:rPr>
            </w:pPr>
            <w:r>
              <w:rPr>
                <w:rFonts w:ascii="Arial" w:cs="Arial" w:eastAsia="Arial" w:hAnsi="Arial"/>
                <w:sz w:val="18"/>
                <w:szCs w:val="18"/>
                <w:color w:val="86B6A5"/>
              </w:rPr>
              <w:t>1,822.2</w:t>
            </w:r>
          </w:p>
        </w:tc>
        <w:tc>
          <w:tcPr>
            <w:tcW w:w="320" w:type="dxa"/>
            <w:vAlign w:val="bottom"/>
          </w:tcPr>
          <w:p>
            <w:pPr>
              <w:spacing w:after="0"/>
              <w:rPr>
                <w:sz w:val="17"/>
                <w:szCs w:val="17"/>
                <w:color w:val="auto"/>
              </w:rPr>
            </w:pPr>
          </w:p>
        </w:tc>
        <w:tc>
          <w:tcPr>
            <w:tcW w:w="1060" w:type="dxa"/>
            <w:vAlign w:val="bottom"/>
          </w:tcPr>
          <w:p>
            <w:pPr>
              <w:jc w:val="right"/>
              <w:ind w:right="51"/>
              <w:spacing w:after="0" w:line="202" w:lineRule="exact"/>
              <w:rPr>
                <w:sz w:val="20"/>
                <w:szCs w:val="20"/>
                <w:color w:val="auto"/>
              </w:rPr>
            </w:pPr>
            <w:r>
              <w:rPr>
                <w:rFonts w:ascii="Arial" w:cs="Arial" w:eastAsia="Arial" w:hAnsi="Arial"/>
                <w:sz w:val="18"/>
                <w:szCs w:val="18"/>
                <w:color w:val="auto"/>
              </w:rPr>
              <w:t>1,738.0</w:t>
            </w:r>
          </w:p>
        </w:tc>
        <w:tc>
          <w:tcPr>
            <w:tcW w:w="400" w:type="dxa"/>
            <w:vAlign w:val="bottom"/>
          </w:tcPr>
          <w:p>
            <w:pPr>
              <w:spacing w:after="0"/>
              <w:rPr>
                <w:sz w:val="17"/>
                <w:szCs w:val="17"/>
                <w:color w:val="auto"/>
              </w:rPr>
            </w:pPr>
          </w:p>
        </w:tc>
        <w:tc>
          <w:tcPr>
            <w:tcW w:w="9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2,491.8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00" w:type="dxa"/>
            <w:vAlign w:val="bottom"/>
            <w:gridSpan w:val="2"/>
          </w:tcPr>
          <w:p>
            <w:pPr>
              <w:spacing w:after="0" w:line="203" w:lineRule="exact"/>
              <w:rPr>
                <w:sz w:val="20"/>
                <w:szCs w:val="20"/>
                <w:color w:val="auto"/>
              </w:rPr>
            </w:pPr>
            <w:r>
              <w:rPr>
                <w:rFonts w:ascii="Arial" w:cs="Arial" w:eastAsia="Arial" w:hAnsi="Arial"/>
                <w:sz w:val="18"/>
                <w:szCs w:val="18"/>
                <w:color w:val="auto"/>
              </w:rPr>
              <w:t>Total Foreign</w:t>
            </w:r>
          </w:p>
        </w:tc>
        <w:tc>
          <w:tcPr>
            <w:tcW w:w="340" w:type="dxa"/>
            <w:vAlign w:val="bottom"/>
          </w:tcPr>
          <w:p>
            <w:pPr>
              <w:spacing w:after="0"/>
              <w:rPr>
                <w:sz w:val="17"/>
                <w:szCs w:val="17"/>
                <w:color w:val="auto"/>
              </w:rPr>
            </w:pPr>
          </w:p>
        </w:tc>
        <w:tc>
          <w:tcPr>
            <w:tcW w:w="120" w:type="dxa"/>
            <w:vAlign w:val="bottom"/>
            <w:shd w:val="clear" w:color="auto" w:fill="E3F1DA"/>
          </w:tcPr>
          <w:p>
            <w:pPr>
              <w:spacing w:after="0"/>
              <w:rPr>
                <w:sz w:val="17"/>
                <w:szCs w:val="17"/>
                <w:color w:val="auto"/>
              </w:rPr>
            </w:pPr>
          </w:p>
        </w:tc>
        <w:tc>
          <w:tcPr>
            <w:tcW w:w="1340" w:type="dxa"/>
            <w:vAlign w:val="bottom"/>
            <w:shd w:val="clear" w:color="auto" w:fill="E3F1DA"/>
          </w:tcPr>
          <w:p>
            <w:pPr>
              <w:jc w:val="right"/>
              <w:ind w:right="131"/>
              <w:spacing w:after="0" w:line="203" w:lineRule="exact"/>
              <w:rPr>
                <w:sz w:val="20"/>
                <w:szCs w:val="20"/>
                <w:color w:val="auto"/>
              </w:rPr>
            </w:pPr>
            <w:r>
              <w:rPr>
                <w:rFonts w:ascii="Arial" w:cs="Arial" w:eastAsia="Arial" w:hAnsi="Arial"/>
                <w:sz w:val="18"/>
                <w:szCs w:val="18"/>
                <w:color w:val="86B6A5"/>
              </w:rPr>
              <w:t>15,926.4</w:t>
            </w:r>
          </w:p>
        </w:tc>
        <w:tc>
          <w:tcPr>
            <w:tcW w:w="320" w:type="dxa"/>
            <w:vAlign w:val="bottom"/>
          </w:tcPr>
          <w:p>
            <w:pPr>
              <w:spacing w:after="0"/>
              <w:rPr>
                <w:sz w:val="17"/>
                <w:szCs w:val="17"/>
                <w:color w:val="auto"/>
              </w:rPr>
            </w:pPr>
          </w:p>
        </w:tc>
        <w:tc>
          <w:tcPr>
            <w:tcW w:w="1060" w:type="dxa"/>
            <w:vAlign w:val="bottom"/>
          </w:tcPr>
          <w:p>
            <w:pPr>
              <w:jc w:val="right"/>
              <w:ind w:right="51"/>
              <w:spacing w:after="0" w:line="203" w:lineRule="exact"/>
              <w:rPr>
                <w:sz w:val="20"/>
                <w:szCs w:val="20"/>
                <w:color w:val="auto"/>
              </w:rPr>
            </w:pPr>
            <w:r>
              <w:rPr>
                <w:rFonts w:ascii="Arial" w:cs="Arial" w:eastAsia="Arial" w:hAnsi="Arial"/>
                <w:sz w:val="18"/>
                <w:szCs w:val="18"/>
                <w:color w:val="auto"/>
              </w:rPr>
              <w:t>13,979.3</w:t>
            </w:r>
          </w:p>
        </w:tc>
        <w:tc>
          <w:tcPr>
            <w:tcW w:w="400" w:type="dxa"/>
            <w:vAlign w:val="bottom"/>
          </w:tcPr>
          <w:p>
            <w:pPr>
              <w:spacing w:after="0"/>
              <w:rPr>
                <w:sz w:val="17"/>
                <w:szCs w:val="17"/>
                <w:color w:val="auto"/>
              </w:rPr>
            </w:pPr>
          </w:p>
        </w:tc>
        <w:tc>
          <w:tcPr>
            <w:tcW w:w="940" w:type="dxa"/>
            <w:vAlign w:val="bottom"/>
            <w:gridSpan w:val="2"/>
          </w:tcPr>
          <w:p>
            <w:pPr>
              <w:jc w:val="right"/>
              <w:ind w:right="20"/>
              <w:spacing w:after="0" w:line="203" w:lineRule="exact"/>
              <w:rPr>
                <w:sz w:val="20"/>
                <w:szCs w:val="20"/>
                <w:color w:val="auto"/>
              </w:rPr>
            </w:pPr>
            <w:r>
              <w:rPr>
                <w:rFonts w:ascii="Arial" w:cs="Arial" w:eastAsia="Arial" w:hAnsi="Arial"/>
                <w:sz w:val="18"/>
                <w:szCs w:val="18"/>
                <w:color w:val="auto"/>
              </w:rPr>
              <w:t>19,100.8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680" w:type="dxa"/>
            <w:vAlign w:val="bottom"/>
            <w:shd w:val="clear" w:color="auto" w:fill="939598"/>
          </w:tcPr>
          <w:p>
            <w:pPr>
              <w:spacing w:after="0"/>
              <w:rPr>
                <w:sz w:val="2"/>
                <w:szCs w:val="2"/>
                <w:color w:val="auto"/>
              </w:rPr>
            </w:pPr>
          </w:p>
        </w:tc>
        <w:tc>
          <w:tcPr>
            <w:tcW w:w="340" w:type="dxa"/>
            <w:vAlign w:val="bottom"/>
            <w:shd w:val="clear" w:color="auto" w:fill="939598"/>
          </w:tcPr>
          <w:p>
            <w:pPr>
              <w:spacing w:after="0"/>
              <w:rPr>
                <w:sz w:val="2"/>
                <w:szCs w:val="2"/>
                <w:color w:val="auto"/>
              </w:rPr>
            </w:pPr>
          </w:p>
        </w:tc>
        <w:tc>
          <w:tcPr>
            <w:tcW w:w="120" w:type="dxa"/>
            <w:vAlign w:val="bottom"/>
            <w:shd w:val="clear" w:color="auto" w:fill="939598"/>
          </w:tcPr>
          <w:p>
            <w:pPr>
              <w:spacing w:after="0"/>
              <w:rPr>
                <w:sz w:val="2"/>
                <w:szCs w:val="2"/>
                <w:color w:val="auto"/>
              </w:rPr>
            </w:pPr>
          </w:p>
        </w:tc>
        <w:tc>
          <w:tcPr>
            <w:tcW w:w="1340" w:type="dxa"/>
            <w:vAlign w:val="bottom"/>
            <w:shd w:val="clear" w:color="auto" w:fill="939598"/>
          </w:tcPr>
          <w:p>
            <w:pPr>
              <w:spacing w:after="0"/>
              <w:rPr>
                <w:sz w:val="2"/>
                <w:szCs w:val="2"/>
                <w:color w:val="auto"/>
              </w:rPr>
            </w:pPr>
          </w:p>
        </w:tc>
        <w:tc>
          <w:tcPr>
            <w:tcW w:w="320" w:type="dxa"/>
            <w:vAlign w:val="bottom"/>
            <w:shd w:val="clear" w:color="auto" w:fill="939598"/>
          </w:tcPr>
          <w:p>
            <w:pPr>
              <w:spacing w:after="0"/>
              <w:rPr>
                <w:sz w:val="2"/>
                <w:szCs w:val="2"/>
                <w:color w:val="auto"/>
              </w:rPr>
            </w:pPr>
          </w:p>
        </w:tc>
        <w:tc>
          <w:tcPr>
            <w:tcW w:w="1060" w:type="dxa"/>
            <w:vAlign w:val="bottom"/>
            <w:shd w:val="clear" w:color="auto" w:fill="939598"/>
          </w:tcPr>
          <w:p>
            <w:pPr>
              <w:spacing w:after="0"/>
              <w:rPr>
                <w:sz w:val="2"/>
                <w:szCs w:val="2"/>
                <w:color w:val="auto"/>
              </w:rPr>
            </w:pPr>
          </w:p>
        </w:tc>
        <w:tc>
          <w:tcPr>
            <w:tcW w:w="400" w:type="dxa"/>
            <w:vAlign w:val="bottom"/>
            <w:shd w:val="clear" w:color="auto" w:fill="939598"/>
          </w:tcPr>
          <w:p>
            <w:pPr>
              <w:spacing w:after="0"/>
              <w:rPr>
                <w:sz w:val="2"/>
                <w:szCs w:val="2"/>
                <w:color w:val="auto"/>
              </w:rPr>
            </w:pPr>
          </w:p>
        </w:tc>
        <w:tc>
          <w:tcPr>
            <w:tcW w:w="920" w:type="dxa"/>
            <w:vAlign w:val="bottom"/>
            <w:shd w:val="clear" w:color="auto" w:fill="939598"/>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4541520</wp:posOffset>
            </wp:positionH>
            <wp:positionV relativeFrom="paragraph">
              <wp:posOffset>-5367655</wp:posOffset>
            </wp:positionV>
            <wp:extent cx="857885" cy="412496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857885" cy="4124960"/>
                    </a:xfrm>
                    <a:prstGeom prst="rect">
                      <a:avLst/>
                    </a:prstGeom>
                    <a:noFill/>
                  </pic:spPr>
                </pic:pic>
              </a:graphicData>
            </a:graphic>
          </wp:anchor>
        </w:drawing>
      </w:r>
    </w:p>
    <w:p>
      <w:pPr>
        <w:spacing w:after="0" w:line="184" w:lineRule="exact"/>
        <w:rPr>
          <w:sz w:val="20"/>
          <w:szCs w:val="20"/>
          <w:color w:val="auto"/>
        </w:rPr>
      </w:pPr>
    </w:p>
    <w:p>
      <w:pPr>
        <w:ind w:left="220" w:right="360" w:hanging="215"/>
        <w:spacing w:after="0" w:line="246" w:lineRule="auto"/>
        <w:rPr>
          <w:sz w:val="20"/>
          <w:szCs w:val="20"/>
          <w:color w:val="auto"/>
        </w:rPr>
      </w:pPr>
      <w:r>
        <w:rPr>
          <w:rFonts w:ascii="Arial" w:cs="Arial" w:eastAsia="Arial" w:hAnsi="Arial"/>
          <w:sz w:val="16"/>
          <w:szCs w:val="16"/>
          <w:color w:val="auto"/>
        </w:rPr>
        <w:t>(b)The U.S. revenues above represent revenues from our company-owned branches and franchise fees received from our franchise operations, which are discussed further on the financial highlights page.</w:t>
      </w:r>
    </w:p>
    <w:p>
      <w:pPr>
        <w:spacing w:after="0" w:line="1" w:lineRule="exact"/>
        <w:rPr>
          <w:sz w:val="20"/>
          <w:szCs w:val="20"/>
          <w:color w:val="auto"/>
        </w:rPr>
      </w:pPr>
    </w:p>
    <w:p>
      <w:pPr>
        <w:ind w:left="220" w:right="160" w:hanging="212"/>
        <w:spacing w:after="0" w:line="246" w:lineRule="auto"/>
        <w:tabs>
          <w:tab w:leader="none" w:pos="220" w:val="left"/>
        </w:tabs>
        <w:numPr>
          <w:ilvl w:val="0"/>
          <w:numId w:val="57"/>
        </w:numPr>
        <w:rPr>
          <w:rFonts w:ascii="Arial" w:cs="Arial" w:eastAsia="Arial" w:hAnsi="Arial"/>
          <w:sz w:val="16"/>
          <w:szCs w:val="16"/>
          <w:color w:val="auto"/>
        </w:rPr>
      </w:pPr>
      <w:r>
        <w:rPr>
          <w:rFonts w:ascii="Arial" w:cs="Arial" w:eastAsia="Arial" w:hAnsi="Arial"/>
          <w:sz w:val="16"/>
          <w:szCs w:val="16"/>
          <w:color w:val="auto"/>
        </w:rPr>
        <w:t>Intangible asset amortization related to aquisitions was excluded from operating costs within the reportable segments and corporate expenses, and shown seperately.</w:t>
      </w:r>
    </w:p>
    <w:p>
      <w:pPr>
        <w:spacing w:after="0" w:line="1" w:lineRule="exact"/>
        <w:rPr>
          <w:sz w:val="20"/>
          <w:szCs w:val="20"/>
          <w:color w:val="auto"/>
        </w:rPr>
      </w:pPr>
    </w:p>
    <w:p>
      <w:pPr>
        <w:ind w:left="220" w:right="20" w:hanging="215"/>
        <w:spacing w:after="0" w:line="251" w:lineRule="auto"/>
        <w:rPr>
          <w:sz w:val="20"/>
          <w:szCs w:val="20"/>
          <w:color w:val="auto"/>
        </w:rPr>
      </w:pPr>
      <w:r>
        <w:rPr>
          <w:rFonts w:ascii="Arial" w:cs="Arial" w:eastAsia="Arial" w:hAnsi="Arial"/>
          <w:sz w:val="16"/>
          <w:szCs w:val="16"/>
          <w:color w:val="auto"/>
        </w:rPr>
        <w:t>(d)The French Business Tax, as disclosed in Note 5 to the Consolidated Financial Statements, is reported in Provision for Income Taxes rather than in Cost of Services, in accordance with the current accounting guidance on income taxes. However, we view this tax as operational in nature. Accordingly, the financial information reviewed internally continues to include the French Business Tax within the Operating Unit Profit of our France reportable segment. Therefore, we have shown the amount of the French Business Tax above to reconcile to our (Loss) Earnings before Income Taxes.</w:t>
      </w:r>
    </w:p>
    <w:p>
      <w:pPr>
        <w:spacing w:after="0" w:line="183"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939598"/>
        </w:rPr>
        <w:t xml:space="preserve">Notes to Consolidated Financial Statements </w:t>
      </w:r>
      <w:r>
        <w:rPr>
          <w:rFonts w:ascii="Arial" w:cs="Arial" w:eastAsia="Arial" w:hAnsi="Arial"/>
          <w:sz w:val="16"/>
          <w:szCs w:val="16"/>
          <w:color w:val="4D8ABE"/>
        </w:rPr>
        <w:t>Manpower 2010 Annual Report</w:t>
      </w:r>
      <w:r>
        <w:rPr>
          <w:rFonts w:ascii="Arial" w:cs="Arial" w:eastAsia="Arial" w:hAnsi="Arial"/>
          <w:sz w:val="16"/>
          <w:szCs w:val="16"/>
          <w:b w:val="1"/>
          <w:bCs w:val="1"/>
          <w:color w:val="939598"/>
        </w:rPr>
        <w:t xml:space="preserve"> </w:t>
      </w:r>
      <w:r>
        <w:rPr>
          <w:rFonts w:ascii="Arial" w:cs="Arial" w:eastAsia="Arial" w:hAnsi="Arial"/>
          <w:sz w:val="16"/>
          <w:szCs w:val="16"/>
          <w:b w:val="1"/>
          <w:bCs w:val="1"/>
          <w:color w:val="4D8ABE"/>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wp:posOffset>
            </wp:positionV>
            <wp:extent cx="7267575" cy="469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bookmarkStart w:id="104" w:name="page105"/>
    <w:bookmarkEnd w:id="104"/>
    <w:p>
      <w:pPr>
        <w:spacing w:after="0"/>
        <w:rPr>
          <w:sz w:val="20"/>
          <w:szCs w:val="20"/>
          <w:color w:val="auto"/>
        </w:rPr>
      </w:pPr>
      <w:r>
        <w:rPr>
          <w:rFonts w:ascii="Arial" w:cs="Arial" w:eastAsia="Arial" w:hAnsi="Arial"/>
          <w:sz w:val="22"/>
          <w:szCs w:val="22"/>
          <w:color w:val="4D8ABE"/>
        </w:rPr>
        <w:t>Notes To Consolidated Financial Statements</w:t>
      </w:r>
    </w:p>
    <w:p>
      <w:pPr>
        <w:spacing w:after="0"/>
        <w:rPr>
          <w:sz w:val="20"/>
          <w:szCs w:val="20"/>
          <w:color w:val="auto"/>
        </w:rPr>
      </w:pPr>
      <w:r>
        <w:rPr>
          <w:rFonts w:ascii="Arial" w:cs="Arial" w:eastAsia="Arial" w:hAnsi="Arial"/>
          <w:sz w:val="18"/>
          <w:szCs w:val="18"/>
          <w:color w:val="4D8ABE"/>
        </w:rPr>
        <w:t>in millions, except share and per share data</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040" w:type="dxa"/>
            <w:vAlign w:val="bottom"/>
            <w:gridSpan w:val="2"/>
          </w:tcPr>
          <w:p>
            <w:pPr>
              <w:spacing w:after="0"/>
              <w:rPr>
                <w:sz w:val="20"/>
                <w:szCs w:val="20"/>
                <w:color w:val="auto"/>
              </w:rPr>
            </w:pPr>
            <w:r>
              <w:rPr>
                <w:rFonts w:ascii="Arial" w:cs="Arial" w:eastAsia="Arial" w:hAnsi="Arial"/>
                <w:sz w:val="16"/>
                <w:szCs w:val="16"/>
                <w:b w:val="1"/>
                <w:bCs w:val="1"/>
                <w:color w:val="86B6A5"/>
              </w:rPr>
              <w:t>Year Ended December 31</w:t>
            </w:r>
          </w:p>
        </w:tc>
        <w:tc>
          <w:tcPr>
            <w:tcW w:w="120" w:type="dxa"/>
            <w:vAlign w:val="bottom"/>
            <w:shd w:val="clear" w:color="auto" w:fill="86B6A5"/>
          </w:tcPr>
          <w:p>
            <w:pPr>
              <w:spacing w:after="0"/>
              <w:rPr>
                <w:sz w:val="18"/>
                <w:szCs w:val="18"/>
                <w:color w:val="auto"/>
              </w:rPr>
            </w:pPr>
          </w:p>
        </w:tc>
        <w:tc>
          <w:tcPr>
            <w:tcW w:w="1340" w:type="dxa"/>
            <w:vAlign w:val="bottom"/>
            <w:shd w:val="clear" w:color="auto" w:fill="86B6A5"/>
          </w:tcPr>
          <w:p>
            <w:pPr>
              <w:jc w:val="right"/>
              <w:ind w:right="130"/>
              <w:spacing w:after="0"/>
              <w:rPr>
                <w:sz w:val="20"/>
                <w:szCs w:val="20"/>
                <w:color w:val="auto"/>
              </w:rPr>
            </w:pPr>
            <w:r>
              <w:rPr>
                <w:rFonts w:ascii="Arial" w:cs="Arial" w:eastAsia="Arial" w:hAnsi="Arial"/>
                <w:sz w:val="16"/>
                <w:szCs w:val="16"/>
                <w:b w:val="1"/>
                <w:bCs w:val="1"/>
                <w:color w:val="FFFFFF"/>
              </w:rPr>
              <w:t>2010</w:t>
            </w:r>
          </w:p>
        </w:tc>
        <w:tc>
          <w:tcPr>
            <w:tcW w:w="500" w:type="dxa"/>
            <w:vAlign w:val="bottom"/>
          </w:tcPr>
          <w:p>
            <w:pPr>
              <w:spacing w:after="0"/>
              <w:rPr>
                <w:sz w:val="18"/>
                <w:szCs w:val="18"/>
                <w:color w:val="auto"/>
              </w:rPr>
            </w:pPr>
          </w:p>
        </w:tc>
        <w:tc>
          <w:tcPr>
            <w:tcW w:w="880" w:type="dxa"/>
            <w:vAlign w:val="bottom"/>
          </w:tcPr>
          <w:p>
            <w:pPr>
              <w:jc w:val="right"/>
              <w:ind w:right="50"/>
              <w:spacing w:after="0"/>
              <w:rPr>
                <w:sz w:val="20"/>
                <w:szCs w:val="20"/>
                <w:color w:val="auto"/>
              </w:rPr>
            </w:pPr>
            <w:r>
              <w:rPr>
                <w:rFonts w:ascii="Arial" w:cs="Arial" w:eastAsia="Arial" w:hAnsi="Arial"/>
                <w:sz w:val="16"/>
                <w:szCs w:val="16"/>
                <w:b w:val="1"/>
                <w:bCs w:val="1"/>
                <w:color w:val="86B6A5"/>
              </w:rPr>
              <w:t>2009</w:t>
            </w:r>
          </w:p>
        </w:tc>
        <w:tc>
          <w:tcPr>
            <w:tcW w:w="5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86B6A5"/>
              </w:rPr>
              <w:t>2008</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7020" w:type="dxa"/>
            <w:vAlign w:val="bottom"/>
            <w:tcBorders>
              <w:top w:val="single" w:sz="8" w:color="86B6A5"/>
            </w:tcBorders>
          </w:tcPr>
          <w:p>
            <w:pPr>
              <w:spacing w:after="0" w:line="201" w:lineRule="exact"/>
              <w:rPr>
                <w:sz w:val="20"/>
                <w:szCs w:val="20"/>
                <w:color w:val="auto"/>
              </w:rPr>
            </w:pPr>
            <w:r>
              <w:rPr>
                <w:rFonts w:ascii="Arial" w:cs="Arial" w:eastAsia="Arial" w:hAnsi="Arial"/>
                <w:sz w:val="18"/>
                <w:szCs w:val="18"/>
                <w:b w:val="1"/>
                <w:bCs w:val="1"/>
                <w:color w:val="939598"/>
              </w:rPr>
              <w:t>Depreciation and Amortization Expense</w:t>
            </w:r>
          </w:p>
        </w:tc>
        <w:tc>
          <w:tcPr>
            <w:tcW w:w="120" w:type="dxa"/>
            <w:vAlign w:val="bottom"/>
            <w:tcBorders>
              <w:top w:val="single" w:sz="8" w:color="86B6A5"/>
            </w:tcBorders>
            <w:shd w:val="clear" w:color="auto" w:fill="E3F1DA"/>
          </w:tcPr>
          <w:p>
            <w:pPr>
              <w:spacing w:after="0"/>
              <w:rPr>
                <w:sz w:val="17"/>
                <w:szCs w:val="17"/>
                <w:color w:val="auto"/>
              </w:rPr>
            </w:pPr>
          </w:p>
        </w:tc>
        <w:tc>
          <w:tcPr>
            <w:tcW w:w="1340" w:type="dxa"/>
            <w:vAlign w:val="bottom"/>
            <w:tcBorders>
              <w:top w:val="single" w:sz="8" w:color="86B6A5"/>
            </w:tcBorders>
            <w:shd w:val="clear" w:color="auto" w:fill="E3F1DA"/>
          </w:tcPr>
          <w:p>
            <w:pPr>
              <w:spacing w:after="0"/>
              <w:rPr>
                <w:sz w:val="17"/>
                <w:szCs w:val="17"/>
                <w:color w:val="auto"/>
              </w:rPr>
            </w:pPr>
          </w:p>
        </w:tc>
        <w:tc>
          <w:tcPr>
            <w:tcW w:w="500" w:type="dxa"/>
            <w:vAlign w:val="bottom"/>
            <w:tcBorders>
              <w:top w:val="single" w:sz="8" w:color="86B6A5"/>
            </w:tcBorders>
          </w:tcPr>
          <w:p>
            <w:pPr>
              <w:spacing w:after="0"/>
              <w:rPr>
                <w:sz w:val="17"/>
                <w:szCs w:val="17"/>
                <w:color w:val="auto"/>
              </w:rPr>
            </w:pPr>
          </w:p>
        </w:tc>
        <w:tc>
          <w:tcPr>
            <w:tcW w:w="880" w:type="dxa"/>
            <w:vAlign w:val="bottom"/>
            <w:tcBorders>
              <w:top w:val="single" w:sz="8" w:color="86B6A5"/>
            </w:tcBorders>
          </w:tcPr>
          <w:p>
            <w:pPr>
              <w:spacing w:after="0"/>
              <w:rPr>
                <w:sz w:val="17"/>
                <w:szCs w:val="17"/>
                <w:color w:val="auto"/>
              </w:rPr>
            </w:pPr>
          </w:p>
        </w:tc>
        <w:tc>
          <w:tcPr>
            <w:tcW w:w="520" w:type="dxa"/>
            <w:vAlign w:val="bottom"/>
            <w:tcBorders>
              <w:top w:val="single" w:sz="8" w:color="86B6A5"/>
            </w:tcBorders>
          </w:tcPr>
          <w:p>
            <w:pPr>
              <w:spacing w:after="0"/>
              <w:rPr>
                <w:sz w:val="17"/>
                <w:szCs w:val="17"/>
                <w:color w:val="auto"/>
              </w:rPr>
            </w:pPr>
          </w:p>
        </w:tc>
        <w:tc>
          <w:tcPr>
            <w:tcW w:w="800" w:type="dxa"/>
            <w:vAlign w:val="bottom"/>
            <w:tcBorders>
              <w:top w:val="single" w:sz="8" w:color="86B6A5"/>
            </w:tcBorders>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3"/>
        </w:trPr>
        <w:tc>
          <w:tcPr>
            <w:tcW w:w="7040" w:type="dxa"/>
            <w:vAlign w:val="bottom"/>
            <w:gridSpan w:val="2"/>
          </w:tcPr>
          <w:p>
            <w:pPr>
              <w:spacing w:after="0" w:line="202" w:lineRule="exact"/>
              <w:rPr>
                <w:sz w:val="20"/>
                <w:szCs w:val="20"/>
                <w:color w:val="auto"/>
              </w:rPr>
            </w:pPr>
            <w:r>
              <w:rPr>
                <w:rFonts w:ascii="Arial" w:cs="Arial" w:eastAsia="Arial" w:hAnsi="Arial"/>
                <w:sz w:val="18"/>
                <w:szCs w:val="18"/>
                <w:color w:val="auto"/>
              </w:rPr>
              <w:t>Americas:</w:t>
            </w:r>
          </w:p>
        </w:tc>
        <w:tc>
          <w:tcPr>
            <w:tcW w:w="120" w:type="dxa"/>
            <w:vAlign w:val="bottom"/>
            <w:shd w:val="clear" w:color="auto" w:fill="E3F1DA"/>
          </w:tcPr>
          <w:p>
            <w:pPr>
              <w:spacing w:after="0"/>
              <w:rPr>
                <w:sz w:val="17"/>
                <w:szCs w:val="17"/>
                <w:color w:val="auto"/>
              </w:rPr>
            </w:pPr>
          </w:p>
        </w:tc>
        <w:tc>
          <w:tcPr>
            <w:tcW w:w="1340" w:type="dxa"/>
            <w:vAlign w:val="bottom"/>
            <w:shd w:val="clear" w:color="auto" w:fill="E3F1DA"/>
          </w:tcPr>
          <w:p>
            <w:pPr>
              <w:spacing w:after="0"/>
              <w:rPr>
                <w:sz w:val="17"/>
                <w:szCs w:val="17"/>
                <w:color w:val="auto"/>
              </w:rPr>
            </w:pPr>
          </w:p>
        </w:tc>
        <w:tc>
          <w:tcPr>
            <w:tcW w:w="5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7020" w:type="dxa"/>
            <w:vAlign w:val="bottom"/>
          </w:tcPr>
          <w:p>
            <w:pPr>
              <w:ind w:left="260"/>
              <w:spacing w:after="0" w:line="201" w:lineRule="exact"/>
              <w:rPr>
                <w:sz w:val="20"/>
                <w:szCs w:val="20"/>
                <w:color w:val="auto"/>
              </w:rPr>
            </w:pPr>
            <w:r>
              <w:rPr>
                <w:rFonts w:ascii="Arial" w:cs="Arial" w:eastAsia="Arial" w:hAnsi="Arial"/>
                <w:sz w:val="18"/>
                <w:szCs w:val="18"/>
                <w:color w:val="auto"/>
              </w:rPr>
              <w:t>United States</w:t>
            </w:r>
          </w:p>
        </w:tc>
        <w:tc>
          <w:tcPr>
            <w:tcW w:w="120" w:type="dxa"/>
            <w:vAlign w:val="bottom"/>
            <w:shd w:val="clear" w:color="auto" w:fill="E3F1DA"/>
          </w:tcPr>
          <w:p>
            <w:pPr>
              <w:jc w:val="right"/>
              <w:spacing w:after="0" w:line="201" w:lineRule="exact"/>
              <w:rPr>
                <w:sz w:val="20"/>
                <w:szCs w:val="20"/>
                <w:color w:val="auto"/>
              </w:rPr>
            </w:pPr>
            <w:r>
              <w:rPr>
                <w:rFonts w:ascii="Arial" w:cs="Arial" w:eastAsia="Arial" w:hAnsi="Arial"/>
                <w:sz w:val="18"/>
                <w:szCs w:val="18"/>
                <w:color w:val="86B6A5"/>
                <w:w w:val="79"/>
              </w:rPr>
              <w:t>$</w:t>
            </w:r>
          </w:p>
        </w:tc>
        <w:tc>
          <w:tcPr>
            <w:tcW w:w="1340" w:type="dxa"/>
            <w:vAlign w:val="bottom"/>
          </w:tcPr>
          <w:p>
            <w:pPr>
              <w:jc w:val="right"/>
              <w:ind w:right="130"/>
              <w:spacing w:after="0" w:line="201" w:lineRule="exact"/>
              <w:rPr>
                <w:sz w:val="20"/>
                <w:szCs w:val="20"/>
                <w:color w:val="auto"/>
              </w:rPr>
            </w:pPr>
            <w:r>
              <w:rPr>
                <w:rFonts w:ascii="Arial" w:cs="Arial" w:eastAsia="Arial" w:hAnsi="Arial"/>
                <w:sz w:val="18"/>
                <w:szCs w:val="18"/>
                <w:color w:val="86B6A5"/>
              </w:rPr>
              <w:t>15.4</w:t>
            </w:r>
          </w:p>
        </w:tc>
        <w:tc>
          <w:tcPr>
            <w:tcW w:w="500" w:type="dxa"/>
            <w:vAlign w:val="bottom"/>
          </w:tcPr>
          <w:p>
            <w:pPr>
              <w:jc w:val="right"/>
              <w:ind w:right="310"/>
              <w:spacing w:after="0" w:line="201" w:lineRule="exact"/>
              <w:rPr>
                <w:sz w:val="20"/>
                <w:szCs w:val="20"/>
                <w:color w:val="auto"/>
              </w:rPr>
            </w:pPr>
            <w:r>
              <w:rPr>
                <w:rFonts w:ascii="Arial" w:cs="Arial" w:eastAsia="Arial" w:hAnsi="Arial"/>
                <w:sz w:val="18"/>
                <w:szCs w:val="18"/>
                <w:color w:val="auto"/>
                <w:w w:val="79"/>
              </w:rPr>
              <w:t>$</w:t>
            </w:r>
          </w:p>
        </w:tc>
        <w:tc>
          <w:tcPr>
            <w:tcW w:w="880" w:type="dxa"/>
            <w:vAlign w:val="bottom"/>
          </w:tcPr>
          <w:p>
            <w:pPr>
              <w:jc w:val="right"/>
              <w:ind w:right="50"/>
              <w:spacing w:after="0" w:line="201" w:lineRule="exact"/>
              <w:rPr>
                <w:sz w:val="20"/>
                <w:szCs w:val="20"/>
                <w:color w:val="auto"/>
              </w:rPr>
            </w:pPr>
            <w:r>
              <w:rPr>
                <w:rFonts w:ascii="Arial" w:cs="Arial" w:eastAsia="Arial" w:hAnsi="Arial"/>
                <w:sz w:val="18"/>
                <w:szCs w:val="18"/>
                <w:color w:val="auto"/>
              </w:rPr>
              <w:t>12.6</w:t>
            </w:r>
          </w:p>
        </w:tc>
        <w:tc>
          <w:tcPr>
            <w:tcW w:w="520" w:type="dxa"/>
            <w:vAlign w:val="bottom"/>
          </w:tcPr>
          <w:p>
            <w:pPr>
              <w:jc w:val="right"/>
              <w:ind w:right="250"/>
              <w:spacing w:after="0" w:line="201"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201" w:lineRule="exact"/>
              <w:rPr>
                <w:sz w:val="20"/>
                <w:szCs w:val="20"/>
                <w:color w:val="auto"/>
              </w:rPr>
            </w:pPr>
            <w:r>
              <w:rPr>
                <w:rFonts w:ascii="Arial" w:cs="Arial" w:eastAsia="Arial" w:hAnsi="Arial"/>
                <w:sz w:val="18"/>
                <w:szCs w:val="18"/>
                <w:color w:val="auto"/>
              </w:rPr>
              <w:t>12.8</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020" w:type="dxa"/>
            <w:vAlign w:val="bottom"/>
          </w:tcPr>
          <w:p>
            <w:pPr>
              <w:ind w:left="260"/>
              <w:spacing w:after="0" w:line="203" w:lineRule="exact"/>
              <w:rPr>
                <w:sz w:val="20"/>
                <w:szCs w:val="20"/>
                <w:color w:val="auto"/>
              </w:rPr>
            </w:pPr>
            <w:r>
              <w:rPr>
                <w:rFonts w:ascii="Arial" w:cs="Arial" w:eastAsia="Arial" w:hAnsi="Arial"/>
                <w:sz w:val="18"/>
                <w:szCs w:val="18"/>
                <w:color w:val="auto"/>
              </w:rPr>
              <w:t>Other Americas</w:t>
            </w:r>
          </w:p>
        </w:tc>
        <w:tc>
          <w:tcPr>
            <w:tcW w:w="120" w:type="dxa"/>
            <w:vAlign w:val="bottom"/>
            <w:shd w:val="clear" w:color="auto" w:fill="E3F1DA"/>
          </w:tcPr>
          <w:p>
            <w:pPr>
              <w:spacing w:after="0"/>
              <w:rPr>
                <w:sz w:val="17"/>
                <w:szCs w:val="17"/>
                <w:color w:val="auto"/>
              </w:rPr>
            </w:pPr>
          </w:p>
        </w:tc>
        <w:tc>
          <w:tcPr>
            <w:tcW w:w="1340" w:type="dxa"/>
            <w:vAlign w:val="bottom"/>
          </w:tcPr>
          <w:p>
            <w:pPr>
              <w:jc w:val="right"/>
              <w:ind w:right="130"/>
              <w:spacing w:after="0" w:line="203" w:lineRule="exact"/>
              <w:rPr>
                <w:sz w:val="20"/>
                <w:szCs w:val="20"/>
                <w:color w:val="auto"/>
              </w:rPr>
            </w:pPr>
            <w:r>
              <w:rPr>
                <w:rFonts w:ascii="Arial" w:cs="Arial" w:eastAsia="Arial" w:hAnsi="Arial"/>
                <w:sz w:val="18"/>
                <w:szCs w:val="18"/>
                <w:color w:val="86B6A5"/>
              </w:rPr>
              <w:t>3.7</w:t>
            </w:r>
          </w:p>
        </w:tc>
        <w:tc>
          <w:tcPr>
            <w:tcW w:w="500" w:type="dxa"/>
            <w:vAlign w:val="bottom"/>
          </w:tcPr>
          <w:p>
            <w:pPr>
              <w:spacing w:after="0"/>
              <w:rPr>
                <w:sz w:val="17"/>
                <w:szCs w:val="17"/>
                <w:color w:val="auto"/>
              </w:rPr>
            </w:pPr>
          </w:p>
        </w:tc>
        <w:tc>
          <w:tcPr>
            <w:tcW w:w="880" w:type="dxa"/>
            <w:vAlign w:val="bottom"/>
          </w:tcPr>
          <w:p>
            <w:pPr>
              <w:jc w:val="right"/>
              <w:ind w:right="50"/>
              <w:spacing w:after="0" w:line="203" w:lineRule="exact"/>
              <w:rPr>
                <w:sz w:val="20"/>
                <w:szCs w:val="20"/>
                <w:color w:val="auto"/>
              </w:rPr>
            </w:pPr>
            <w:r>
              <w:rPr>
                <w:rFonts w:ascii="Arial" w:cs="Arial" w:eastAsia="Arial" w:hAnsi="Arial"/>
                <w:sz w:val="18"/>
                <w:szCs w:val="18"/>
                <w:color w:val="auto"/>
              </w:rPr>
              <w:t>3.7</w:t>
            </w:r>
          </w:p>
        </w:tc>
        <w:tc>
          <w:tcPr>
            <w:tcW w:w="520" w:type="dxa"/>
            <w:vAlign w:val="bottom"/>
          </w:tcPr>
          <w:p>
            <w:pPr>
              <w:spacing w:after="0"/>
              <w:rPr>
                <w:sz w:val="17"/>
                <w:szCs w:val="17"/>
                <w:color w:val="auto"/>
              </w:rPr>
            </w:pPr>
          </w:p>
        </w:tc>
        <w:tc>
          <w:tcPr>
            <w:tcW w:w="820" w:type="dxa"/>
            <w:vAlign w:val="bottom"/>
            <w:gridSpan w:val="2"/>
          </w:tcPr>
          <w:p>
            <w:pPr>
              <w:jc w:val="right"/>
              <w:ind w:right="20"/>
              <w:spacing w:after="0" w:line="203" w:lineRule="exact"/>
              <w:rPr>
                <w:sz w:val="20"/>
                <w:szCs w:val="20"/>
                <w:color w:val="auto"/>
              </w:rPr>
            </w:pPr>
            <w:r>
              <w:rPr>
                <w:rFonts w:ascii="Arial" w:cs="Arial" w:eastAsia="Arial" w:hAnsi="Arial"/>
                <w:sz w:val="18"/>
                <w:szCs w:val="18"/>
                <w:color w:val="auto"/>
              </w:rPr>
              <w:t>3.8</w:t>
            </w:r>
          </w:p>
        </w:tc>
        <w:tc>
          <w:tcPr>
            <w:tcW w:w="4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7020" w:type="dxa"/>
            <w:vAlign w:val="bottom"/>
            <w:tcBorders>
              <w:top w:val="single" w:sz="8" w:color="939598"/>
              <w:bottom w:val="single" w:sz="8" w:color="939598"/>
            </w:tcBorders>
          </w:tcPr>
          <w:p>
            <w:pPr>
              <w:spacing w:after="0"/>
              <w:rPr>
                <w:sz w:val="17"/>
                <w:szCs w:val="17"/>
                <w:color w:val="auto"/>
              </w:rPr>
            </w:pPr>
          </w:p>
        </w:tc>
        <w:tc>
          <w:tcPr>
            <w:tcW w:w="120" w:type="dxa"/>
            <w:vAlign w:val="bottom"/>
            <w:tcBorders>
              <w:top w:val="single" w:sz="8" w:color="939598"/>
              <w:bottom w:val="single" w:sz="8" w:color="939598"/>
            </w:tcBorders>
            <w:shd w:val="clear" w:color="auto" w:fill="E3F1DA"/>
          </w:tcPr>
          <w:p>
            <w:pPr>
              <w:spacing w:after="0"/>
              <w:rPr>
                <w:sz w:val="17"/>
                <w:szCs w:val="17"/>
                <w:color w:val="auto"/>
              </w:rPr>
            </w:pPr>
          </w:p>
        </w:tc>
        <w:tc>
          <w:tcPr>
            <w:tcW w:w="1340" w:type="dxa"/>
            <w:vAlign w:val="bottom"/>
            <w:tcBorders>
              <w:top w:val="single" w:sz="8" w:color="939598"/>
              <w:bottom w:val="single" w:sz="8" w:color="939598"/>
            </w:tcBorders>
          </w:tcPr>
          <w:p>
            <w:pPr>
              <w:jc w:val="right"/>
              <w:ind w:right="130"/>
              <w:spacing w:after="0" w:line="196" w:lineRule="exact"/>
              <w:rPr>
                <w:sz w:val="20"/>
                <w:szCs w:val="20"/>
                <w:color w:val="auto"/>
              </w:rPr>
            </w:pPr>
            <w:r>
              <w:rPr>
                <w:rFonts w:ascii="Arial" w:cs="Arial" w:eastAsia="Arial" w:hAnsi="Arial"/>
                <w:sz w:val="18"/>
                <w:szCs w:val="18"/>
                <w:color w:val="86B6A5"/>
              </w:rPr>
              <w:t>19.1</w:t>
            </w:r>
          </w:p>
        </w:tc>
        <w:tc>
          <w:tcPr>
            <w:tcW w:w="500" w:type="dxa"/>
            <w:vAlign w:val="bottom"/>
            <w:tcBorders>
              <w:top w:val="single" w:sz="8" w:color="939598"/>
              <w:bottom w:val="single" w:sz="8" w:color="939598"/>
            </w:tcBorders>
          </w:tcPr>
          <w:p>
            <w:pPr>
              <w:spacing w:after="0"/>
              <w:rPr>
                <w:sz w:val="17"/>
                <w:szCs w:val="17"/>
                <w:color w:val="auto"/>
              </w:rPr>
            </w:pPr>
          </w:p>
        </w:tc>
        <w:tc>
          <w:tcPr>
            <w:tcW w:w="880" w:type="dxa"/>
            <w:vAlign w:val="bottom"/>
            <w:tcBorders>
              <w:top w:val="single" w:sz="8" w:color="939598"/>
              <w:bottom w:val="single" w:sz="8" w:color="939598"/>
            </w:tcBorders>
          </w:tcPr>
          <w:p>
            <w:pPr>
              <w:jc w:val="right"/>
              <w:ind w:right="50"/>
              <w:spacing w:after="0" w:line="196" w:lineRule="exact"/>
              <w:rPr>
                <w:sz w:val="20"/>
                <w:szCs w:val="20"/>
                <w:color w:val="auto"/>
              </w:rPr>
            </w:pPr>
            <w:r>
              <w:rPr>
                <w:rFonts w:ascii="Arial" w:cs="Arial" w:eastAsia="Arial" w:hAnsi="Arial"/>
                <w:sz w:val="18"/>
                <w:szCs w:val="18"/>
                <w:color w:val="auto"/>
              </w:rPr>
              <w:t>16.3</w:t>
            </w:r>
          </w:p>
        </w:tc>
        <w:tc>
          <w:tcPr>
            <w:tcW w:w="520" w:type="dxa"/>
            <w:vAlign w:val="bottom"/>
            <w:tcBorders>
              <w:top w:val="single" w:sz="8" w:color="939598"/>
              <w:bottom w:val="single" w:sz="8" w:color="939598"/>
            </w:tcBorders>
          </w:tcPr>
          <w:p>
            <w:pPr>
              <w:spacing w:after="0"/>
              <w:rPr>
                <w:sz w:val="17"/>
                <w:szCs w:val="17"/>
                <w:color w:val="auto"/>
              </w:rPr>
            </w:pPr>
          </w:p>
        </w:tc>
        <w:tc>
          <w:tcPr>
            <w:tcW w:w="800" w:type="dxa"/>
            <w:vAlign w:val="bottom"/>
            <w:tcBorders>
              <w:top w:val="single" w:sz="8" w:color="939598"/>
              <w:bottom w:val="single" w:sz="8" w:color="939598"/>
            </w:tcBorders>
          </w:tcPr>
          <w:p>
            <w:pPr>
              <w:jc w:val="right"/>
              <w:spacing w:after="0" w:line="196" w:lineRule="exact"/>
              <w:rPr>
                <w:sz w:val="20"/>
                <w:szCs w:val="20"/>
                <w:color w:val="auto"/>
              </w:rPr>
            </w:pPr>
            <w:r>
              <w:rPr>
                <w:rFonts w:ascii="Arial" w:cs="Arial" w:eastAsia="Arial" w:hAnsi="Arial"/>
                <w:sz w:val="18"/>
                <w:szCs w:val="18"/>
                <w:color w:val="auto"/>
              </w:rPr>
              <w:t>16.6</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95"/>
        </w:trPr>
        <w:tc>
          <w:tcPr>
            <w:tcW w:w="20" w:type="dxa"/>
            <w:vAlign w:val="bottom"/>
          </w:tcPr>
          <w:p>
            <w:pPr>
              <w:spacing w:after="0"/>
              <w:rPr>
                <w:sz w:val="16"/>
                <w:szCs w:val="16"/>
                <w:color w:val="auto"/>
              </w:rPr>
            </w:pPr>
          </w:p>
        </w:tc>
        <w:tc>
          <w:tcPr>
            <w:tcW w:w="7020" w:type="dxa"/>
            <w:vAlign w:val="bottom"/>
          </w:tcPr>
          <w:p>
            <w:pPr>
              <w:spacing w:after="0" w:line="195" w:lineRule="exact"/>
              <w:rPr>
                <w:sz w:val="20"/>
                <w:szCs w:val="20"/>
                <w:color w:val="auto"/>
              </w:rPr>
            </w:pPr>
            <w:r>
              <w:rPr>
                <w:rFonts w:ascii="Arial" w:cs="Arial" w:eastAsia="Arial" w:hAnsi="Arial"/>
                <w:sz w:val="18"/>
                <w:szCs w:val="18"/>
                <w:color w:val="auto"/>
              </w:rPr>
              <w:t>France</w:t>
            </w:r>
          </w:p>
        </w:tc>
        <w:tc>
          <w:tcPr>
            <w:tcW w:w="120" w:type="dxa"/>
            <w:vAlign w:val="bottom"/>
            <w:shd w:val="clear" w:color="auto" w:fill="E3F1DA"/>
          </w:tcPr>
          <w:p>
            <w:pPr>
              <w:spacing w:after="0"/>
              <w:rPr>
                <w:sz w:val="16"/>
                <w:szCs w:val="16"/>
                <w:color w:val="auto"/>
              </w:rPr>
            </w:pPr>
          </w:p>
        </w:tc>
        <w:tc>
          <w:tcPr>
            <w:tcW w:w="1340" w:type="dxa"/>
            <w:vAlign w:val="bottom"/>
          </w:tcPr>
          <w:p>
            <w:pPr>
              <w:jc w:val="right"/>
              <w:ind w:right="130"/>
              <w:spacing w:after="0" w:line="195" w:lineRule="exact"/>
              <w:rPr>
                <w:sz w:val="20"/>
                <w:szCs w:val="20"/>
                <w:color w:val="auto"/>
              </w:rPr>
            </w:pPr>
            <w:r>
              <w:rPr>
                <w:rFonts w:ascii="Arial" w:cs="Arial" w:eastAsia="Arial" w:hAnsi="Arial"/>
                <w:sz w:val="18"/>
                <w:szCs w:val="18"/>
                <w:color w:val="86B6A5"/>
              </w:rPr>
              <w:t>12.6</w:t>
            </w:r>
          </w:p>
        </w:tc>
        <w:tc>
          <w:tcPr>
            <w:tcW w:w="500" w:type="dxa"/>
            <w:vAlign w:val="bottom"/>
          </w:tcPr>
          <w:p>
            <w:pPr>
              <w:spacing w:after="0"/>
              <w:rPr>
                <w:sz w:val="16"/>
                <w:szCs w:val="16"/>
                <w:color w:val="auto"/>
              </w:rPr>
            </w:pPr>
          </w:p>
        </w:tc>
        <w:tc>
          <w:tcPr>
            <w:tcW w:w="880" w:type="dxa"/>
            <w:vAlign w:val="bottom"/>
          </w:tcPr>
          <w:p>
            <w:pPr>
              <w:jc w:val="right"/>
              <w:ind w:right="50"/>
              <w:spacing w:after="0" w:line="195" w:lineRule="exact"/>
              <w:rPr>
                <w:sz w:val="20"/>
                <w:szCs w:val="20"/>
                <w:color w:val="auto"/>
              </w:rPr>
            </w:pPr>
            <w:r>
              <w:rPr>
                <w:rFonts w:ascii="Arial" w:cs="Arial" w:eastAsia="Arial" w:hAnsi="Arial"/>
                <w:sz w:val="18"/>
                <w:szCs w:val="18"/>
                <w:color w:val="auto"/>
              </w:rPr>
              <w:t>15.3</w:t>
            </w:r>
          </w:p>
        </w:tc>
        <w:tc>
          <w:tcPr>
            <w:tcW w:w="520" w:type="dxa"/>
            <w:vAlign w:val="bottom"/>
          </w:tcPr>
          <w:p>
            <w:pPr>
              <w:spacing w:after="0"/>
              <w:rPr>
                <w:sz w:val="16"/>
                <w:szCs w:val="16"/>
                <w:color w:val="auto"/>
              </w:rPr>
            </w:pPr>
          </w:p>
        </w:tc>
        <w:tc>
          <w:tcPr>
            <w:tcW w:w="800" w:type="dxa"/>
            <w:vAlign w:val="bottom"/>
          </w:tcPr>
          <w:p>
            <w:pPr>
              <w:jc w:val="right"/>
              <w:spacing w:after="0" w:line="195" w:lineRule="exact"/>
              <w:rPr>
                <w:sz w:val="20"/>
                <w:szCs w:val="20"/>
                <w:color w:val="auto"/>
              </w:rPr>
            </w:pPr>
            <w:r>
              <w:rPr>
                <w:rFonts w:ascii="Arial" w:cs="Arial" w:eastAsia="Arial" w:hAnsi="Arial"/>
                <w:sz w:val="18"/>
                <w:szCs w:val="18"/>
                <w:color w:val="auto"/>
              </w:rPr>
              <w:t>20.1</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03"/>
        </w:trPr>
        <w:tc>
          <w:tcPr>
            <w:tcW w:w="7040" w:type="dxa"/>
            <w:vAlign w:val="bottom"/>
            <w:gridSpan w:val="2"/>
          </w:tcPr>
          <w:p>
            <w:pPr>
              <w:spacing w:after="0" w:line="202" w:lineRule="exact"/>
              <w:rPr>
                <w:sz w:val="20"/>
                <w:szCs w:val="20"/>
                <w:color w:val="auto"/>
              </w:rPr>
            </w:pPr>
            <w:r>
              <w:rPr>
                <w:rFonts w:ascii="Arial" w:cs="Arial" w:eastAsia="Arial" w:hAnsi="Arial"/>
                <w:sz w:val="18"/>
                <w:szCs w:val="18"/>
                <w:color w:val="auto"/>
              </w:rPr>
              <w:t>EMEA:</w:t>
            </w:r>
          </w:p>
        </w:tc>
        <w:tc>
          <w:tcPr>
            <w:tcW w:w="120" w:type="dxa"/>
            <w:vAlign w:val="bottom"/>
            <w:shd w:val="clear" w:color="auto" w:fill="E3F1DA"/>
          </w:tcPr>
          <w:p>
            <w:pPr>
              <w:spacing w:after="0"/>
              <w:rPr>
                <w:sz w:val="17"/>
                <w:szCs w:val="17"/>
                <w:color w:val="auto"/>
              </w:rPr>
            </w:pPr>
          </w:p>
        </w:tc>
        <w:tc>
          <w:tcPr>
            <w:tcW w:w="13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020" w:type="dxa"/>
            <w:vAlign w:val="bottom"/>
          </w:tcPr>
          <w:p>
            <w:pPr>
              <w:ind w:left="260"/>
              <w:spacing w:after="0" w:line="202" w:lineRule="exact"/>
              <w:rPr>
                <w:sz w:val="20"/>
                <w:szCs w:val="20"/>
                <w:color w:val="auto"/>
              </w:rPr>
            </w:pPr>
            <w:r>
              <w:rPr>
                <w:rFonts w:ascii="Arial" w:cs="Arial" w:eastAsia="Arial" w:hAnsi="Arial"/>
                <w:sz w:val="18"/>
                <w:szCs w:val="18"/>
                <w:color w:val="auto"/>
              </w:rPr>
              <w:t>Italy</w:t>
            </w:r>
          </w:p>
        </w:tc>
        <w:tc>
          <w:tcPr>
            <w:tcW w:w="120" w:type="dxa"/>
            <w:vAlign w:val="bottom"/>
            <w:shd w:val="clear" w:color="auto" w:fill="E3F1DA"/>
          </w:tcPr>
          <w:p>
            <w:pPr>
              <w:spacing w:after="0"/>
              <w:rPr>
                <w:sz w:val="17"/>
                <w:szCs w:val="17"/>
                <w:color w:val="auto"/>
              </w:rPr>
            </w:pPr>
          </w:p>
        </w:tc>
        <w:tc>
          <w:tcPr>
            <w:tcW w:w="1340" w:type="dxa"/>
            <w:vAlign w:val="bottom"/>
          </w:tcPr>
          <w:p>
            <w:pPr>
              <w:jc w:val="right"/>
              <w:ind w:right="130"/>
              <w:spacing w:after="0" w:line="202" w:lineRule="exact"/>
              <w:rPr>
                <w:sz w:val="20"/>
                <w:szCs w:val="20"/>
                <w:color w:val="auto"/>
              </w:rPr>
            </w:pPr>
            <w:r>
              <w:rPr>
                <w:rFonts w:ascii="Arial" w:cs="Arial" w:eastAsia="Arial" w:hAnsi="Arial"/>
                <w:sz w:val="18"/>
                <w:szCs w:val="18"/>
                <w:color w:val="86B6A5"/>
              </w:rPr>
              <w:t>3.8</w:t>
            </w:r>
          </w:p>
        </w:tc>
        <w:tc>
          <w:tcPr>
            <w:tcW w:w="500" w:type="dxa"/>
            <w:vAlign w:val="bottom"/>
          </w:tcPr>
          <w:p>
            <w:pPr>
              <w:spacing w:after="0"/>
              <w:rPr>
                <w:sz w:val="17"/>
                <w:szCs w:val="17"/>
                <w:color w:val="auto"/>
              </w:rPr>
            </w:pPr>
          </w:p>
        </w:tc>
        <w:tc>
          <w:tcPr>
            <w:tcW w:w="880" w:type="dxa"/>
            <w:vAlign w:val="bottom"/>
          </w:tcPr>
          <w:p>
            <w:pPr>
              <w:jc w:val="right"/>
              <w:ind w:right="50"/>
              <w:spacing w:after="0" w:line="202" w:lineRule="exact"/>
              <w:rPr>
                <w:sz w:val="20"/>
                <w:szCs w:val="20"/>
                <w:color w:val="auto"/>
              </w:rPr>
            </w:pPr>
            <w:r>
              <w:rPr>
                <w:rFonts w:ascii="Arial" w:cs="Arial" w:eastAsia="Arial" w:hAnsi="Arial"/>
                <w:sz w:val="18"/>
                <w:szCs w:val="18"/>
                <w:color w:val="auto"/>
              </w:rPr>
              <w:t>4.4</w:t>
            </w:r>
          </w:p>
        </w:tc>
        <w:tc>
          <w:tcPr>
            <w:tcW w:w="520" w:type="dxa"/>
            <w:vAlign w:val="bottom"/>
          </w:tcPr>
          <w:p>
            <w:pPr>
              <w:spacing w:after="0"/>
              <w:rPr>
                <w:sz w:val="17"/>
                <w:szCs w:val="17"/>
                <w:color w:val="auto"/>
              </w:rPr>
            </w:pPr>
          </w:p>
        </w:tc>
        <w:tc>
          <w:tcPr>
            <w:tcW w:w="8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5.0</w:t>
            </w:r>
          </w:p>
        </w:tc>
        <w:tc>
          <w:tcPr>
            <w:tcW w:w="4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020" w:type="dxa"/>
            <w:vAlign w:val="bottom"/>
            <w:tcBorders>
              <w:bottom w:val="single" w:sz="8" w:color="939598"/>
            </w:tcBorders>
          </w:tcPr>
          <w:p>
            <w:pPr>
              <w:ind w:left="260"/>
              <w:spacing w:after="0" w:line="203" w:lineRule="exact"/>
              <w:rPr>
                <w:sz w:val="20"/>
                <w:szCs w:val="20"/>
                <w:color w:val="auto"/>
              </w:rPr>
            </w:pPr>
            <w:r>
              <w:rPr>
                <w:rFonts w:ascii="Arial" w:cs="Arial" w:eastAsia="Arial" w:hAnsi="Arial"/>
                <w:sz w:val="18"/>
                <w:szCs w:val="18"/>
                <w:color w:val="auto"/>
              </w:rPr>
              <w:t>Other EMEA</w:t>
            </w:r>
          </w:p>
        </w:tc>
        <w:tc>
          <w:tcPr>
            <w:tcW w:w="120" w:type="dxa"/>
            <w:vAlign w:val="bottom"/>
            <w:tcBorders>
              <w:bottom w:val="single" w:sz="8" w:color="939598"/>
            </w:tcBorders>
            <w:shd w:val="clear" w:color="auto" w:fill="E3F1DA"/>
          </w:tcPr>
          <w:p>
            <w:pPr>
              <w:spacing w:after="0"/>
              <w:rPr>
                <w:sz w:val="17"/>
                <w:szCs w:val="17"/>
                <w:color w:val="auto"/>
              </w:rPr>
            </w:pPr>
          </w:p>
        </w:tc>
        <w:tc>
          <w:tcPr>
            <w:tcW w:w="1340" w:type="dxa"/>
            <w:vAlign w:val="bottom"/>
            <w:tcBorders>
              <w:bottom w:val="single" w:sz="8" w:color="939598"/>
            </w:tcBorders>
          </w:tcPr>
          <w:p>
            <w:pPr>
              <w:jc w:val="right"/>
              <w:ind w:right="130"/>
              <w:spacing w:after="0" w:line="203" w:lineRule="exact"/>
              <w:rPr>
                <w:sz w:val="20"/>
                <w:szCs w:val="20"/>
                <w:color w:val="auto"/>
              </w:rPr>
            </w:pPr>
            <w:r>
              <w:rPr>
                <w:rFonts w:ascii="Arial" w:cs="Arial" w:eastAsia="Arial" w:hAnsi="Arial"/>
                <w:sz w:val="18"/>
                <w:szCs w:val="18"/>
                <w:color w:val="86B6A5"/>
              </w:rPr>
              <w:t>21.2</w:t>
            </w:r>
          </w:p>
        </w:tc>
        <w:tc>
          <w:tcPr>
            <w:tcW w:w="500" w:type="dxa"/>
            <w:vAlign w:val="bottom"/>
            <w:tcBorders>
              <w:bottom w:val="single" w:sz="8" w:color="939598"/>
            </w:tcBorders>
          </w:tcPr>
          <w:p>
            <w:pPr>
              <w:spacing w:after="0"/>
              <w:rPr>
                <w:sz w:val="17"/>
                <w:szCs w:val="17"/>
                <w:color w:val="auto"/>
              </w:rPr>
            </w:pPr>
          </w:p>
        </w:tc>
        <w:tc>
          <w:tcPr>
            <w:tcW w:w="880" w:type="dxa"/>
            <w:vAlign w:val="bottom"/>
            <w:tcBorders>
              <w:bottom w:val="single" w:sz="8" w:color="939598"/>
            </w:tcBorders>
          </w:tcPr>
          <w:p>
            <w:pPr>
              <w:jc w:val="right"/>
              <w:ind w:right="50"/>
              <w:spacing w:after="0" w:line="203" w:lineRule="exact"/>
              <w:rPr>
                <w:sz w:val="20"/>
                <w:szCs w:val="20"/>
                <w:color w:val="auto"/>
              </w:rPr>
            </w:pPr>
            <w:r>
              <w:rPr>
                <w:rFonts w:ascii="Arial" w:cs="Arial" w:eastAsia="Arial" w:hAnsi="Arial"/>
                <w:sz w:val="18"/>
                <w:szCs w:val="18"/>
                <w:color w:val="auto"/>
              </w:rPr>
              <w:t>24.6</w:t>
            </w:r>
          </w:p>
        </w:tc>
        <w:tc>
          <w:tcPr>
            <w:tcW w:w="520" w:type="dxa"/>
            <w:vAlign w:val="bottom"/>
            <w:tcBorders>
              <w:bottom w:val="single" w:sz="8" w:color="939598"/>
            </w:tcBorders>
          </w:tcPr>
          <w:p>
            <w:pPr>
              <w:spacing w:after="0"/>
              <w:rPr>
                <w:sz w:val="17"/>
                <w:szCs w:val="17"/>
                <w:color w:val="auto"/>
              </w:rPr>
            </w:pPr>
          </w:p>
        </w:tc>
        <w:tc>
          <w:tcPr>
            <w:tcW w:w="800" w:type="dxa"/>
            <w:vAlign w:val="bottom"/>
            <w:tcBorders>
              <w:bottom w:val="single" w:sz="8" w:color="939598"/>
            </w:tcBorders>
          </w:tcPr>
          <w:p>
            <w:pPr>
              <w:jc w:val="right"/>
              <w:spacing w:after="0" w:line="203" w:lineRule="exact"/>
              <w:rPr>
                <w:sz w:val="20"/>
                <w:szCs w:val="20"/>
                <w:color w:val="auto"/>
              </w:rPr>
            </w:pPr>
            <w:r>
              <w:rPr>
                <w:rFonts w:ascii="Arial" w:cs="Arial" w:eastAsia="Arial" w:hAnsi="Arial"/>
                <w:sz w:val="18"/>
                <w:szCs w:val="18"/>
                <w:color w:val="auto"/>
              </w:rPr>
              <w:t>25.5</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7020" w:type="dxa"/>
            <w:vAlign w:val="bottom"/>
            <w:tcBorders>
              <w:bottom w:val="single" w:sz="8" w:color="939598"/>
            </w:tcBorders>
          </w:tcPr>
          <w:p>
            <w:pPr>
              <w:spacing w:after="0"/>
              <w:rPr>
                <w:sz w:val="17"/>
                <w:szCs w:val="17"/>
                <w:color w:val="auto"/>
              </w:rPr>
            </w:pPr>
          </w:p>
        </w:tc>
        <w:tc>
          <w:tcPr>
            <w:tcW w:w="120" w:type="dxa"/>
            <w:vAlign w:val="bottom"/>
            <w:tcBorders>
              <w:bottom w:val="single" w:sz="8" w:color="939598"/>
            </w:tcBorders>
            <w:shd w:val="clear" w:color="auto" w:fill="E3F1DA"/>
          </w:tcPr>
          <w:p>
            <w:pPr>
              <w:spacing w:after="0"/>
              <w:rPr>
                <w:sz w:val="17"/>
                <w:szCs w:val="17"/>
                <w:color w:val="auto"/>
              </w:rPr>
            </w:pPr>
          </w:p>
        </w:tc>
        <w:tc>
          <w:tcPr>
            <w:tcW w:w="1340" w:type="dxa"/>
            <w:vAlign w:val="bottom"/>
            <w:tcBorders>
              <w:bottom w:val="single" w:sz="8" w:color="939598"/>
            </w:tcBorders>
          </w:tcPr>
          <w:p>
            <w:pPr>
              <w:jc w:val="right"/>
              <w:ind w:right="130"/>
              <w:spacing w:after="0" w:line="196" w:lineRule="exact"/>
              <w:rPr>
                <w:sz w:val="20"/>
                <w:szCs w:val="20"/>
                <w:color w:val="auto"/>
              </w:rPr>
            </w:pPr>
            <w:r>
              <w:rPr>
                <w:rFonts w:ascii="Arial" w:cs="Arial" w:eastAsia="Arial" w:hAnsi="Arial"/>
                <w:sz w:val="18"/>
                <w:szCs w:val="18"/>
                <w:color w:val="86B6A5"/>
              </w:rPr>
              <w:t>25.0</w:t>
            </w:r>
          </w:p>
        </w:tc>
        <w:tc>
          <w:tcPr>
            <w:tcW w:w="500" w:type="dxa"/>
            <w:vAlign w:val="bottom"/>
            <w:tcBorders>
              <w:bottom w:val="single" w:sz="8" w:color="939598"/>
            </w:tcBorders>
          </w:tcPr>
          <w:p>
            <w:pPr>
              <w:spacing w:after="0"/>
              <w:rPr>
                <w:sz w:val="17"/>
                <w:szCs w:val="17"/>
                <w:color w:val="auto"/>
              </w:rPr>
            </w:pPr>
          </w:p>
        </w:tc>
        <w:tc>
          <w:tcPr>
            <w:tcW w:w="880" w:type="dxa"/>
            <w:vAlign w:val="bottom"/>
            <w:tcBorders>
              <w:bottom w:val="single" w:sz="8" w:color="939598"/>
            </w:tcBorders>
          </w:tcPr>
          <w:p>
            <w:pPr>
              <w:jc w:val="right"/>
              <w:ind w:right="50"/>
              <w:spacing w:after="0" w:line="196" w:lineRule="exact"/>
              <w:rPr>
                <w:sz w:val="20"/>
                <w:szCs w:val="20"/>
                <w:color w:val="auto"/>
              </w:rPr>
            </w:pPr>
            <w:r>
              <w:rPr>
                <w:rFonts w:ascii="Arial" w:cs="Arial" w:eastAsia="Arial" w:hAnsi="Arial"/>
                <w:sz w:val="18"/>
                <w:szCs w:val="18"/>
                <w:color w:val="auto"/>
              </w:rPr>
              <w:t>29.0</w:t>
            </w:r>
          </w:p>
        </w:tc>
        <w:tc>
          <w:tcPr>
            <w:tcW w:w="520" w:type="dxa"/>
            <w:vAlign w:val="bottom"/>
            <w:tcBorders>
              <w:bottom w:val="single" w:sz="8" w:color="939598"/>
            </w:tcBorders>
          </w:tcPr>
          <w:p>
            <w:pPr>
              <w:spacing w:after="0"/>
              <w:rPr>
                <w:sz w:val="17"/>
                <w:szCs w:val="17"/>
                <w:color w:val="auto"/>
              </w:rPr>
            </w:pPr>
          </w:p>
        </w:tc>
        <w:tc>
          <w:tcPr>
            <w:tcW w:w="800" w:type="dxa"/>
            <w:vAlign w:val="bottom"/>
            <w:tcBorders>
              <w:bottom w:val="single" w:sz="8" w:color="939598"/>
            </w:tcBorders>
          </w:tcPr>
          <w:p>
            <w:pPr>
              <w:jc w:val="right"/>
              <w:spacing w:after="0" w:line="196" w:lineRule="exact"/>
              <w:rPr>
                <w:sz w:val="20"/>
                <w:szCs w:val="20"/>
                <w:color w:val="auto"/>
              </w:rPr>
            </w:pPr>
            <w:r>
              <w:rPr>
                <w:rFonts w:ascii="Arial" w:cs="Arial" w:eastAsia="Arial" w:hAnsi="Arial"/>
                <w:sz w:val="18"/>
                <w:szCs w:val="18"/>
                <w:color w:val="auto"/>
              </w:rPr>
              <w:t>30.5</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95"/>
        </w:trPr>
        <w:tc>
          <w:tcPr>
            <w:tcW w:w="20" w:type="dxa"/>
            <w:vAlign w:val="bottom"/>
          </w:tcPr>
          <w:p>
            <w:pPr>
              <w:spacing w:after="0"/>
              <w:rPr>
                <w:sz w:val="16"/>
                <w:szCs w:val="16"/>
                <w:color w:val="auto"/>
              </w:rPr>
            </w:pPr>
          </w:p>
        </w:tc>
        <w:tc>
          <w:tcPr>
            <w:tcW w:w="7020" w:type="dxa"/>
            <w:vAlign w:val="bottom"/>
          </w:tcPr>
          <w:p>
            <w:pPr>
              <w:spacing w:after="0" w:line="195" w:lineRule="exact"/>
              <w:rPr>
                <w:sz w:val="20"/>
                <w:szCs w:val="20"/>
                <w:color w:val="auto"/>
              </w:rPr>
            </w:pPr>
            <w:r>
              <w:rPr>
                <w:rFonts w:ascii="Arial" w:cs="Arial" w:eastAsia="Arial" w:hAnsi="Arial"/>
                <w:sz w:val="18"/>
                <w:szCs w:val="18"/>
                <w:color w:val="auto"/>
              </w:rPr>
              <w:t>Asia Pacific</w:t>
            </w:r>
          </w:p>
        </w:tc>
        <w:tc>
          <w:tcPr>
            <w:tcW w:w="120" w:type="dxa"/>
            <w:vAlign w:val="bottom"/>
            <w:shd w:val="clear" w:color="auto" w:fill="E3F1DA"/>
          </w:tcPr>
          <w:p>
            <w:pPr>
              <w:spacing w:after="0"/>
              <w:rPr>
                <w:sz w:val="16"/>
                <w:szCs w:val="16"/>
                <w:color w:val="auto"/>
              </w:rPr>
            </w:pPr>
          </w:p>
        </w:tc>
        <w:tc>
          <w:tcPr>
            <w:tcW w:w="1340" w:type="dxa"/>
            <w:vAlign w:val="bottom"/>
          </w:tcPr>
          <w:p>
            <w:pPr>
              <w:jc w:val="right"/>
              <w:ind w:right="130"/>
              <w:spacing w:after="0" w:line="195" w:lineRule="exact"/>
              <w:rPr>
                <w:sz w:val="20"/>
                <w:szCs w:val="20"/>
                <w:color w:val="auto"/>
              </w:rPr>
            </w:pPr>
            <w:r>
              <w:rPr>
                <w:rFonts w:ascii="Arial" w:cs="Arial" w:eastAsia="Arial" w:hAnsi="Arial"/>
                <w:sz w:val="18"/>
                <w:szCs w:val="18"/>
                <w:color w:val="86B6A5"/>
              </w:rPr>
              <w:t>4.6</w:t>
            </w:r>
          </w:p>
        </w:tc>
        <w:tc>
          <w:tcPr>
            <w:tcW w:w="500" w:type="dxa"/>
            <w:vAlign w:val="bottom"/>
          </w:tcPr>
          <w:p>
            <w:pPr>
              <w:spacing w:after="0"/>
              <w:rPr>
                <w:sz w:val="16"/>
                <w:szCs w:val="16"/>
                <w:color w:val="auto"/>
              </w:rPr>
            </w:pPr>
          </w:p>
        </w:tc>
        <w:tc>
          <w:tcPr>
            <w:tcW w:w="880" w:type="dxa"/>
            <w:vAlign w:val="bottom"/>
          </w:tcPr>
          <w:p>
            <w:pPr>
              <w:jc w:val="right"/>
              <w:ind w:right="50"/>
              <w:spacing w:after="0" w:line="195" w:lineRule="exact"/>
              <w:rPr>
                <w:sz w:val="20"/>
                <w:szCs w:val="20"/>
                <w:color w:val="auto"/>
              </w:rPr>
            </w:pPr>
            <w:r>
              <w:rPr>
                <w:rFonts w:ascii="Arial" w:cs="Arial" w:eastAsia="Arial" w:hAnsi="Arial"/>
                <w:sz w:val="18"/>
                <w:szCs w:val="18"/>
                <w:color w:val="auto"/>
              </w:rPr>
              <w:t>5.6</w:t>
            </w:r>
          </w:p>
        </w:tc>
        <w:tc>
          <w:tcPr>
            <w:tcW w:w="520" w:type="dxa"/>
            <w:vAlign w:val="bottom"/>
          </w:tcPr>
          <w:p>
            <w:pPr>
              <w:spacing w:after="0"/>
              <w:rPr>
                <w:sz w:val="16"/>
                <w:szCs w:val="16"/>
                <w:color w:val="auto"/>
              </w:rPr>
            </w:pPr>
          </w:p>
        </w:tc>
        <w:tc>
          <w:tcPr>
            <w:tcW w:w="800" w:type="dxa"/>
            <w:vAlign w:val="bottom"/>
          </w:tcPr>
          <w:p>
            <w:pPr>
              <w:jc w:val="right"/>
              <w:spacing w:after="0" w:line="195" w:lineRule="exact"/>
              <w:rPr>
                <w:sz w:val="20"/>
                <w:szCs w:val="20"/>
                <w:color w:val="auto"/>
              </w:rPr>
            </w:pPr>
            <w:r>
              <w:rPr>
                <w:rFonts w:ascii="Arial" w:cs="Arial" w:eastAsia="Arial" w:hAnsi="Arial"/>
                <w:sz w:val="18"/>
                <w:szCs w:val="18"/>
                <w:color w:val="auto"/>
              </w:rPr>
              <w:t>8.3</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03"/>
        </w:trPr>
        <w:tc>
          <w:tcPr>
            <w:tcW w:w="7040" w:type="dxa"/>
            <w:vAlign w:val="bottom"/>
            <w:gridSpan w:val="2"/>
          </w:tcPr>
          <w:p>
            <w:pPr>
              <w:spacing w:after="0" w:line="202" w:lineRule="exact"/>
              <w:rPr>
                <w:sz w:val="20"/>
                <w:szCs w:val="20"/>
                <w:color w:val="auto"/>
              </w:rPr>
            </w:pPr>
            <w:r>
              <w:rPr>
                <w:rFonts w:ascii="Arial" w:cs="Arial" w:eastAsia="Arial" w:hAnsi="Arial"/>
                <w:sz w:val="18"/>
                <w:szCs w:val="18"/>
                <w:color w:val="auto"/>
              </w:rPr>
              <w:t>Right Management</w:t>
            </w:r>
          </w:p>
        </w:tc>
        <w:tc>
          <w:tcPr>
            <w:tcW w:w="120" w:type="dxa"/>
            <w:vAlign w:val="bottom"/>
            <w:shd w:val="clear" w:color="auto" w:fill="E3F1DA"/>
          </w:tcPr>
          <w:p>
            <w:pPr>
              <w:spacing w:after="0"/>
              <w:rPr>
                <w:sz w:val="17"/>
                <w:szCs w:val="17"/>
                <w:color w:val="auto"/>
              </w:rPr>
            </w:pPr>
          </w:p>
        </w:tc>
        <w:tc>
          <w:tcPr>
            <w:tcW w:w="1340" w:type="dxa"/>
            <w:vAlign w:val="bottom"/>
          </w:tcPr>
          <w:p>
            <w:pPr>
              <w:jc w:val="right"/>
              <w:ind w:right="130"/>
              <w:spacing w:after="0" w:line="202" w:lineRule="exact"/>
              <w:rPr>
                <w:sz w:val="20"/>
                <w:szCs w:val="20"/>
                <w:color w:val="auto"/>
              </w:rPr>
            </w:pPr>
            <w:r>
              <w:rPr>
                <w:rFonts w:ascii="Arial" w:cs="Arial" w:eastAsia="Arial" w:hAnsi="Arial"/>
                <w:sz w:val="18"/>
                <w:szCs w:val="18"/>
                <w:color w:val="86B6A5"/>
              </w:rPr>
              <w:t>7.3</w:t>
            </w:r>
          </w:p>
        </w:tc>
        <w:tc>
          <w:tcPr>
            <w:tcW w:w="500" w:type="dxa"/>
            <w:vAlign w:val="bottom"/>
          </w:tcPr>
          <w:p>
            <w:pPr>
              <w:spacing w:after="0"/>
              <w:rPr>
                <w:sz w:val="17"/>
                <w:szCs w:val="17"/>
                <w:color w:val="auto"/>
              </w:rPr>
            </w:pPr>
          </w:p>
        </w:tc>
        <w:tc>
          <w:tcPr>
            <w:tcW w:w="880" w:type="dxa"/>
            <w:vAlign w:val="bottom"/>
          </w:tcPr>
          <w:p>
            <w:pPr>
              <w:jc w:val="right"/>
              <w:ind w:right="50"/>
              <w:spacing w:after="0" w:line="202" w:lineRule="exact"/>
              <w:rPr>
                <w:sz w:val="20"/>
                <w:szCs w:val="20"/>
                <w:color w:val="auto"/>
              </w:rPr>
            </w:pPr>
            <w:r>
              <w:rPr>
                <w:rFonts w:ascii="Arial" w:cs="Arial" w:eastAsia="Arial" w:hAnsi="Arial"/>
                <w:sz w:val="18"/>
                <w:szCs w:val="18"/>
                <w:color w:val="auto"/>
              </w:rPr>
              <w:t>9.1</w:t>
            </w:r>
          </w:p>
        </w:tc>
        <w:tc>
          <w:tcPr>
            <w:tcW w:w="520" w:type="dxa"/>
            <w:vAlign w:val="bottom"/>
          </w:tcPr>
          <w:p>
            <w:pPr>
              <w:spacing w:after="0"/>
              <w:rPr>
                <w:sz w:val="17"/>
                <w:szCs w:val="17"/>
                <w:color w:val="auto"/>
              </w:rPr>
            </w:pPr>
          </w:p>
        </w:tc>
        <w:tc>
          <w:tcPr>
            <w:tcW w:w="8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9.5</w:t>
            </w:r>
          </w:p>
        </w:tc>
        <w:tc>
          <w:tcPr>
            <w:tcW w:w="40" w:type="dxa"/>
            <w:vAlign w:val="bottom"/>
          </w:tcPr>
          <w:p>
            <w:pPr>
              <w:spacing w:after="0"/>
              <w:rPr>
                <w:sz w:val="17"/>
                <w:szCs w:val="17"/>
                <w:color w:val="auto"/>
              </w:rPr>
            </w:pPr>
          </w:p>
        </w:tc>
      </w:tr>
      <w:tr>
        <w:trPr>
          <w:trHeight w:val="197"/>
        </w:trPr>
        <w:tc>
          <w:tcPr>
            <w:tcW w:w="7040" w:type="dxa"/>
            <w:vAlign w:val="bottom"/>
            <w:gridSpan w:val="2"/>
          </w:tcPr>
          <w:p>
            <w:pPr>
              <w:spacing w:after="0" w:line="197" w:lineRule="exact"/>
              <w:rPr>
                <w:sz w:val="20"/>
                <w:szCs w:val="20"/>
                <w:color w:val="auto"/>
              </w:rPr>
            </w:pPr>
            <w:r>
              <w:rPr>
                <w:rFonts w:ascii="Arial" w:cs="Arial" w:eastAsia="Arial" w:hAnsi="Arial"/>
                <w:sz w:val="18"/>
                <w:szCs w:val="18"/>
                <w:color w:val="auto"/>
              </w:rPr>
              <w:t>Corporate</w:t>
            </w:r>
          </w:p>
        </w:tc>
        <w:tc>
          <w:tcPr>
            <w:tcW w:w="120" w:type="dxa"/>
            <w:vAlign w:val="bottom"/>
            <w:shd w:val="clear" w:color="auto" w:fill="E3F1DA"/>
          </w:tcPr>
          <w:p>
            <w:pPr>
              <w:spacing w:after="0"/>
              <w:rPr>
                <w:sz w:val="17"/>
                <w:szCs w:val="17"/>
                <w:color w:val="auto"/>
              </w:rPr>
            </w:pPr>
          </w:p>
        </w:tc>
        <w:tc>
          <w:tcPr>
            <w:tcW w:w="1340" w:type="dxa"/>
            <w:vAlign w:val="bottom"/>
          </w:tcPr>
          <w:p>
            <w:pPr>
              <w:jc w:val="right"/>
              <w:ind w:right="130"/>
              <w:spacing w:after="0" w:line="197" w:lineRule="exact"/>
              <w:rPr>
                <w:sz w:val="20"/>
                <w:szCs w:val="20"/>
                <w:color w:val="auto"/>
              </w:rPr>
            </w:pPr>
            <w:r>
              <w:rPr>
                <w:rFonts w:ascii="Arial" w:cs="Arial" w:eastAsia="Arial" w:hAnsi="Arial"/>
                <w:sz w:val="18"/>
                <w:szCs w:val="18"/>
                <w:color w:val="86B6A5"/>
              </w:rPr>
              <w:t>2.2</w:t>
            </w:r>
          </w:p>
        </w:tc>
        <w:tc>
          <w:tcPr>
            <w:tcW w:w="500" w:type="dxa"/>
            <w:vAlign w:val="bottom"/>
          </w:tcPr>
          <w:p>
            <w:pPr>
              <w:spacing w:after="0"/>
              <w:rPr>
                <w:sz w:val="17"/>
                <w:szCs w:val="17"/>
                <w:color w:val="auto"/>
              </w:rPr>
            </w:pPr>
          </w:p>
        </w:tc>
        <w:tc>
          <w:tcPr>
            <w:tcW w:w="880" w:type="dxa"/>
            <w:vAlign w:val="bottom"/>
          </w:tcPr>
          <w:p>
            <w:pPr>
              <w:jc w:val="right"/>
              <w:ind w:right="50"/>
              <w:spacing w:after="0" w:line="197" w:lineRule="exact"/>
              <w:rPr>
                <w:sz w:val="20"/>
                <w:szCs w:val="20"/>
                <w:color w:val="auto"/>
              </w:rPr>
            </w:pPr>
            <w:r>
              <w:rPr>
                <w:rFonts w:ascii="Arial" w:cs="Arial" w:eastAsia="Arial" w:hAnsi="Arial"/>
                <w:sz w:val="18"/>
                <w:szCs w:val="18"/>
                <w:color w:val="auto"/>
              </w:rPr>
              <w:t>–</w:t>
            </w:r>
          </w:p>
        </w:tc>
        <w:tc>
          <w:tcPr>
            <w:tcW w:w="520" w:type="dxa"/>
            <w:vAlign w:val="bottom"/>
          </w:tcPr>
          <w:p>
            <w:pPr>
              <w:spacing w:after="0"/>
              <w:rPr>
                <w:sz w:val="17"/>
                <w:szCs w:val="17"/>
                <w:color w:val="auto"/>
              </w:rPr>
            </w:pPr>
          </w:p>
        </w:tc>
        <w:tc>
          <w:tcPr>
            <w:tcW w:w="860" w:type="dxa"/>
            <w:vAlign w:val="bottom"/>
            <w:gridSpan w:val="3"/>
          </w:tcPr>
          <w:p>
            <w:pPr>
              <w:jc w:val="right"/>
              <w:ind w:right="20"/>
              <w:spacing w:after="0" w:line="197" w:lineRule="exact"/>
              <w:rPr>
                <w:sz w:val="20"/>
                <w:szCs w:val="20"/>
                <w:color w:val="auto"/>
              </w:rPr>
            </w:pPr>
            <w:r>
              <w:rPr>
                <w:rFonts w:ascii="Arial" w:cs="Arial" w:eastAsia="Arial" w:hAnsi="Arial"/>
                <w:sz w:val="18"/>
                <w:szCs w:val="18"/>
                <w:color w:val="auto"/>
              </w:rPr>
              <w:t>–</w:t>
            </w:r>
          </w:p>
        </w:tc>
      </w:tr>
      <w:tr>
        <w:trPr>
          <w:trHeight w:val="209"/>
        </w:trPr>
        <w:tc>
          <w:tcPr>
            <w:tcW w:w="7040" w:type="dxa"/>
            <w:vAlign w:val="bottom"/>
            <w:gridSpan w:val="2"/>
          </w:tcPr>
          <w:p>
            <w:pPr>
              <w:spacing w:after="0" w:line="209" w:lineRule="exact"/>
              <w:rPr>
                <w:sz w:val="20"/>
                <w:szCs w:val="20"/>
                <w:color w:val="auto"/>
              </w:rPr>
            </w:pPr>
            <w:r>
              <w:rPr>
                <w:rFonts w:ascii="Arial" w:cs="Arial" w:eastAsia="Arial" w:hAnsi="Arial"/>
                <w:sz w:val="17"/>
                <w:szCs w:val="17"/>
                <w:color w:val="auto"/>
              </w:rPr>
              <w:t>Amortization of intangible assets</w:t>
            </w:r>
            <w:r>
              <w:rPr>
                <w:rFonts w:ascii="Arial" w:cs="Arial" w:eastAsia="Arial" w:hAnsi="Arial"/>
                <w:sz w:val="24"/>
                <w:szCs w:val="24"/>
                <w:color w:val="auto"/>
                <w:vertAlign w:val="superscript"/>
              </w:rPr>
              <w:t>(a)</w:t>
            </w:r>
          </w:p>
        </w:tc>
        <w:tc>
          <w:tcPr>
            <w:tcW w:w="120" w:type="dxa"/>
            <w:vAlign w:val="bottom"/>
            <w:shd w:val="clear" w:color="auto" w:fill="E3F1DA"/>
          </w:tcPr>
          <w:p>
            <w:pPr>
              <w:spacing w:after="0"/>
              <w:rPr>
                <w:sz w:val="18"/>
                <w:szCs w:val="18"/>
                <w:color w:val="auto"/>
              </w:rPr>
            </w:pPr>
          </w:p>
        </w:tc>
        <w:tc>
          <w:tcPr>
            <w:tcW w:w="1340" w:type="dxa"/>
            <w:vAlign w:val="bottom"/>
          </w:tcPr>
          <w:p>
            <w:pPr>
              <w:jc w:val="right"/>
              <w:ind w:right="130"/>
              <w:spacing w:after="0"/>
              <w:rPr>
                <w:sz w:val="20"/>
                <w:szCs w:val="20"/>
                <w:color w:val="auto"/>
              </w:rPr>
            </w:pPr>
            <w:r>
              <w:rPr>
                <w:rFonts w:ascii="Arial" w:cs="Arial" w:eastAsia="Arial" w:hAnsi="Arial"/>
                <w:sz w:val="18"/>
                <w:szCs w:val="18"/>
                <w:color w:val="86B6A5"/>
              </w:rPr>
              <w:t>39.3</w:t>
            </w:r>
          </w:p>
        </w:tc>
        <w:tc>
          <w:tcPr>
            <w:tcW w:w="500" w:type="dxa"/>
            <w:vAlign w:val="bottom"/>
          </w:tcPr>
          <w:p>
            <w:pPr>
              <w:spacing w:after="0"/>
              <w:rPr>
                <w:sz w:val="18"/>
                <w:szCs w:val="18"/>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21.9</w:t>
            </w:r>
          </w:p>
        </w:tc>
        <w:tc>
          <w:tcPr>
            <w:tcW w:w="5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22.1</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7020" w:type="dxa"/>
            <w:vAlign w:val="bottom"/>
            <w:tcBorders>
              <w:top w:val="single" w:sz="8" w:color="939598"/>
              <w:bottom w:val="single" w:sz="8" w:color="939598"/>
            </w:tcBorders>
          </w:tcPr>
          <w:p>
            <w:pPr>
              <w:spacing w:after="0"/>
              <w:rPr>
                <w:sz w:val="17"/>
                <w:szCs w:val="17"/>
                <w:color w:val="auto"/>
              </w:rPr>
            </w:pPr>
          </w:p>
        </w:tc>
        <w:tc>
          <w:tcPr>
            <w:tcW w:w="120" w:type="dxa"/>
            <w:vAlign w:val="bottom"/>
            <w:tcBorders>
              <w:top w:val="single" w:sz="8" w:color="939598"/>
              <w:bottom w:val="single" w:sz="8" w:color="939598"/>
            </w:tcBorders>
            <w:shd w:val="clear" w:color="auto" w:fill="E3F1DA"/>
          </w:tcPr>
          <w:p>
            <w:pPr>
              <w:jc w:val="right"/>
              <w:spacing w:after="0" w:line="196" w:lineRule="exact"/>
              <w:rPr>
                <w:sz w:val="20"/>
                <w:szCs w:val="20"/>
                <w:color w:val="auto"/>
              </w:rPr>
            </w:pPr>
            <w:r>
              <w:rPr>
                <w:rFonts w:ascii="Arial" w:cs="Arial" w:eastAsia="Arial" w:hAnsi="Arial"/>
                <w:sz w:val="18"/>
                <w:szCs w:val="18"/>
                <w:color w:val="86B6A5"/>
                <w:w w:val="79"/>
              </w:rPr>
              <w:t>$</w:t>
            </w:r>
          </w:p>
        </w:tc>
        <w:tc>
          <w:tcPr>
            <w:tcW w:w="1340" w:type="dxa"/>
            <w:vAlign w:val="bottom"/>
            <w:tcBorders>
              <w:top w:val="single" w:sz="8" w:color="939598"/>
              <w:bottom w:val="single" w:sz="8" w:color="939598"/>
            </w:tcBorders>
          </w:tcPr>
          <w:p>
            <w:pPr>
              <w:jc w:val="right"/>
              <w:ind w:right="130"/>
              <w:spacing w:after="0" w:line="196" w:lineRule="exact"/>
              <w:rPr>
                <w:sz w:val="20"/>
                <w:szCs w:val="20"/>
                <w:color w:val="auto"/>
              </w:rPr>
            </w:pPr>
            <w:r>
              <w:rPr>
                <w:rFonts w:ascii="Arial" w:cs="Arial" w:eastAsia="Arial" w:hAnsi="Arial"/>
                <w:sz w:val="18"/>
                <w:szCs w:val="18"/>
                <w:color w:val="86B6A5"/>
              </w:rPr>
              <w:t>110.1</w:t>
            </w:r>
          </w:p>
        </w:tc>
        <w:tc>
          <w:tcPr>
            <w:tcW w:w="500" w:type="dxa"/>
            <w:vAlign w:val="bottom"/>
            <w:tcBorders>
              <w:top w:val="single" w:sz="8" w:color="939598"/>
              <w:bottom w:val="single" w:sz="8" w:color="939598"/>
            </w:tcBorders>
          </w:tcPr>
          <w:p>
            <w:pPr>
              <w:jc w:val="right"/>
              <w:ind w:right="310"/>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939598"/>
              <w:bottom w:val="single" w:sz="8" w:color="939598"/>
            </w:tcBorders>
          </w:tcPr>
          <w:p>
            <w:pPr>
              <w:jc w:val="right"/>
              <w:ind w:right="50"/>
              <w:spacing w:after="0" w:line="196" w:lineRule="exact"/>
              <w:rPr>
                <w:sz w:val="20"/>
                <w:szCs w:val="20"/>
                <w:color w:val="auto"/>
              </w:rPr>
            </w:pPr>
            <w:r>
              <w:rPr>
                <w:rFonts w:ascii="Arial" w:cs="Arial" w:eastAsia="Arial" w:hAnsi="Arial"/>
                <w:sz w:val="18"/>
                <w:szCs w:val="18"/>
                <w:color w:val="auto"/>
              </w:rPr>
              <w:t>97.2</w:t>
            </w:r>
          </w:p>
        </w:tc>
        <w:tc>
          <w:tcPr>
            <w:tcW w:w="520" w:type="dxa"/>
            <w:vAlign w:val="bottom"/>
            <w:tcBorders>
              <w:top w:val="single" w:sz="8" w:color="939598"/>
              <w:bottom w:val="single" w:sz="8" w:color="939598"/>
            </w:tcBorders>
          </w:tcPr>
          <w:p>
            <w:pPr>
              <w:jc w:val="right"/>
              <w:ind w:right="250"/>
              <w:spacing w:after="0" w:line="196" w:lineRule="exact"/>
              <w:rPr>
                <w:sz w:val="20"/>
                <w:szCs w:val="20"/>
                <w:color w:val="auto"/>
              </w:rPr>
            </w:pPr>
            <w:r>
              <w:rPr>
                <w:rFonts w:ascii="Arial" w:cs="Arial" w:eastAsia="Arial" w:hAnsi="Arial"/>
                <w:sz w:val="18"/>
                <w:szCs w:val="18"/>
                <w:color w:val="auto"/>
              </w:rPr>
              <w:t>$</w:t>
            </w:r>
          </w:p>
        </w:tc>
        <w:tc>
          <w:tcPr>
            <w:tcW w:w="800" w:type="dxa"/>
            <w:vAlign w:val="bottom"/>
            <w:tcBorders>
              <w:top w:val="single" w:sz="8" w:color="939598"/>
              <w:bottom w:val="single" w:sz="8" w:color="939598"/>
            </w:tcBorders>
          </w:tcPr>
          <w:p>
            <w:pPr>
              <w:jc w:val="right"/>
              <w:spacing w:after="0" w:line="196" w:lineRule="exact"/>
              <w:rPr>
                <w:sz w:val="20"/>
                <w:szCs w:val="20"/>
                <w:color w:val="auto"/>
              </w:rPr>
            </w:pPr>
            <w:r>
              <w:rPr>
                <w:rFonts w:ascii="Arial" w:cs="Arial" w:eastAsia="Arial" w:hAnsi="Arial"/>
                <w:sz w:val="18"/>
                <w:szCs w:val="18"/>
                <w:color w:val="auto"/>
              </w:rPr>
              <w:t>107.1</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7020" w:type="dxa"/>
            <w:vAlign w:val="bottom"/>
          </w:tcPr>
          <w:p>
            <w:pPr>
              <w:spacing w:after="0" w:line="201" w:lineRule="exact"/>
              <w:rPr>
                <w:sz w:val="20"/>
                <w:szCs w:val="20"/>
                <w:color w:val="auto"/>
              </w:rPr>
            </w:pPr>
            <w:r>
              <w:rPr>
                <w:rFonts w:ascii="Arial" w:cs="Arial" w:eastAsia="Arial" w:hAnsi="Arial"/>
                <w:sz w:val="18"/>
                <w:szCs w:val="18"/>
                <w:b w:val="1"/>
                <w:bCs w:val="1"/>
                <w:color w:val="939598"/>
              </w:rPr>
              <w:t>Earnings from Equity Investments</w:t>
            </w:r>
          </w:p>
        </w:tc>
        <w:tc>
          <w:tcPr>
            <w:tcW w:w="120" w:type="dxa"/>
            <w:vAlign w:val="bottom"/>
            <w:shd w:val="clear" w:color="auto" w:fill="E3F1DA"/>
          </w:tcPr>
          <w:p>
            <w:pPr>
              <w:spacing w:after="0"/>
              <w:rPr>
                <w:sz w:val="17"/>
                <w:szCs w:val="17"/>
                <w:color w:val="auto"/>
              </w:rPr>
            </w:pPr>
          </w:p>
        </w:tc>
        <w:tc>
          <w:tcPr>
            <w:tcW w:w="13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3"/>
        </w:trPr>
        <w:tc>
          <w:tcPr>
            <w:tcW w:w="7040" w:type="dxa"/>
            <w:vAlign w:val="bottom"/>
            <w:gridSpan w:val="2"/>
          </w:tcPr>
          <w:p>
            <w:pPr>
              <w:spacing w:after="0" w:line="202" w:lineRule="exact"/>
              <w:rPr>
                <w:sz w:val="20"/>
                <w:szCs w:val="20"/>
                <w:color w:val="auto"/>
              </w:rPr>
            </w:pPr>
            <w:r>
              <w:rPr>
                <w:rFonts w:ascii="Arial" w:cs="Arial" w:eastAsia="Arial" w:hAnsi="Arial"/>
                <w:sz w:val="18"/>
                <w:szCs w:val="18"/>
                <w:color w:val="auto"/>
              </w:rPr>
              <w:t>Americas:</w:t>
            </w:r>
          </w:p>
        </w:tc>
        <w:tc>
          <w:tcPr>
            <w:tcW w:w="120" w:type="dxa"/>
            <w:vAlign w:val="bottom"/>
            <w:shd w:val="clear" w:color="auto" w:fill="E3F1DA"/>
          </w:tcPr>
          <w:p>
            <w:pPr>
              <w:spacing w:after="0"/>
              <w:rPr>
                <w:sz w:val="17"/>
                <w:szCs w:val="17"/>
                <w:color w:val="auto"/>
              </w:rPr>
            </w:pPr>
          </w:p>
        </w:tc>
        <w:tc>
          <w:tcPr>
            <w:tcW w:w="13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020" w:type="dxa"/>
            <w:vAlign w:val="bottom"/>
          </w:tcPr>
          <w:p>
            <w:pPr>
              <w:ind w:left="260"/>
              <w:spacing w:after="0" w:line="202" w:lineRule="exact"/>
              <w:rPr>
                <w:sz w:val="20"/>
                <w:szCs w:val="20"/>
                <w:color w:val="auto"/>
              </w:rPr>
            </w:pPr>
            <w:r>
              <w:rPr>
                <w:rFonts w:ascii="Arial" w:cs="Arial" w:eastAsia="Arial" w:hAnsi="Arial"/>
                <w:sz w:val="18"/>
                <w:szCs w:val="18"/>
                <w:color w:val="auto"/>
              </w:rPr>
              <w:t>United States</w:t>
            </w:r>
          </w:p>
        </w:tc>
        <w:tc>
          <w:tcPr>
            <w:tcW w:w="120" w:type="dxa"/>
            <w:vAlign w:val="bottom"/>
            <w:shd w:val="clear" w:color="auto" w:fill="E3F1DA"/>
          </w:tcPr>
          <w:p>
            <w:pPr>
              <w:jc w:val="right"/>
              <w:spacing w:after="0" w:line="202" w:lineRule="exact"/>
              <w:rPr>
                <w:sz w:val="20"/>
                <w:szCs w:val="20"/>
                <w:color w:val="auto"/>
              </w:rPr>
            </w:pPr>
            <w:r>
              <w:rPr>
                <w:rFonts w:ascii="Arial" w:cs="Arial" w:eastAsia="Arial" w:hAnsi="Arial"/>
                <w:sz w:val="18"/>
                <w:szCs w:val="18"/>
                <w:color w:val="86B6A5"/>
                <w:w w:val="79"/>
              </w:rPr>
              <w:t>$</w:t>
            </w:r>
          </w:p>
        </w:tc>
        <w:tc>
          <w:tcPr>
            <w:tcW w:w="1340" w:type="dxa"/>
            <w:vAlign w:val="bottom"/>
          </w:tcPr>
          <w:p>
            <w:pPr>
              <w:jc w:val="right"/>
              <w:ind w:right="130"/>
              <w:spacing w:after="0" w:line="202" w:lineRule="exact"/>
              <w:rPr>
                <w:sz w:val="20"/>
                <w:szCs w:val="20"/>
                <w:color w:val="auto"/>
              </w:rPr>
            </w:pPr>
            <w:r>
              <w:rPr>
                <w:rFonts w:ascii="Arial" w:cs="Arial" w:eastAsia="Arial" w:hAnsi="Arial"/>
                <w:sz w:val="18"/>
                <w:szCs w:val="18"/>
                <w:color w:val="86B6A5"/>
              </w:rPr>
              <w:t>–</w:t>
            </w:r>
          </w:p>
        </w:tc>
        <w:tc>
          <w:tcPr>
            <w:tcW w:w="500" w:type="dxa"/>
            <w:vAlign w:val="bottom"/>
          </w:tcPr>
          <w:p>
            <w:pPr>
              <w:jc w:val="right"/>
              <w:ind w:right="310"/>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520" w:type="dxa"/>
            <w:vAlign w:val="bottom"/>
          </w:tcPr>
          <w:p>
            <w:pPr>
              <w:jc w:val="right"/>
              <w:ind w:right="250"/>
              <w:spacing w:after="0" w:line="202" w:lineRule="exact"/>
              <w:rPr>
                <w:sz w:val="20"/>
                <w:szCs w:val="20"/>
                <w:color w:val="auto"/>
              </w:rPr>
            </w:pPr>
            <w:r>
              <w:rPr>
                <w:rFonts w:ascii="Arial" w:cs="Arial" w:eastAsia="Arial" w:hAnsi="Arial"/>
                <w:sz w:val="18"/>
                <w:szCs w:val="18"/>
                <w:color w:val="auto"/>
              </w:rPr>
              <w:t>$</w:t>
            </w:r>
          </w:p>
        </w:tc>
        <w:tc>
          <w:tcPr>
            <w:tcW w:w="86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(1.6)</w:t>
            </w:r>
          </w:p>
        </w:tc>
      </w:tr>
      <w:tr>
        <w:trPr>
          <w:trHeight w:val="203"/>
        </w:trPr>
        <w:tc>
          <w:tcPr>
            <w:tcW w:w="20" w:type="dxa"/>
            <w:vAlign w:val="bottom"/>
          </w:tcPr>
          <w:p>
            <w:pPr>
              <w:spacing w:after="0"/>
              <w:rPr>
                <w:sz w:val="17"/>
                <w:szCs w:val="17"/>
                <w:color w:val="auto"/>
              </w:rPr>
            </w:pPr>
          </w:p>
        </w:tc>
        <w:tc>
          <w:tcPr>
            <w:tcW w:w="7020" w:type="dxa"/>
            <w:vAlign w:val="bottom"/>
          </w:tcPr>
          <w:p>
            <w:pPr>
              <w:ind w:left="260"/>
              <w:spacing w:after="0" w:line="202" w:lineRule="exact"/>
              <w:rPr>
                <w:sz w:val="20"/>
                <w:szCs w:val="20"/>
                <w:color w:val="auto"/>
              </w:rPr>
            </w:pPr>
            <w:r>
              <w:rPr>
                <w:rFonts w:ascii="Arial" w:cs="Arial" w:eastAsia="Arial" w:hAnsi="Arial"/>
                <w:sz w:val="18"/>
                <w:szCs w:val="18"/>
                <w:color w:val="auto"/>
              </w:rPr>
              <w:t>Other Americas</w:t>
            </w:r>
          </w:p>
        </w:tc>
        <w:tc>
          <w:tcPr>
            <w:tcW w:w="120" w:type="dxa"/>
            <w:vAlign w:val="bottom"/>
            <w:shd w:val="clear" w:color="auto" w:fill="E3F1DA"/>
          </w:tcPr>
          <w:p>
            <w:pPr>
              <w:spacing w:after="0"/>
              <w:rPr>
                <w:sz w:val="17"/>
                <w:szCs w:val="17"/>
                <w:color w:val="auto"/>
              </w:rPr>
            </w:pPr>
          </w:p>
        </w:tc>
        <w:tc>
          <w:tcPr>
            <w:tcW w:w="1340" w:type="dxa"/>
            <w:vAlign w:val="bottom"/>
          </w:tcPr>
          <w:p>
            <w:pPr>
              <w:jc w:val="right"/>
              <w:ind w:right="130"/>
              <w:spacing w:after="0" w:line="202" w:lineRule="exact"/>
              <w:rPr>
                <w:sz w:val="20"/>
                <w:szCs w:val="20"/>
                <w:color w:val="auto"/>
              </w:rPr>
            </w:pPr>
            <w:r>
              <w:rPr>
                <w:rFonts w:ascii="Arial" w:cs="Arial" w:eastAsia="Arial" w:hAnsi="Arial"/>
                <w:sz w:val="18"/>
                <w:szCs w:val="18"/>
                <w:color w:val="86B6A5"/>
              </w:rPr>
              <w:t>–</w:t>
            </w:r>
          </w:p>
        </w:tc>
        <w:tc>
          <w:tcPr>
            <w:tcW w:w="500" w:type="dxa"/>
            <w:vAlign w:val="bottom"/>
          </w:tcPr>
          <w:p>
            <w:pPr>
              <w:spacing w:after="0"/>
              <w:rPr>
                <w:sz w:val="17"/>
                <w:szCs w:val="17"/>
                <w:color w:val="auto"/>
              </w:rPr>
            </w:pPr>
          </w:p>
        </w:tc>
        <w:tc>
          <w:tcPr>
            <w:tcW w:w="880" w:type="dxa"/>
            <w:vAlign w:val="bottom"/>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520" w:type="dxa"/>
            <w:vAlign w:val="bottom"/>
          </w:tcPr>
          <w:p>
            <w:pPr>
              <w:spacing w:after="0"/>
              <w:rPr>
                <w:sz w:val="17"/>
                <w:szCs w:val="17"/>
                <w:color w:val="auto"/>
              </w:rPr>
            </w:pPr>
          </w:p>
        </w:tc>
        <w:tc>
          <w:tcPr>
            <w:tcW w:w="860" w:type="dxa"/>
            <w:vAlign w:val="bottom"/>
            <w:gridSpan w:val="3"/>
          </w:tcPr>
          <w:p>
            <w:pPr>
              <w:jc w:val="right"/>
              <w:ind w:right="20"/>
              <w:spacing w:after="0" w:line="202" w:lineRule="exact"/>
              <w:rPr>
                <w:sz w:val="20"/>
                <w:szCs w:val="20"/>
                <w:color w:val="auto"/>
              </w:rPr>
            </w:pPr>
            <w:r>
              <w:rPr>
                <w:rFonts w:ascii="Arial" w:cs="Arial" w:eastAsia="Arial" w:hAnsi="Arial"/>
                <w:sz w:val="18"/>
                <w:szCs w:val="18"/>
                <w:color w:val="auto"/>
              </w:rPr>
              <w:t>–</w:t>
            </w:r>
          </w:p>
        </w:tc>
      </w:tr>
      <w:tr>
        <w:trPr>
          <w:trHeight w:val="196"/>
        </w:trPr>
        <w:tc>
          <w:tcPr>
            <w:tcW w:w="20" w:type="dxa"/>
            <w:vAlign w:val="bottom"/>
          </w:tcPr>
          <w:p>
            <w:pPr>
              <w:spacing w:after="0"/>
              <w:rPr>
                <w:sz w:val="17"/>
                <w:szCs w:val="17"/>
                <w:color w:val="auto"/>
              </w:rPr>
            </w:pPr>
          </w:p>
        </w:tc>
        <w:tc>
          <w:tcPr>
            <w:tcW w:w="7020" w:type="dxa"/>
            <w:vAlign w:val="bottom"/>
            <w:tcBorders>
              <w:top w:val="single" w:sz="8" w:color="939598"/>
              <w:bottom w:val="single" w:sz="8" w:color="939598"/>
            </w:tcBorders>
          </w:tcPr>
          <w:p>
            <w:pPr>
              <w:spacing w:after="0"/>
              <w:rPr>
                <w:sz w:val="17"/>
                <w:szCs w:val="17"/>
                <w:color w:val="auto"/>
              </w:rPr>
            </w:pPr>
          </w:p>
        </w:tc>
        <w:tc>
          <w:tcPr>
            <w:tcW w:w="120" w:type="dxa"/>
            <w:vAlign w:val="bottom"/>
            <w:tcBorders>
              <w:top w:val="single" w:sz="8" w:color="939598"/>
              <w:bottom w:val="single" w:sz="8" w:color="939598"/>
            </w:tcBorders>
            <w:shd w:val="clear" w:color="auto" w:fill="E3F1DA"/>
          </w:tcPr>
          <w:p>
            <w:pPr>
              <w:spacing w:after="0"/>
              <w:rPr>
                <w:sz w:val="17"/>
                <w:szCs w:val="17"/>
                <w:color w:val="auto"/>
              </w:rPr>
            </w:pPr>
          </w:p>
        </w:tc>
        <w:tc>
          <w:tcPr>
            <w:tcW w:w="1340" w:type="dxa"/>
            <w:vAlign w:val="bottom"/>
            <w:tcBorders>
              <w:top w:val="single" w:sz="8" w:color="939598"/>
              <w:bottom w:val="single" w:sz="8" w:color="939598"/>
            </w:tcBorders>
          </w:tcPr>
          <w:p>
            <w:pPr>
              <w:jc w:val="right"/>
              <w:ind w:right="130"/>
              <w:spacing w:after="0" w:line="196" w:lineRule="exact"/>
              <w:rPr>
                <w:sz w:val="20"/>
                <w:szCs w:val="20"/>
                <w:color w:val="auto"/>
              </w:rPr>
            </w:pPr>
            <w:r>
              <w:rPr>
                <w:rFonts w:ascii="Arial" w:cs="Arial" w:eastAsia="Arial" w:hAnsi="Arial"/>
                <w:sz w:val="18"/>
                <w:szCs w:val="18"/>
                <w:color w:val="86B6A5"/>
              </w:rPr>
              <w:t>–</w:t>
            </w:r>
          </w:p>
        </w:tc>
        <w:tc>
          <w:tcPr>
            <w:tcW w:w="500" w:type="dxa"/>
            <w:vAlign w:val="bottom"/>
            <w:tcBorders>
              <w:top w:val="single" w:sz="8" w:color="939598"/>
              <w:bottom w:val="single" w:sz="8" w:color="939598"/>
            </w:tcBorders>
          </w:tcPr>
          <w:p>
            <w:pPr>
              <w:spacing w:after="0"/>
              <w:rPr>
                <w:sz w:val="17"/>
                <w:szCs w:val="17"/>
                <w:color w:val="auto"/>
              </w:rPr>
            </w:pPr>
          </w:p>
        </w:tc>
        <w:tc>
          <w:tcPr>
            <w:tcW w:w="880" w:type="dxa"/>
            <w:vAlign w:val="bottom"/>
            <w:tcBorders>
              <w:top w:val="single" w:sz="8" w:color="939598"/>
              <w:bottom w:val="single" w:sz="8" w:color="939598"/>
            </w:tcBorders>
          </w:tcPr>
          <w:p>
            <w:pPr>
              <w:jc w:val="right"/>
              <w:ind w:right="50"/>
              <w:spacing w:after="0" w:line="196" w:lineRule="exact"/>
              <w:rPr>
                <w:sz w:val="20"/>
                <w:szCs w:val="20"/>
                <w:color w:val="auto"/>
              </w:rPr>
            </w:pPr>
            <w:r>
              <w:rPr>
                <w:rFonts w:ascii="Arial" w:cs="Arial" w:eastAsia="Arial" w:hAnsi="Arial"/>
                <w:sz w:val="18"/>
                <w:szCs w:val="18"/>
                <w:color w:val="auto"/>
              </w:rPr>
              <w:t>–</w:t>
            </w:r>
          </w:p>
        </w:tc>
        <w:tc>
          <w:tcPr>
            <w:tcW w:w="520" w:type="dxa"/>
            <w:vAlign w:val="bottom"/>
            <w:tcBorders>
              <w:top w:val="single" w:sz="8" w:color="939598"/>
              <w:bottom w:val="single" w:sz="8" w:color="939598"/>
            </w:tcBorders>
          </w:tcPr>
          <w:p>
            <w:pPr>
              <w:spacing w:after="0"/>
              <w:rPr>
                <w:sz w:val="17"/>
                <w:szCs w:val="17"/>
                <w:color w:val="auto"/>
              </w:rPr>
            </w:pPr>
          </w:p>
        </w:tc>
        <w:tc>
          <w:tcPr>
            <w:tcW w:w="820" w:type="dxa"/>
            <w:vAlign w:val="bottom"/>
            <w:tcBorders>
              <w:top w:val="single" w:sz="8" w:color="939598"/>
              <w:bottom w:val="single" w:sz="8" w:color="939598"/>
            </w:tcBorders>
            <w:gridSpan w:val="2"/>
          </w:tcPr>
          <w:p>
            <w:pPr>
              <w:jc w:val="right"/>
              <w:ind w:right="20"/>
              <w:spacing w:after="0" w:line="196" w:lineRule="exact"/>
              <w:rPr>
                <w:sz w:val="20"/>
                <w:szCs w:val="20"/>
                <w:color w:val="auto"/>
              </w:rPr>
            </w:pPr>
            <w:r>
              <w:rPr>
                <w:rFonts w:ascii="Arial" w:cs="Arial" w:eastAsia="Arial" w:hAnsi="Arial"/>
                <w:sz w:val="18"/>
                <w:szCs w:val="18"/>
                <w:color w:val="auto"/>
              </w:rPr>
              <w:t>(1.6</w:t>
            </w:r>
          </w:p>
        </w:tc>
        <w:tc>
          <w:tcPr>
            <w:tcW w:w="40" w:type="dxa"/>
            <w:vAlign w:val="bottom"/>
          </w:tcPr>
          <w:p>
            <w:pPr>
              <w:jc w:val="right"/>
              <w:spacing w:after="0"/>
              <w:rPr>
                <w:sz w:val="20"/>
                <w:szCs w:val="20"/>
                <w:color w:val="auto"/>
              </w:rPr>
            </w:pPr>
            <w:r>
              <w:rPr>
                <w:rFonts w:ascii="Arial" w:cs="Arial" w:eastAsia="Arial" w:hAnsi="Arial"/>
                <w:sz w:val="8"/>
                <w:szCs w:val="8"/>
                <w:color w:val="auto"/>
                <w:w w:val="73"/>
              </w:rPr>
              <w:t>)</w:t>
            </w:r>
          </w:p>
        </w:tc>
      </w:tr>
      <w:tr>
        <w:trPr>
          <w:trHeight w:val="196"/>
        </w:trPr>
        <w:tc>
          <w:tcPr>
            <w:tcW w:w="20" w:type="dxa"/>
            <w:vAlign w:val="bottom"/>
          </w:tcPr>
          <w:p>
            <w:pPr>
              <w:spacing w:after="0"/>
              <w:rPr>
                <w:sz w:val="17"/>
                <w:szCs w:val="17"/>
                <w:color w:val="auto"/>
              </w:rPr>
            </w:pPr>
          </w:p>
        </w:tc>
        <w:tc>
          <w:tcPr>
            <w:tcW w:w="7020" w:type="dxa"/>
            <w:vAlign w:val="bottom"/>
          </w:tcPr>
          <w:p>
            <w:pPr>
              <w:spacing w:after="0" w:line="196" w:lineRule="exact"/>
              <w:rPr>
                <w:sz w:val="20"/>
                <w:szCs w:val="20"/>
                <w:color w:val="auto"/>
              </w:rPr>
            </w:pPr>
            <w:r>
              <w:rPr>
                <w:rFonts w:ascii="Arial" w:cs="Arial" w:eastAsia="Arial" w:hAnsi="Arial"/>
                <w:sz w:val="18"/>
                <w:szCs w:val="18"/>
                <w:color w:val="auto"/>
              </w:rPr>
              <w:t>France</w:t>
            </w:r>
          </w:p>
        </w:tc>
        <w:tc>
          <w:tcPr>
            <w:tcW w:w="120" w:type="dxa"/>
            <w:vAlign w:val="bottom"/>
            <w:shd w:val="clear" w:color="auto" w:fill="E3F1DA"/>
          </w:tcPr>
          <w:p>
            <w:pPr>
              <w:spacing w:after="0"/>
              <w:rPr>
                <w:sz w:val="17"/>
                <w:szCs w:val="17"/>
                <w:color w:val="auto"/>
              </w:rPr>
            </w:pPr>
          </w:p>
        </w:tc>
        <w:tc>
          <w:tcPr>
            <w:tcW w:w="1340" w:type="dxa"/>
            <w:vAlign w:val="bottom"/>
          </w:tcPr>
          <w:p>
            <w:pPr>
              <w:jc w:val="right"/>
              <w:ind w:right="70"/>
              <w:spacing w:after="0" w:line="196" w:lineRule="exact"/>
              <w:rPr>
                <w:sz w:val="20"/>
                <w:szCs w:val="20"/>
                <w:color w:val="auto"/>
              </w:rPr>
            </w:pPr>
            <w:r>
              <w:rPr>
                <w:rFonts w:ascii="Arial" w:cs="Arial" w:eastAsia="Arial" w:hAnsi="Arial"/>
                <w:sz w:val="18"/>
                <w:szCs w:val="18"/>
                <w:color w:val="86B6A5"/>
              </w:rPr>
              <w:t>(0.6)</w:t>
            </w:r>
          </w:p>
        </w:tc>
        <w:tc>
          <w:tcPr>
            <w:tcW w:w="500" w:type="dxa"/>
            <w:vAlign w:val="bottom"/>
          </w:tcPr>
          <w:p>
            <w:pPr>
              <w:spacing w:after="0"/>
              <w:rPr>
                <w:sz w:val="17"/>
                <w:szCs w:val="17"/>
                <w:color w:val="auto"/>
              </w:rPr>
            </w:pPr>
          </w:p>
        </w:tc>
        <w:tc>
          <w:tcPr>
            <w:tcW w:w="880" w:type="dxa"/>
            <w:vAlign w:val="bottom"/>
          </w:tcPr>
          <w:p>
            <w:pPr>
              <w:jc w:val="right"/>
              <w:spacing w:after="0" w:line="196" w:lineRule="exact"/>
              <w:rPr>
                <w:sz w:val="20"/>
                <w:szCs w:val="20"/>
                <w:color w:val="auto"/>
              </w:rPr>
            </w:pPr>
            <w:r>
              <w:rPr>
                <w:rFonts w:ascii="Arial" w:cs="Arial" w:eastAsia="Arial" w:hAnsi="Arial"/>
                <w:sz w:val="18"/>
                <w:szCs w:val="18"/>
                <w:color w:val="auto"/>
              </w:rPr>
              <w:t>(0.9)</w:t>
            </w:r>
          </w:p>
        </w:tc>
        <w:tc>
          <w:tcPr>
            <w:tcW w:w="520" w:type="dxa"/>
            <w:vAlign w:val="bottom"/>
          </w:tcPr>
          <w:p>
            <w:pPr>
              <w:spacing w:after="0"/>
              <w:rPr>
                <w:sz w:val="17"/>
                <w:szCs w:val="17"/>
                <w:color w:val="auto"/>
              </w:rPr>
            </w:pPr>
          </w:p>
        </w:tc>
        <w:tc>
          <w:tcPr>
            <w:tcW w:w="8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(0.9</w:t>
            </w:r>
          </w:p>
        </w:tc>
        <w:tc>
          <w:tcPr>
            <w:tcW w:w="40" w:type="dxa"/>
            <w:vAlign w:val="bottom"/>
          </w:tcPr>
          <w:p>
            <w:pPr>
              <w:jc w:val="right"/>
              <w:spacing w:after="0"/>
              <w:rPr>
                <w:sz w:val="20"/>
                <w:szCs w:val="20"/>
                <w:color w:val="auto"/>
              </w:rPr>
            </w:pPr>
            <w:r>
              <w:rPr>
                <w:rFonts w:ascii="Arial" w:cs="Arial" w:eastAsia="Arial" w:hAnsi="Arial"/>
                <w:sz w:val="8"/>
                <w:szCs w:val="8"/>
                <w:color w:val="auto"/>
                <w:w w:val="73"/>
              </w:rPr>
              <w:t>)</w:t>
            </w:r>
          </w:p>
        </w:tc>
      </w:tr>
      <w:tr>
        <w:trPr>
          <w:trHeight w:val="203"/>
        </w:trPr>
        <w:tc>
          <w:tcPr>
            <w:tcW w:w="7040" w:type="dxa"/>
            <w:vAlign w:val="bottom"/>
            <w:gridSpan w:val="2"/>
          </w:tcPr>
          <w:p>
            <w:pPr>
              <w:spacing w:after="0" w:line="202" w:lineRule="exact"/>
              <w:rPr>
                <w:sz w:val="20"/>
                <w:szCs w:val="20"/>
                <w:color w:val="auto"/>
              </w:rPr>
            </w:pPr>
            <w:r>
              <w:rPr>
                <w:rFonts w:ascii="Arial" w:cs="Arial" w:eastAsia="Arial" w:hAnsi="Arial"/>
                <w:sz w:val="18"/>
                <w:szCs w:val="18"/>
                <w:color w:val="auto"/>
              </w:rPr>
              <w:t>EMEA:</w:t>
            </w:r>
          </w:p>
        </w:tc>
        <w:tc>
          <w:tcPr>
            <w:tcW w:w="120" w:type="dxa"/>
            <w:vAlign w:val="bottom"/>
            <w:shd w:val="clear" w:color="auto" w:fill="E3F1DA"/>
          </w:tcPr>
          <w:p>
            <w:pPr>
              <w:spacing w:after="0"/>
              <w:rPr>
                <w:sz w:val="17"/>
                <w:szCs w:val="17"/>
                <w:color w:val="auto"/>
              </w:rPr>
            </w:pPr>
          </w:p>
        </w:tc>
        <w:tc>
          <w:tcPr>
            <w:tcW w:w="13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020" w:type="dxa"/>
            <w:vAlign w:val="bottom"/>
          </w:tcPr>
          <w:p>
            <w:pPr>
              <w:ind w:left="260"/>
              <w:spacing w:after="0" w:line="202" w:lineRule="exact"/>
              <w:rPr>
                <w:sz w:val="20"/>
                <w:szCs w:val="20"/>
                <w:color w:val="auto"/>
              </w:rPr>
            </w:pPr>
            <w:r>
              <w:rPr>
                <w:rFonts w:ascii="Arial" w:cs="Arial" w:eastAsia="Arial" w:hAnsi="Arial"/>
                <w:sz w:val="18"/>
                <w:szCs w:val="18"/>
                <w:color w:val="auto"/>
              </w:rPr>
              <w:t>Italy</w:t>
            </w:r>
          </w:p>
        </w:tc>
        <w:tc>
          <w:tcPr>
            <w:tcW w:w="120" w:type="dxa"/>
            <w:vAlign w:val="bottom"/>
            <w:shd w:val="clear" w:color="auto" w:fill="E3F1DA"/>
          </w:tcPr>
          <w:p>
            <w:pPr>
              <w:spacing w:after="0"/>
              <w:rPr>
                <w:sz w:val="17"/>
                <w:szCs w:val="17"/>
                <w:color w:val="auto"/>
              </w:rPr>
            </w:pPr>
          </w:p>
        </w:tc>
        <w:tc>
          <w:tcPr>
            <w:tcW w:w="1340" w:type="dxa"/>
            <w:vAlign w:val="bottom"/>
          </w:tcPr>
          <w:p>
            <w:pPr>
              <w:jc w:val="right"/>
              <w:ind w:right="130"/>
              <w:spacing w:after="0" w:line="202" w:lineRule="exact"/>
              <w:rPr>
                <w:sz w:val="20"/>
                <w:szCs w:val="20"/>
                <w:color w:val="auto"/>
              </w:rPr>
            </w:pPr>
            <w:r>
              <w:rPr>
                <w:rFonts w:ascii="Arial" w:cs="Arial" w:eastAsia="Arial" w:hAnsi="Arial"/>
                <w:sz w:val="18"/>
                <w:szCs w:val="18"/>
                <w:color w:val="86B6A5"/>
              </w:rPr>
              <w:t>–</w:t>
            </w:r>
          </w:p>
        </w:tc>
        <w:tc>
          <w:tcPr>
            <w:tcW w:w="500" w:type="dxa"/>
            <w:vAlign w:val="bottom"/>
          </w:tcPr>
          <w:p>
            <w:pPr>
              <w:spacing w:after="0"/>
              <w:rPr>
                <w:sz w:val="17"/>
                <w:szCs w:val="17"/>
                <w:color w:val="auto"/>
              </w:rPr>
            </w:pPr>
          </w:p>
        </w:tc>
        <w:tc>
          <w:tcPr>
            <w:tcW w:w="880" w:type="dxa"/>
            <w:vAlign w:val="bottom"/>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520" w:type="dxa"/>
            <w:vAlign w:val="bottom"/>
          </w:tcPr>
          <w:p>
            <w:pPr>
              <w:spacing w:after="0"/>
              <w:rPr>
                <w:sz w:val="17"/>
                <w:szCs w:val="17"/>
                <w:color w:val="auto"/>
              </w:rPr>
            </w:pPr>
          </w:p>
        </w:tc>
        <w:tc>
          <w:tcPr>
            <w:tcW w:w="860" w:type="dxa"/>
            <w:vAlign w:val="bottom"/>
            <w:gridSpan w:val="3"/>
          </w:tcPr>
          <w:p>
            <w:pPr>
              <w:jc w:val="right"/>
              <w:ind w:right="20"/>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7020" w:type="dxa"/>
            <w:vAlign w:val="bottom"/>
            <w:tcBorders>
              <w:bottom w:val="single" w:sz="8" w:color="939598"/>
            </w:tcBorders>
          </w:tcPr>
          <w:p>
            <w:pPr>
              <w:ind w:left="260"/>
              <w:spacing w:after="0" w:line="203" w:lineRule="exact"/>
              <w:rPr>
                <w:sz w:val="20"/>
                <w:szCs w:val="20"/>
                <w:color w:val="auto"/>
              </w:rPr>
            </w:pPr>
            <w:r>
              <w:rPr>
                <w:rFonts w:ascii="Arial" w:cs="Arial" w:eastAsia="Arial" w:hAnsi="Arial"/>
                <w:sz w:val="18"/>
                <w:szCs w:val="18"/>
                <w:color w:val="auto"/>
              </w:rPr>
              <w:t>Other EMEA</w:t>
            </w:r>
          </w:p>
        </w:tc>
        <w:tc>
          <w:tcPr>
            <w:tcW w:w="120" w:type="dxa"/>
            <w:vAlign w:val="bottom"/>
            <w:tcBorders>
              <w:bottom w:val="single" w:sz="8" w:color="939598"/>
            </w:tcBorders>
            <w:shd w:val="clear" w:color="auto" w:fill="E3F1DA"/>
          </w:tcPr>
          <w:p>
            <w:pPr>
              <w:spacing w:after="0"/>
              <w:rPr>
                <w:sz w:val="17"/>
                <w:szCs w:val="17"/>
                <w:color w:val="auto"/>
              </w:rPr>
            </w:pPr>
          </w:p>
        </w:tc>
        <w:tc>
          <w:tcPr>
            <w:tcW w:w="1340" w:type="dxa"/>
            <w:vAlign w:val="bottom"/>
            <w:tcBorders>
              <w:bottom w:val="single" w:sz="8" w:color="939598"/>
            </w:tcBorders>
          </w:tcPr>
          <w:p>
            <w:pPr>
              <w:jc w:val="right"/>
              <w:ind w:right="130"/>
              <w:spacing w:after="0" w:line="203" w:lineRule="exact"/>
              <w:rPr>
                <w:sz w:val="20"/>
                <w:szCs w:val="20"/>
                <w:color w:val="auto"/>
              </w:rPr>
            </w:pPr>
            <w:r>
              <w:rPr>
                <w:rFonts w:ascii="Arial" w:cs="Arial" w:eastAsia="Arial" w:hAnsi="Arial"/>
                <w:sz w:val="18"/>
                <w:szCs w:val="18"/>
                <w:color w:val="86B6A5"/>
              </w:rPr>
              <w:t>5.2</w:t>
            </w:r>
          </w:p>
        </w:tc>
        <w:tc>
          <w:tcPr>
            <w:tcW w:w="500" w:type="dxa"/>
            <w:vAlign w:val="bottom"/>
            <w:tcBorders>
              <w:bottom w:val="single" w:sz="8" w:color="939598"/>
            </w:tcBorders>
          </w:tcPr>
          <w:p>
            <w:pPr>
              <w:spacing w:after="0"/>
              <w:rPr>
                <w:sz w:val="17"/>
                <w:szCs w:val="17"/>
                <w:color w:val="auto"/>
              </w:rPr>
            </w:pPr>
          </w:p>
        </w:tc>
        <w:tc>
          <w:tcPr>
            <w:tcW w:w="880" w:type="dxa"/>
            <w:vAlign w:val="bottom"/>
            <w:tcBorders>
              <w:bottom w:val="single" w:sz="8" w:color="939598"/>
            </w:tcBorders>
          </w:tcPr>
          <w:p>
            <w:pPr>
              <w:jc w:val="right"/>
              <w:ind w:right="50"/>
              <w:spacing w:after="0" w:line="203" w:lineRule="exact"/>
              <w:rPr>
                <w:sz w:val="20"/>
                <w:szCs w:val="20"/>
                <w:color w:val="auto"/>
              </w:rPr>
            </w:pPr>
            <w:r>
              <w:rPr>
                <w:rFonts w:ascii="Arial" w:cs="Arial" w:eastAsia="Arial" w:hAnsi="Arial"/>
                <w:sz w:val="18"/>
                <w:szCs w:val="18"/>
                <w:color w:val="auto"/>
              </w:rPr>
              <w:t>3.3</w:t>
            </w:r>
          </w:p>
        </w:tc>
        <w:tc>
          <w:tcPr>
            <w:tcW w:w="520" w:type="dxa"/>
            <w:vAlign w:val="bottom"/>
            <w:tcBorders>
              <w:bottom w:val="single" w:sz="8" w:color="939598"/>
            </w:tcBorders>
          </w:tcPr>
          <w:p>
            <w:pPr>
              <w:spacing w:after="0"/>
              <w:rPr>
                <w:sz w:val="17"/>
                <w:szCs w:val="17"/>
                <w:color w:val="auto"/>
              </w:rPr>
            </w:pPr>
          </w:p>
        </w:tc>
        <w:tc>
          <w:tcPr>
            <w:tcW w:w="820" w:type="dxa"/>
            <w:vAlign w:val="bottom"/>
            <w:tcBorders>
              <w:bottom w:val="single" w:sz="8" w:color="939598"/>
            </w:tcBorders>
            <w:gridSpan w:val="2"/>
          </w:tcPr>
          <w:p>
            <w:pPr>
              <w:jc w:val="right"/>
              <w:ind w:right="20"/>
              <w:spacing w:after="0" w:line="203" w:lineRule="exact"/>
              <w:rPr>
                <w:sz w:val="20"/>
                <w:szCs w:val="20"/>
                <w:color w:val="auto"/>
              </w:rPr>
            </w:pPr>
            <w:r>
              <w:rPr>
                <w:rFonts w:ascii="Arial" w:cs="Arial" w:eastAsia="Arial" w:hAnsi="Arial"/>
                <w:sz w:val="18"/>
                <w:szCs w:val="18"/>
                <w:color w:val="auto"/>
              </w:rPr>
              <w:t>3.0</w:t>
            </w:r>
          </w:p>
        </w:tc>
        <w:tc>
          <w:tcPr>
            <w:tcW w:w="4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7020" w:type="dxa"/>
            <w:vAlign w:val="bottom"/>
            <w:tcBorders>
              <w:bottom w:val="single" w:sz="8" w:color="939598"/>
            </w:tcBorders>
          </w:tcPr>
          <w:p>
            <w:pPr>
              <w:spacing w:after="0"/>
              <w:rPr>
                <w:sz w:val="17"/>
                <w:szCs w:val="17"/>
                <w:color w:val="auto"/>
              </w:rPr>
            </w:pPr>
          </w:p>
        </w:tc>
        <w:tc>
          <w:tcPr>
            <w:tcW w:w="120" w:type="dxa"/>
            <w:vAlign w:val="bottom"/>
            <w:tcBorders>
              <w:bottom w:val="single" w:sz="8" w:color="939598"/>
            </w:tcBorders>
            <w:shd w:val="clear" w:color="auto" w:fill="E3F1DA"/>
          </w:tcPr>
          <w:p>
            <w:pPr>
              <w:spacing w:after="0"/>
              <w:rPr>
                <w:sz w:val="17"/>
                <w:szCs w:val="17"/>
                <w:color w:val="auto"/>
              </w:rPr>
            </w:pPr>
          </w:p>
        </w:tc>
        <w:tc>
          <w:tcPr>
            <w:tcW w:w="1340" w:type="dxa"/>
            <w:vAlign w:val="bottom"/>
            <w:tcBorders>
              <w:bottom w:val="single" w:sz="8" w:color="939598"/>
            </w:tcBorders>
          </w:tcPr>
          <w:p>
            <w:pPr>
              <w:jc w:val="right"/>
              <w:ind w:right="130"/>
              <w:spacing w:after="0" w:line="196" w:lineRule="exact"/>
              <w:rPr>
                <w:sz w:val="20"/>
                <w:szCs w:val="20"/>
                <w:color w:val="auto"/>
              </w:rPr>
            </w:pPr>
            <w:r>
              <w:rPr>
                <w:rFonts w:ascii="Arial" w:cs="Arial" w:eastAsia="Arial" w:hAnsi="Arial"/>
                <w:sz w:val="18"/>
                <w:szCs w:val="18"/>
                <w:color w:val="86B6A5"/>
              </w:rPr>
              <w:t>5.2</w:t>
            </w:r>
          </w:p>
        </w:tc>
        <w:tc>
          <w:tcPr>
            <w:tcW w:w="500" w:type="dxa"/>
            <w:vAlign w:val="bottom"/>
            <w:tcBorders>
              <w:bottom w:val="single" w:sz="8" w:color="939598"/>
            </w:tcBorders>
          </w:tcPr>
          <w:p>
            <w:pPr>
              <w:spacing w:after="0"/>
              <w:rPr>
                <w:sz w:val="17"/>
                <w:szCs w:val="17"/>
                <w:color w:val="auto"/>
              </w:rPr>
            </w:pPr>
          </w:p>
        </w:tc>
        <w:tc>
          <w:tcPr>
            <w:tcW w:w="880" w:type="dxa"/>
            <w:vAlign w:val="bottom"/>
            <w:tcBorders>
              <w:bottom w:val="single" w:sz="8" w:color="939598"/>
            </w:tcBorders>
          </w:tcPr>
          <w:p>
            <w:pPr>
              <w:jc w:val="right"/>
              <w:ind w:right="50"/>
              <w:spacing w:after="0" w:line="196" w:lineRule="exact"/>
              <w:rPr>
                <w:sz w:val="20"/>
                <w:szCs w:val="20"/>
                <w:color w:val="auto"/>
              </w:rPr>
            </w:pPr>
            <w:r>
              <w:rPr>
                <w:rFonts w:ascii="Arial" w:cs="Arial" w:eastAsia="Arial" w:hAnsi="Arial"/>
                <w:sz w:val="18"/>
                <w:szCs w:val="18"/>
                <w:color w:val="auto"/>
              </w:rPr>
              <w:t>3.3</w:t>
            </w:r>
          </w:p>
        </w:tc>
        <w:tc>
          <w:tcPr>
            <w:tcW w:w="520" w:type="dxa"/>
            <w:vAlign w:val="bottom"/>
            <w:tcBorders>
              <w:bottom w:val="single" w:sz="8" w:color="939598"/>
            </w:tcBorders>
          </w:tcPr>
          <w:p>
            <w:pPr>
              <w:spacing w:after="0"/>
              <w:rPr>
                <w:sz w:val="17"/>
                <w:szCs w:val="17"/>
                <w:color w:val="auto"/>
              </w:rPr>
            </w:pPr>
          </w:p>
        </w:tc>
        <w:tc>
          <w:tcPr>
            <w:tcW w:w="820" w:type="dxa"/>
            <w:vAlign w:val="bottom"/>
            <w:tcBorders>
              <w:bottom w:val="single" w:sz="8" w:color="939598"/>
            </w:tcBorders>
            <w:gridSpan w:val="2"/>
          </w:tcPr>
          <w:p>
            <w:pPr>
              <w:jc w:val="right"/>
              <w:ind w:right="20"/>
              <w:spacing w:after="0" w:line="196" w:lineRule="exact"/>
              <w:rPr>
                <w:sz w:val="20"/>
                <w:szCs w:val="20"/>
                <w:color w:val="auto"/>
              </w:rPr>
            </w:pPr>
            <w:r>
              <w:rPr>
                <w:rFonts w:ascii="Arial" w:cs="Arial" w:eastAsia="Arial" w:hAnsi="Arial"/>
                <w:sz w:val="18"/>
                <w:szCs w:val="18"/>
                <w:color w:val="auto"/>
              </w:rPr>
              <w:t>3.0</w:t>
            </w:r>
          </w:p>
        </w:tc>
        <w:tc>
          <w:tcPr>
            <w:tcW w:w="40" w:type="dxa"/>
            <w:vAlign w:val="bottom"/>
          </w:tcPr>
          <w:p>
            <w:pPr>
              <w:spacing w:after="0"/>
              <w:rPr>
                <w:sz w:val="17"/>
                <w:szCs w:val="17"/>
                <w:color w:val="auto"/>
              </w:rPr>
            </w:pPr>
          </w:p>
        </w:tc>
      </w:tr>
      <w:tr>
        <w:trPr>
          <w:trHeight w:val="195"/>
        </w:trPr>
        <w:tc>
          <w:tcPr>
            <w:tcW w:w="20" w:type="dxa"/>
            <w:vAlign w:val="bottom"/>
          </w:tcPr>
          <w:p>
            <w:pPr>
              <w:spacing w:after="0"/>
              <w:rPr>
                <w:sz w:val="16"/>
                <w:szCs w:val="16"/>
                <w:color w:val="auto"/>
              </w:rPr>
            </w:pPr>
          </w:p>
        </w:tc>
        <w:tc>
          <w:tcPr>
            <w:tcW w:w="7020" w:type="dxa"/>
            <w:vAlign w:val="bottom"/>
          </w:tcPr>
          <w:p>
            <w:pPr>
              <w:spacing w:after="0" w:line="195" w:lineRule="exact"/>
              <w:rPr>
                <w:sz w:val="20"/>
                <w:szCs w:val="20"/>
                <w:color w:val="auto"/>
              </w:rPr>
            </w:pPr>
            <w:r>
              <w:rPr>
                <w:rFonts w:ascii="Arial" w:cs="Arial" w:eastAsia="Arial" w:hAnsi="Arial"/>
                <w:sz w:val="18"/>
                <w:szCs w:val="18"/>
                <w:color w:val="auto"/>
              </w:rPr>
              <w:t>Asia Pacific</w:t>
            </w:r>
          </w:p>
        </w:tc>
        <w:tc>
          <w:tcPr>
            <w:tcW w:w="120" w:type="dxa"/>
            <w:vAlign w:val="bottom"/>
            <w:shd w:val="clear" w:color="auto" w:fill="E3F1DA"/>
          </w:tcPr>
          <w:p>
            <w:pPr>
              <w:spacing w:after="0"/>
              <w:rPr>
                <w:sz w:val="16"/>
                <w:szCs w:val="16"/>
                <w:color w:val="auto"/>
              </w:rPr>
            </w:pPr>
          </w:p>
        </w:tc>
        <w:tc>
          <w:tcPr>
            <w:tcW w:w="1340" w:type="dxa"/>
            <w:vAlign w:val="bottom"/>
          </w:tcPr>
          <w:p>
            <w:pPr>
              <w:jc w:val="right"/>
              <w:ind w:right="130"/>
              <w:spacing w:after="0" w:line="195" w:lineRule="exact"/>
              <w:rPr>
                <w:sz w:val="20"/>
                <w:szCs w:val="20"/>
                <w:color w:val="auto"/>
              </w:rPr>
            </w:pPr>
            <w:r>
              <w:rPr>
                <w:rFonts w:ascii="Arial" w:cs="Arial" w:eastAsia="Arial" w:hAnsi="Arial"/>
                <w:sz w:val="18"/>
                <w:szCs w:val="18"/>
                <w:color w:val="86B6A5"/>
              </w:rPr>
              <w:t>–</w:t>
            </w:r>
          </w:p>
        </w:tc>
        <w:tc>
          <w:tcPr>
            <w:tcW w:w="500" w:type="dxa"/>
            <w:vAlign w:val="bottom"/>
          </w:tcPr>
          <w:p>
            <w:pPr>
              <w:spacing w:after="0"/>
              <w:rPr>
                <w:sz w:val="16"/>
                <w:szCs w:val="16"/>
                <w:color w:val="auto"/>
              </w:rPr>
            </w:pPr>
          </w:p>
        </w:tc>
        <w:tc>
          <w:tcPr>
            <w:tcW w:w="880" w:type="dxa"/>
            <w:vAlign w:val="bottom"/>
          </w:tcPr>
          <w:p>
            <w:pPr>
              <w:jc w:val="right"/>
              <w:ind w:right="50"/>
              <w:spacing w:after="0" w:line="195" w:lineRule="exact"/>
              <w:rPr>
                <w:sz w:val="20"/>
                <w:szCs w:val="20"/>
                <w:color w:val="auto"/>
              </w:rPr>
            </w:pPr>
            <w:r>
              <w:rPr>
                <w:rFonts w:ascii="Arial" w:cs="Arial" w:eastAsia="Arial" w:hAnsi="Arial"/>
                <w:sz w:val="18"/>
                <w:szCs w:val="18"/>
                <w:color w:val="auto"/>
              </w:rPr>
              <w:t>0.6</w:t>
            </w:r>
          </w:p>
        </w:tc>
        <w:tc>
          <w:tcPr>
            <w:tcW w:w="520" w:type="dxa"/>
            <w:vAlign w:val="bottom"/>
          </w:tcPr>
          <w:p>
            <w:pPr>
              <w:spacing w:after="0"/>
              <w:rPr>
                <w:sz w:val="16"/>
                <w:szCs w:val="16"/>
                <w:color w:val="auto"/>
              </w:rPr>
            </w:pPr>
          </w:p>
        </w:tc>
        <w:tc>
          <w:tcPr>
            <w:tcW w:w="820" w:type="dxa"/>
            <w:vAlign w:val="bottom"/>
            <w:gridSpan w:val="2"/>
          </w:tcPr>
          <w:p>
            <w:pPr>
              <w:jc w:val="right"/>
              <w:ind w:right="20"/>
              <w:spacing w:after="0" w:line="195" w:lineRule="exact"/>
              <w:rPr>
                <w:sz w:val="20"/>
                <w:szCs w:val="20"/>
                <w:color w:val="auto"/>
              </w:rPr>
            </w:pPr>
            <w:r>
              <w:rPr>
                <w:rFonts w:ascii="Arial" w:cs="Arial" w:eastAsia="Arial" w:hAnsi="Arial"/>
                <w:sz w:val="18"/>
                <w:szCs w:val="18"/>
                <w:color w:val="auto"/>
              </w:rPr>
              <w:t>0.4</w:t>
            </w:r>
          </w:p>
        </w:tc>
        <w:tc>
          <w:tcPr>
            <w:tcW w:w="40" w:type="dxa"/>
            <w:vAlign w:val="bottom"/>
          </w:tcPr>
          <w:p>
            <w:pPr>
              <w:spacing w:after="0"/>
              <w:rPr>
                <w:sz w:val="16"/>
                <w:szCs w:val="16"/>
                <w:color w:val="auto"/>
              </w:rPr>
            </w:pPr>
          </w:p>
        </w:tc>
      </w:tr>
      <w:tr>
        <w:trPr>
          <w:trHeight w:val="203"/>
        </w:trPr>
        <w:tc>
          <w:tcPr>
            <w:tcW w:w="7040" w:type="dxa"/>
            <w:vAlign w:val="bottom"/>
            <w:gridSpan w:val="2"/>
          </w:tcPr>
          <w:p>
            <w:pPr>
              <w:spacing w:after="0" w:line="203" w:lineRule="exact"/>
              <w:rPr>
                <w:sz w:val="20"/>
                <w:szCs w:val="20"/>
                <w:color w:val="auto"/>
              </w:rPr>
            </w:pPr>
            <w:r>
              <w:rPr>
                <w:rFonts w:ascii="Arial" w:cs="Arial" w:eastAsia="Arial" w:hAnsi="Arial"/>
                <w:sz w:val="18"/>
                <w:szCs w:val="18"/>
                <w:color w:val="auto"/>
              </w:rPr>
              <w:t>Right Management</w:t>
            </w:r>
          </w:p>
        </w:tc>
        <w:tc>
          <w:tcPr>
            <w:tcW w:w="120" w:type="dxa"/>
            <w:vAlign w:val="bottom"/>
            <w:shd w:val="clear" w:color="auto" w:fill="E3F1DA"/>
          </w:tcPr>
          <w:p>
            <w:pPr>
              <w:spacing w:after="0"/>
              <w:rPr>
                <w:sz w:val="17"/>
                <w:szCs w:val="17"/>
                <w:color w:val="auto"/>
              </w:rPr>
            </w:pPr>
          </w:p>
        </w:tc>
        <w:tc>
          <w:tcPr>
            <w:tcW w:w="1340" w:type="dxa"/>
            <w:vAlign w:val="bottom"/>
          </w:tcPr>
          <w:p>
            <w:pPr>
              <w:jc w:val="right"/>
              <w:ind w:right="130"/>
              <w:spacing w:after="0" w:line="203" w:lineRule="exact"/>
              <w:rPr>
                <w:sz w:val="20"/>
                <w:szCs w:val="20"/>
                <w:color w:val="auto"/>
              </w:rPr>
            </w:pPr>
            <w:r>
              <w:rPr>
                <w:rFonts w:ascii="Arial" w:cs="Arial" w:eastAsia="Arial" w:hAnsi="Arial"/>
                <w:sz w:val="18"/>
                <w:szCs w:val="18"/>
                <w:color w:val="86B6A5"/>
              </w:rPr>
              <w:t>–</w:t>
            </w:r>
          </w:p>
        </w:tc>
        <w:tc>
          <w:tcPr>
            <w:tcW w:w="500" w:type="dxa"/>
            <w:vAlign w:val="bottom"/>
          </w:tcPr>
          <w:p>
            <w:pPr>
              <w:spacing w:after="0"/>
              <w:rPr>
                <w:sz w:val="17"/>
                <w:szCs w:val="17"/>
                <w:color w:val="auto"/>
              </w:rPr>
            </w:pPr>
          </w:p>
        </w:tc>
        <w:tc>
          <w:tcPr>
            <w:tcW w:w="880" w:type="dxa"/>
            <w:vAlign w:val="bottom"/>
          </w:tcPr>
          <w:p>
            <w:pPr>
              <w:jc w:val="right"/>
              <w:ind w:right="50"/>
              <w:spacing w:after="0" w:line="203" w:lineRule="exact"/>
              <w:rPr>
                <w:sz w:val="20"/>
                <w:szCs w:val="20"/>
                <w:color w:val="auto"/>
              </w:rPr>
            </w:pPr>
            <w:r>
              <w:rPr>
                <w:rFonts w:ascii="Arial" w:cs="Arial" w:eastAsia="Arial" w:hAnsi="Arial"/>
                <w:sz w:val="18"/>
                <w:szCs w:val="18"/>
                <w:color w:val="auto"/>
              </w:rPr>
              <w:t>–</w:t>
            </w:r>
          </w:p>
        </w:tc>
        <w:tc>
          <w:tcPr>
            <w:tcW w:w="520" w:type="dxa"/>
            <w:vAlign w:val="bottom"/>
          </w:tcPr>
          <w:p>
            <w:pPr>
              <w:spacing w:after="0"/>
              <w:rPr>
                <w:sz w:val="17"/>
                <w:szCs w:val="17"/>
                <w:color w:val="auto"/>
              </w:rPr>
            </w:pPr>
          </w:p>
        </w:tc>
        <w:tc>
          <w:tcPr>
            <w:tcW w:w="860" w:type="dxa"/>
            <w:vAlign w:val="bottom"/>
            <w:gridSpan w:val="3"/>
          </w:tcPr>
          <w:p>
            <w:pPr>
              <w:jc w:val="right"/>
              <w:ind w:right="20"/>
              <w:spacing w:after="0" w:line="203"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7020" w:type="dxa"/>
            <w:vAlign w:val="bottom"/>
            <w:tcBorders>
              <w:top w:val="single" w:sz="8" w:color="939598"/>
              <w:bottom w:val="single" w:sz="8" w:color="939598"/>
            </w:tcBorders>
          </w:tcPr>
          <w:p>
            <w:pPr>
              <w:spacing w:after="0"/>
              <w:rPr>
                <w:sz w:val="17"/>
                <w:szCs w:val="17"/>
                <w:color w:val="auto"/>
              </w:rPr>
            </w:pPr>
          </w:p>
        </w:tc>
        <w:tc>
          <w:tcPr>
            <w:tcW w:w="120" w:type="dxa"/>
            <w:vAlign w:val="bottom"/>
            <w:tcBorders>
              <w:top w:val="single" w:sz="8" w:color="939598"/>
              <w:bottom w:val="single" w:sz="8" w:color="939598"/>
            </w:tcBorders>
            <w:shd w:val="clear" w:color="auto" w:fill="E3F1DA"/>
          </w:tcPr>
          <w:p>
            <w:pPr>
              <w:jc w:val="right"/>
              <w:spacing w:after="0" w:line="196" w:lineRule="exact"/>
              <w:rPr>
                <w:sz w:val="20"/>
                <w:szCs w:val="20"/>
                <w:color w:val="auto"/>
              </w:rPr>
            </w:pPr>
            <w:r>
              <w:rPr>
                <w:rFonts w:ascii="Arial" w:cs="Arial" w:eastAsia="Arial" w:hAnsi="Arial"/>
                <w:sz w:val="18"/>
                <w:szCs w:val="18"/>
                <w:color w:val="86B6A5"/>
                <w:w w:val="79"/>
              </w:rPr>
              <w:t>$</w:t>
            </w:r>
          </w:p>
        </w:tc>
        <w:tc>
          <w:tcPr>
            <w:tcW w:w="1340" w:type="dxa"/>
            <w:vAlign w:val="bottom"/>
            <w:tcBorders>
              <w:top w:val="single" w:sz="8" w:color="939598"/>
              <w:bottom w:val="single" w:sz="8" w:color="939598"/>
            </w:tcBorders>
          </w:tcPr>
          <w:p>
            <w:pPr>
              <w:jc w:val="right"/>
              <w:ind w:right="130"/>
              <w:spacing w:after="0" w:line="196" w:lineRule="exact"/>
              <w:rPr>
                <w:sz w:val="20"/>
                <w:szCs w:val="20"/>
                <w:color w:val="auto"/>
              </w:rPr>
            </w:pPr>
            <w:r>
              <w:rPr>
                <w:rFonts w:ascii="Arial" w:cs="Arial" w:eastAsia="Arial" w:hAnsi="Arial"/>
                <w:sz w:val="18"/>
                <w:szCs w:val="18"/>
                <w:color w:val="86B6A5"/>
              </w:rPr>
              <w:t>4.6</w:t>
            </w:r>
          </w:p>
        </w:tc>
        <w:tc>
          <w:tcPr>
            <w:tcW w:w="500" w:type="dxa"/>
            <w:vAlign w:val="bottom"/>
            <w:tcBorders>
              <w:top w:val="single" w:sz="8" w:color="939598"/>
              <w:bottom w:val="single" w:sz="8" w:color="939598"/>
            </w:tcBorders>
          </w:tcPr>
          <w:p>
            <w:pPr>
              <w:jc w:val="right"/>
              <w:ind w:right="310"/>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939598"/>
              <w:bottom w:val="single" w:sz="8" w:color="939598"/>
            </w:tcBorders>
          </w:tcPr>
          <w:p>
            <w:pPr>
              <w:jc w:val="right"/>
              <w:ind w:right="50"/>
              <w:spacing w:after="0" w:line="196" w:lineRule="exact"/>
              <w:rPr>
                <w:sz w:val="20"/>
                <w:szCs w:val="20"/>
                <w:color w:val="auto"/>
              </w:rPr>
            </w:pPr>
            <w:r>
              <w:rPr>
                <w:rFonts w:ascii="Arial" w:cs="Arial" w:eastAsia="Arial" w:hAnsi="Arial"/>
                <w:sz w:val="18"/>
                <w:szCs w:val="18"/>
                <w:color w:val="auto"/>
              </w:rPr>
              <w:t>3.0</w:t>
            </w:r>
          </w:p>
        </w:tc>
        <w:tc>
          <w:tcPr>
            <w:tcW w:w="520" w:type="dxa"/>
            <w:vAlign w:val="bottom"/>
            <w:tcBorders>
              <w:top w:val="single" w:sz="8" w:color="939598"/>
              <w:bottom w:val="single" w:sz="8" w:color="939598"/>
            </w:tcBorders>
          </w:tcPr>
          <w:p>
            <w:pPr>
              <w:jc w:val="right"/>
              <w:ind w:right="250"/>
              <w:spacing w:after="0" w:line="196" w:lineRule="exact"/>
              <w:rPr>
                <w:sz w:val="20"/>
                <w:szCs w:val="20"/>
                <w:color w:val="auto"/>
              </w:rPr>
            </w:pPr>
            <w:r>
              <w:rPr>
                <w:rFonts w:ascii="Arial" w:cs="Arial" w:eastAsia="Arial" w:hAnsi="Arial"/>
                <w:sz w:val="18"/>
                <w:szCs w:val="18"/>
                <w:color w:val="auto"/>
              </w:rPr>
              <w:t>$</w:t>
            </w:r>
          </w:p>
        </w:tc>
        <w:tc>
          <w:tcPr>
            <w:tcW w:w="800" w:type="dxa"/>
            <w:vAlign w:val="bottom"/>
            <w:tcBorders>
              <w:top w:val="single" w:sz="8" w:color="939598"/>
              <w:bottom w:val="single" w:sz="8" w:color="939598"/>
            </w:tcBorders>
          </w:tcPr>
          <w:p>
            <w:pPr>
              <w:jc w:val="right"/>
              <w:spacing w:after="0" w:line="196" w:lineRule="exact"/>
              <w:rPr>
                <w:sz w:val="20"/>
                <w:szCs w:val="20"/>
                <w:color w:val="auto"/>
              </w:rPr>
            </w:pPr>
            <w:r>
              <w:rPr>
                <w:rFonts w:ascii="Arial" w:cs="Arial" w:eastAsia="Arial" w:hAnsi="Arial"/>
                <w:sz w:val="18"/>
                <w:szCs w:val="18"/>
                <w:color w:val="auto"/>
              </w:rPr>
              <w:t>0.9</w:t>
            </w:r>
          </w:p>
        </w:tc>
        <w:tc>
          <w:tcPr>
            <w:tcW w:w="20" w:type="dxa"/>
            <w:vAlign w:val="bottom"/>
            <w:tcBorders>
              <w:top w:val="single" w:sz="8" w:color="939598"/>
            </w:tcBorders>
          </w:tcPr>
          <w:p>
            <w:pPr>
              <w:spacing w:after="0"/>
              <w:rPr>
                <w:sz w:val="17"/>
                <w:szCs w:val="17"/>
                <w:color w:val="auto"/>
              </w:rPr>
            </w:pPr>
          </w:p>
        </w:tc>
        <w:tc>
          <w:tcPr>
            <w:tcW w:w="4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4541520</wp:posOffset>
            </wp:positionH>
            <wp:positionV relativeFrom="paragraph">
              <wp:posOffset>-3592830</wp:posOffset>
            </wp:positionV>
            <wp:extent cx="857885" cy="358457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857885" cy="3584575"/>
                    </a:xfrm>
                    <a:prstGeom prst="rect">
                      <a:avLst/>
                    </a:prstGeom>
                    <a:noFill/>
                  </pic:spPr>
                </pic:pic>
              </a:graphicData>
            </a:graphic>
          </wp:anchor>
        </w:drawing>
      </w:r>
    </w:p>
    <w:p>
      <w:pPr>
        <w:spacing w:after="0" w:line="184" w:lineRule="exact"/>
        <w:rPr>
          <w:sz w:val="20"/>
          <w:szCs w:val="20"/>
          <w:color w:val="auto"/>
        </w:rPr>
      </w:pPr>
    </w:p>
    <w:p>
      <w:pPr>
        <w:ind w:left="220" w:hanging="215"/>
        <w:spacing w:after="0" w:line="260" w:lineRule="auto"/>
        <w:rPr>
          <w:sz w:val="20"/>
          <w:szCs w:val="20"/>
          <w:color w:val="auto"/>
        </w:rPr>
      </w:pPr>
      <w:r>
        <w:rPr>
          <w:rFonts w:ascii="Arial" w:cs="Arial" w:eastAsia="Arial" w:hAnsi="Arial"/>
          <w:sz w:val="16"/>
          <w:szCs w:val="16"/>
          <w:color w:val="auto"/>
        </w:rPr>
        <w:t>(a)Intangible asset amortization related to acquisitions was excluded from operating costs within the reportable segments and corporate expenses, and shown seperately.</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color w:val="4D8ABE"/>
        </w:rPr>
        <w:t xml:space="preserve">74 </w:t>
      </w:r>
      <w:r>
        <w:rPr>
          <w:rFonts w:ascii="Arial" w:cs="Arial" w:eastAsia="Arial" w:hAnsi="Arial"/>
          <w:sz w:val="16"/>
          <w:szCs w:val="16"/>
          <w:color w:val="4D8ABE"/>
        </w:rPr>
        <w:t>Manpower 2010 Annual Report</w:t>
      </w:r>
      <w:r>
        <w:rPr>
          <w:rFonts w:ascii="Arial" w:cs="Arial" w:eastAsia="Arial" w:hAnsi="Arial"/>
          <w:sz w:val="16"/>
          <w:szCs w:val="16"/>
          <w:b w:val="1"/>
          <w:bCs w:val="1"/>
          <w:color w:val="4D8ABE"/>
        </w:rPr>
        <w:t xml:space="preserve"> </w:t>
      </w:r>
      <w:r>
        <w:rPr>
          <w:rFonts w:ascii="Arial" w:cs="Arial" w:eastAsia="Arial" w:hAnsi="Arial"/>
          <w:sz w:val="16"/>
          <w:szCs w:val="16"/>
          <w:b w:val="1"/>
          <w:bCs w:val="1"/>
          <w:color w:val="939598"/>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wp:posOffset>
            </wp:positionV>
            <wp:extent cx="7267575" cy="469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ectPr>
          <w:pgSz w:w="11900" w:h="16838" w:orient="portrait"/>
          <w:cols w:equalWidth="0" w:num="1">
            <w:col w:w="11340"/>
          </w:cols>
          <w:pgMar w:left="240" w:top="345" w:right="319" w:bottom="1440" w:gutter="0" w:footer="0" w:header="0"/>
        </w:sectPr>
      </w:pPr>
    </w:p>
    <w:bookmarkStart w:id="105" w:name="page106"/>
    <w:bookmarkEnd w:id="105"/>
    <w:tbl>
      <w:tblPr>
        <w:tblLayout w:type="fixed"/>
        <w:tblInd w:w="0" w:type="dxa"/>
        <w:tblCellMar>
          <w:top w:w="0" w:type="dxa"/>
          <w:left w:w="0" w:type="dxa"/>
          <w:bottom w:w="0" w:type="dxa"/>
          <w:right w:w="0" w:type="dxa"/>
        </w:tblCellMar>
      </w:tblPr>
      <w:tr>
        <w:trPr>
          <w:trHeight w:val="210"/>
        </w:trPr>
        <w:tc>
          <w:tcPr>
            <w:tcW w:w="7040" w:type="dxa"/>
            <w:vAlign w:val="bottom"/>
            <w:gridSpan w:val="2"/>
          </w:tcPr>
          <w:p>
            <w:pPr>
              <w:spacing w:after="0"/>
              <w:rPr>
                <w:sz w:val="20"/>
                <w:szCs w:val="20"/>
                <w:color w:val="auto"/>
              </w:rPr>
            </w:pPr>
            <w:r>
              <w:rPr>
                <w:rFonts w:ascii="Arial" w:cs="Arial" w:eastAsia="Arial" w:hAnsi="Arial"/>
                <w:sz w:val="16"/>
                <w:szCs w:val="16"/>
                <w:b w:val="1"/>
                <w:bCs w:val="1"/>
                <w:color w:val="86B6A5"/>
              </w:rPr>
              <w:t>Year Ended December 31</w:t>
            </w:r>
          </w:p>
        </w:tc>
        <w:tc>
          <w:tcPr>
            <w:tcW w:w="120" w:type="dxa"/>
            <w:vAlign w:val="bottom"/>
            <w:shd w:val="clear" w:color="auto" w:fill="86B6A5"/>
          </w:tcPr>
          <w:p>
            <w:pPr>
              <w:spacing w:after="0"/>
              <w:rPr>
                <w:sz w:val="18"/>
                <w:szCs w:val="18"/>
                <w:color w:val="auto"/>
              </w:rPr>
            </w:pPr>
          </w:p>
        </w:tc>
        <w:tc>
          <w:tcPr>
            <w:tcW w:w="1340" w:type="dxa"/>
            <w:vAlign w:val="bottom"/>
            <w:shd w:val="clear" w:color="auto" w:fill="86B6A5"/>
          </w:tcPr>
          <w:p>
            <w:pPr>
              <w:jc w:val="right"/>
              <w:ind w:right="130"/>
              <w:spacing w:after="0"/>
              <w:rPr>
                <w:sz w:val="20"/>
                <w:szCs w:val="20"/>
                <w:color w:val="auto"/>
              </w:rPr>
            </w:pPr>
            <w:r>
              <w:rPr>
                <w:rFonts w:ascii="Arial" w:cs="Arial" w:eastAsia="Arial" w:hAnsi="Arial"/>
                <w:sz w:val="16"/>
                <w:szCs w:val="16"/>
                <w:b w:val="1"/>
                <w:bCs w:val="1"/>
                <w:color w:val="FFFFFF"/>
              </w:rPr>
              <w:t>2010</w:t>
            </w:r>
          </w:p>
        </w:tc>
        <w:tc>
          <w:tcPr>
            <w:tcW w:w="38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Arial" w:cs="Arial" w:eastAsia="Arial" w:hAnsi="Arial"/>
                <w:sz w:val="16"/>
                <w:szCs w:val="16"/>
                <w:b w:val="1"/>
                <w:bCs w:val="1"/>
                <w:color w:val="86B6A5"/>
              </w:rPr>
              <w:t>2009</w:t>
            </w:r>
          </w:p>
        </w:tc>
        <w:tc>
          <w:tcPr>
            <w:tcW w:w="4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86B6A5"/>
              </w:rPr>
              <w:t>2008</w:t>
            </w:r>
          </w:p>
        </w:tc>
      </w:tr>
      <w:tr>
        <w:trPr>
          <w:trHeight w:val="202"/>
        </w:trPr>
        <w:tc>
          <w:tcPr>
            <w:tcW w:w="20" w:type="dxa"/>
            <w:vAlign w:val="bottom"/>
          </w:tcPr>
          <w:p>
            <w:pPr>
              <w:spacing w:after="0"/>
              <w:rPr>
                <w:sz w:val="17"/>
                <w:szCs w:val="17"/>
                <w:color w:val="auto"/>
              </w:rPr>
            </w:pPr>
          </w:p>
        </w:tc>
        <w:tc>
          <w:tcPr>
            <w:tcW w:w="7020" w:type="dxa"/>
            <w:vAlign w:val="bottom"/>
            <w:tcBorders>
              <w:top w:val="single" w:sz="8" w:color="86B6A5"/>
            </w:tcBorders>
          </w:tcPr>
          <w:p>
            <w:pPr>
              <w:spacing w:after="0" w:line="201" w:lineRule="exact"/>
              <w:rPr>
                <w:sz w:val="20"/>
                <w:szCs w:val="20"/>
                <w:color w:val="auto"/>
              </w:rPr>
            </w:pPr>
            <w:r>
              <w:rPr>
                <w:rFonts w:ascii="Arial" w:cs="Arial" w:eastAsia="Arial" w:hAnsi="Arial"/>
                <w:sz w:val="18"/>
                <w:szCs w:val="18"/>
                <w:b w:val="1"/>
                <w:bCs w:val="1"/>
                <w:color w:val="939598"/>
              </w:rPr>
              <w:t>Total Assets</w:t>
            </w:r>
          </w:p>
        </w:tc>
        <w:tc>
          <w:tcPr>
            <w:tcW w:w="120" w:type="dxa"/>
            <w:vAlign w:val="bottom"/>
            <w:tcBorders>
              <w:top w:val="single" w:sz="8" w:color="86B6A5"/>
            </w:tcBorders>
            <w:shd w:val="clear" w:color="auto" w:fill="E3F1DA"/>
          </w:tcPr>
          <w:p>
            <w:pPr>
              <w:spacing w:after="0"/>
              <w:rPr>
                <w:sz w:val="17"/>
                <w:szCs w:val="17"/>
                <w:color w:val="auto"/>
              </w:rPr>
            </w:pPr>
          </w:p>
        </w:tc>
        <w:tc>
          <w:tcPr>
            <w:tcW w:w="1340" w:type="dxa"/>
            <w:vAlign w:val="bottom"/>
            <w:tcBorders>
              <w:top w:val="single" w:sz="8" w:color="86B6A5"/>
            </w:tcBorders>
            <w:shd w:val="clear" w:color="auto" w:fill="E3F1DA"/>
          </w:tcPr>
          <w:p>
            <w:pPr>
              <w:spacing w:after="0"/>
              <w:rPr>
                <w:sz w:val="17"/>
                <w:szCs w:val="17"/>
                <w:color w:val="auto"/>
              </w:rPr>
            </w:pPr>
          </w:p>
        </w:tc>
        <w:tc>
          <w:tcPr>
            <w:tcW w:w="380" w:type="dxa"/>
            <w:vAlign w:val="bottom"/>
            <w:tcBorders>
              <w:top w:val="single" w:sz="8" w:color="86B6A5"/>
            </w:tcBorders>
          </w:tcPr>
          <w:p>
            <w:pPr>
              <w:spacing w:after="0"/>
              <w:rPr>
                <w:sz w:val="17"/>
                <w:szCs w:val="17"/>
                <w:color w:val="auto"/>
              </w:rPr>
            </w:pPr>
          </w:p>
        </w:tc>
        <w:tc>
          <w:tcPr>
            <w:tcW w:w="980" w:type="dxa"/>
            <w:vAlign w:val="bottom"/>
            <w:tcBorders>
              <w:top w:val="single" w:sz="8" w:color="86B6A5"/>
            </w:tcBorders>
          </w:tcPr>
          <w:p>
            <w:pPr>
              <w:spacing w:after="0"/>
              <w:rPr>
                <w:sz w:val="17"/>
                <w:szCs w:val="17"/>
                <w:color w:val="auto"/>
              </w:rPr>
            </w:pPr>
          </w:p>
        </w:tc>
        <w:tc>
          <w:tcPr>
            <w:tcW w:w="480" w:type="dxa"/>
            <w:vAlign w:val="bottom"/>
            <w:tcBorders>
              <w:top w:val="single" w:sz="8" w:color="86B6A5"/>
            </w:tcBorders>
          </w:tcPr>
          <w:p>
            <w:pPr>
              <w:spacing w:after="0"/>
              <w:rPr>
                <w:sz w:val="17"/>
                <w:szCs w:val="17"/>
                <w:color w:val="auto"/>
              </w:rPr>
            </w:pPr>
          </w:p>
        </w:tc>
        <w:tc>
          <w:tcPr>
            <w:tcW w:w="860" w:type="dxa"/>
            <w:vAlign w:val="bottom"/>
            <w:tcBorders>
              <w:top w:val="single" w:sz="8" w:color="86B6A5"/>
            </w:tcBorders>
          </w:tcPr>
          <w:p>
            <w:pPr>
              <w:spacing w:after="0"/>
              <w:rPr>
                <w:sz w:val="17"/>
                <w:szCs w:val="17"/>
                <w:color w:val="auto"/>
              </w:rPr>
            </w:pPr>
          </w:p>
        </w:tc>
      </w:tr>
      <w:tr>
        <w:trPr>
          <w:trHeight w:val="203"/>
        </w:trPr>
        <w:tc>
          <w:tcPr>
            <w:tcW w:w="7040" w:type="dxa"/>
            <w:vAlign w:val="bottom"/>
            <w:gridSpan w:val="2"/>
          </w:tcPr>
          <w:p>
            <w:pPr>
              <w:spacing w:after="0" w:line="202" w:lineRule="exact"/>
              <w:rPr>
                <w:sz w:val="20"/>
                <w:szCs w:val="20"/>
                <w:color w:val="auto"/>
              </w:rPr>
            </w:pPr>
            <w:r>
              <w:rPr>
                <w:rFonts w:ascii="Arial" w:cs="Arial" w:eastAsia="Arial" w:hAnsi="Arial"/>
                <w:sz w:val="18"/>
                <w:szCs w:val="18"/>
                <w:color w:val="auto"/>
              </w:rPr>
              <w:t>Americas:</w:t>
            </w:r>
          </w:p>
        </w:tc>
        <w:tc>
          <w:tcPr>
            <w:tcW w:w="120" w:type="dxa"/>
            <w:vAlign w:val="bottom"/>
            <w:shd w:val="clear" w:color="auto" w:fill="E3F1DA"/>
          </w:tcPr>
          <w:p>
            <w:pPr>
              <w:spacing w:after="0"/>
              <w:rPr>
                <w:sz w:val="17"/>
                <w:szCs w:val="17"/>
                <w:color w:val="auto"/>
              </w:rPr>
            </w:pPr>
          </w:p>
        </w:tc>
        <w:tc>
          <w:tcPr>
            <w:tcW w:w="1340" w:type="dxa"/>
            <w:vAlign w:val="bottom"/>
            <w:shd w:val="clear" w:color="auto" w:fill="E3F1DA"/>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020" w:type="dxa"/>
            <w:vAlign w:val="bottom"/>
          </w:tcPr>
          <w:p>
            <w:pPr>
              <w:ind w:left="260"/>
              <w:spacing w:after="0" w:line="202" w:lineRule="exact"/>
              <w:rPr>
                <w:sz w:val="20"/>
                <w:szCs w:val="20"/>
                <w:color w:val="auto"/>
              </w:rPr>
            </w:pPr>
            <w:r>
              <w:rPr>
                <w:rFonts w:ascii="Arial" w:cs="Arial" w:eastAsia="Arial" w:hAnsi="Arial"/>
                <w:sz w:val="18"/>
                <w:szCs w:val="18"/>
                <w:color w:val="auto"/>
              </w:rPr>
              <w:t>United States</w:t>
            </w:r>
          </w:p>
        </w:tc>
        <w:tc>
          <w:tcPr>
            <w:tcW w:w="120" w:type="dxa"/>
            <w:vAlign w:val="bottom"/>
            <w:shd w:val="clear" w:color="auto" w:fill="E3F1DA"/>
          </w:tcPr>
          <w:p>
            <w:pPr>
              <w:jc w:val="right"/>
              <w:spacing w:after="0" w:line="202" w:lineRule="exact"/>
              <w:rPr>
                <w:sz w:val="20"/>
                <w:szCs w:val="20"/>
                <w:color w:val="auto"/>
              </w:rPr>
            </w:pPr>
            <w:r>
              <w:rPr>
                <w:rFonts w:ascii="Arial" w:cs="Arial" w:eastAsia="Arial" w:hAnsi="Arial"/>
                <w:sz w:val="18"/>
                <w:szCs w:val="18"/>
                <w:color w:val="86B6A5"/>
                <w:w w:val="79"/>
              </w:rPr>
              <w:t>$</w:t>
            </w:r>
          </w:p>
        </w:tc>
        <w:tc>
          <w:tcPr>
            <w:tcW w:w="1340" w:type="dxa"/>
            <w:vAlign w:val="bottom"/>
            <w:shd w:val="clear" w:color="auto" w:fill="E3F1DA"/>
          </w:tcPr>
          <w:p>
            <w:pPr>
              <w:jc w:val="right"/>
              <w:ind w:right="130"/>
              <w:spacing w:after="0" w:line="202" w:lineRule="exact"/>
              <w:rPr>
                <w:sz w:val="20"/>
                <w:szCs w:val="20"/>
                <w:color w:val="auto"/>
              </w:rPr>
            </w:pPr>
            <w:r>
              <w:rPr>
                <w:rFonts w:ascii="Arial" w:cs="Arial" w:eastAsia="Arial" w:hAnsi="Arial"/>
                <w:sz w:val="18"/>
                <w:szCs w:val="18"/>
                <w:color w:val="86B6A5"/>
              </w:rPr>
              <w:t>1,361.4</w:t>
            </w:r>
          </w:p>
        </w:tc>
        <w:tc>
          <w:tcPr>
            <w:tcW w:w="380" w:type="dxa"/>
            <w:vAlign w:val="bottom"/>
          </w:tcPr>
          <w:p>
            <w:pPr>
              <w:jc w:val="right"/>
              <w:ind w:right="190"/>
              <w:spacing w:after="0" w:line="202" w:lineRule="exact"/>
              <w:rPr>
                <w:sz w:val="20"/>
                <w:szCs w:val="20"/>
                <w:color w:val="auto"/>
              </w:rPr>
            </w:pPr>
            <w:r>
              <w:rPr>
                <w:rFonts w:ascii="Arial" w:cs="Arial" w:eastAsia="Arial" w:hAnsi="Arial"/>
                <w:sz w:val="18"/>
                <w:szCs w:val="18"/>
                <w:color w:val="auto"/>
                <w:w w:val="79"/>
              </w:rPr>
              <w:t>$</w:t>
            </w:r>
          </w:p>
        </w:tc>
        <w:tc>
          <w:tcPr>
            <w:tcW w:w="9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630.7</w:t>
            </w:r>
          </w:p>
        </w:tc>
        <w:tc>
          <w:tcPr>
            <w:tcW w:w="48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664.9</w:t>
            </w:r>
          </w:p>
        </w:tc>
      </w:tr>
      <w:tr>
        <w:trPr>
          <w:trHeight w:val="203"/>
        </w:trPr>
        <w:tc>
          <w:tcPr>
            <w:tcW w:w="20" w:type="dxa"/>
            <w:vAlign w:val="bottom"/>
          </w:tcPr>
          <w:p>
            <w:pPr>
              <w:spacing w:after="0"/>
              <w:rPr>
                <w:sz w:val="17"/>
                <w:szCs w:val="17"/>
                <w:color w:val="auto"/>
              </w:rPr>
            </w:pPr>
          </w:p>
        </w:tc>
        <w:tc>
          <w:tcPr>
            <w:tcW w:w="7020" w:type="dxa"/>
            <w:vAlign w:val="bottom"/>
            <w:tcBorders>
              <w:bottom w:val="single" w:sz="8" w:color="939598"/>
            </w:tcBorders>
          </w:tcPr>
          <w:p>
            <w:pPr>
              <w:ind w:left="260"/>
              <w:spacing w:after="0" w:line="203" w:lineRule="exact"/>
              <w:rPr>
                <w:sz w:val="20"/>
                <w:szCs w:val="20"/>
                <w:color w:val="auto"/>
              </w:rPr>
            </w:pPr>
            <w:r>
              <w:rPr>
                <w:rFonts w:ascii="Arial" w:cs="Arial" w:eastAsia="Arial" w:hAnsi="Arial"/>
                <w:sz w:val="18"/>
                <w:szCs w:val="18"/>
                <w:color w:val="auto"/>
              </w:rPr>
              <w:t>Other Americas</w:t>
            </w:r>
          </w:p>
        </w:tc>
        <w:tc>
          <w:tcPr>
            <w:tcW w:w="120" w:type="dxa"/>
            <w:vAlign w:val="bottom"/>
            <w:tcBorders>
              <w:bottom w:val="single" w:sz="8" w:color="939598"/>
            </w:tcBorders>
            <w:shd w:val="clear" w:color="auto" w:fill="E3F1DA"/>
          </w:tcPr>
          <w:p>
            <w:pPr>
              <w:spacing w:after="0"/>
              <w:rPr>
                <w:sz w:val="17"/>
                <w:szCs w:val="17"/>
                <w:color w:val="auto"/>
              </w:rPr>
            </w:pPr>
          </w:p>
        </w:tc>
        <w:tc>
          <w:tcPr>
            <w:tcW w:w="1340" w:type="dxa"/>
            <w:vAlign w:val="bottom"/>
            <w:tcBorders>
              <w:bottom w:val="single" w:sz="8" w:color="939598"/>
            </w:tcBorders>
            <w:shd w:val="clear" w:color="auto" w:fill="E3F1DA"/>
          </w:tcPr>
          <w:p>
            <w:pPr>
              <w:jc w:val="right"/>
              <w:ind w:right="130"/>
              <w:spacing w:after="0" w:line="203" w:lineRule="exact"/>
              <w:rPr>
                <w:sz w:val="20"/>
                <w:szCs w:val="20"/>
                <w:color w:val="auto"/>
              </w:rPr>
            </w:pPr>
            <w:r>
              <w:rPr>
                <w:rFonts w:ascii="Arial" w:cs="Arial" w:eastAsia="Arial" w:hAnsi="Arial"/>
                <w:sz w:val="18"/>
                <w:szCs w:val="18"/>
                <w:color w:val="86B6A5"/>
              </w:rPr>
              <w:t>257.6</w:t>
            </w:r>
          </w:p>
        </w:tc>
        <w:tc>
          <w:tcPr>
            <w:tcW w:w="380" w:type="dxa"/>
            <w:vAlign w:val="bottom"/>
            <w:tcBorders>
              <w:bottom w:val="single" w:sz="8" w:color="939598"/>
            </w:tcBorders>
          </w:tcPr>
          <w:p>
            <w:pPr>
              <w:spacing w:after="0"/>
              <w:rPr>
                <w:sz w:val="17"/>
                <w:szCs w:val="17"/>
                <w:color w:val="auto"/>
              </w:rPr>
            </w:pPr>
          </w:p>
        </w:tc>
        <w:tc>
          <w:tcPr>
            <w:tcW w:w="980" w:type="dxa"/>
            <w:vAlign w:val="bottom"/>
            <w:tcBorders>
              <w:bottom w:val="single" w:sz="8" w:color="939598"/>
            </w:tcBorders>
          </w:tcPr>
          <w:p>
            <w:pPr>
              <w:jc w:val="right"/>
              <w:ind w:right="30"/>
              <w:spacing w:after="0" w:line="203" w:lineRule="exact"/>
              <w:rPr>
                <w:sz w:val="20"/>
                <w:szCs w:val="20"/>
                <w:color w:val="auto"/>
              </w:rPr>
            </w:pPr>
            <w:r>
              <w:rPr>
                <w:rFonts w:ascii="Arial" w:cs="Arial" w:eastAsia="Arial" w:hAnsi="Arial"/>
                <w:sz w:val="18"/>
                <w:szCs w:val="18"/>
                <w:color w:val="auto"/>
              </w:rPr>
              <w:t>218.9</w:t>
            </w:r>
          </w:p>
        </w:tc>
        <w:tc>
          <w:tcPr>
            <w:tcW w:w="480" w:type="dxa"/>
            <w:vAlign w:val="bottom"/>
            <w:tcBorders>
              <w:bottom w:val="single" w:sz="8" w:color="939598"/>
            </w:tcBorders>
          </w:tcPr>
          <w:p>
            <w:pPr>
              <w:spacing w:after="0"/>
              <w:rPr>
                <w:sz w:val="17"/>
                <w:szCs w:val="17"/>
                <w:color w:val="auto"/>
              </w:rPr>
            </w:pPr>
          </w:p>
        </w:tc>
        <w:tc>
          <w:tcPr>
            <w:tcW w:w="860" w:type="dxa"/>
            <w:vAlign w:val="bottom"/>
            <w:tcBorders>
              <w:bottom w:val="single" w:sz="8" w:color="939598"/>
            </w:tcBorders>
          </w:tcPr>
          <w:p>
            <w:pPr>
              <w:jc w:val="right"/>
              <w:spacing w:after="0" w:line="203" w:lineRule="exact"/>
              <w:rPr>
                <w:sz w:val="20"/>
                <w:szCs w:val="20"/>
                <w:color w:val="auto"/>
              </w:rPr>
            </w:pPr>
            <w:r>
              <w:rPr>
                <w:rFonts w:ascii="Arial" w:cs="Arial" w:eastAsia="Arial" w:hAnsi="Arial"/>
                <w:sz w:val="18"/>
                <w:szCs w:val="18"/>
                <w:color w:val="auto"/>
              </w:rPr>
              <w:t>218.9</w:t>
            </w:r>
          </w:p>
        </w:tc>
      </w:tr>
      <w:tr>
        <w:trPr>
          <w:trHeight w:val="196"/>
        </w:trPr>
        <w:tc>
          <w:tcPr>
            <w:tcW w:w="20" w:type="dxa"/>
            <w:vAlign w:val="bottom"/>
          </w:tcPr>
          <w:p>
            <w:pPr>
              <w:spacing w:after="0"/>
              <w:rPr>
                <w:sz w:val="17"/>
                <w:szCs w:val="17"/>
                <w:color w:val="auto"/>
              </w:rPr>
            </w:pPr>
          </w:p>
        </w:tc>
        <w:tc>
          <w:tcPr>
            <w:tcW w:w="7020" w:type="dxa"/>
            <w:vAlign w:val="bottom"/>
            <w:tcBorders>
              <w:bottom w:val="single" w:sz="8" w:color="939598"/>
            </w:tcBorders>
          </w:tcPr>
          <w:p>
            <w:pPr>
              <w:spacing w:after="0"/>
              <w:rPr>
                <w:sz w:val="17"/>
                <w:szCs w:val="17"/>
                <w:color w:val="auto"/>
              </w:rPr>
            </w:pPr>
          </w:p>
        </w:tc>
        <w:tc>
          <w:tcPr>
            <w:tcW w:w="120" w:type="dxa"/>
            <w:vAlign w:val="bottom"/>
            <w:tcBorders>
              <w:bottom w:val="single" w:sz="8" w:color="939598"/>
            </w:tcBorders>
            <w:shd w:val="clear" w:color="auto" w:fill="E3F1DA"/>
          </w:tcPr>
          <w:p>
            <w:pPr>
              <w:spacing w:after="0"/>
              <w:rPr>
                <w:sz w:val="17"/>
                <w:szCs w:val="17"/>
                <w:color w:val="auto"/>
              </w:rPr>
            </w:pPr>
          </w:p>
        </w:tc>
        <w:tc>
          <w:tcPr>
            <w:tcW w:w="1340" w:type="dxa"/>
            <w:vAlign w:val="bottom"/>
            <w:tcBorders>
              <w:bottom w:val="single" w:sz="8" w:color="939598"/>
            </w:tcBorders>
            <w:shd w:val="clear" w:color="auto" w:fill="E3F1DA"/>
          </w:tcPr>
          <w:p>
            <w:pPr>
              <w:jc w:val="right"/>
              <w:ind w:right="130"/>
              <w:spacing w:after="0" w:line="196" w:lineRule="exact"/>
              <w:rPr>
                <w:sz w:val="20"/>
                <w:szCs w:val="20"/>
                <w:color w:val="auto"/>
              </w:rPr>
            </w:pPr>
            <w:r>
              <w:rPr>
                <w:rFonts w:ascii="Arial" w:cs="Arial" w:eastAsia="Arial" w:hAnsi="Arial"/>
                <w:sz w:val="18"/>
                <w:szCs w:val="18"/>
                <w:color w:val="86B6A5"/>
              </w:rPr>
              <w:t>1,619.0</w:t>
            </w:r>
          </w:p>
        </w:tc>
        <w:tc>
          <w:tcPr>
            <w:tcW w:w="380" w:type="dxa"/>
            <w:vAlign w:val="bottom"/>
            <w:tcBorders>
              <w:bottom w:val="single" w:sz="8" w:color="939598"/>
            </w:tcBorders>
          </w:tcPr>
          <w:p>
            <w:pPr>
              <w:spacing w:after="0"/>
              <w:rPr>
                <w:sz w:val="17"/>
                <w:szCs w:val="17"/>
                <w:color w:val="auto"/>
              </w:rPr>
            </w:pPr>
          </w:p>
        </w:tc>
        <w:tc>
          <w:tcPr>
            <w:tcW w:w="980" w:type="dxa"/>
            <w:vAlign w:val="bottom"/>
            <w:tcBorders>
              <w:bottom w:val="single" w:sz="8" w:color="939598"/>
            </w:tcBorders>
          </w:tcPr>
          <w:p>
            <w:pPr>
              <w:jc w:val="right"/>
              <w:ind w:right="30"/>
              <w:spacing w:after="0" w:line="196" w:lineRule="exact"/>
              <w:rPr>
                <w:sz w:val="20"/>
                <w:szCs w:val="20"/>
                <w:color w:val="auto"/>
              </w:rPr>
            </w:pPr>
            <w:r>
              <w:rPr>
                <w:rFonts w:ascii="Arial" w:cs="Arial" w:eastAsia="Arial" w:hAnsi="Arial"/>
                <w:sz w:val="18"/>
                <w:szCs w:val="18"/>
                <w:color w:val="auto"/>
              </w:rPr>
              <w:t>849.6</w:t>
            </w:r>
          </w:p>
        </w:tc>
        <w:tc>
          <w:tcPr>
            <w:tcW w:w="480" w:type="dxa"/>
            <w:vAlign w:val="bottom"/>
            <w:tcBorders>
              <w:bottom w:val="single" w:sz="8" w:color="939598"/>
            </w:tcBorders>
          </w:tcPr>
          <w:p>
            <w:pPr>
              <w:spacing w:after="0"/>
              <w:rPr>
                <w:sz w:val="17"/>
                <w:szCs w:val="17"/>
                <w:color w:val="auto"/>
              </w:rPr>
            </w:pPr>
          </w:p>
        </w:tc>
        <w:tc>
          <w:tcPr>
            <w:tcW w:w="860" w:type="dxa"/>
            <w:vAlign w:val="bottom"/>
            <w:tcBorders>
              <w:bottom w:val="single" w:sz="8" w:color="939598"/>
            </w:tcBorders>
          </w:tcPr>
          <w:p>
            <w:pPr>
              <w:jc w:val="right"/>
              <w:spacing w:after="0" w:line="196" w:lineRule="exact"/>
              <w:rPr>
                <w:sz w:val="20"/>
                <w:szCs w:val="20"/>
                <w:color w:val="auto"/>
              </w:rPr>
            </w:pPr>
            <w:r>
              <w:rPr>
                <w:rFonts w:ascii="Arial" w:cs="Arial" w:eastAsia="Arial" w:hAnsi="Arial"/>
                <w:sz w:val="18"/>
                <w:szCs w:val="18"/>
                <w:color w:val="auto"/>
              </w:rPr>
              <w:t>883.8</w:t>
            </w:r>
          </w:p>
        </w:tc>
      </w:tr>
      <w:tr>
        <w:trPr>
          <w:trHeight w:val="195"/>
        </w:trPr>
        <w:tc>
          <w:tcPr>
            <w:tcW w:w="20" w:type="dxa"/>
            <w:vAlign w:val="bottom"/>
          </w:tcPr>
          <w:p>
            <w:pPr>
              <w:spacing w:after="0"/>
              <w:rPr>
                <w:sz w:val="16"/>
                <w:szCs w:val="16"/>
                <w:color w:val="auto"/>
              </w:rPr>
            </w:pPr>
          </w:p>
        </w:tc>
        <w:tc>
          <w:tcPr>
            <w:tcW w:w="7020" w:type="dxa"/>
            <w:vAlign w:val="bottom"/>
          </w:tcPr>
          <w:p>
            <w:pPr>
              <w:spacing w:after="0" w:line="195" w:lineRule="exact"/>
              <w:rPr>
                <w:sz w:val="20"/>
                <w:szCs w:val="20"/>
                <w:color w:val="auto"/>
              </w:rPr>
            </w:pPr>
            <w:r>
              <w:rPr>
                <w:rFonts w:ascii="Arial" w:cs="Arial" w:eastAsia="Arial" w:hAnsi="Arial"/>
                <w:sz w:val="18"/>
                <w:szCs w:val="18"/>
                <w:color w:val="auto"/>
              </w:rPr>
              <w:t>France</w:t>
            </w:r>
          </w:p>
        </w:tc>
        <w:tc>
          <w:tcPr>
            <w:tcW w:w="120" w:type="dxa"/>
            <w:vAlign w:val="bottom"/>
            <w:shd w:val="clear" w:color="auto" w:fill="E3F1DA"/>
          </w:tcPr>
          <w:p>
            <w:pPr>
              <w:spacing w:after="0"/>
              <w:rPr>
                <w:sz w:val="16"/>
                <w:szCs w:val="16"/>
                <w:color w:val="auto"/>
              </w:rPr>
            </w:pPr>
          </w:p>
        </w:tc>
        <w:tc>
          <w:tcPr>
            <w:tcW w:w="1340" w:type="dxa"/>
            <w:vAlign w:val="bottom"/>
            <w:shd w:val="clear" w:color="auto" w:fill="E3F1DA"/>
          </w:tcPr>
          <w:p>
            <w:pPr>
              <w:jc w:val="right"/>
              <w:ind w:right="130"/>
              <w:spacing w:after="0" w:line="195" w:lineRule="exact"/>
              <w:rPr>
                <w:sz w:val="20"/>
                <w:szCs w:val="20"/>
                <w:color w:val="auto"/>
              </w:rPr>
            </w:pPr>
            <w:r>
              <w:rPr>
                <w:rFonts w:ascii="Arial" w:cs="Arial" w:eastAsia="Arial" w:hAnsi="Arial"/>
                <w:sz w:val="18"/>
                <w:szCs w:val="18"/>
                <w:color w:val="86B6A5"/>
              </w:rPr>
              <w:t>1,826.0</w:t>
            </w:r>
          </w:p>
        </w:tc>
        <w:tc>
          <w:tcPr>
            <w:tcW w:w="380" w:type="dxa"/>
            <w:vAlign w:val="bottom"/>
          </w:tcPr>
          <w:p>
            <w:pPr>
              <w:spacing w:after="0"/>
              <w:rPr>
                <w:sz w:val="16"/>
                <w:szCs w:val="16"/>
                <w:color w:val="auto"/>
              </w:rPr>
            </w:pPr>
          </w:p>
        </w:tc>
        <w:tc>
          <w:tcPr>
            <w:tcW w:w="980" w:type="dxa"/>
            <w:vAlign w:val="bottom"/>
          </w:tcPr>
          <w:p>
            <w:pPr>
              <w:jc w:val="right"/>
              <w:ind w:right="30"/>
              <w:spacing w:after="0" w:line="195" w:lineRule="exact"/>
              <w:rPr>
                <w:sz w:val="20"/>
                <w:szCs w:val="20"/>
                <w:color w:val="auto"/>
              </w:rPr>
            </w:pPr>
            <w:r>
              <w:rPr>
                <w:rFonts w:ascii="Arial" w:cs="Arial" w:eastAsia="Arial" w:hAnsi="Arial"/>
                <w:sz w:val="18"/>
                <w:szCs w:val="18"/>
                <w:color w:val="auto"/>
              </w:rPr>
              <w:t>2,220.1</w:t>
            </w:r>
          </w:p>
        </w:tc>
        <w:tc>
          <w:tcPr>
            <w:tcW w:w="480" w:type="dxa"/>
            <w:vAlign w:val="bottom"/>
          </w:tcPr>
          <w:p>
            <w:pPr>
              <w:spacing w:after="0"/>
              <w:rPr>
                <w:sz w:val="16"/>
                <w:szCs w:val="16"/>
                <w:color w:val="auto"/>
              </w:rPr>
            </w:pPr>
          </w:p>
        </w:tc>
        <w:tc>
          <w:tcPr>
            <w:tcW w:w="860" w:type="dxa"/>
            <w:vAlign w:val="bottom"/>
          </w:tcPr>
          <w:p>
            <w:pPr>
              <w:jc w:val="right"/>
              <w:spacing w:after="0" w:line="195" w:lineRule="exact"/>
              <w:rPr>
                <w:sz w:val="20"/>
                <w:szCs w:val="20"/>
                <w:color w:val="auto"/>
              </w:rPr>
            </w:pPr>
            <w:r>
              <w:rPr>
                <w:rFonts w:ascii="Arial" w:cs="Arial" w:eastAsia="Arial" w:hAnsi="Arial"/>
                <w:sz w:val="18"/>
                <w:szCs w:val="18"/>
                <w:color w:val="auto"/>
              </w:rPr>
              <w:t>2,314.7</w:t>
            </w:r>
          </w:p>
        </w:tc>
      </w:tr>
      <w:tr>
        <w:trPr>
          <w:trHeight w:val="203"/>
        </w:trPr>
        <w:tc>
          <w:tcPr>
            <w:tcW w:w="7040" w:type="dxa"/>
            <w:vAlign w:val="bottom"/>
            <w:gridSpan w:val="2"/>
          </w:tcPr>
          <w:p>
            <w:pPr>
              <w:spacing w:after="0" w:line="202" w:lineRule="exact"/>
              <w:rPr>
                <w:sz w:val="20"/>
                <w:szCs w:val="20"/>
                <w:color w:val="auto"/>
              </w:rPr>
            </w:pPr>
            <w:r>
              <w:rPr>
                <w:rFonts w:ascii="Arial" w:cs="Arial" w:eastAsia="Arial" w:hAnsi="Arial"/>
                <w:sz w:val="18"/>
                <w:szCs w:val="18"/>
                <w:color w:val="auto"/>
              </w:rPr>
              <w:t>EMEA:</w:t>
            </w:r>
          </w:p>
        </w:tc>
        <w:tc>
          <w:tcPr>
            <w:tcW w:w="120" w:type="dxa"/>
            <w:vAlign w:val="bottom"/>
            <w:shd w:val="clear" w:color="auto" w:fill="E3F1DA"/>
          </w:tcPr>
          <w:p>
            <w:pPr>
              <w:spacing w:after="0"/>
              <w:rPr>
                <w:sz w:val="17"/>
                <w:szCs w:val="17"/>
                <w:color w:val="auto"/>
              </w:rPr>
            </w:pPr>
          </w:p>
        </w:tc>
        <w:tc>
          <w:tcPr>
            <w:tcW w:w="1340" w:type="dxa"/>
            <w:vAlign w:val="bottom"/>
            <w:shd w:val="clear" w:color="auto" w:fill="E3F1DA"/>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020" w:type="dxa"/>
            <w:vAlign w:val="bottom"/>
          </w:tcPr>
          <w:p>
            <w:pPr>
              <w:ind w:left="260"/>
              <w:spacing w:after="0" w:line="202" w:lineRule="exact"/>
              <w:rPr>
                <w:sz w:val="20"/>
                <w:szCs w:val="20"/>
                <w:color w:val="auto"/>
              </w:rPr>
            </w:pPr>
            <w:r>
              <w:rPr>
                <w:rFonts w:ascii="Arial" w:cs="Arial" w:eastAsia="Arial" w:hAnsi="Arial"/>
                <w:sz w:val="18"/>
                <w:szCs w:val="18"/>
                <w:color w:val="auto"/>
              </w:rPr>
              <w:t>Italy</w:t>
            </w:r>
          </w:p>
        </w:tc>
        <w:tc>
          <w:tcPr>
            <w:tcW w:w="120" w:type="dxa"/>
            <w:vAlign w:val="bottom"/>
            <w:shd w:val="clear" w:color="auto" w:fill="E3F1DA"/>
          </w:tcPr>
          <w:p>
            <w:pPr>
              <w:spacing w:after="0"/>
              <w:rPr>
                <w:sz w:val="17"/>
                <w:szCs w:val="17"/>
                <w:color w:val="auto"/>
              </w:rPr>
            </w:pPr>
          </w:p>
        </w:tc>
        <w:tc>
          <w:tcPr>
            <w:tcW w:w="1340" w:type="dxa"/>
            <w:vAlign w:val="bottom"/>
            <w:shd w:val="clear" w:color="auto" w:fill="E3F1DA"/>
          </w:tcPr>
          <w:p>
            <w:pPr>
              <w:jc w:val="right"/>
              <w:ind w:right="130"/>
              <w:spacing w:after="0" w:line="202" w:lineRule="exact"/>
              <w:rPr>
                <w:sz w:val="20"/>
                <w:szCs w:val="20"/>
                <w:color w:val="auto"/>
              </w:rPr>
            </w:pPr>
            <w:r>
              <w:rPr>
                <w:rFonts w:ascii="Arial" w:cs="Arial" w:eastAsia="Arial" w:hAnsi="Arial"/>
                <w:sz w:val="18"/>
                <w:szCs w:val="18"/>
                <w:color w:val="86B6A5"/>
              </w:rPr>
              <w:t>271.3</w:t>
            </w:r>
          </w:p>
        </w:tc>
        <w:tc>
          <w:tcPr>
            <w:tcW w:w="380" w:type="dxa"/>
            <w:vAlign w:val="bottom"/>
          </w:tcPr>
          <w:p>
            <w:pPr>
              <w:spacing w:after="0"/>
              <w:rPr>
                <w:sz w:val="17"/>
                <w:szCs w:val="17"/>
                <w:color w:val="auto"/>
              </w:rPr>
            </w:pPr>
          </w:p>
        </w:tc>
        <w:tc>
          <w:tcPr>
            <w:tcW w:w="9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239.7</w:t>
            </w:r>
          </w:p>
        </w:tc>
        <w:tc>
          <w:tcPr>
            <w:tcW w:w="48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291.2</w:t>
            </w:r>
          </w:p>
        </w:tc>
      </w:tr>
      <w:tr>
        <w:trPr>
          <w:trHeight w:val="203"/>
        </w:trPr>
        <w:tc>
          <w:tcPr>
            <w:tcW w:w="20" w:type="dxa"/>
            <w:vAlign w:val="bottom"/>
          </w:tcPr>
          <w:p>
            <w:pPr>
              <w:spacing w:after="0"/>
              <w:rPr>
                <w:sz w:val="17"/>
                <w:szCs w:val="17"/>
                <w:color w:val="auto"/>
              </w:rPr>
            </w:pPr>
          </w:p>
        </w:tc>
        <w:tc>
          <w:tcPr>
            <w:tcW w:w="7020" w:type="dxa"/>
            <w:vAlign w:val="bottom"/>
            <w:tcBorders>
              <w:bottom w:val="single" w:sz="8" w:color="939598"/>
            </w:tcBorders>
          </w:tcPr>
          <w:p>
            <w:pPr>
              <w:ind w:left="260"/>
              <w:spacing w:after="0" w:line="203" w:lineRule="exact"/>
              <w:rPr>
                <w:sz w:val="20"/>
                <w:szCs w:val="20"/>
                <w:color w:val="auto"/>
              </w:rPr>
            </w:pPr>
            <w:r>
              <w:rPr>
                <w:rFonts w:ascii="Arial" w:cs="Arial" w:eastAsia="Arial" w:hAnsi="Arial"/>
                <w:sz w:val="18"/>
                <w:szCs w:val="18"/>
                <w:color w:val="auto"/>
              </w:rPr>
              <w:t>Other EMEA</w:t>
            </w:r>
          </w:p>
        </w:tc>
        <w:tc>
          <w:tcPr>
            <w:tcW w:w="120" w:type="dxa"/>
            <w:vAlign w:val="bottom"/>
            <w:tcBorders>
              <w:bottom w:val="single" w:sz="8" w:color="939598"/>
            </w:tcBorders>
            <w:shd w:val="clear" w:color="auto" w:fill="E3F1DA"/>
          </w:tcPr>
          <w:p>
            <w:pPr>
              <w:spacing w:after="0"/>
              <w:rPr>
                <w:sz w:val="17"/>
                <w:szCs w:val="17"/>
                <w:color w:val="auto"/>
              </w:rPr>
            </w:pPr>
          </w:p>
        </w:tc>
        <w:tc>
          <w:tcPr>
            <w:tcW w:w="1340" w:type="dxa"/>
            <w:vAlign w:val="bottom"/>
            <w:tcBorders>
              <w:bottom w:val="single" w:sz="8" w:color="939598"/>
            </w:tcBorders>
            <w:shd w:val="clear" w:color="auto" w:fill="E3F1DA"/>
          </w:tcPr>
          <w:p>
            <w:pPr>
              <w:jc w:val="right"/>
              <w:ind w:right="130"/>
              <w:spacing w:after="0" w:line="203" w:lineRule="exact"/>
              <w:rPr>
                <w:sz w:val="20"/>
                <w:szCs w:val="20"/>
                <w:color w:val="auto"/>
              </w:rPr>
            </w:pPr>
            <w:r>
              <w:rPr>
                <w:rFonts w:ascii="Arial" w:cs="Arial" w:eastAsia="Arial" w:hAnsi="Arial"/>
                <w:sz w:val="18"/>
                <w:szCs w:val="18"/>
                <w:color w:val="86B6A5"/>
              </w:rPr>
              <w:t>1,852.8</w:t>
            </w:r>
          </w:p>
        </w:tc>
        <w:tc>
          <w:tcPr>
            <w:tcW w:w="380" w:type="dxa"/>
            <w:vAlign w:val="bottom"/>
            <w:tcBorders>
              <w:bottom w:val="single" w:sz="8" w:color="939598"/>
            </w:tcBorders>
          </w:tcPr>
          <w:p>
            <w:pPr>
              <w:spacing w:after="0"/>
              <w:rPr>
                <w:sz w:val="17"/>
                <w:szCs w:val="17"/>
                <w:color w:val="auto"/>
              </w:rPr>
            </w:pPr>
          </w:p>
        </w:tc>
        <w:tc>
          <w:tcPr>
            <w:tcW w:w="980" w:type="dxa"/>
            <w:vAlign w:val="bottom"/>
            <w:tcBorders>
              <w:bottom w:val="single" w:sz="8" w:color="939598"/>
            </w:tcBorders>
          </w:tcPr>
          <w:p>
            <w:pPr>
              <w:jc w:val="right"/>
              <w:ind w:right="30"/>
              <w:spacing w:after="0" w:line="203" w:lineRule="exact"/>
              <w:rPr>
                <w:sz w:val="20"/>
                <w:szCs w:val="20"/>
                <w:color w:val="auto"/>
              </w:rPr>
            </w:pPr>
            <w:r>
              <w:rPr>
                <w:rFonts w:ascii="Arial" w:cs="Arial" w:eastAsia="Arial" w:hAnsi="Arial"/>
                <w:sz w:val="18"/>
                <w:szCs w:val="18"/>
                <w:color w:val="auto"/>
              </w:rPr>
              <w:t>1,560.7</w:t>
            </w:r>
          </w:p>
        </w:tc>
        <w:tc>
          <w:tcPr>
            <w:tcW w:w="480" w:type="dxa"/>
            <w:vAlign w:val="bottom"/>
            <w:tcBorders>
              <w:bottom w:val="single" w:sz="8" w:color="939598"/>
            </w:tcBorders>
          </w:tcPr>
          <w:p>
            <w:pPr>
              <w:spacing w:after="0"/>
              <w:rPr>
                <w:sz w:val="17"/>
                <w:szCs w:val="17"/>
                <w:color w:val="auto"/>
              </w:rPr>
            </w:pPr>
          </w:p>
        </w:tc>
        <w:tc>
          <w:tcPr>
            <w:tcW w:w="860" w:type="dxa"/>
            <w:vAlign w:val="bottom"/>
            <w:tcBorders>
              <w:bottom w:val="single" w:sz="8" w:color="939598"/>
            </w:tcBorders>
          </w:tcPr>
          <w:p>
            <w:pPr>
              <w:jc w:val="right"/>
              <w:spacing w:after="0" w:line="203" w:lineRule="exact"/>
              <w:rPr>
                <w:sz w:val="20"/>
                <w:szCs w:val="20"/>
                <w:color w:val="auto"/>
              </w:rPr>
            </w:pPr>
            <w:r>
              <w:rPr>
                <w:rFonts w:ascii="Arial" w:cs="Arial" w:eastAsia="Arial" w:hAnsi="Arial"/>
                <w:sz w:val="18"/>
                <w:szCs w:val="18"/>
                <w:color w:val="auto"/>
              </w:rPr>
              <w:t>1,660.3</w:t>
            </w:r>
          </w:p>
        </w:tc>
      </w:tr>
      <w:tr>
        <w:trPr>
          <w:trHeight w:val="196"/>
        </w:trPr>
        <w:tc>
          <w:tcPr>
            <w:tcW w:w="20" w:type="dxa"/>
            <w:vAlign w:val="bottom"/>
          </w:tcPr>
          <w:p>
            <w:pPr>
              <w:spacing w:after="0"/>
              <w:rPr>
                <w:sz w:val="17"/>
                <w:szCs w:val="17"/>
                <w:color w:val="auto"/>
              </w:rPr>
            </w:pPr>
          </w:p>
        </w:tc>
        <w:tc>
          <w:tcPr>
            <w:tcW w:w="7020" w:type="dxa"/>
            <w:vAlign w:val="bottom"/>
            <w:tcBorders>
              <w:bottom w:val="single" w:sz="8" w:color="939598"/>
            </w:tcBorders>
          </w:tcPr>
          <w:p>
            <w:pPr>
              <w:spacing w:after="0"/>
              <w:rPr>
                <w:sz w:val="17"/>
                <w:szCs w:val="17"/>
                <w:color w:val="auto"/>
              </w:rPr>
            </w:pPr>
          </w:p>
        </w:tc>
        <w:tc>
          <w:tcPr>
            <w:tcW w:w="120" w:type="dxa"/>
            <w:vAlign w:val="bottom"/>
            <w:tcBorders>
              <w:bottom w:val="single" w:sz="8" w:color="939598"/>
            </w:tcBorders>
            <w:shd w:val="clear" w:color="auto" w:fill="E3F1DA"/>
          </w:tcPr>
          <w:p>
            <w:pPr>
              <w:spacing w:after="0"/>
              <w:rPr>
                <w:sz w:val="17"/>
                <w:szCs w:val="17"/>
                <w:color w:val="auto"/>
              </w:rPr>
            </w:pPr>
          </w:p>
        </w:tc>
        <w:tc>
          <w:tcPr>
            <w:tcW w:w="1340" w:type="dxa"/>
            <w:vAlign w:val="bottom"/>
            <w:tcBorders>
              <w:bottom w:val="single" w:sz="8" w:color="939598"/>
            </w:tcBorders>
            <w:shd w:val="clear" w:color="auto" w:fill="E3F1DA"/>
          </w:tcPr>
          <w:p>
            <w:pPr>
              <w:jc w:val="right"/>
              <w:ind w:right="130"/>
              <w:spacing w:after="0" w:line="196" w:lineRule="exact"/>
              <w:rPr>
                <w:sz w:val="20"/>
                <w:szCs w:val="20"/>
                <w:color w:val="auto"/>
              </w:rPr>
            </w:pPr>
            <w:r>
              <w:rPr>
                <w:rFonts w:ascii="Arial" w:cs="Arial" w:eastAsia="Arial" w:hAnsi="Arial"/>
                <w:sz w:val="18"/>
                <w:szCs w:val="18"/>
                <w:color w:val="86B6A5"/>
              </w:rPr>
              <w:t>2,124.1</w:t>
            </w:r>
          </w:p>
        </w:tc>
        <w:tc>
          <w:tcPr>
            <w:tcW w:w="380" w:type="dxa"/>
            <w:vAlign w:val="bottom"/>
            <w:tcBorders>
              <w:bottom w:val="single" w:sz="8" w:color="939598"/>
            </w:tcBorders>
          </w:tcPr>
          <w:p>
            <w:pPr>
              <w:spacing w:after="0"/>
              <w:rPr>
                <w:sz w:val="17"/>
                <w:szCs w:val="17"/>
                <w:color w:val="auto"/>
              </w:rPr>
            </w:pPr>
          </w:p>
        </w:tc>
        <w:tc>
          <w:tcPr>
            <w:tcW w:w="980" w:type="dxa"/>
            <w:vAlign w:val="bottom"/>
            <w:tcBorders>
              <w:bottom w:val="single" w:sz="8" w:color="939598"/>
            </w:tcBorders>
          </w:tcPr>
          <w:p>
            <w:pPr>
              <w:jc w:val="right"/>
              <w:ind w:right="30"/>
              <w:spacing w:after="0" w:line="196" w:lineRule="exact"/>
              <w:rPr>
                <w:sz w:val="20"/>
                <w:szCs w:val="20"/>
                <w:color w:val="auto"/>
              </w:rPr>
            </w:pPr>
            <w:r>
              <w:rPr>
                <w:rFonts w:ascii="Arial" w:cs="Arial" w:eastAsia="Arial" w:hAnsi="Arial"/>
                <w:sz w:val="18"/>
                <w:szCs w:val="18"/>
                <w:color w:val="auto"/>
              </w:rPr>
              <w:t>1,800.4</w:t>
            </w:r>
          </w:p>
        </w:tc>
        <w:tc>
          <w:tcPr>
            <w:tcW w:w="480" w:type="dxa"/>
            <w:vAlign w:val="bottom"/>
            <w:tcBorders>
              <w:bottom w:val="single" w:sz="8" w:color="939598"/>
            </w:tcBorders>
          </w:tcPr>
          <w:p>
            <w:pPr>
              <w:spacing w:after="0"/>
              <w:rPr>
                <w:sz w:val="17"/>
                <w:szCs w:val="17"/>
                <w:color w:val="auto"/>
              </w:rPr>
            </w:pPr>
          </w:p>
        </w:tc>
        <w:tc>
          <w:tcPr>
            <w:tcW w:w="860" w:type="dxa"/>
            <w:vAlign w:val="bottom"/>
            <w:tcBorders>
              <w:bottom w:val="single" w:sz="8" w:color="939598"/>
            </w:tcBorders>
          </w:tcPr>
          <w:p>
            <w:pPr>
              <w:jc w:val="right"/>
              <w:spacing w:after="0" w:line="196" w:lineRule="exact"/>
              <w:rPr>
                <w:sz w:val="20"/>
                <w:szCs w:val="20"/>
                <w:color w:val="auto"/>
              </w:rPr>
            </w:pPr>
            <w:r>
              <w:rPr>
                <w:rFonts w:ascii="Arial" w:cs="Arial" w:eastAsia="Arial" w:hAnsi="Arial"/>
                <w:sz w:val="18"/>
                <w:szCs w:val="18"/>
                <w:color w:val="auto"/>
              </w:rPr>
              <w:t>1,951.5</w:t>
            </w:r>
          </w:p>
        </w:tc>
      </w:tr>
      <w:tr>
        <w:trPr>
          <w:trHeight w:val="195"/>
        </w:trPr>
        <w:tc>
          <w:tcPr>
            <w:tcW w:w="20" w:type="dxa"/>
            <w:vAlign w:val="bottom"/>
          </w:tcPr>
          <w:p>
            <w:pPr>
              <w:spacing w:after="0"/>
              <w:rPr>
                <w:sz w:val="16"/>
                <w:szCs w:val="16"/>
                <w:color w:val="auto"/>
              </w:rPr>
            </w:pPr>
          </w:p>
        </w:tc>
        <w:tc>
          <w:tcPr>
            <w:tcW w:w="7020" w:type="dxa"/>
            <w:vAlign w:val="bottom"/>
          </w:tcPr>
          <w:p>
            <w:pPr>
              <w:spacing w:after="0" w:line="195" w:lineRule="exact"/>
              <w:rPr>
                <w:sz w:val="20"/>
                <w:szCs w:val="20"/>
                <w:color w:val="auto"/>
              </w:rPr>
            </w:pPr>
            <w:r>
              <w:rPr>
                <w:rFonts w:ascii="Arial" w:cs="Arial" w:eastAsia="Arial" w:hAnsi="Arial"/>
                <w:sz w:val="18"/>
                <w:szCs w:val="18"/>
                <w:color w:val="auto"/>
              </w:rPr>
              <w:t>Asia Pacific</w:t>
            </w:r>
          </w:p>
        </w:tc>
        <w:tc>
          <w:tcPr>
            <w:tcW w:w="120" w:type="dxa"/>
            <w:vAlign w:val="bottom"/>
            <w:shd w:val="clear" w:color="auto" w:fill="E3F1DA"/>
          </w:tcPr>
          <w:p>
            <w:pPr>
              <w:spacing w:after="0"/>
              <w:rPr>
                <w:sz w:val="16"/>
                <w:szCs w:val="16"/>
                <w:color w:val="auto"/>
              </w:rPr>
            </w:pPr>
          </w:p>
        </w:tc>
        <w:tc>
          <w:tcPr>
            <w:tcW w:w="1340" w:type="dxa"/>
            <w:vAlign w:val="bottom"/>
            <w:shd w:val="clear" w:color="auto" w:fill="E3F1DA"/>
          </w:tcPr>
          <w:p>
            <w:pPr>
              <w:jc w:val="right"/>
              <w:ind w:right="130"/>
              <w:spacing w:after="0" w:line="195" w:lineRule="exact"/>
              <w:rPr>
                <w:sz w:val="20"/>
                <w:szCs w:val="20"/>
                <w:color w:val="auto"/>
              </w:rPr>
            </w:pPr>
            <w:r>
              <w:rPr>
                <w:rFonts w:ascii="Arial" w:cs="Arial" w:eastAsia="Arial" w:hAnsi="Arial"/>
                <w:sz w:val="18"/>
                <w:szCs w:val="18"/>
                <w:color w:val="86B6A5"/>
              </w:rPr>
              <w:t>395.1</w:t>
            </w:r>
          </w:p>
        </w:tc>
        <w:tc>
          <w:tcPr>
            <w:tcW w:w="380" w:type="dxa"/>
            <w:vAlign w:val="bottom"/>
          </w:tcPr>
          <w:p>
            <w:pPr>
              <w:spacing w:after="0"/>
              <w:rPr>
                <w:sz w:val="16"/>
                <w:szCs w:val="16"/>
                <w:color w:val="auto"/>
              </w:rPr>
            </w:pPr>
          </w:p>
        </w:tc>
        <w:tc>
          <w:tcPr>
            <w:tcW w:w="980" w:type="dxa"/>
            <w:vAlign w:val="bottom"/>
          </w:tcPr>
          <w:p>
            <w:pPr>
              <w:jc w:val="right"/>
              <w:ind w:right="30"/>
              <w:spacing w:after="0" w:line="195" w:lineRule="exact"/>
              <w:rPr>
                <w:sz w:val="20"/>
                <w:szCs w:val="20"/>
                <w:color w:val="auto"/>
              </w:rPr>
            </w:pPr>
            <w:r>
              <w:rPr>
                <w:rFonts w:ascii="Arial" w:cs="Arial" w:eastAsia="Arial" w:hAnsi="Arial"/>
                <w:sz w:val="18"/>
                <w:szCs w:val="18"/>
                <w:color w:val="auto"/>
              </w:rPr>
              <w:t>314.4</w:t>
            </w:r>
          </w:p>
        </w:tc>
        <w:tc>
          <w:tcPr>
            <w:tcW w:w="480" w:type="dxa"/>
            <w:vAlign w:val="bottom"/>
          </w:tcPr>
          <w:p>
            <w:pPr>
              <w:spacing w:after="0"/>
              <w:rPr>
                <w:sz w:val="16"/>
                <w:szCs w:val="16"/>
                <w:color w:val="auto"/>
              </w:rPr>
            </w:pPr>
          </w:p>
        </w:tc>
        <w:tc>
          <w:tcPr>
            <w:tcW w:w="860" w:type="dxa"/>
            <w:vAlign w:val="bottom"/>
          </w:tcPr>
          <w:p>
            <w:pPr>
              <w:jc w:val="right"/>
              <w:spacing w:after="0" w:line="195" w:lineRule="exact"/>
              <w:rPr>
                <w:sz w:val="20"/>
                <w:szCs w:val="20"/>
                <w:color w:val="auto"/>
              </w:rPr>
            </w:pPr>
            <w:r>
              <w:rPr>
                <w:rFonts w:ascii="Arial" w:cs="Arial" w:eastAsia="Arial" w:hAnsi="Arial"/>
                <w:sz w:val="18"/>
                <w:szCs w:val="18"/>
                <w:color w:val="auto"/>
              </w:rPr>
              <w:t>411.2</w:t>
            </w:r>
          </w:p>
        </w:tc>
      </w:tr>
      <w:tr>
        <w:trPr>
          <w:trHeight w:val="197"/>
        </w:trPr>
        <w:tc>
          <w:tcPr>
            <w:tcW w:w="7040" w:type="dxa"/>
            <w:vAlign w:val="bottom"/>
            <w:gridSpan w:val="2"/>
          </w:tcPr>
          <w:p>
            <w:pPr>
              <w:spacing w:after="0" w:line="197" w:lineRule="exact"/>
              <w:rPr>
                <w:sz w:val="20"/>
                <w:szCs w:val="20"/>
                <w:color w:val="auto"/>
              </w:rPr>
            </w:pPr>
            <w:r>
              <w:rPr>
                <w:rFonts w:ascii="Arial" w:cs="Arial" w:eastAsia="Arial" w:hAnsi="Arial"/>
                <w:sz w:val="18"/>
                <w:szCs w:val="18"/>
                <w:color w:val="auto"/>
              </w:rPr>
              <w:t>Right Management</w:t>
            </w:r>
          </w:p>
        </w:tc>
        <w:tc>
          <w:tcPr>
            <w:tcW w:w="120" w:type="dxa"/>
            <w:vAlign w:val="bottom"/>
            <w:shd w:val="clear" w:color="auto" w:fill="E3F1DA"/>
          </w:tcPr>
          <w:p>
            <w:pPr>
              <w:spacing w:after="0"/>
              <w:rPr>
                <w:sz w:val="17"/>
                <w:szCs w:val="17"/>
                <w:color w:val="auto"/>
              </w:rPr>
            </w:pPr>
          </w:p>
        </w:tc>
        <w:tc>
          <w:tcPr>
            <w:tcW w:w="1340" w:type="dxa"/>
            <w:vAlign w:val="bottom"/>
            <w:shd w:val="clear" w:color="auto" w:fill="E3F1DA"/>
          </w:tcPr>
          <w:p>
            <w:pPr>
              <w:jc w:val="right"/>
              <w:ind w:right="130"/>
              <w:spacing w:after="0" w:line="197" w:lineRule="exact"/>
              <w:rPr>
                <w:sz w:val="20"/>
                <w:szCs w:val="20"/>
                <w:color w:val="auto"/>
              </w:rPr>
            </w:pPr>
            <w:r>
              <w:rPr>
                <w:rFonts w:ascii="Arial" w:cs="Arial" w:eastAsia="Arial" w:hAnsi="Arial"/>
                <w:sz w:val="18"/>
                <w:szCs w:val="18"/>
                <w:color w:val="86B6A5"/>
              </w:rPr>
              <w:t>86.1</w:t>
            </w:r>
          </w:p>
        </w:tc>
        <w:tc>
          <w:tcPr>
            <w:tcW w:w="380" w:type="dxa"/>
            <w:vAlign w:val="bottom"/>
          </w:tcPr>
          <w:p>
            <w:pPr>
              <w:spacing w:after="0"/>
              <w:rPr>
                <w:sz w:val="17"/>
                <w:szCs w:val="17"/>
                <w:color w:val="auto"/>
              </w:rPr>
            </w:pPr>
          </w:p>
        </w:tc>
        <w:tc>
          <w:tcPr>
            <w:tcW w:w="980" w:type="dxa"/>
            <w:vAlign w:val="bottom"/>
          </w:tcPr>
          <w:p>
            <w:pPr>
              <w:jc w:val="right"/>
              <w:ind w:right="30"/>
              <w:spacing w:after="0" w:line="197" w:lineRule="exact"/>
              <w:rPr>
                <w:sz w:val="20"/>
                <w:szCs w:val="20"/>
                <w:color w:val="auto"/>
              </w:rPr>
            </w:pPr>
            <w:r>
              <w:rPr>
                <w:rFonts w:ascii="Arial" w:cs="Arial" w:eastAsia="Arial" w:hAnsi="Arial"/>
                <w:sz w:val="18"/>
                <w:szCs w:val="18"/>
                <w:color w:val="auto"/>
              </w:rPr>
              <w:t>228.7</w:t>
            </w:r>
          </w:p>
        </w:tc>
        <w:tc>
          <w:tcPr>
            <w:tcW w:w="480" w:type="dxa"/>
            <w:vAlign w:val="bottom"/>
          </w:tcPr>
          <w:p>
            <w:pPr>
              <w:spacing w:after="0"/>
              <w:rPr>
                <w:sz w:val="17"/>
                <w:szCs w:val="17"/>
                <w:color w:val="auto"/>
              </w:rPr>
            </w:pPr>
          </w:p>
        </w:tc>
        <w:tc>
          <w:tcPr>
            <w:tcW w:w="860" w:type="dxa"/>
            <w:vAlign w:val="bottom"/>
          </w:tcPr>
          <w:p>
            <w:pPr>
              <w:jc w:val="right"/>
              <w:spacing w:after="0" w:line="197" w:lineRule="exact"/>
              <w:rPr>
                <w:sz w:val="20"/>
                <w:szCs w:val="20"/>
                <w:color w:val="auto"/>
              </w:rPr>
            </w:pPr>
            <w:r>
              <w:rPr>
                <w:rFonts w:ascii="Arial" w:cs="Arial" w:eastAsia="Arial" w:hAnsi="Arial"/>
                <w:sz w:val="18"/>
                <w:szCs w:val="18"/>
                <w:color w:val="auto"/>
              </w:rPr>
              <w:t>214.4</w:t>
            </w:r>
          </w:p>
        </w:tc>
      </w:tr>
      <w:tr>
        <w:trPr>
          <w:trHeight w:val="209"/>
        </w:trPr>
        <w:tc>
          <w:tcPr>
            <w:tcW w:w="7040" w:type="dxa"/>
            <w:vAlign w:val="bottom"/>
            <w:gridSpan w:val="2"/>
          </w:tcPr>
          <w:p>
            <w:pPr>
              <w:spacing w:after="0" w:line="209" w:lineRule="exact"/>
              <w:rPr>
                <w:sz w:val="20"/>
                <w:szCs w:val="20"/>
                <w:color w:val="auto"/>
              </w:rPr>
            </w:pPr>
            <w:r>
              <w:rPr>
                <w:rFonts w:ascii="Arial" w:cs="Arial" w:eastAsia="Arial" w:hAnsi="Arial"/>
                <w:sz w:val="17"/>
                <w:szCs w:val="17"/>
                <w:color w:val="auto"/>
              </w:rPr>
              <w:t>Corporate</w:t>
            </w:r>
            <w:r>
              <w:rPr>
                <w:rFonts w:ascii="Arial" w:cs="Arial" w:eastAsia="Arial" w:hAnsi="Arial"/>
                <w:sz w:val="24"/>
                <w:szCs w:val="24"/>
                <w:color w:val="auto"/>
                <w:vertAlign w:val="superscript"/>
              </w:rPr>
              <w:t>(a)</w:t>
            </w:r>
          </w:p>
        </w:tc>
        <w:tc>
          <w:tcPr>
            <w:tcW w:w="120" w:type="dxa"/>
            <w:vAlign w:val="bottom"/>
            <w:shd w:val="clear" w:color="auto" w:fill="E3F1DA"/>
          </w:tcPr>
          <w:p>
            <w:pPr>
              <w:spacing w:after="0"/>
              <w:rPr>
                <w:sz w:val="18"/>
                <w:szCs w:val="18"/>
                <w:color w:val="auto"/>
              </w:rPr>
            </w:pPr>
          </w:p>
        </w:tc>
        <w:tc>
          <w:tcPr>
            <w:tcW w:w="1340" w:type="dxa"/>
            <w:vAlign w:val="bottom"/>
            <w:shd w:val="clear" w:color="auto" w:fill="E3F1DA"/>
          </w:tcPr>
          <w:p>
            <w:pPr>
              <w:jc w:val="right"/>
              <w:ind w:right="130"/>
              <w:spacing w:after="0"/>
              <w:rPr>
                <w:sz w:val="20"/>
                <w:szCs w:val="20"/>
                <w:color w:val="auto"/>
              </w:rPr>
            </w:pPr>
            <w:r>
              <w:rPr>
                <w:rFonts w:ascii="Arial" w:cs="Arial" w:eastAsia="Arial" w:hAnsi="Arial"/>
                <w:sz w:val="18"/>
                <w:szCs w:val="18"/>
                <w:color w:val="86B6A5"/>
              </w:rPr>
              <w:t>679.4</w:t>
            </w:r>
          </w:p>
        </w:tc>
        <w:tc>
          <w:tcPr>
            <w:tcW w:w="38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800.6</w:t>
            </w:r>
          </w:p>
        </w:tc>
        <w:tc>
          <w:tcPr>
            <w:tcW w:w="4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846.6</w:t>
            </w:r>
          </w:p>
        </w:tc>
      </w:tr>
      <w:tr>
        <w:trPr>
          <w:trHeight w:val="203"/>
        </w:trPr>
        <w:tc>
          <w:tcPr>
            <w:tcW w:w="20" w:type="dxa"/>
            <w:vAlign w:val="bottom"/>
          </w:tcPr>
          <w:p>
            <w:pPr>
              <w:spacing w:after="0"/>
              <w:rPr>
                <w:sz w:val="17"/>
                <w:szCs w:val="17"/>
                <w:color w:val="auto"/>
              </w:rPr>
            </w:pPr>
          </w:p>
        </w:tc>
        <w:tc>
          <w:tcPr>
            <w:tcW w:w="7020" w:type="dxa"/>
            <w:vAlign w:val="bottom"/>
            <w:tcBorders>
              <w:top w:val="single" w:sz="8" w:color="939598"/>
              <w:bottom w:val="single" w:sz="8" w:color="939598"/>
            </w:tcBorders>
          </w:tcPr>
          <w:p>
            <w:pPr>
              <w:spacing w:after="0"/>
              <w:rPr>
                <w:sz w:val="17"/>
                <w:szCs w:val="17"/>
                <w:color w:val="auto"/>
              </w:rPr>
            </w:pPr>
          </w:p>
        </w:tc>
        <w:tc>
          <w:tcPr>
            <w:tcW w:w="120" w:type="dxa"/>
            <w:vAlign w:val="bottom"/>
            <w:tcBorders>
              <w:top w:val="single" w:sz="8" w:color="939598"/>
              <w:bottom w:val="single" w:sz="8" w:color="939598"/>
            </w:tcBorders>
            <w:shd w:val="clear" w:color="auto" w:fill="E3F1DA"/>
          </w:tcPr>
          <w:p>
            <w:pPr>
              <w:jc w:val="right"/>
              <w:spacing w:after="0" w:line="196" w:lineRule="exact"/>
              <w:rPr>
                <w:sz w:val="20"/>
                <w:szCs w:val="20"/>
                <w:color w:val="auto"/>
              </w:rPr>
            </w:pPr>
            <w:r>
              <w:rPr>
                <w:rFonts w:ascii="Arial" w:cs="Arial" w:eastAsia="Arial" w:hAnsi="Arial"/>
                <w:sz w:val="18"/>
                <w:szCs w:val="18"/>
                <w:color w:val="86B6A5"/>
                <w:w w:val="79"/>
              </w:rPr>
              <w:t>$</w:t>
            </w:r>
          </w:p>
        </w:tc>
        <w:tc>
          <w:tcPr>
            <w:tcW w:w="1340" w:type="dxa"/>
            <w:vAlign w:val="bottom"/>
            <w:tcBorders>
              <w:top w:val="single" w:sz="8" w:color="939598"/>
              <w:bottom w:val="single" w:sz="8" w:color="939598"/>
            </w:tcBorders>
            <w:shd w:val="clear" w:color="auto" w:fill="E3F1DA"/>
          </w:tcPr>
          <w:p>
            <w:pPr>
              <w:jc w:val="right"/>
              <w:ind w:right="130"/>
              <w:spacing w:after="0" w:line="196" w:lineRule="exact"/>
              <w:rPr>
                <w:sz w:val="20"/>
                <w:szCs w:val="20"/>
                <w:color w:val="auto"/>
              </w:rPr>
            </w:pPr>
            <w:r>
              <w:rPr>
                <w:rFonts w:ascii="Arial" w:cs="Arial" w:eastAsia="Arial" w:hAnsi="Arial"/>
                <w:sz w:val="18"/>
                <w:szCs w:val="18"/>
                <w:color w:val="86B6A5"/>
              </w:rPr>
              <w:t>6,729.7</w:t>
            </w:r>
          </w:p>
        </w:tc>
        <w:tc>
          <w:tcPr>
            <w:tcW w:w="380" w:type="dxa"/>
            <w:vAlign w:val="bottom"/>
            <w:tcBorders>
              <w:top w:val="single" w:sz="8" w:color="939598"/>
              <w:bottom w:val="single" w:sz="8" w:color="939598"/>
            </w:tcBorders>
          </w:tcPr>
          <w:p>
            <w:pPr>
              <w:jc w:val="right"/>
              <w:ind w:right="19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939598"/>
              <w:bottom w:val="single" w:sz="8" w:color="939598"/>
            </w:tcBorders>
          </w:tcPr>
          <w:p>
            <w:pPr>
              <w:jc w:val="right"/>
              <w:ind w:right="30"/>
              <w:spacing w:after="0" w:line="196" w:lineRule="exact"/>
              <w:rPr>
                <w:sz w:val="20"/>
                <w:szCs w:val="20"/>
                <w:color w:val="auto"/>
              </w:rPr>
            </w:pPr>
            <w:r>
              <w:rPr>
                <w:rFonts w:ascii="Arial" w:cs="Arial" w:eastAsia="Arial" w:hAnsi="Arial"/>
                <w:sz w:val="18"/>
                <w:szCs w:val="18"/>
                <w:color w:val="auto"/>
              </w:rPr>
              <w:t>6,213.8</w:t>
            </w:r>
          </w:p>
        </w:tc>
        <w:tc>
          <w:tcPr>
            <w:tcW w:w="480" w:type="dxa"/>
            <w:vAlign w:val="bottom"/>
            <w:tcBorders>
              <w:top w:val="single" w:sz="8" w:color="939598"/>
              <w:bottom w:val="single" w:sz="8" w:color="939598"/>
            </w:tcBorders>
          </w:tcPr>
          <w:p>
            <w:pPr>
              <w:jc w:val="right"/>
              <w:ind w:right="190"/>
              <w:spacing w:after="0" w:line="196" w:lineRule="exact"/>
              <w:rPr>
                <w:sz w:val="20"/>
                <w:szCs w:val="20"/>
                <w:color w:val="auto"/>
              </w:rPr>
            </w:pPr>
            <w:r>
              <w:rPr>
                <w:rFonts w:ascii="Arial" w:cs="Arial" w:eastAsia="Arial" w:hAnsi="Arial"/>
                <w:sz w:val="18"/>
                <w:szCs w:val="18"/>
                <w:color w:val="auto"/>
              </w:rPr>
              <w:t>$</w:t>
            </w:r>
          </w:p>
        </w:tc>
        <w:tc>
          <w:tcPr>
            <w:tcW w:w="860" w:type="dxa"/>
            <w:vAlign w:val="bottom"/>
            <w:tcBorders>
              <w:top w:val="single" w:sz="8" w:color="939598"/>
              <w:bottom w:val="single" w:sz="8" w:color="939598"/>
            </w:tcBorders>
          </w:tcPr>
          <w:p>
            <w:pPr>
              <w:jc w:val="right"/>
              <w:spacing w:after="0" w:line="196" w:lineRule="exact"/>
              <w:rPr>
                <w:sz w:val="20"/>
                <w:szCs w:val="20"/>
                <w:color w:val="auto"/>
              </w:rPr>
            </w:pPr>
            <w:r>
              <w:rPr>
                <w:rFonts w:ascii="Arial" w:cs="Arial" w:eastAsia="Arial" w:hAnsi="Arial"/>
                <w:sz w:val="18"/>
                <w:szCs w:val="18"/>
                <w:color w:val="auto"/>
              </w:rPr>
              <w:t>6,622.2</w:t>
            </w:r>
          </w:p>
        </w:tc>
      </w:tr>
      <w:tr>
        <w:trPr>
          <w:trHeight w:val="202"/>
        </w:trPr>
        <w:tc>
          <w:tcPr>
            <w:tcW w:w="20" w:type="dxa"/>
            <w:vAlign w:val="bottom"/>
          </w:tcPr>
          <w:p>
            <w:pPr>
              <w:spacing w:after="0"/>
              <w:rPr>
                <w:sz w:val="17"/>
                <w:szCs w:val="17"/>
                <w:color w:val="auto"/>
              </w:rPr>
            </w:pPr>
          </w:p>
        </w:tc>
        <w:tc>
          <w:tcPr>
            <w:tcW w:w="7020" w:type="dxa"/>
            <w:vAlign w:val="bottom"/>
          </w:tcPr>
          <w:p>
            <w:pPr>
              <w:spacing w:after="0" w:line="201" w:lineRule="exact"/>
              <w:rPr>
                <w:sz w:val="20"/>
                <w:szCs w:val="20"/>
                <w:color w:val="auto"/>
              </w:rPr>
            </w:pPr>
            <w:r>
              <w:rPr>
                <w:rFonts w:ascii="Arial" w:cs="Arial" w:eastAsia="Arial" w:hAnsi="Arial"/>
                <w:sz w:val="18"/>
                <w:szCs w:val="18"/>
                <w:b w:val="1"/>
                <w:bCs w:val="1"/>
                <w:color w:val="939598"/>
              </w:rPr>
              <w:t>Equity Investments</w:t>
            </w:r>
          </w:p>
        </w:tc>
        <w:tc>
          <w:tcPr>
            <w:tcW w:w="120" w:type="dxa"/>
            <w:vAlign w:val="bottom"/>
            <w:shd w:val="clear" w:color="auto" w:fill="E3F1DA"/>
          </w:tcPr>
          <w:p>
            <w:pPr>
              <w:spacing w:after="0"/>
              <w:rPr>
                <w:sz w:val="17"/>
                <w:szCs w:val="17"/>
                <w:color w:val="auto"/>
              </w:rPr>
            </w:pPr>
          </w:p>
        </w:tc>
        <w:tc>
          <w:tcPr>
            <w:tcW w:w="1340" w:type="dxa"/>
            <w:vAlign w:val="bottom"/>
            <w:shd w:val="clear" w:color="auto" w:fill="E3F1DA"/>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3"/>
        </w:trPr>
        <w:tc>
          <w:tcPr>
            <w:tcW w:w="7040" w:type="dxa"/>
            <w:vAlign w:val="bottom"/>
            <w:gridSpan w:val="2"/>
          </w:tcPr>
          <w:p>
            <w:pPr>
              <w:spacing w:after="0" w:line="202" w:lineRule="exact"/>
              <w:rPr>
                <w:sz w:val="20"/>
                <w:szCs w:val="20"/>
                <w:color w:val="auto"/>
              </w:rPr>
            </w:pPr>
            <w:r>
              <w:rPr>
                <w:rFonts w:ascii="Arial" w:cs="Arial" w:eastAsia="Arial" w:hAnsi="Arial"/>
                <w:sz w:val="18"/>
                <w:szCs w:val="18"/>
                <w:color w:val="auto"/>
              </w:rPr>
              <w:t>Americas:</w:t>
            </w:r>
          </w:p>
        </w:tc>
        <w:tc>
          <w:tcPr>
            <w:tcW w:w="120" w:type="dxa"/>
            <w:vAlign w:val="bottom"/>
            <w:shd w:val="clear" w:color="auto" w:fill="E3F1DA"/>
          </w:tcPr>
          <w:p>
            <w:pPr>
              <w:spacing w:after="0"/>
              <w:rPr>
                <w:sz w:val="17"/>
                <w:szCs w:val="17"/>
                <w:color w:val="auto"/>
              </w:rPr>
            </w:pPr>
          </w:p>
        </w:tc>
        <w:tc>
          <w:tcPr>
            <w:tcW w:w="1340" w:type="dxa"/>
            <w:vAlign w:val="bottom"/>
            <w:shd w:val="clear" w:color="auto" w:fill="E3F1DA"/>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020" w:type="dxa"/>
            <w:vAlign w:val="bottom"/>
          </w:tcPr>
          <w:p>
            <w:pPr>
              <w:ind w:left="260"/>
              <w:spacing w:after="0" w:line="202" w:lineRule="exact"/>
              <w:rPr>
                <w:sz w:val="20"/>
                <w:szCs w:val="20"/>
                <w:color w:val="auto"/>
              </w:rPr>
            </w:pPr>
            <w:r>
              <w:rPr>
                <w:rFonts w:ascii="Arial" w:cs="Arial" w:eastAsia="Arial" w:hAnsi="Arial"/>
                <w:sz w:val="18"/>
                <w:szCs w:val="18"/>
                <w:color w:val="auto"/>
              </w:rPr>
              <w:t>United States</w:t>
            </w:r>
          </w:p>
        </w:tc>
        <w:tc>
          <w:tcPr>
            <w:tcW w:w="120" w:type="dxa"/>
            <w:vAlign w:val="bottom"/>
            <w:shd w:val="clear" w:color="auto" w:fill="E3F1DA"/>
          </w:tcPr>
          <w:p>
            <w:pPr>
              <w:jc w:val="right"/>
              <w:spacing w:after="0" w:line="202" w:lineRule="exact"/>
              <w:rPr>
                <w:sz w:val="20"/>
                <w:szCs w:val="20"/>
                <w:color w:val="auto"/>
              </w:rPr>
            </w:pPr>
            <w:r>
              <w:rPr>
                <w:rFonts w:ascii="Arial" w:cs="Arial" w:eastAsia="Arial" w:hAnsi="Arial"/>
                <w:sz w:val="18"/>
                <w:szCs w:val="18"/>
                <w:color w:val="86B6A5"/>
                <w:w w:val="79"/>
              </w:rPr>
              <w:t>$</w:t>
            </w:r>
          </w:p>
        </w:tc>
        <w:tc>
          <w:tcPr>
            <w:tcW w:w="1340" w:type="dxa"/>
            <w:vAlign w:val="bottom"/>
            <w:shd w:val="clear" w:color="auto" w:fill="E3F1DA"/>
          </w:tcPr>
          <w:p>
            <w:pPr>
              <w:jc w:val="right"/>
              <w:ind w:right="130"/>
              <w:spacing w:after="0" w:line="202" w:lineRule="exact"/>
              <w:rPr>
                <w:sz w:val="20"/>
                <w:szCs w:val="20"/>
                <w:color w:val="auto"/>
              </w:rPr>
            </w:pPr>
            <w:r>
              <w:rPr>
                <w:rFonts w:ascii="Arial" w:cs="Arial" w:eastAsia="Arial" w:hAnsi="Arial"/>
                <w:sz w:val="18"/>
                <w:szCs w:val="18"/>
                <w:color w:val="86B6A5"/>
              </w:rPr>
              <w:t>–</w:t>
            </w:r>
          </w:p>
        </w:tc>
        <w:tc>
          <w:tcPr>
            <w:tcW w:w="380" w:type="dxa"/>
            <w:vAlign w:val="bottom"/>
          </w:tcPr>
          <w:p>
            <w:pPr>
              <w:jc w:val="right"/>
              <w:ind w:right="190"/>
              <w:spacing w:after="0" w:line="202" w:lineRule="exact"/>
              <w:rPr>
                <w:sz w:val="20"/>
                <w:szCs w:val="20"/>
                <w:color w:val="auto"/>
              </w:rPr>
            </w:pPr>
            <w:r>
              <w:rPr>
                <w:rFonts w:ascii="Arial" w:cs="Arial" w:eastAsia="Arial" w:hAnsi="Arial"/>
                <w:sz w:val="18"/>
                <w:szCs w:val="18"/>
                <w:color w:val="auto"/>
                <w:w w:val="79"/>
              </w:rPr>
              <w:t>$</w:t>
            </w:r>
          </w:p>
        </w:tc>
        <w:tc>
          <w:tcPr>
            <w:tcW w:w="9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48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7020" w:type="dxa"/>
            <w:vAlign w:val="bottom"/>
            <w:tcBorders>
              <w:bottom w:val="single" w:sz="8" w:color="939598"/>
            </w:tcBorders>
          </w:tcPr>
          <w:p>
            <w:pPr>
              <w:ind w:left="260"/>
              <w:spacing w:after="0" w:line="203" w:lineRule="exact"/>
              <w:rPr>
                <w:sz w:val="20"/>
                <w:szCs w:val="20"/>
                <w:color w:val="auto"/>
              </w:rPr>
            </w:pPr>
            <w:r>
              <w:rPr>
                <w:rFonts w:ascii="Arial" w:cs="Arial" w:eastAsia="Arial" w:hAnsi="Arial"/>
                <w:sz w:val="18"/>
                <w:szCs w:val="18"/>
                <w:color w:val="auto"/>
              </w:rPr>
              <w:t>Other Americas</w:t>
            </w:r>
          </w:p>
        </w:tc>
        <w:tc>
          <w:tcPr>
            <w:tcW w:w="120" w:type="dxa"/>
            <w:vAlign w:val="bottom"/>
            <w:tcBorders>
              <w:bottom w:val="single" w:sz="8" w:color="939598"/>
            </w:tcBorders>
            <w:shd w:val="clear" w:color="auto" w:fill="E3F1DA"/>
          </w:tcPr>
          <w:p>
            <w:pPr>
              <w:spacing w:after="0"/>
              <w:rPr>
                <w:sz w:val="17"/>
                <w:szCs w:val="17"/>
                <w:color w:val="auto"/>
              </w:rPr>
            </w:pPr>
          </w:p>
        </w:tc>
        <w:tc>
          <w:tcPr>
            <w:tcW w:w="1340" w:type="dxa"/>
            <w:vAlign w:val="bottom"/>
            <w:tcBorders>
              <w:bottom w:val="single" w:sz="8" w:color="939598"/>
            </w:tcBorders>
            <w:shd w:val="clear" w:color="auto" w:fill="E3F1DA"/>
          </w:tcPr>
          <w:p>
            <w:pPr>
              <w:jc w:val="right"/>
              <w:ind w:right="130"/>
              <w:spacing w:after="0" w:line="203" w:lineRule="exact"/>
              <w:rPr>
                <w:sz w:val="20"/>
                <w:szCs w:val="20"/>
                <w:color w:val="auto"/>
              </w:rPr>
            </w:pPr>
            <w:r>
              <w:rPr>
                <w:rFonts w:ascii="Arial" w:cs="Arial" w:eastAsia="Arial" w:hAnsi="Arial"/>
                <w:sz w:val="18"/>
                <w:szCs w:val="18"/>
                <w:color w:val="86B6A5"/>
              </w:rPr>
              <w:t>–</w:t>
            </w:r>
          </w:p>
        </w:tc>
        <w:tc>
          <w:tcPr>
            <w:tcW w:w="380" w:type="dxa"/>
            <w:vAlign w:val="bottom"/>
            <w:tcBorders>
              <w:bottom w:val="single" w:sz="8" w:color="939598"/>
            </w:tcBorders>
          </w:tcPr>
          <w:p>
            <w:pPr>
              <w:spacing w:after="0"/>
              <w:rPr>
                <w:sz w:val="17"/>
                <w:szCs w:val="17"/>
                <w:color w:val="auto"/>
              </w:rPr>
            </w:pPr>
          </w:p>
        </w:tc>
        <w:tc>
          <w:tcPr>
            <w:tcW w:w="980" w:type="dxa"/>
            <w:vAlign w:val="bottom"/>
            <w:tcBorders>
              <w:bottom w:val="single" w:sz="8" w:color="939598"/>
            </w:tcBorders>
          </w:tcPr>
          <w:p>
            <w:pPr>
              <w:jc w:val="right"/>
              <w:ind w:right="30"/>
              <w:spacing w:after="0" w:line="203" w:lineRule="exact"/>
              <w:rPr>
                <w:sz w:val="20"/>
                <w:szCs w:val="20"/>
                <w:color w:val="auto"/>
              </w:rPr>
            </w:pPr>
            <w:r>
              <w:rPr>
                <w:rFonts w:ascii="Arial" w:cs="Arial" w:eastAsia="Arial" w:hAnsi="Arial"/>
                <w:sz w:val="18"/>
                <w:szCs w:val="18"/>
                <w:color w:val="auto"/>
              </w:rPr>
              <w:t>–</w:t>
            </w:r>
          </w:p>
        </w:tc>
        <w:tc>
          <w:tcPr>
            <w:tcW w:w="480" w:type="dxa"/>
            <w:vAlign w:val="bottom"/>
            <w:tcBorders>
              <w:bottom w:val="single" w:sz="8" w:color="939598"/>
            </w:tcBorders>
          </w:tcPr>
          <w:p>
            <w:pPr>
              <w:spacing w:after="0"/>
              <w:rPr>
                <w:sz w:val="17"/>
                <w:szCs w:val="17"/>
                <w:color w:val="auto"/>
              </w:rPr>
            </w:pPr>
          </w:p>
        </w:tc>
        <w:tc>
          <w:tcPr>
            <w:tcW w:w="860" w:type="dxa"/>
            <w:vAlign w:val="bottom"/>
            <w:tcBorders>
              <w:bottom w:val="single" w:sz="8" w:color="939598"/>
            </w:tcBorders>
          </w:tcPr>
          <w:p>
            <w:pPr>
              <w:jc w:val="right"/>
              <w:spacing w:after="0" w:line="203" w:lineRule="exact"/>
              <w:rPr>
                <w:sz w:val="20"/>
                <w:szCs w:val="20"/>
                <w:color w:val="auto"/>
              </w:rPr>
            </w:pPr>
            <w:r>
              <w:rPr>
                <w:rFonts w:ascii="Arial" w:cs="Arial" w:eastAsia="Arial" w:hAnsi="Arial"/>
                <w:sz w:val="18"/>
                <w:szCs w:val="18"/>
                <w:color w:val="auto"/>
              </w:rPr>
              <w:t>–</w:t>
            </w:r>
          </w:p>
        </w:tc>
      </w:tr>
      <w:tr>
        <w:trPr>
          <w:trHeight w:val="196"/>
        </w:trPr>
        <w:tc>
          <w:tcPr>
            <w:tcW w:w="20" w:type="dxa"/>
            <w:vAlign w:val="bottom"/>
          </w:tcPr>
          <w:p>
            <w:pPr>
              <w:spacing w:after="0"/>
              <w:rPr>
                <w:sz w:val="17"/>
                <w:szCs w:val="17"/>
                <w:color w:val="auto"/>
              </w:rPr>
            </w:pPr>
          </w:p>
        </w:tc>
        <w:tc>
          <w:tcPr>
            <w:tcW w:w="7020" w:type="dxa"/>
            <w:vAlign w:val="bottom"/>
            <w:tcBorders>
              <w:bottom w:val="single" w:sz="8" w:color="939598"/>
            </w:tcBorders>
          </w:tcPr>
          <w:p>
            <w:pPr>
              <w:spacing w:after="0"/>
              <w:rPr>
                <w:sz w:val="17"/>
                <w:szCs w:val="17"/>
                <w:color w:val="auto"/>
              </w:rPr>
            </w:pPr>
          </w:p>
        </w:tc>
        <w:tc>
          <w:tcPr>
            <w:tcW w:w="120" w:type="dxa"/>
            <w:vAlign w:val="bottom"/>
            <w:tcBorders>
              <w:bottom w:val="single" w:sz="8" w:color="939598"/>
            </w:tcBorders>
            <w:shd w:val="clear" w:color="auto" w:fill="E3F1DA"/>
          </w:tcPr>
          <w:p>
            <w:pPr>
              <w:spacing w:after="0"/>
              <w:rPr>
                <w:sz w:val="17"/>
                <w:szCs w:val="17"/>
                <w:color w:val="auto"/>
              </w:rPr>
            </w:pPr>
          </w:p>
        </w:tc>
        <w:tc>
          <w:tcPr>
            <w:tcW w:w="1340" w:type="dxa"/>
            <w:vAlign w:val="bottom"/>
            <w:tcBorders>
              <w:bottom w:val="single" w:sz="8" w:color="939598"/>
            </w:tcBorders>
            <w:shd w:val="clear" w:color="auto" w:fill="E3F1DA"/>
          </w:tcPr>
          <w:p>
            <w:pPr>
              <w:jc w:val="right"/>
              <w:ind w:right="130"/>
              <w:spacing w:after="0" w:line="196" w:lineRule="exact"/>
              <w:rPr>
                <w:sz w:val="20"/>
                <w:szCs w:val="20"/>
                <w:color w:val="auto"/>
              </w:rPr>
            </w:pPr>
            <w:r>
              <w:rPr>
                <w:rFonts w:ascii="Arial" w:cs="Arial" w:eastAsia="Arial" w:hAnsi="Arial"/>
                <w:sz w:val="18"/>
                <w:szCs w:val="18"/>
                <w:color w:val="86B6A5"/>
              </w:rPr>
              <w:t>–</w:t>
            </w:r>
          </w:p>
        </w:tc>
        <w:tc>
          <w:tcPr>
            <w:tcW w:w="380" w:type="dxa"/>
            <w:vAlign w:val="bottom"/>
            <w:tcBorders>
              <w:bottom w:val="single" w:sz="8" w:color="939598"/>
            </w:tcBorders>
          </w:tcPr>
          <w:p>
            <w:pPr>
              <w:spacing w:after="0"/>
              <w:rPr>
                <w:sz w:val="17"/>
                <w:szCs w:val="17"/>
                <w:color w:val="auto"/>
              </w:rPr>
            </w:pPr>
          </w:p>
        </w:tc>
        <w:tc>
          <w:tcPr>
            <w:tcW w:w="980" w:type="dxa"/>
            <w:vAlign w:val="bottom"/>
            <w:tcBorders>
              <w:bottom w:val="single" w:sz="8" w:color="939598"/>
            </w:tcBorders>
          </w:tcPr>
          <w:p>
            <w:pPr>
              <w:jc w:val="right"/>
              <w:ind w:right="30"/>
              <w:spacing w:after="0" w:line="196" w:lineRule="exact"/>
              <w:rPr>
                <w:sz w:val="20"/>
                <w:szCs w:val="20"/>
                <w:color w:val="auto"/>
              </w:rPr>
            </w:pPr>
            <w:r>
              <w:rPr>
                <w:rFonts w:ascii="Arial" w:cs="Arial" w:eastAsia="Arial" w:hAnsi="Arial"/>
                <w:sz w:val="18"/>
                <w:szCs w:val="18"/>
                <w:color w:val="auto"/>
              </w:rPr>
              <w:t>–</w:t>
            </w:r>
          </w:p>
        </w:tc>
        <w:tc>
          <w:tcPr>
            <w:tcW w:w="480" w:type="dxa"/>
            <w:vAlign w:val="bottom"/>
            <w:tcBorders>
              <w:bottom w:val="single" w:sz="8" w:color="939598"/>
            </w:tcBorders>
          </w:tcPr>
          <w:p>
            <w:pPr>
              <w:spacing w:after="0"/>
              <w:rPr>
                <w:sz w:val="17"/>
                <w:szCs w:val="17"/>
                <w:color w:val="auto"/>
              </w:rPr>
            </w:pPr>
          </w:p>
        </w:tc>
        <w:tc>
          <w:tcPr>
            <w:tcW w:w="860" w:type="dxa"/>
            <w:vAlign w:val="bottom"/>
            <w:tcBorders>
              <w:bottom w:val="single" w:sz="8" w:color="939598"/>
            </w:tcBorders>
          </w:tcPr>
          <w:p>
            <w:pPr>
              <w:jc w:val="right"/>
              <w:spacing w:after="0" w:line="196" w:lineRule="exact"/>
              <w:rPr>
                <w:sz w:val="20"/>
                <w:szCs w:val="20"/>
                <w:color w:val="auto"/>
              </w:rPr>
            </w:pPr>
            <w:r>
              <w:rPr>
                <w:rFonts w:ascii="Arial" w:cs="Arial" w:eastAsia="Arial" w:hAnsi="Arial"/>
                <w:sz w:val="18"/>
                <w:szCs w:val="18"/>
                <w:color w:val="auto"/>
              </w:rPr>
              <w:t>–</w:t>
            </w:r>
          </w:p>
        </w:tc>
      </w:tr>
      <w:tr>
        <w:trPr>
          <w:trHeight w:val="195"/>
        </w:trPr>
        <w:tc>
          <w:tcPr>
            <w:tcW w:w="20" w:type="dxa"/>
            <w:vAlign w:val="bottom"/>
          </w:tcPr>
          <w:p>
            <w:pPr>
              <w:spacing w:after="0"/>
              <w:rPr>
                <w:sz w:val="16"/>
                <w:szCs w:val="16"/>
                <w:color w:val="auto"/>
              </w:rPr>
            </w:pPr>
          </w:p>
        </w:tc>
        <w:tc>
          <w:tcPr>
            <w:tcW w:w="7020" w:type="dxa"/>
            <w:vAlign w:val="bottom"/>
          </w:tcPr>
          <w:p>
            <w:pPr>
              <w:spacing w:after="0" w:line="195" w:lineRule="exact"/>
              <w:rPr>
                <w:sz w:val="20"/>
                <w:szCs w:val="20"/>
                <w:color w:val="auto"/>
              </w:rPr>
            </w:pPr>
            <w:r>
              <w:rPr>
                <w:rFonts w:ascii="Arial" w:cs="Arial" w:eastAsia="Arial" w:hAnsi="Arial"/>
                <w:sz w:val="18"/>
                <w:szCs w:val="18"/>
                <w:color w:val="auto"/>
              </w:rPr>
              <w:t>France</w:t>
            </w:r>
          </w:p>
        </w:tc>
        <w:tc>
          <w:tcPr>
            <w:tcW w:w="120" w:type="dxa"/>
            <w:vAlign w:val="bottom"/>
            <w:shd w:val="clear" w:color="auto" w:fill="E3F1DA"/>
          </w:tcPr>
          <w:p>
            <w:pPr>
              <w:spacing w:after="0"/>
              <w:rPr>
                <w:sz w:val="16"/>
                <w:szCs w:val="16"/>
                <w:color w:val="auto"/>
              </w:rPr>
            </w:pPr>
          </w:p>
        </w:tc>
        <w:tc>
          <w:tcPr>
            <w:tcW w:w="1340" w:type="dxa"/>
            <w:vAlign w:val="bottom"/>
            <w:shd w:val="clear" w:color="auto" w:fill="E3F1DA"/>
          </w:tcPr>
          <w:p>
            <w:pPr>
              <w:jc w:val="right"/>
              <w:ind w:right="130"/>
              <w:spacing w:after="0" w:line="195" w:lineRule="exact"/>
              <w:rPr>
                <w:sz w:val="20"/>
                <w:szCs w:val="20"/>
                <w:color w:val="auto"/>
              </w:rPr>
            </w:pPr>
            <w:r>
              <w:rPr>
                <w:rFonts w:ascii="Arial" w:cs="Arial" w:eastAsia="Arial" w:hAnsi="Arial"/>
                <w:sz w:val="18"/>
                <w:szCs w:val="18"/>
                <w:color w:val="86B6A5"/>
              </w:rPr>
              <w:t>0.4</w:t>
            </w:r>
          </w:p>
        </w:tc>
        <w:tc>
          <w:tcPr>
            <w:tcW w:w="380" w:type="dxa"/>
            <w:vAlign w:val="bottom"/>
          </w:tcPr>
          <w:p>
            <w:pPr>
              <w:spacing w:after="0"/>
              <w:rPr>
                <w:sz w:val="16"/>
                <w:szCs w:val="16"/>
                <w:color w:val="auto"/>
              </w:rPr>
            </w:pPr>
          </w:p>
        </w:tc>
        <w:tc>
          <w:tcPr>
            <w:tcW w:w="980" w:type="dxa"/>
            <w:vAlign w:val="bottom"/>
          </w:tcPr>
          <w:p>
            <w:pPr>
              <w:jc w:val="right"/>
              <w:ind w:right="30"/>
              <w:spacing w:after="0" w:line="195" w:lineRule="exact"/>
              <w:rPr>
                <w:sz w:val="20"/>
                <w:szCs w:val="20"/>
                <w:color w:val="auto"/>
              </w:rPr>
            </w:pPr>
            <w:r>
              <w:rPr>
                <w:rFonts w:ascii="Arial" w:cs="Arial" w:eastAsia="Arial" w:hAnsi="Arial"/>
                <w:sz w:val="18"/>
                <w:szCs w:val="18"/>
                <w:color w:val="auto"/>
              </w:rPr>
              <w:t>1.1</w:t>
            </w:r>
          </w:p>
        </w:tc>
        <w:tc>
          <w:tcPr>
            <w:tcW w:w="480" w:type="dxa"/>
            <w:vAlign w:val="bottom"/>
          </w:tcPr>
          <w:p>
            <w:pPr>
              <w:spacing w:after="0"/>
              <w:rPr>
                <w:sz w:val="16"/>
                <w:szCs w:val="16"/>
                <w:color w:val="auto"/>
              </w:rPr>
            </w:pPr>
          </w:p>
        </w:tc>
        <w:tc>
          <w:tcPr>
            <w:tcW w:w="860" w:type="dxa"/>
            <w:vAlign w:val="bottom"/>
          </w:tcPr>
          <w:p>
            <w:pPr>
              <w:jc w:val="right"/>
              <w:spacing w:after="0" w:line="195" w:lineRule="exact"/>
              <w:rPr>
                <w:sz w:val="20"/>
                <w:szCs w:val="20"/>
                <w:color w:val="auto"/>
              </w:rPr>
            </w:pPr>
            <w:r>
              <w:rPr>
                <w:rFonts w:ascii="Arial" w:cs="Arial" w:eastAsia="Arial" w:hAnsi="Arial"/>
                <w:sz w:val="18"/>
                <w:szCs w:val="18"/>
                <w:color w:val="auto"/>
              </w:rPr>
              <w:t>2.0</w:t>
            </w:r>
          </w:p>
        </w:tc>
      </w:tr>
      <w:tr>
        <w:trPr>
          <w:trHeight w:val="203"/>
        </w:trPr>
        <w:tc>
          <w:tcPr>
            <w:tcW w:w="7040" w:type="dxa"/>
            <w:vAlign w:val="bottom"/>
            <w:gridSpan w:val="2"/>
          </w:tcPr>
          <w:p>
            <w:pPr>
              <w:spacing w:after="0" w:line="202" w:lineRule="exact"/>
              <w:rPr>
                <w:sz w:val="20"/>
                <w:szCs w:val="20"/>
                <w:color w:val="auto"/>
              </w:rPr>
            </w:pPr>
            <w:r>
              <w:rPr>
                <w:rFonts w:ascii="Arial" w:cs="Arial" w:eastAsia="Arial" w:hAnsi="Arial"/>
                <w:sz w:val="18"/>
                <w:szCs w:val="18"/>
                <w:color w:val="auto"/>
              </w:rPr>
              <w:t>EMEA:</w:t>
            </w:r>
          </w:p>
        </w:tc>
        <w:tc>
          <w:tcPr>
            <w:tcW w:w="120" w:type="dxa"/>
            <w:vAlign w:val="bottom"/>
            <w:shd w:val="clear" w:color="auto" w:fill="E3F1DA"/>
          </w:tcPr>
          <w:p>
            <w:pPr>
              <w:spacing w:after="0"/>
              <w:rPr>
                <w:sz w:val="17"/>
                <w:szCs w:val="17"/>
                <w:color w:val="auto"/>
              </w:rPr>
            </w:pPr>
          </w:p>
        </w:tc>
        <w:tc>
          <w:tcPr>
            <w:tcW w:w="1340" w:type="dxa"/>
            <w:vAlign w:val="bottom"/>
            <w:shd w:val="clear" w:color="auto" w:fill="E3F1DA"/>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020" w:type="dxa"/>
            <w:vAlign w:val="bottom"/>
          </w:tcPr>
          <w:p>
            <w:pPr>
              <w:ind w:left="260"/>
              <w:spacing w:after="0" w:line="202" w:lineRule="exact"/>
              <w:rPr>
                <w:sz w:val="20"/>
                <w:szCs w:val="20"/>
                <w:color w:val="auto"/>
              </w:rPr>
            </w:pPr>
            <w:r>
              <w:rPr>
                <w:rFonts w:ascii="Arial" w:cs="Arial" w:eastAsia="Arial" w:hAnsi="Arial"/>
                <w:sz w:val="18"/>
                <w:szCs w:val="18"/>
                <w:color w:val="auto"/>
              </w:rPr>
              <w:t>Italy</w:t>
            </w:r>
          </w:p>
        </w:tc>
        <w:tc>
          <w:tcPr>
            <w:tcW w:w="120" w:type="dxa"/>
            <w:vAlign w:val="bottom"/>
            <w:shd w:val="clear" w:color="auto" w:fill="E3F1DA"/>
          </w:tcPr>
          <w:p>
            <w:pPr>
              <w:spacing w:after="0"/>
              <w:rPr>
                <w:sz w:val="17"/>
                <w:szCs w:val="17"/>
                <w:color w:val="auto"/>
              </w:rPr>
            </w:pPr>
          </w:p>
        </w:tc>
        <w:tc>
          <w:tcPr>
            <w:tcW w:w="1340" w:type="dxa"/>
            <w:vAlign w:val="bottom"/>
            <w:shd w:val="clear" w:color="auto" w:fill="E3F1DA"/>
          </w:tcPr>
          <w:p>
            <w:pPr>
              <w:jc w:val="right"/>
              <w:ind w:right="130"/>
              <w:spacing w:after="0" w:line="202" w:lineRule="exact"/>
              <w:rPr>
                <w:sz w:val="20"/>
                <w:szCs w:val="20"/>
                <w:color w:val="auto"/>
              </w:rPr>
            </w:pPr>
            <w:r>
              <w:rPr>
                <w:rFonts w:ascii="Arial" w:cs="Arial" w:eastAsia="Arial" w:hAnsi="Arial"/>
                <w:sz w:val="18"/>
                <w:szCs w:val="18"/>
                <w:color w:val="86B6A5"/>
              </w:rPr>
              <w:t>–</w:t>
            </w:r>
          </w:p>
        </w:tc>
        <w:tc>
          <w:tcPr>
            <w:tcW w:w="380" w:type="dxa"/>
            <w:vAlign w:val="bottom"/>
          </w:tcPr>
          <w:p>
            <w:pPr>
              <w:spacing w:after="0"/>
              <w:rPr>
                <w:sz w:val="17"/>
                <w:szCs w:val="17"/>
                <w:color w:val="auto"/>
              </w:rPr>
            </w:pPr>
          </w:p>
        </w:tc>
        <w:tc>
          <w:tcPr>
            <w:tcW w:w="9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48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7020" w:type="dxa"/>
            <w:vAlign w:val="bottom"/>
            <w:tcBorders>
              <w:bottom w:val="single" w:sz="8" w:color="939598"/>
            </w:tcBorders>
          </w:tcPr>
          <w:p>
            <w:pPr>
              <w:ind w:left="260"/>
              <w:spacing w:after="0" w:line="203" w:lineRule="exact"/>
              <w:rPr>
                <w:sz w:val="20"/>
                <w:szCs w:val="20"/>
                <w:color w:val="auto"/>
              </w:rPr>
            </w:pPr>
            <w:r>
              <w:rPr>
                <w:rFonts w:ascii="Arial" w:cs="Arial" w:eastAsia="Arial" w:hAnsi="Arial"/>
                <w:sz w:val="18"/>
                <w:szCs w:val="18"/>
                <w:color w:val="auto"/>
              </w:rPr>
              <w:t>Other EMEA</w:t>
            </w:r>
          </w:p>
        </w:tc>
        <w:tc>
          <w:tcPr>
            <w:tcW w:w="120" w:type="dxa"/>
            <w:vAlign w:val="bottom"/>
            <w:tcBorders>
              <w:bottom w:val="single" w:sz="8" w:color="939598"/>
            </w:tcBorders>
            <w:shd w:val="clear" w:color="auto" w:fill="E3F1DA"/>
          </w:tcPr>
          <w:p>
            <w:pPr>
              <w:spacing w:after="0"/>
              <w:rPr>
                <w:sz w:val="17"/>
                <w:szCs w:val="17"/>
                <w:color w:val="auto"/>
              </w:rPr>
            </w:pPr>
          </w:p>
        </w:tc>
        <w:tc>
          <w:tcPr>
            <w:tcW w:w="1340" w:type="dxa"/>
            <w:vAlign w:val="bottom"/>
            <w:tcBorders>
              <w:bottom w:val="single" w:sz="8" w:color="939598"/>
            </w:tcBorders>
            <w:shd w:val="clear" w:color="auto" w:fill="E3F1DA"/>
          </w:tcPr>
          <w:p>
            <w:pPr>
              <w:jc w:val="right"/>
              <w:ind w:right="130"/>
              <w:spacing w:after="0" w:line="203" w:lineRule="exact"/>
              <w:rPr>
                <w:sz w:val="20"/>
                <w:szCs w:val="20"/>
                <w:color w:val="auto"/>
              </w:rPr>
            </w:pPr>
            <w:r>
              <w:rPr>
                <w:rFonts w:ascii="Arial" w:cs="Arial" w:eastAsia="Arial" w:hAnsi="Arial"/>
                <w:sz w:val="18"/>
                <w:szCs w:val="18"/>
                <w:color w:val="86B6A5"/>
              </w:rPr>
              <w:t>70.5</w:t>
            </w:r>
          </w:p>
        </w:tc>
        <w:tc>
          <w:tcPr>
            <w:tcW w:w="380" w:type="dxa"/>
            <w:vAlign w:val="bottom"/>
            <w:tcBorders>
              <w:bottom w:val="single" w:sz="8" w:color="939598"/>
            </w:tcBorders>
          </w:tcPr>
          <w:p>
            <w:pPr>
              <w:spacing w:after="0"/>
              <w:rPr>
                <w:sz w:val="17"/>
                <w:szCs w:val="17"/>
                <w:color w:val="auto"/>
              </w:rPr>
            </w:pPr>
          </w:p>
        </w:tc>
        <w:tc>
          <w:tcPr>
            <w:tcW w:w="980" w:type="dxa"/>
            <w:vAlign w:val="bottom"/>
            <w:tcBorders>
              <w:bottom w:val="single" w:sz="8" w:color="939598"/>
            </w:tcBorders>
          </w:tcPr>
          <w:p>
            <w:pPr>
              <w:jc w:val="right"/>
              <w:ind w:right="30"/>
              <w:spacing w:after="0" w:line="203" w:lineRule="exact"/>
              <w:rPr>
                <w:sz w:val="20"/>
                <w:szCs w:val="20"/>
                <w:color w:val="auto"/>
              </w:rPr>
            </w:pPr>
            <w:r>
              <w:rPr>
                <w:rFonts w:ascii="Arial" w:cs="Arial" w:eastAsia="Arial" w:hAnsi="Arial"/>
                <w:sz w:val="18"/>
                <w:szCs w:val="18"/>
                <w:color w:val="auto"/>
              </w:rPr>
              <w:t>64.0</w:t>
            </w:r>
          </w:p>
        </w:tc>
        <w:tc>
          <w:tcPr>
            <w:tcW w:w="480" w:type="dxa"/>
            <w:vAlign w:val="bottom"/>
            <w:tcBorders>
              <w:bottom w:val="single" w:sz="8" w:color="939598"/>
            </w:tcBorders>
          </w:tcPr>
          <w:p>
            <w:pPr>
              <w:spacing w:after="0"/>
              <w:rPr>
                <w:sz w:val="17"/>
                <w:szCs w:val="17"/>
                <w:color w:val="auto"/>
              </w:rPr>
            </w:pPr>
          </w:p>
        </w:tc>
        <w:tc>
          <w:tcPr>
            <w:tcW w:w="860" w:type="dxa"/>
            <w:vAlign w:val="bottom"/>
            <w:tcBorders>
              <w:bottom w:val="single" w:sz="8" w:color="939598"/>
            </w:tcBorders>
          </w:tcPr>
          <w:p>
            <w:pPr>
              <w:jc w:val="right"/>
              <w:spacing w:after="0" w:line="203" w:lineRule="exact"/>
              <w:rPr>
                <w:sz w:val="20"/>
                <w:szCs w:val="20"/>
                <w:color w:val="auto"/>
              </w:rPr>
            </w:pPr>
            <w:r>
              <w:rPr>
                <w:rFonts w:ascii="Arial" w:cs="Arial" w:eastAsia="Arial" w:hAnsi="Arial"/>
                <w:sz w:val="18"/>
                <w:szCs w:val="18"/>
                <w:color w:val="auto"/>
              </w:rPr>
              <w:t>55.6</w:t>
            </w:r>
          </w:p>
        </w:tc>
      </w:tr>
      <w:tr>
        <w:trPr>
          <w:trHeight w:val="196"/>
        </w:trPr>
        <w:tc>
          <w:tcPr>
            <w:tcW w:w="20" w:type="dxa"/>
            <w:vAlign w:val="bottom"/>
          </w:tcPr>
          <w:p>
            <w:pPr>
              <w:spacing w:after="0"/>
              <w:rPr>
                <w:sz w:val="17"/>
                <w:szCs w:val="17"/>
                <w:color w:val="auto"/>
              </w:rPr>
            </w:pPr>
          </w:p>
        </w:tc>
        <w:tc>
          <w:tcPr>
            <w:tcW w:w="7020" w:type="dxa"/>
            <w:vAlign w:val="bottom"/>
            <w:tcBorders>
              <w:bottom w:val="single" w:sz="8" w:color="939598"/>
            </w:tcBorders>
          </w:tcPr>
          <w:p>
            <w:pPr>
              <w:spacing w:after="0"/>
              <w:rPr>
                <w:sz w:val="17"/>
                <w:szCs w:val="17"/>
                <w:color w:val="auto"/>
              </w:rPr>
            </w:pPr>
          </w:p>
        </w:tc>
        <w:tc>
          <w:tcPr>
            <w:tcW w:w="120" w:type="dxa"/>
            <w:vAlign w:val="bottom"/>
            <w:tcBorders>
              <w:bottom w:val="single" w:sz="8" w:color="939598"/>
            </w:tcBorders>
            <w:shd w:val="clear" w:color="auto" w:fill="E3F1DA"/>
          </w:tcPr>
          <w:p>
            <w:pPr>
              <w:spacing w:after="0"/>
              <w:rPr>
                <w:sz w:val="17"/>
                <w:szCs w:val="17"/>
                <w:color w:val="auto"/>
              </w:rPr>
            </w:pPr>
          </w:p>
        </w:tc>
        <w:tc>
          <w:tcPr>
            <w:tcW w:w="1340" w:type="dxa"/>
            <w:vAlign w:val="bottom"/>
            <w:tcBorders>
              <w:bottom w:val="single" w:sz="8" w:color="939598"/>
            </w:tcBorders>
            <w:shd w:val="clear" w:color="auto" w:fill="E3F1DA"/>
          </w:tcPr>
          <w:p>
            <w:pPr>
              <w:jc w:val="right"/>
              <w:ind w:right="130"/>
              <w:spacing w:after="0" w:line="196" w:lineRule="exact"/>
              <w:rPr>
                <w:sz w:val="20"/>
                <w:szCs w:val="20"/>
                <w:color w:val="auto"/>
              </w:rPr>
            </w:pPr>
            <w:r>
              <w:rPr>
                <w:rFonts w:ascii="Arial" w:cs="Arial" w:eastAsia="Arial" w:hAnsi="Arial"/>
                <w:sz w:val="18"/>
                <w:szCs w:val="18"/>
                <w:color w:val="86B6A5"/>
              </w:rPr>
              <w:t>70.5</w:t>
            </w:r>
          </w:p>
        </w:tc>
        <w:tc>
          <w:tcPr>
            <w:tcW w:w="380" w:type="dxa"/>
            <w:vAlign w:val="bottom"/>
            <w:tcBorders>
              <w:bottom w:val="single" w:sz="8" w:color="939598"/>
            </w:tcBorders>
          </w:tcPr>
          <w:p>
            <w:pPr>
              <w:spacing w:after="0"/>
              <w:rPr>
                <w:sz w:val="17"/>
                <w:szCs w:val="17"/>
                <w:color w:val="auto"/>
              </w:rPr>
            </w:pPr>
          </w:p>
        </w:tc>
        <w:tc>
          <w:tcPr>
            <w:tcW w:w="980" w:type="dxa"/>
            <w:vAlign w:val="bottom"/>
            <w:tcBorders>
              <w:bottom w:val="single" w:sz="8" w:color="939598"/>
            </w:tcBorders>
          </w:tcPr>
          <w:p>
            <w:pPr>
              <w:jc w:val="right"/>
              <w:ind w:right="30"/>
              <w:spacing w:after="0" w:line="196" w:lineRule="exact"/>
              <w:rPr>
                <w:sz w:val="20"/>
                <w:szCs w:val="20"/>
                <w:color w:val="auto"/>
              </w:rPr>
            </w:pPr>
            <w:r>
              <w:rPr>
                <w:rFonts w:ascii="Arial" w:cs="Arial" w:eastAsia="Arial" w:hAnsi="Arial"/>
                <w:sz w:val="18"/>
                <w:szCs w:val="18"/>
                <w:color w:val="auto"/>
              </w:rPr>
              <w:t>64.0</w:t>
            </w:r>
          </w:p>
        </w:tc>
        <w:tc>
          <w:tcPr>
            <w:tcW w:w="480" w:type="dxa"/>
            <w:vAlign w:val="bottom"/>
            <w:tcBorders>
              <w:bottom w:val="single" w:sz="8" w:color="939598"/>
            </w:tcBorders>
          </w:tcPr>
          <w:p>
            <w:pPr>
              <w:spacing w:after="0"/>
              <w:rPr>
                <w:sz w:val="17"/>
                <w:szCs w:val="17"/>
                <w:color w:val="auto"/>
              </w:rPr>
            </w:pPr>
          </w:p>
        </w:tc>
        <w:tc>
          <w:tcPr>
            <w:tcW w:w="860" w:type="dxa"/>
            <w:vAlign w:val="bottom"/>
            <w:tcBorders>
              <w:bottom w:val="single" w:sz="8" w:color="939598"/>
            </w:tcBorders>
          </w:tcPr>
          <w:p>
            <w:pPr>
              <w:jc w:val="right"/>
              <w:spacing w:after="0" w:line="196" w:lineRule="exact"/>
              <w:rPr>
                <w:sz w:val="20"/>
                <w:szCs w:val="20"/>
                <w:color w:val="auto"/>
              </w:rPr>
            </w:pPr>
            <w:r>
              <w:rPr>
                <w:rFonts w:ascii="Arial" w:cs="Arial" w:eastAsia="Arial" w:hAnsi="Arial"/>
                <w:sz w:val="18"/>
                <w:szCs w:val="18"/>
                <w:color w:val="auto"/>
              </w:rPr>
              <w:t>55.6</w:t>
            </w:r>
          </w:p>
        </w:tc>
      </w:tr>
      <w:tr>
        <w:trPr>
          <w:trHeight w:val="195"/>
        </w:trPr>
        <w:tc>
          <w:tcPr>
            <w:tcW w:w="20" w:type="dxa"/>
            <w:vAlign w:val="bottom"/>
          </w:tcPr>
          <w:p>
            <w:pPr>
              <w:spacing w:after="0"/>
              <w:rPr>
                <w:sz w:val="16"/>
                <w:szCs w:val="16"/>
                <w:color w:val="auto"/>
              </w:rPr>
            </w:pPr>
          </w:p>
        </w:tc>
        <w:tc>
          <w:tcPr>
            <w:tcW w:w="7020" w:type="dxa"/>
            <w:vAlign w:val="bottom"/>
          </w:tcPr>
          <w:p>
            <w:pPr>
              <w:spacing w:after="0" w:line="195" w:lineRule="exact"/>
              <w:rPr>
                <w:sz w:val="20"/>
                <w:szCs w:val="20"/>
                <w:color w:val="auto"/>
              </w:rPr>
            </w:pPr>
            <w:r>
              <w:rPr>
                <w:rFonts w:ascii="Arial" w:cs="Arial" w:eastAsia="Arial" w:hAnsi="Arial"/>
                <w:sz w:val="18"/>
                <w:szCs w:val="18"/>
                <w:color w:val="auto"/>
              </w:rPr>
              <w:t>Asia Pacific</w:t>
            </w:r>
          </w:p>
        </w:tc>
        <w:tc>
          <w:tcPr>
            <w:tcW w:w="120" w:type="dxa"/>
            <w:vAlign w:val="bottom"/>
            <w:shd w:val="clear" w:color="auto" w:fill="E3F1DA"/>
          </w:tcPr>
          <w:p>
            <w:pPr>
              <w:spacing w:after="0"/>
              <w:rPr>
                <w:sz w:val="16"/>
                <w:szCs w:val="16"/>
                <w:color w:val="auto"/>
              </w:rPr>
            </w:pPr>
          </w:p>
        </w:tc>
        <w:tc>
          <w:tcPr>
            <w:tcW w:w="1340" w:type="dxa"/>
            <w:vAlign w:val="bottom"/>
            <w:shd w:val="clear" w:color="auto" w:fill="E3F1DA"/>
          </w:tcPr>
          <w:p>
            <w:pPr>
              <w:jc w:val="right"/>
              <w:ind w:right="130"/>
              <w:spacing w:after="0" w:line="195" w:lineRule="exact"/>
              <w:rPr>
                <w:sz w:val="20"/>
                <w:szCs w:val="20"/>
                <w:color w:val="auto"/>
              </w:rPr>
            </w:pPr>
            <w:r>
              <w:rPr>
                <w:rFonts w:ascii="Arial" w:cs="Arial" w:eastAsia="Arial" w:hAnsi="Arial"/>
                <w:sz w:val="18"/>
                <w:szCs w:val="18"/>
                <w:color w:val="86B6A5"/>
              </w:rPr>
              <w:t>0.7</w:t>
            </w:r>
          </w:p>
        </w:tc>
        <w:tc>
          <w:tcPr>
            <w:tcW w:w="380" w:type="dxa"/>
            <w:vAlign w:val="bottom"/>
          </w:tcPr>
          <w:p>
            <w:pPr>
              <w:spacing w:after="0"/>
              <w:rPr>
                <w:sz w:val="16"/>
                <w:szCs w:val="16"/>
                <w:color w:val="auto"/>
              </w:rPr>
            </w:pPr>
          </w:p>
        </w:tc>
        <w:tc>
          <w:tcPr>
            <w:tcW w:w="980" w:type="dxa"/>
            <w:vAlign w:val="bottom"/>
          </w:tcPr>
          <w:p>
            <w:pPr>
              <w:jc w:val="right"/>
              <w:ind w:right="30"/>
              <w:spacing w:after="0" w:line="195" w:lineRule="exact"/>
              <w:rPr>
                <w:sz w:val="20"/>
                <w:szCs w:val="20"/>
                <w:color w:val="auto"/>
              </w:rPr>
            </w:pPr>
            <w:r>
              <w:rPr>
                <w:rFonts w:ascii="Arial" w:cs="Arial" w:eastAsia="Arial" w:hAnsi="Arial"/>
                <w:sz w:val="18"/>
                <w:szCs w:val="18"/>
                <w:color w:val="auto"/>
              </w:rPr>
              <w:t>0.4</w:t>
            </w:r>
          </w:p>
        </w:tc>
        <w:tc>
          <w:tcPr>
            <w:tcW w:w="480" w:type="dxa"/>
            <w:vAlign w:val="bottom"/>
          </w:tcPr>
          <w:p>
            <w:pPr>
              <w:spacing w:after="0"/>
              <w:rPr>
                <w:sz w:val="16"/>
                <w:szCs w:val="16"/>
                <w:color w:val="auto"/>
              </w:rPr>
            </w:pPr>
          </w:p>
        </w:tc>
        <w:tc>
          <w:tcPr>
            <w:tcW w:w="860" w:type="dxa"/>
            <w:vAlign w:val="bottom"/>
          </w:tcPr>
          <w:p>
            <w:pPr>
              <w:jc w:val="right"/>
              <w:spacing w:after="0" w:line="195" w:lineRule="exact"/>
              <w:rPr>
                <w:sz w:val="20"/>
                <w:szCs w:val="20"/>
                <w:color w:val="auto"/>
              </w:rPr>
            </w:pPr>
            <w:r>
              <w:rPr>
                <w:rFonts w:ascii="Arial" w:cs="Arial" w:eastAsia="Arial" w:hAnsi="Arial"/>
                <w:sz w:val="18"/>
                <w:szCs w:val="18"/>
                <w:color w:val="auto"/>
              </w:rPr>
              <w:t>23.4</w:t>
            </w:r>
          </w:p>
        </w:tc>
      </w:tr>
      <w:tr>
        <w:trPr>
          <w:trHeight w:val="203"/>
        </w:trPr>
        <w:tc>
          <w:tcPr>
            <w:tcW w:w="7040" w:type="dxa"/>
            <w:vAlign w:val="bottom"/>
            <w:gridSpan w:val="2"/>
          </w:tcPr>
          <w:p>
            <w:pPr>
              <w:spacing w:after="0" w:line="203" w:lineRule="exact"/>
              <w:rPr>
                <w:sz w:val="20"/>
                <w:szCs w:val="20"/>
                <w:color w:val="auto"/>
              </w:rPr>
            </w:pPr>
            <w:r>
              <w:rPr>
                <w:rFonts w:ascii="Arial" w:cs="Arial" w:eastAsia="Arial" w:hAnsi="Arial"/>
                <w:sz w:val="18"/>
                <w:szCs w:val="18"/>
                <w:color w:val="auto"/>
              </w:rPr>
              <w:t>Right Management</w:t>
            </w:r>
          </w:p>
        </w:tc>
        <w:tc>
          <w:tcPr>
            <w:tcW w:w="120" w:type="dxa"/>
            <w:vAlign w:val="bottom"/>
            <w:shd w:val="clear" w:color="auto" w:fill="E3F1DA"/>
          </w:tcPr>
          <w:p>
            <w:pPr>
              <w:spacing w:after="0"/>
              <w:rPr>
                <w:sz w:val="17"/>
                <w:szCs w:val="17"/>
                <w:color w:val="auto"/>
              </w:rPr>
            </w:pPr>
          </w:p>
        </w:tc>
        <w:tc>
          <w:tcPr>
            <w:tcW w:w="1340" w:type="dxa"/>
            <w:vAlign w:val="bottom"/>
            <w:shd w:val="clear" w:color="auto" w:fill="E3F1DA"/>
          </w:tcPr>
          <w:p>
            <w:pPr>
              <w:jc w:val="right"/>
              <w:ind w:right="130"/>
              <w:spacing w:after="0" w:line="203" w:lineRule="exact"/>
              <w:rPr>
                <w:sz w:val="20"/>
                <w:szCs w:val="20"/>
                <w:color w:val="auto"/>
              </w:rPr>
            </w:pPr>
            <w:r>
              <w:rPr>
                <w:rFonts w:ascii="Arial" w:cs="Arial" w:eastAsia="Arial" w:hAnsi="Arial"/>
                <w:sz w:val="18"/>
                <w:szCs w:val="18"/>
                <w:color w:val="86B6A5"/>
              </w:rPr>
              <w:t>–</w:t>
            </w:r>
          </w:p>
        </w:tc>
        <w:tc>
          <w:tcPr>
            <w:tcW w:w="380" w:type="dxa"/>
            <w:vAlign w:val="bottom"/>
          </w:tcPr>
          <w:p>
            <w:pPr>
              <w:spacing w:after="0"/>
              <w:rPr>
                <w:sz w:val="17"/>
                <w:szCs w:val="17"/>
                <w:color w:val="auto"/>
              </w:rPr>
            </w:pPr>
          </w:p>
        </w:tc>
        <w:tc>
          <w:tcPr>
            <w:tcW w:w="980" w:type="dxa"/>
            <w:vAlign w:val="bottom"/>
          </w:tcPr>
          <w:p>
            <w:pPr>
              <w:jc w:val="right"/>
              <w:ind w:right="30"/>
              <w:spacing w:after="0" w:line="203" w:lineRule="exact"/>
              <w:rPr>
                <w:sz w:val="20"/>
                <w:szCs w:val="20"/>
                <w:color w:val="auto"/>
              </w:rPr>
            </w:pPr>
            <w:r>
              <w:rPr>
                <w:rFonts w:ascii="Arial" w:cs="Arial" w:eastAsia="Arial" w:hAnsi="Arial"/>
                <w:sz w:val="18"/>
                <w:szCs w:val="18"/>
                <w:color w:val="auto"/>
              </w:rPr>
              <w:t>–</w:t>
            </w:r>
          </w:p>
        </w:tc>
        <w:tc>
          <w:tcPr>
            <w:tcW w:w="480" w:type="dxa"/>
            <w:vAlign w:val="bottom"/>
          </w:tcPr>
          <w:p>
            <w:pPr>
              <w:spacing w:after="0"/>
              <w:rPr>
                <w:sz w:val="17"/>
                <w:szCs w:val="17"/>
                <w:color w:val="auto"/>
              </w:rPr>
            </w:pPr>
          </w:p>
        </w:tc>
        <w:tc>
          <w:tcPr>
            <w:tcW w:w="86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7020" w:type="dxa"/>
            <w:vAlign w:val="bottom"/>
            <w:tcBorders>
              <w:top w:val="single" w:sz="8" w:color="939598"/>
              <w:bottom w:val="single" w:sz="8" w:color="939598"/>
            </w:tcBorders>
          </w:tcPr>
          <w:p>
            <w:pPr>
              <w:spacing w:after="0"/>
              <w:rPr>
                <w:sz w:val="17"/>
                <w:szCs w:val="17"/>
                <w:color w:val="auto"/>
              </w:rPr>
            </w:pPr>
          </w:p>
        </w:tc>
        <w:tc>
          <w:tcPr>
            <w:tcW w:w="120" w:type="dxa"/>
            <w:vAlign w:val="bottom"/>
            <w:tcBorders>
              <w:top w:val="single" w:sz="8" w:color="939598"/>
              <w:bottom w:val="single" w:sz="8" w:color="939598"/>
            </w:tcBorders>
            <w:shd w:val="clear" w:color="auto" w:fill="E3F1DA"/>
          </w:tcPr>
          <w:p>
            <w:pPr>
              <w:jc w:val="right"/>
              <w:spacing w:after="0" w:line="196" w:lineRule="exact"/>
              <w:rPr>
                <w:sz w:val="20"/>
                <w:szCs w:val="20"/>
                <w:color w:val="auto"/>
              </w:rPr>
            </w:pPr>
            <w:r>
              <w:rPr>
                <w:rFonts w:ascii="Arial" w:cs="Arial" w:eastAsia="Arial" w:hAnsi="Arial"/>
                <w:sz w:val="18"/>
                <w:szCs w:val="18"/>
                <w:color w:val="86B6A5"/>
                <w:w w:val="79"/>
              </w:rPr>
              <w:t>$</w:t>
            </w:r>
          </w:p>
        </w:tc>
        <w:tc>
          <w:tcPr>
            <w:tcW w:w="1340" w:type="dxa"/>
            <w:vAlign w:val="bottom"/>
            <w:tcBorders>
              <w:top w:val="single" w:sz="8" w:color="939598"/>
              <w:bottom w:val="single" w:sz="8" w:color="939598"/>
            </w:tcBorders>
            <w:shd w:val="clear" w:color="auto" w:fill="E3F1DA"/>
          </w:tcPr>
          <w:p>
            <w:pPr>
              <w:jc w:val="right"/>
              <w:ind w:right="130"/>
              <w:spacing w:after="0" w:line="196" w:lineRule="exact"/>
              <w:rPr>
                <w:sz w:val="20"/>
                <w:szCs w:val="20"/>
                <w:color w:val="auto"/>
              </w:rPr>
            </w:pPr>
            <w:r>
              <w:rPr>
                <w:rFonts w:ascii="Arial" w:cs="Arial" w:eastAsia="Arial" w:hAnsi="Arial"/>
                <w:sz w:val="18"/>
                <w:szCs w:val="18"/>
                <w:color w:val="86B6A5"/>
              </w:rPr>
              <w:t>71.6</w:t>
            </w:r>
          </w:p>
        </w:tc>
        <w:tc>
          <w:tcPr>
            <w:tcW w:w="380" w:type="dxa"/>
            <w:vAlign w:val="bottom"/>
            <w:tcBorders>
              <w:top w:val="single" w:sz="8" w:color="939598"/>
              <w:bottom w:val="single" w:sz="8" w:color="939598"/>
            </w:tcBorders>
          </w:tcPr>
          <w:p>
            <w:pPr>
              <w:jc w:val="right"/>
              <w:ind w:right="19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939598"/>
              <w:bottom w:val="single" w:sz="8" w:color="939598"/>
            </w:tcBorders>
          </w:tcPr>
          <w:p>
            <w:pPr>
              <w:jc w:val="right"/>
              <w:ind w:right="30"/>
              <w:spacing w:after="0" w:line="196" w:lineRule="exact"/>
              <w:rPr>
                <w:sz w:val="20"/>
                <w:szCs w:val="20"/>
                <w:color w:val="auto"/>
              </w:rPr>
            </w:pPr>
            <w:r>
              <w:rPr>
                <w:rFonts w:ascii="Arial" w:cs="Arial" w:eastAsia="Arial" w:hAnsi="Arial"/>
                <w:sz w:val="18"/>
                <w:szCs w:val="18"/>
                <w:color w:val="auto"/>
              </w:rPr>
              <w:t>65.5</w:t>
            </w:r>
          </w:p>
        </w:tc>
        <w:tc>
          <w:tcPr>
            <w:tcW w:w="480" w:type="dxa"/>
            <w:vAlign w:val="bottom"/>
            <w:tcBorders>
              <w:top w:val="single" w:sz="8" w:color="939598"/>
              <w:bottom w:val="single" w:sz="8" w:color="939598"/>
            </w:tcBorders>
          </w:tcPr>
          <w:p>
            <w:pPr>
              <w:jc w:val="right"/>
              <w:ind w:right="190"/>
              <w:spacing w:after="0" w:line="196" w:lineRule="exact"/>
              <w:rPr>
                <w:sz w:val="20"/>
                <w:szCs w:val="20"/>
                <w:color w:val="auto"/>
              </w:rPr>
            </w:pPr>
            <w:r>
              <w:rPr>
                <w:rFonts w:ascii="Arial" w:cs="Arial" w:eastAsia="Arial" w:hAnsi="Arial"/>
                <w:sz w:val="18"/>
                <w:szCs w:val="18"/>
                <w:color w:val="auto"/>
              </w:rPr>
              <w:t>$</w:t>
            </w:r>
          </w:p>
        </w:tc>
        <w:tc>
          <w:tcPr>
            <w:tcW w:w="860" w:type="dxa"/>
            <w:vAlign w:val="bottom"/>
            <w:tcBorders>
              <w:top w:val="single" w:sz="8" w:color="939598"/>
              <w:bottom w:val="single" w:sz="8" w:color="939598"/>
            </w:tcBorders>
          </w:tcPr>
          <w:p>
            <w:pPr>
              <w:jc w:val="right"/>
              <w:spacing w:after="0" w:line="196" w:lineRule="exact"/>
              <w:rPr>
                <w:sz w:val="20"/>
                <w:szCs w:val="20"/>
                <w:color w:val="auto"/>
              </w:rPr>
            </w:pPr>
            <w:r>
              <w:rPr>
                <w:rFonts w:ascii="Arial" w:cs="Arial" w:eastAsia="Arial" w:hAnsi="Arial"/>
                <w:sz w:val="18"/>
                <w:szCs w:val="18"/>
                <w:color w:val="auto"/>
              </w:rPr>
              <w:t>81.0</w:t>
            </w:r>
          </w:p>
        </w:tc>
      </w:tr>
    </w:tbl>
    <w:p>
      <w:pPr>
        <w:spacing w:after="0" w:line="218" w:lineRule="exact"/>
        <w:rPr>
          <w:sz w:val="20"/>
          <w:szCs w:val="20"/>
          <w:color w:val="auto"/>
        </w:rPr>
      </w:pPr>
    </w:p>
    <w:p>
      <w:pPr>
        <w:ind w:left="5520" w:hanging="5512"/>
        <w:spacing w:after="0" w:line="542" w:lineRule="auto"/>
        <w:tabs>
          <w:tab w:leader="none" w:pos="385" w:val="left"/>
        </w:tabs>
        <w:numPr>
          <w:ilvl w:val="0"/>
          <w:numId w:val="58"/>
        </w:numPr>
        <w:rPr>
          <w:rFonts w:ascii="Arial" w:cs="Arial" w:eastAsia="Arial" w:hAnsi="Arial"/>
          <w:sz w:val="16"/>
          <w:szCs w:val="16"/>
          <w:color w:val="auto"/>
        </w:rPr>
      </w:pPr>
      <w:r>
        <w:rPr>
          <w:rFonts w:ascii="Arial" w:cs="Arial" w:eastAsia="Arial" w:hAnsi="Arial"/>
          <w:sz w:val="16"/>
          <w:szCs w:val="16"/>
          <w:color w:val="auto"/>
        </w:rPr>
        <w:t xml:space="preserve">Corporate assets include assets that are not used in the operations of any segment, the most significant of which are purchased intangibles and cash. </w:t>
      </w:r>
      <w:r>
        <w:rPr>
          <w:rFonts w:ascii="Arial" w:cs="Arial" w:eastAsia="Arial" w:hAnsi="Arial"/>
          <w:sz w:val="16"/>
          <w:szCs w:val="16"/>
          <w:b w:val="1"/>
          <w:bCs w:val="1"/>
          <w:color w:val="939598"/>
        </w:rPr>
        <w:t xml:space="preserve">Notes to Consolidated Financial Statements </w:t>
      </w:r>
      <w:r>
        <w:rPr>
          <w:rFonts w:ascii="Arial" w:cs="Arial" w:eastAsia="Arial" w:hAnsi="Arial"/>
          <w:sz w:val="16"/>
          <w:szCs w:val="16"/>
          <w:color w:val="4D8ABE"/>
        </w:rPr>
        <w:t>Manpower 2010 Annual Report</w:t>
      </w:r>
      <w:r>
        <w:rPr>
          <w:rFonts w:ascii="Arial" w:cs="Arial" w:eastAsia="Arial" w:hAnsi="Arial"/>
          <w:sz w:val="16"/>
          <w:szCs w:val="16"/>
          <w:b w:val="1"/>
          <w:bCs w:val="1"/>
          <w:color w:val="939598"/>
        </w:rPr>
        <w:t xml:space="preserve"> </w:t>
      </w:r>
      <w:r>
        <w:rPr>
          <w:rFonts w:ascii="Arial" w:cs="Arial" w:eastAsia="Arial" w:hAnsi="Arial"/>
          <w:sz w:val="16"/>
          <w:szCs w:val="16"/>
          <w:b w:val="1"/>
          <w:bCs w:val="1"/>
          <w:color w:val="4D8ABE"/>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-153035</wp:posOffset>
            </wp:positionV>
            <wp:extent cx="7267575" cy="469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ectPr>
          <w:pgSz w:w="11900" w:h="16838" w:orient="portrait"/>
          <w:cols w:equalWidth="0" w:num="1">
            <w:col w:w="11420"/>
          </w:cols>
          <w:pgMar w:left="240" w:top="342" w:right="239" w:bottom="1440" w:gutter="0" w:footer="0" w:header="0"/>
        </w:sectPr>
      </w:pPr>
    </w:p>
    <w:bookmarkStart w:id="106" w:name="page107"/>
    <w:bookmarkEnd w:id="106"/>
    <w:p>
      <w:pPr>
        <w:spacing w:after="0"/>
        <w:rPr>
          <w:sz w:val="20"/>
          <w:szCs w:val="20"/>
          <w:color w:val="auto"/>
        </w:rPr>
      </w:pPr>
      <w:r>
        <w:rPr>
          <w:rFonts w:ascii="Arial" w:cs="Arial" w:eastAsia="Arial" w:hAnsi="Arial"/>
          <w:sz w:val="22"/>
          <w:szCs w:val="22"/>
          <w:color w:val="4D8ABE"/>
        </w:rPr>
        <w:t>Notes To Consolidated Financial Statements</w:t>
      </w:r>
    </w:p>
    <w:p>
      <w:pPr>
        <w:spacing w:after="0"/>
        <w:rPr>
          <w:sz w:val="20"/>
          <w:szCs w:val="20"/>
          <w:color w:val="auto"/>
        </w:rPr>
      </w:pPr>
      <w:r>
        <w:rPr>
          <w:rFonts w:ascii="Arial" w:cs="Arial" w:eastAsia="Arial" w:hAnsi="Arial"/>
          <w:sz w:val="18"/>
          <w:szCs w:val="18"/>
          <w:color w:val="4D8ABE"/>
        </w:rPr>
        <w:t>in millions, except share and per share data</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040" w:type="dxa"/>
            <w:vAlign w:val="bottom"/>
            <w:gridSpan w:val="2"/>
          </w:tcPr>
          <w:p>
            <w:pPr>
              <w:spacing w:after="0"/>
              <w:rPr>
                <w:sz w:val="20"/>
                <w:szCs w:val="20"/>
                <w:color w:val="auto"/>
              </w:rPr>
            </w:pPr>
            <w:r>
              <w:rPr>
                <w:rFonts w:ascii="Arial" w:cs="Arial" w:eastAsia="Arial" w:hAnsi="Arial"/>
                <w:sz w:val="16"/>
                <w:szCs w:val="16"/>
                <w:b w:val="1"/>
                <w:bCs w:val="1"/>
                <w:color w:val="86B6A5"/>
              </w:rPr>
              <w:t>Year Ended December 31</w:t>
            </w:r>
          </w:p>
        </w:tc>
        <w:tc>
          <w:tcPr>
            <w:tcW w:w="120" w:type="dxa"/>
            <w:vAlign w:val="bottom"/>
            <w:shd w:val="clear" w:color="auto" w:fill="86B6A5"/>
          </w:tcPr>
          <w:p>
            <w:pPr>
              <w:spacing w:after="0"/>
              <w:rPr>
                <w:sz w:val="18"/>
                <w:szCs w:val="18"/>
                <w:color w:val="auto"/>
              </w:rPr>
            </w:pPr>
          </w:p>
        </w:tc>
        <w:tc>
          <w:tcPr>
            <w:tcW w:w="1340" w:type="dxa"/>
            <w:vAlign w:val="bottom"/>
            <w:shd w:val="clear" w:color="auto" w:fill="86B6A5"/>
          </w:tcPr>
          <w:p>
            <w:pPr>
              <w:jc w:val="right"/>
              <w:ind w:right="130"/>
              <w:spacing w:after="0"/>
              <w:rPr>
                <w:sz w:val="20"/>
                <w:szCs w:val="20"/>
                <w:color w:val="auto"/>
              </w:rPr>
            </w:pPr>
            <w:r>
              <w:rPr>
                <w:rFonts w:ascii="Arial" w:cs="Arial" w:eastAsia="Arial" w:hAnsi="Arial"/>
                <w:sz w:val="16"/>
                <w:szCs w:val="16"/>
                <w:b w:val="1"/>
                <w:bCs w:val="1"/>
                <w:color w:val="FFFFFF"/>
              </w:rPr>
              <w:t>2010</w:t>
            </w:r>
          </w:p>
        </w:tc>
        <w:tc>
          <w:tcPr>
            <w:tcW w:w="440" w:type="dxa"/>
            <w:vAlign w:val="bottom"/>
          </w:tcPr>
          <w:p>
            <w:pPr>
              <w:spacing w:after="0"/>
              <w:rPr>
                <w:sz w:val="18"/>
                <w:szCs w:val="18"/>
                <w:color w:val="auto"/>
              </w:rPr>
            </w:pPr>
          </w:p>
        </w:tc>
        <w:tc>
          <w:tcPr>
            <w:tcW w:w="920" w:type="dxa"/>
            <w:vAlign w:val="bottom"/>
          </w:tcPr>
          <w:p>
            <w:pPr>
              <w:jc w:val="right"/>
              <w:ind w:right="30"/>
              <w:spacing w:after="0"/>
              <w:rPr>
                <w:sz w:val="20"/>
                <w:szCs w:val="20"/>
                <w:color w:val="auto"/>
              </w:rPr>
            </w:pPr>
            <w:r>
              <w:rPr>
                <w:rFonts w:ascii="Arial" w:cs="Arial" w:eastAsia="Arial" w:hAnsi="Arial"/>
                <w:sz w:val="16"/>
                <w:szCs w:val="16"/>
                <w:b w:val="1"/>
                <w:bCs w:val="1"/>
                <w:color w:val="86B6A5"/>
              </w:rPr>
              <w:t>2009</w:t>
            </w:r>
          </w:p>
        </w:tc>
        <w:tc>
          <w:tcPr>
            <w:tcW w:w="5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86B6A5"/>
              </w:rPr>
              <w:t>2008</w:t>
            </w:r>
          </w:p>
        </w:tc>
        <w:tc>
          <w:tcPr>
            <w:tcW w:w="2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7020" w:type="dxa"/>
            <w:vAlign w:val="bottom"/>
            <w:tcBorders>
              <w:top w:val="single" w:sz="8" w:color="86B6A5"/>
            </w:tcBorders>
          </w:tcPr>
          <w:p>
            <w:pPr>
              <w:spacing w:after="0" w:line="202" w:lineRule="exact"/>
              <w:rPr>
                <w:sz w:val="20"/>
                <w:szCs w:val="20"/>
                <w:color w:val="auto"/>
              </w:rPr>
            </w:pPr>
            <w:r>
              <w:rPr>
                <w:rFonts w:ascii="Arial" w:cs="Arial" w:eastAsia="Arial" w:hAnsi="Arial"/>
                <w:sz w:val="17"/>
                <w:szCs w:val="17"/>
                <w:b w:val="1"/>
                <w:bCs w:val="1"/>
                <w:color w:val="939598"/>
              </w:rPr>
              <w:t>Long-Lived Assets</w:t>
            </w:r>
            <w:r>
              <w:rPr>
                <w:rFonts w:ascii="Arial" w:cs="Arial" w:eastAsia="Arial" w:hAnsi="Arial"/>
                <w:sz w:val="23"/>
                <w:szCs w:val="23"/>
                <w:b w:val="1"/>
                <w:bCs w:val="1"/>
                <w:color w:val="939598"/>
                <w:vertAlign w:val="superscript"/>
              </w:rPr>
              <w:t>(a)</w:t>
            </w:r>
          </w:p>
        </w:tc>
        <w:tc>
          <w:tcPr>
            <w:tcW w:w="120" w:type="dxa"/>
            <w:vAlign w:val="bottom"/>
            <w:tcBorders>
              <w:top w:val="single" w:sz="8" w:color="86B6A5"/>
            </w:tcBorders>
            <w:shd w:val="clear" w:color="auto" w:fill="E3F1DA"/>
          </w:tcPr>
          <w:p>
            <w:pPr>
              <w:spacing w:after="0"/>
              <w:rPr>
                <w:sz w:val="17"/>
                <w:szCs w:val="17"/>
                <w:color w:val="auto"/>
              </w:rPr>
            </w:pPr>
          </w:p>
        </w:tc>
        <w:tc>
          <w:tcPr>
            <w:tcW w:w="1340" w:type="dxa"/>
            <w:vAlign w:val="bottom"/>
            <w:tcBorders>
              <w:top w:val="single" w:sz="8" w:color="86B6A5"/>
            </w:tcBorders>
            <w:shd w:val="clear" w:color="auto" w:fill="E3F1DA"/>
          </w:tcPr>
          <w:p>
            <w:pPr>
              <w:spacing w:after="0"/>
              <w:rPr>
                <w:sz w:val="17"/>
                <w:szCs w:val="17"/>
                <w:color w:val="auto"/>
              </w:rPr>
            </w:pPr>
          </w:p>
        </w:tc>
        <w:tc>
          <w:tcPr>
            <w:tcW w:w="440" w:type="dxa"/>
            <w:vAlign w:val="bottom"/>
            <w:tcBorders>
              <w:top w:val="single" w:sz="8" w:color="86B6A5"/>
            </w:tcBorders>
          </w:tcPr>
          <w:p>
            <w:pPr>
              <w:spacing w:after="0"/>
              <w:rPr>
                <w:sz w:val="17"/>
                <w:szCs w:val="17"/>
                <w:color w:val="auto"/>
              </w:rPr>
            </w:pPr>
          </w:p>
        </w:tc>
        <w:tc>
          <w:tcPr>
            <w:tcW w:w="920" w:type="dxa"/>
            <w:vAlign w:val="bottom"/>
            <w:tcBorders>
              <w:top w:val="single" w:sz="8" w:color="86B6A5"/>
            </w:tcBorders>
          </w:tcPr>
          <w:p>
            <w:pPr>
              <w:spacing w:after="0"/>
              <w:rPr>
                <w:sz w:val="17"/>
                <w:szCs w:val="17"/>
                <w:color w:val="auto"/>
              </w:rPr>
            </w:pPr>
          </w:p>
        </w:tc>
        <w:tc>
          <w:tcPr>
            <w:tcW w:w="540" w:type="dxa"/>
            <w:vAlign w:val="bottom"/>
            <w:tcBorders>
              <w:top w:val="single" w:sz="8" w:color="86B6A5"/>
            </w:tcBorders>
          </w:tcPr>
          <w:p>
            <w:pPr>
              <w:spacing w:after="0"/>
              <w:rPr>
                <w:sz w:val="17"/>
                <w:szCs w:val="17"/>
                <w:color w:val="auto"/>
              </w:rPr>
            </w:pPr>
          </w:p>
        </w:tc>
        <w:tc>
          <w:tcPr>
            <w:tcW w:w="800" w:type="dxa"/>
            <w:vAlign w:val="bottom"/>
            <w:tcBorders>
              <w:top w:val="single" w:sz="8" w:color="86B6A5"/>
            </w:tcBorders>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7040" w:type="dxa"/>
            <w:vAlign w:val="bottom"/>
            <w:gridSpan w:val="2"/>
          </w:tcPr>
          <w:p>
            <w:pPr>
              <w:spacing w:after="0" w:line="202" w:lineRule="exact"/>
              <w:rPr>
                <w:sz w:val="20"/>
                <w:szCs w:val="20"/>
                <w:color w:val="auto"/>
              </w:rPr>
            </w:pPr>
            <w:r>
              <w:rPr>
                <w:rFonts w:ascii="Arial" w:cs="Arial" w:eastAsia="Arial" w:hAnsi="Arial"/>
                <w:sz w:val="18"/>
                <w:szCs w:val="18"/>
                <w:color w:val="auto"/>
              </w:rPr>
              <w:t>Americas:</w:t>
            </w:r>
          </w:p>
        </w:tc>
        <w:tc>
          <w:tcPr>
            <w:tcW w:w="120" w:type="dxa"/>
            <w:vAlign w:val="bottom"/>
            <w:shd w:val="clear" w:color="auto" w:fill="E3F1DA"/>
          </w:tcPr>
          <w:p>
            <w:pPr>
              <w:spacing w:after="0"/>
              <w:rPr>
                <w:sz w:val="17"/>
                <w:szCs w:val="17"/>
                <w:color w:val="auto"/>
              </w:rPr>
            </w:pPr>
          </w:p>
        </w:tc>
        <w:tc>
          <w:tcPr>
            <w:tcW w:w="1340" w:type="dxa"/>
            <w:vAlign w:val="bottom"/>
            <w:shd w:val="clear" w:color="auto" w:fill="E3F1DA"/>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020" w:type="dxa"/>
            <w:vAlign w:val="bottom"/>
          </w:tcPr>
          <w:p>
            <w:pPr>
              <w:ind w:left="260"/>
              <w:spacing w:after="0" w:line="202" w:lineRule="exact"/>
              <w:rPr>
                <w:sz w:val="20"/>
                <w:szCs w:val="20"/>
                <w:color w:val="auto"/>
              </w:rPr>
            </w:pPr>
            <w:r>
              <w:rPr>
                <w:rFonts w:ascii="Arial" w:cs="Arial" w:eastAsia="Arial" w:hAnsi="Arial"/>
                <w:sz w:val="18"/>
                <w:szCs w:val="18"/>
                <w:color w:val="auto"/>
              </w:rPr>
              <w:t>United States</w:t>
            </w:r>
          </w:p>
        </w:tc>
        <w:tc>
          <w:tcPr>
            <w:tcW w:w="120" w:type="dxa"/>
            <w:vAlign w:val="bottom"/>
            <w:shd w:val="clear" w:color="auto" w:fill="E3F1DA"/>
          </w:tcPr>
          <w:p>
            <w:pPr>
              <w:jc w:val="right"/>
              <w:spacing w:after="0" w:line="202" w:lineRule="exact"/>
              <w:rPr>
                <w:sz w:val="20"/>
                <w:szCs w:val="20"/>
                <w:color w:val="auto"/>
              </w:rPr>
            </w:pPr>
            <w:r>
              <w:rPr>
                <w:rFonts w:ascii="Arial" w:cs="Arial" w:eastAsia="Arial" w:hAnsi="Arial"/>
                <w:sz w:val="18"/>
                <w:szCs w:val="18"/>
                <w:color w:val="86B6A5"/>
                <w:w w:val="79"/>
              </w:rPr>
              <w:t>$</w:t>
            </w:r>
          </w:p>
        </w:tc>
        <w:tc>
          <w:tcPr>
            <w:tcW w:w="1340" w:type="dxa"/>
            <w:vAlign w:val="bottom"/>
            <w:shd w:val="clear" w:color="auto" w:fill="E3F1DA"/>
          </w:tcPr>
          <w:p>
            <w:pPr>
              <w:jc w:val="right"/>
              <w:ind w:right="130"/>
              <w:spacing w:after="0" w:line="202" w:lineRule="exact"/>
              <w:rPr>
                <w:sz w:val="20"/>
                <w:szCs w:val="20"/>
                <w:color w:val="auto"/>
              </w:rPr>
            </w:pPr>
            <w:r>
              <w:rPr>
                <w:rFonts w:ascii="Arial" w:cs="Arial" w:eastAsia="Arial" w:hAnsi="Arial"/>
                <w:sz w:val="18"/>
                <w:szCs w:val="18"/>
                <w:color w:val="86B6A5"/>
              </w:rPr>
              <w:t>39.7</w:t>
            </w:r>
          </w:p>
        </w:tc>
        <w:tc>
          <w:tcPr>
            <w:tcW w:w="440" w:type="dxa"/>
            <w:vAlign w:val="bottom"/>
          </w:tcPr>
          <w:p>
            <w:pPr>
              <w:jc w:val="right"/>
              <w:ind w:right="250"/>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37.3</w:t>
            </w:r>
          </w:p>
        </w:tc>
        <w:tc>
          <w:tcPr>
            <w:tcW w:w="540" w:type="dxa"/>
            <w:vAlign w:val="bottom"/>
          </w:tcPr>
          <w:p>
            <w:pPr>
              <w:jc w:val="right"/>
              <w:ind w:right="250"/>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48.3</w:t>
            </w:r>
          </w:p>
        </w:tc>
        <w:tc>
          <w:tcPr>
            <w:tcW w:w="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020" w:type="dxa"/>
            <w:vAlign w:val="bottom"/>
            <w:tcBorders>
              <w:bottom w:val="single" w:sz="8" w:color="939598"/>
            </w:tcBorders>
          </w:tcPr>
          <w:p>
            <w:pPr>
              <w:ind w:left="260"/>
              <w:spacing w:after="0" w:line="203" w:lineRule="exact"/>
              <w:rPr>
                <w:sz w:val="20"/>
                <w:szCs w:val="20"/>
                <w:color w:val="auto"/>
              </w:rPr>
            </w:pPr>
            <w:r>
              <w:rPr>
                <w:rFonts w:ascii="Arial" w:cs="Arial" w:eastAsia="Arial" w:hAnsi="Arial"/>
                <w:sz w:val="18"/>
                <w:szCs w:val="18"/>
                <w:color w:val="auto"/>
              </w:rPr>
              <w:t>Other Americas</w:t>
            </w:r>
          </w:p>
        </w:tc>
        <w:tc>
          <w:tcPr>
            <w:tcW w:w="120" w:type="dxa"/>
            <w:vAlign w:val="bottom"/>
            <w:tcBorders>
              <w:bottom w:val="single" w:sz="8" w:color="939598"/>
            </w:tcBorders>
            <w:shd w:val="clear" w:color="auto" w:fill="E3F1DA"/>
          </w:tcPr>
          <w:p>
            <w:pPr>
              <w:spacing w:after="0"/>
              <w:rPr>
                <w:sz w:val="17"/>
                <w:szCs w:val="17"/>
                <w:color w:val="auto"/>
              </w:rPr>
            </w:pPr>
          </w:p>
        </w:tc>
        <w:tc>
          <w:tcPr>
            <w:tcW w:w="1340" w:type="dxa"/>
            <w:vAlign w:val="bottom"/>
            <w:tcBorders>
              <w:bottom w:val="single" w:sz="8" w:color="939598"/>
            </w:tcBorders>
            <w:shd w:val="clear" w:color="auto" w:fill="E3F1DA"/>
          </w:tcPr>
          <w:p>
            <w:pPr>
              <w:jc w:val="right"/>
              <w:ind w:right="130"/>
              <w:spacing w:after="0" w:line="203" w:lineRule="exact"/>
              <w:rPr>
                <w:sz w:val="20"/>
                <w:szCs w:val="20"/>
                <w:color w:val="auto"/>
              </w:rPr>
            </w:pPr>
            <w:r>
              <w:rPr>
                <w:rFonts w:ascii="Arial" w:cs="Arial" w:eastAsia="Arial" w:hAnsi="Arial"/>
                <w:sz w:val="18"/>
                <w:szCs w:val="18"/>
                <w:color w:val="86B6A5"/>
              </w:rPr>
              <w:t>9.7</w:t>
            </w:r>
          </w:p>
        </w:tc>
        <w:tc>
          <w:tcPr>
            <w:tcW w:w="440" w:type="dxa"/>
            <w:vAlign w:val="bottom"/>
            <w:tcBorders>
              <w:bottom w:val="single" w:sz="8" w:color="939598"/>
            </w:tcBorders>
          </w:tcPr>
          <w:p>
            <w:pPr>
              <w:spacing w:after="0"/>
              <w:rPr>
                <w:sz w:val="17"/>
                <w:szCs w:val="17"/>
                <w:color w:val="auto"/>
              </w:rPr>
            </w:pPr>
          </w:p>
        </w:tc>
        <w:tc>
          <w:tcPr>
            <w:tcW w:w="920" w:type="dxa"/>
            <w:vAlign w:val="bottom"/>
            <w:tcBorders>
              <w:bottom w:val="single" w:sz="8" w:color="939598"/>
            </w:tcBorders>
          </w:tcPr>
          <w:p>
            <w:pPr>
              <w:jc w:val="right"/>
              <w:ind w:right="30"/>
              <w:spacing w:after="0" w:line="203" w:lineRule="exact"/>
              <w:rPr>
                <w:sz w:val="20"/>
                <w:szCs w:val="20"/>
                <w:color w:val="auto"/>
              </w:rPr>
            </w:pPr>
            <w:r>
              <w:rPr>
                <w:rFonts w:ascii="Arial" w:cs="Arial" w:eastAsia="Arial" w:hAnsi="Arial"/>
                <w:sz w:val="18"/>
                <w:szCs w:val="18"/>
                <w:color w:val="auto"/>
              </w:rPr>
              <w:t>9.1</w:t>
            </w:r>
          </w:p>
        </w:tc>
        <w:tc>
          <w:tcPr>
            <w:tcW w:w="540" w:type="dxa"/>
            <w:vAlign w:val="bottom"/>
            <w:tcBorders>
              <w:bottom w:val="single" w:sz="8" w:color="939598"/>
            </w:tcBorders>
          </w:tcPr>
          <w:p>
            <w:pPr>
              <w:spacing w:after="0"/>
              <w:rPr>
                <w:sz w:val="17"/>
                <w:szCs w:val="17"/>
                <w:color w:val="auto"/>
              </w:rPr>
            </w:pPr>
          </w:p>
        </w:tc>
        <w:tc>
          <w:tcPr>
            <w:tcW w:w="800" w:type="dxa"/>
            <w:vAlign w:val="bottom"/>
            <w:tcBorders>
              <w:bottom w:val="single" w:sz="8" w:color="939598"/>
            </w:tcBorders>
          </w:tcPr>
          <w:p>
            <w:pPr>
              <w:jc w:val="right"/>
              <w:spacing w:after="0" w:line="203" w:lineRule="exact"/>
              <w:rPr>
                <w:sz w:val="20"/>
                <w:szCs w:val="20"/>
                <w:color w:val="auto"/>
              </w:rPr>
            </w:pPr>
            <w:r>
              <w:rPr>
                <w:rFonts w:ascii="Arial" w:cs="Arial" w:eastAsia="Arial" w:hAnsi="Arial"/>
                <w:sz w:val="18"/>
                <w:szCs w:val="18"/>
                <w:color w:val="auto"/>
              </w:rPr>
              <w:t>10.0</w:t>
            </w:r>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7020" w:type="dxa"/>
            <w:vAlign w:val="bottom"/>
            <w:tcBorders>
              <w:bottom w:val="single" w:sz="8" w:color="939598"/>
            </w:tcBorders>
          </w:tcPr>
          <w:p>
            <w:pPr>
              <w:spacing w:after="0"/>
              <w:rPr>
                <w:sz w:val="17"/>
                <w:szCs w:val="17"/>
                <w:color w:val="auto"/>
              </w:rPr>
            </w:pPr>
          </w:p>
        </w:tc>
        <w:tc>
          <w:tcPr>
            <w:tcW w:w="120" w:type="dxa"/>
            <w:vAlign w:val="bottom"/>
            <w:tcBorders>
              <w:bottom w:val="single" w:sz="8" w:color="939598"/>
            </w:tcBorders>
            <w:shd w:val="clear" w:color="auto" w:fill="E3F1DA"/>
          </w:tcPr>
          <w:p>
            <w:pPr>
              <w:spacing w:after="0"/>
              <w:rPr>
                <w:sz w:val="17"/>
                <w:szCs w:val="17"/>
                <w:color w:val="auto"/>
              </w:rPr>
            </w:pPr>
          </w:p>
        </w:tc>
        <w:tc>
          <w:tcPr>
            <w:tcW w:w="1340" w:type="dxa"/>
            <w:vAlign w:val="bottom"/>
            <w:tcBorders>
              <w:bottom w:val="single" w:sz="8" w:color="939598"/>
            </w:tcBorders>
            <w:shd w:val="clear" w:color="auto" w:fill="E3F1DA"/>
          </w:tcPr>
          <w:p>
            <w:pPr>
              <w:jc w:val="right"/>
              <w:ind w:right="130"/>
              <w:spacing w:after="0" w:line="196" w:lineRule="exact"/>
              <w:rPr>
                <w:sz w:val="20"/>
                <w:szCs w:val="20"/>
                <w:color w:val="auto"/>
              </w:rPr>
            </w:pPr>
            <w:r>
              <w:rPr>
                <w:rFonts w:ascii="Arial" w:cs="Arial" w:eastAsia="Arial" w:hAnsi="Arial"/>
                <w:sz w:val="18"/>
                <w:szCs w:val="18"/>
                <w:color w:val="86B6A5"/>
              </w:rPr>
              <w:t>49.4</w:t>
            </w:r>
          </w:p>
        </w:tc>
        <w:tc>
          <w:tcPr>
            <w:tcW w:w="440" w:type="dxa"/>
            <w:vAlign w:val="bottom"/>
            <w:tcBorders>
              <w:bottom w:val="single" w:sz="8" w:color="939598"/>
            </w:tcBorders>
          </w:tcPr>
          <w:p>
            <w:pPr>
              <w:spacing w:after="0"/>
              <w:rPr>
                <w:sz w:val="17"/>
                <w:szCs w:val="17"/>
                <w:color w:val="auto"/>
              </w:rPr>
            </w:pPr>
          </w:p>
        </w:tc>
        <w:tc>
          <w:tcPr>
            <w:tcW w:w="920" w:type="dxa"/>
            <w:vAlign w:val="bottom"/>
            <w:tcBorders>
              <w:bottom w:val="single" w:sz="8" w:color="939598"/>
            </w:tcBorders>
          </w:tcPr>
          <w:p>
            <w:pPr>
              <w:jc w:val="right"/>
              <w:ind w:right="30"/>
              <w:spacing w:after="0" w:line="196" w:lineRule="exact"/>
              <w:rPr>
                <w:sz w:val="20"/>
                <w:szCs w:val="20"/>
                <w:color w:val="auto"/>
              </w:rPr>
            </w:pPr>
            <w:r>
              <w:rPr>
                <w:rFonts w:ascii="Arial" w:cs="Arial" w:eastAsia="Arial" w:hAnsi="Arial"/>
                <w:sz w:val="18"/>
                <w:szCs w:val="18"/>
                <w:color w:val="auto"/>
              </w:rPr>
              <w:t>46.4</w:t>
            </w:r>
          </w:p>
        </w:tc>
        <w:tc>
          <w:tcPr>
            <w:tcW w:w="540" w:type="dxa"/>
            <w:vAlign w:val="bottom"/>
            <w:tcBorders>
              <w:bottom w:val="single" w:sz="8" w:color="939598"/>
            </w:tcBorders>
          </w:tcPr>
          <w:p>
            <w:pPr>
              <w:spacing w:after="0"/>
              <w:rPr>
                <w:sz w:val="17"/>
                <w:szCs w:val="17"/>
                <w:color w:val="auto"/>
              </w:rPr>
            </w:pPr>
          </w:p>
        </w:tc>
        <w:tc>
          <w:tcPr>
            <w:tcW w:w="800" w:type="dxa"/>
            <w:vAlign w:val="bottom"/>
            <w:tcBorders>
              <w:bottom w:val="single" w:sz="8" w:color="939598"/>
            </w:tcBorders>
          </w:tcPr>
          <w:p>
            <w:pPr>
              <w:jc w:val="right"/>
              <w:spacing w:after="0" w:line="196" w:lineRule="exact"/>
              <w:rPr>
                <w:sz w:val="20"/>
                <w:szCs w:val="20"/>
                <w:color w:val="auto"/>
              </w:rPr>
            </w:pPr>
            <w:r>
              <w:rPr>
                <w:rFonts w:ascii="Arial" w:cs="Arial" w:eastAsia="Arial" w:hAnsi="Arial"/>
                <w:sz w:val="18"/>
                <w:szCs w:val="18"/>
                <w:color w:val="auto"/>
              </w:rPr>
              <w:t>58.3</w:t>
            </w:r>
          </w:p>
        </w:tc>
        <w:tc>
          <w:tcPr>
            <w:tcW w:w="20" w:type="dxa"/>
            <w:vAlign w:val="bottom"/>
          </w:tcPr>
          <w:p>
            <w:pPr>
              <w:spacing w:after="0"/>
              <w:rPr>
                <w:sz w:val="17"/>
                <w:szCs w:val="17"/>
                <w:color w:val="auto"/>
              </w:rPr>
            </w:pPr>
          </w:p>
        </w:tc>
      </w:tr>
      <w:tr>
        <w:trPr>
          <w:trHeight w:val="195"/>
        </w:trPr>
        <w:tc>
          <w:tcPr>
            <w:tcW w:w="20" w:type="dxa"/>
            <w:vAlign w:val="bottom"/>
          </w:tcPr>
          <w:p>
            <w:pPr>
              <w:spacing w:after="0"/>
              <w:rPr>
                <w:sz w:val="16"/>
                <w:szCs w:val="16"/>
                <w:color w:val="auto"/>
              </w:rPr>
            </w:pPr>
          </w:p>
        </w:tc>
        <w:tc>
          <w:tcPr>
            <w:tcW w:w="7020" w:type="dxa"/>
            <w:vAlign w:val="bottom"/>
          </w:tcPr>
          <w:p>
            <w:pPr>
              <w:spacing w:after="0" w:line="195" w:lineRule="exact"/>
              <w:rPr>
                <w:sz w:val="20"/>
                <w:szCs w:val="20"/>
                <w:color w:val="auto"/>
              </w:rPr>
            </w:pPr>
            <w:r>
              <w:rPr>
                <w:rFonts w:ascii="Arial" w:cs="Arial" w:eastAsia="Arial" w:hAnsi="Arial"/>
                <w:sz w:val="18"/>
                <w:szCs w:val="18"/>
                <w:color w:val="auto"/>
              </w:rPr>
              <w:t>France</w:t>
            </w:r>
          </w:p>
        </w:tc>
        <w:tc>
          <w:tcPr>
            <w:tcW w:w="120" w:type="dxa"/>
            <w:vAlign w:val="bottom"/>
            <w:shd w:val="clear" w:color="auto" w:fill="E3F1DA"/>
          </w:tcPr>
          <w:p>
            <w:pPr>
              <w:spacing w:after="0"/>
              <w:rPr>
                <w:sz w:val="16"/>
                <w:szCs w:val="16"/>
                <w:color w:val="auto"/>
              </w:rPr>
            </w:pPr>
          </w:p>
        </w:tc>
        <w:tc>
          <w:tcPr>
            <w:tcW w:w="1340" w:type="dxa"/>
            <w:vAlign w:val="bottom"/>
            <w:shd w:val="clear" w:color="auto" w:fill="E3F1DA"/>
          </w:tcPr>
          <w:p>
            <w:pPr>
              <w:jc w:val="right"/>
              <w:ind w:right="130"/>
              <w:spacing w:after="0" w:line="195" w:lineRule="exact"/>
              <w:rPr>
                <w:sz w:val="20"/>
                <w:szCs w:val="20"/>
                <w:color w:val="auto"/>
              </w:rPr>
            </w:pPr>
            <w:r>
              <w:rPr>
                <w:rFonts w:ascii="Arial" w:cs="Arial" w:eastAsia="Arial" w:hAnsi="Arial"/>
                <w:sz w:val="18"/>
                <w:szCs w:val="18"/>
                <w:color w:val="86B6A5"/>
              </w:rPr>
              <w:t>43.2</w:t>
            </w:r>
          </w:p>
        </w:tc>
        <w:tc>
          <w:tcPr>
            <w:tcW w:w="440" w:type="dxa"/>
            <w:vAlign w:val="bottom"/>
          </w:tcPr>
          <w:p>
            <w:pPr>
              <w:spacing w:after="0"/>
              <w:rPr>
                <w:sz w:val="16"/>
                <w:szCs w:val="16"/>
                <w:color w:val="auto"/>
              </w:rPr>
            </w:pPr>
          </w:p>
        </w:tc>
        <w:tc>
          <w:tcPr>
            <w:tcW w:w="920" w:type="dxa"/>
            <w:vAlign w:val="bottom"/>
          </w:tcPr>
          <w:p>
            <w:pPr>
              <w:jc w:val="right"/>
              <w:ind w:right="30"/>
              <w:spacing w:after="0" w:line="195" w:lineRule="exact"/>
              <w:rPr>
                <w:sz w:val="20"/>
                <w:szCs w:val="20"/>
                <w:color w:val="auto"/>
              </w:rPr>
            </w:pPr>
            <w:r>
              <w:rPr>
                <w:rFonts w:ascii="Arial" w:cs="Arial" w:eastAsia="Arial" w:hAnsi="Arial"/>
                <w:sz w:val="18"/>
                <w:szCs w:val="18"/>
                <w:color w:val="auto"/>
              </w:rPr>
              <w:t>42.1</w:t>
            </w:r>
          </w:p>
        </w:tc>
        <w:tc>
          <w:tcPr>
            <w:tcW w:w="540" w:type="dxa"/>
            <w:vAlign w:val="bottom"/>
          </w:tcPr>
          <w:p>
            <w:pPr>
              <w:spacing w:after="0"/>
              <w:rPr>
                <w:sz w:val="16"/>
                <w:szCs w:val="16"/>
                <w:color w:val="auto"/>
              </w:rPr>
            </w:pPr>
          </w:p>
        </w:tc>
        <w:tc>
          <w:tcPr>
            <w:tcW w:w="800" w:type="dxa"/>
            <w:vAlign w:val="bottom"/>
          </w:tcPr>
          <w:p>
            <w:pPr>
              <w:jc w:val="right"/>
              <w:spacing w:after="0" w:line="195" w:lineRule="exact"/>
              <w:rPr>
                <w:sz w:val="20"/>
                <w:szCs w:val="20"/>
                <w:color w:val="auto"/>
              </w:rPr>
            </w:pPr>
            <w:r>
              <w:rPr>
                <w:rFonts w:ascii="Arial" w:cs="Arial" w:eastAsia="Arial" w:hAnsi="Arial"/>
                <w:sz w:val="18"/>
                <w:szCs w:val="18"/>
                <w:color w:val="auto"/>
              </w:rPr>
              <w:t>54.9</w:t>
            </w:r>
          </w:p>
        </w:tc>
        <w:tc>
          <w:tcPr>
            <w:tcW w:w="20" w:type="dxa"/>
            <w:vAlign w:val="bottom"/>
          </w:tcPr>
          <w:p>
            <w:pPr>
              <w:spacing w:after="0"/>
              <w:rPr>
                <w:sz w:val="16"/>
                <w:szCs w:val="16"/>
                <w:color w:val="auto"/>
              </w:rPr>
            </w:pPr>
          </w:p>
        </w:tc>
      </w:tr>
      <w:tr>
        <w:trPr>
          <w:trHeight w:val="203"/>
        </w:trPr>
        <w:tc>
          <w:tcPr>
            <w:tcW w:w="7040" w:type="dxa"/>
            <w:vAlign w:val="bottom"/>
            <w:gridSpan w:val="2"/>
          </w:tcPr>
          <w:p>
            <w:pPr>
              <w:spacing w:after="0" w:line="202" w:lineRule="exact"/>
              <w:rPr>
                <w:sz w:val="20"/>
                <w:szCs w:val="20"/>
                <w:color w:val="auto"/>
              </w:rPr>
            </w:pPr>
            <w:r>
              <w:rPr>
                <w:rFonts w:ascii="Arial" w:cs="Arial" w:eastAsia="Arial" w:hAnsi="Arial"/>
                <w:sz w:val="18"/>
                <w:szCs w:val="18"/>
                <w:color w:val="auto"/>
              </w:rPr>
              <w:t>EMEA:</w:t>
            </w:r>
          </w:p>
        </w:tc>
        <w:tc>
          <w:tcPr>
            <w:tcW w:w="120" w:type="dxa"/>
            <w:vAlign w:val="bottom"/>
            <w:shd w:val="clear" w:color="auto" w:fill="E3F1DA"/>
          </w:tcPr>
          <w:p>
            <w:pPr>
              <w:spacing w:after="0"/>
              <w:rPr>
                <w:sz w:val="17"/>
                <w:szCs w:val="17"/>
                <w:color w:val="auto"/>
              </w:rPr>
            </w:pPr>
          </w:p>
        </w:tc>
        <w:tc>
          <w:tcPr>
            <w:tcW w:w="1340" w:type="dxa"/>
            <w:vAlign w:val="bottom"/>
            <w:shd w:val="clear" w:color="auto" w:fill="E3F1DA"/>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020" w:type="dxa"/>
            <w:vAlign w:val="bottom"/>
          </w:tcPr>
          <w:p>
            <w:pPr>
              <w:ind w:left="260"/>
              <w:spacing w:after="0" w:line="202" w:lineRule="exact"/>
              <w:rPr>
                <w:sz w:val="20"/>
                <w:szCs w:val="20"/>
                <w:color w:val="auto"/>
              </w:rPr>
            </w:pPr>
            <w:r>
              <w:rPr>
                <w:rFonts w:ascii="Arial" w:cs="Arial" w:eastAsia="Arial" w:hAnsi="Arial"/>
                <w:sz w:val="18"/>
                <w:szCs w:val="18"/>
                <w:color w:val="auto"/>
              </w:rPr>
              <w:t>Italy</w:t>
            </w:r>
          </w:p>
        </w:tc>
        <w:tc>
          <w:tcPr>
            <w:tcW w:w="120" w:type="dxa"/>
            <w:vAlign w:val="bottom"/>
            <w:shd w:val="clear" w:color="auto" w:fill="E3F1DA"/>
          </w:tcPr>
          <w:p>
            <w:pPr>
              <w:spacing w:after="0"/>
              <w:rPr>
                <w:sz w:val="17"/>
                <w:szCs w:val="17"/>
                <w:color w:val="auto"/>
              </w:rPr>
            </w:pPr>
          </w:p>
        </w:tc>
        <w:tc>
          <w:tcPr>
            <w:tcW w:w="1340" w:type="dxa"/>
            <w:vAlign w:val="bottom"/>
            <w:shd w:val="clear" w:color="auto" w:fill="E3F1DA"/>
          </w:tcPr>
          <w:p>
            <w:pPr>
              <w:jc w:val="right"/>
              <w:ind w:right="130"/>
              <w:spacing w:after="0" w:line="202" w:lineRule="exact"/>
              <w:rPr>
                <w:sz w:val="20"/>
                <w:szCs w:val="20"/>
                <w:color w:val="auto"/>
              </w:rPr>
            </w:pPr>
            <w:r>
              <w:rPr>
                <w:rFonts w:ascii="Arial" w:cs="Arial" w:eastAsia="Arial" w:hAnsi="Arial"/>
                <w:sz w:val="18"/>
                <w:szCs w:val="18"/>
                <w:color w:val="86B6A5"/>
              </w:rPr>
              <w:t>7.7</w:t>
            </w:r>
          </w:p>
        </w:tc>
        <w:tc>
          <w:tcPr>
            <w:tcW w:w="440" w:type="dxa"/>
            <w:vAlign w:val="bottom"/>
          </w:tcPr>
          <w:p>
            <w:pPr>
              <w:spacing w:after="0"/>
              <w:rPr>
                <w:sz w:val="17"/>
                <w:szCs w:val="17"/>
                <w:color w:val="auto"/>
              </w:rPr>
            </w:pPr>
          </w:p>
        </w:tc>
        <w:tc>
          <w:tcPr>
            <w:tcW w:w="9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8.6</w:t>
            </w:r>
          </w:p>
        </w:tc>
        <w:tc>
          <w:tcPr>
            <w:tcW w:w="54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11.4</w:t>
            </w:r>
          </w:p>
        </w:tc>
        <w:tc>
          <w:tcPr>
            <w:tcW w:w="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020" w:type="dxa"/>
            <w:vAlign w:val="bottom"/>
            <w:tcBorders>
              <w:bottom w:val="single" w:sz="8" w:color="939598"/>
            </w:tcBorders>
          </w:tcPr>
          <w:p>
            <w:pPr>
              <w:ind w:left="260"/>
              <w:spacing w:after="0" w:line="203" w:lineRule="exact"/>
              <w:rPr>
                <w:sz w:val="20"/>
                <w:szCs w:val="20"/>
                <w:color w:val="auto"/>
              </w:rPr>
            </w:pPr>
            <w:r>
              <w:rPr>
                <w:rFonts w:ascii="Arial" w:cs="Arial" w:eastAsia="Arial" w:hAnsi="Arial"/>
                <w:sz w:val="18"/>
                <w:szCs w:val="18"/>
                <w:color w:val="auto"/>
              </w:rPr>
              <w:t>Other EMEA</w:t>
            </w:r>
          </w:p>
        </w:tc>
        <w:tc>
          <w:tcPr>
            <w:tcW w:w="120" w:type="dxa"/>
            <w:vAlign w:val="bottom"/>
            <w:tcBorders>
              <w:bottom w:val="single" w:sz="8" w:color="939598"/>
            </w:tcBorders>
            <w:shd w:val="clear" w:color="auto" w:fill="E3F1DA"/>
          </w:tcPr>
          <w:p>
            <w:pPr>
              <w:spacing w:after="0"/>
              <w:rPr>
                <w:sz w:val="17"/>
                <w:szCs w:val="17"/>
                <w:color w:val="auto"/>
              </w:rPr>
            </w:pPr>
          </w:p>
        </w:tc>
        <w:tc>
          <w:tcPr>
            <w:tcW w:w="1340" w:type="dxa"/>
            <w:vAlign w:val="bottom"/>
            <w:tcBorders>
              <w:bottom w:val="single" w:sz="8" w:color="939598"/>
            </w:tcBorders>
            <w:shd w:val="clear" w:color="auto" w:fill="E3F1DA"/>
          </w:tcPr>
          <w:p>
            <w:pPr>
              <w:jc w:val="right"/>
              <w:ind w:right="130"/>
              <w:spacing w:after="0" w:line="203" w:lineRule="exact"/>
              <w:rPr>
                <w:sz w:val="20"/>
                <w:szCs w:val="20"/>
                <w:color w:val="auto"/>
              </w:rPr>
            </w:pPr>
            <w:r>
              <w:rPr>
                <w:rFonts w:ascii="Arial" w:cs="Arial" w:eastAsia="Arial" w:hAnsi="Arial"/>
                <w:sz w:val="18"/>
                <w:szCs w:val="18"/>
                <w:color w:val="86B6A5"/>
              </w:rPr>
              <w:t>54.2</w:t>
            </w:r>
          </w:p>
        </w:tc>
        <w:tc>
          <w:tcPr>
            <w:tcW w:w="440" w:type="dxa"/>
            <w:vAlign w:val="bottom"/>
            <w:tcBorders>
              <w:bottom w:val="single" w:sz="8" w:color="939598"/>
            </w:tcBorders>
          </w:tcPr>
          <w:p>
            <w:pPr>
              <w:spacing w:after="0"/>
              <w:rPr>
                <w:sz w:val="17"/>
                <w:szCs w:val="17"/>
                <w:color w:val="auto"/>
              </w:rPr>
            </w:pPr>
          </w:p>
        </w:tc>
        <w:tc>
          <w:tcPr>
            <w:tcW w:w="920" w:type="dxa"/>
            <w:vAlign w:val="bottom"/>
            <w:tcBorders>
              <w:bottom w:val="single" w:sz="8" w:color="939598"/>
            </w:tcBorders>
          </w:tcPr>
          <w:p>
            <w:pPr>
              <w:jc w:val="right"/>
              <w:ind w:right="30"/>
              <w:spacing w:after="0" w:line="203" w:lineRule="exact"/>
              <w:rPr>
                <w:sz w:val="20"/>
                <w:szCs w:val="20"/>
                <w:color w:val="auto"/>
              </w:rPr>
            </w:pPr>
            <w:r>
              <w:rPr>
                <w:rFonts w:ascii="Arial" w:cs="Arial" w:eastAsia="Arial" w:hAnsi="Arial"/>
                <w:sz w:val="18"/>
                <w:szCs w:val="18"/>
                <w:color w:val="auto"/>
              </w:rPr>
              <w:t>62.6</w:t>
            </w:r>
          </w:p>
        </w:tc>
        <w:tc>
          <w:tcPr>
            <w:tcW w:w="540" w:type="dxa"/>
            <w:vAlign w:val="bottom"/>
            <w:tcBorders>
              <w:bottom w:val="single" w:sz="8" w:color="939598"/>
            </w:tcBorders>
          </w:tcPr>
          <w:p>
            <w:pPr>
              <w:spacing w:after="0"/>
              <w:rPr>
                <w:sz w:val="17"/>
                <w:szCs w:val="17"/>
                <w:color w:val="auto"/>
              </w:rPr>
            </w:pPr>
          </w:p>
        </w:tc>
        <w:tc>
          <w:tcPr>
            <w:tcW w:w="800" w:type="dxa"/>
            <w:vAlign w:val="bottom"/>
            <w:tcBorders>
              <w:bottom w:val="single" w:sz="8" w:color="939598"/>
            </w:tcBorders>
          </w:tcPr>
          <w:p>
            <w:pPr>
              <w:jc w:val="right"/>
              <w:spacing w:after="0" w:line="203" w:lineRule="exact"/>
              <w:rPr>
                <w:sz w:val="20"/>
                <w:szCs w:val="20"/>
                <w:color w:val="auto"/>
              </w:rPr>
            </w:pPr>
            <w:r>
              <w:rPr>
                <w:rFonts w:ascii="Arial" w:cs="Arial" w:eastAsia="Arial" w:hAnsi="Arial"/>
                <w:sz w:val="18"/>
                <w:szCs w:val="18"/>
                <w:color w:val="auto"/>
              </w:rPr>
              <w:t>73.9</w:t>
            </w:r>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7020" w:type="dxa"/>
            <w:vAlign w:val="bottom"/>
            <w:tcBorders>
              <w:bottom w:val="single" w:sz="8" w:color="939598"/>
            </w:tcBorders>
          </w:tcPr>
          <w:p>
            <w:pPr>
              <w:spacing w:after="0"/>
              <w:rPr>
                <w:sz w:val="17"/>
                <w:szCs w:val="17"/>
                <w:color w:val="auto"/>
              </w:rPr>
            </w:pPr>
          </w:p>
        </w:tc>
        <w:tc>
          <w:tcPr>
            <w:tcW w:w="120" w:type="dxa"/>
            <w:vAlign w:val="bottom"/>
            <w:tcBorders>
              <w:bottom w:val="single" w:sz="8" w:color="939598"/>
            </w:tcBorders>
            <w:shd w:val="clear" w:color="auto" w:fill="E3F1DA"/>
          </w:tcPr>
          <w:p>
            <w:pPr>
              <w:spacing w:after="0"/>
              <w:rPr>
                <w:sz w:val="17"/>
                <w:szCs w:val="17"/>
                <w:color w:val="auto"/>
              </w:rPr>
            </w:pPr>
          </w:p>
        </w:tc>
        <w:tc>
          <w:tcPr>
            <w:tcW w:w="1340" w:type="dxa"/>
            <w:vAlign w:val="bottom"/>
            <w:tcBorders>
              <w:bottom w:val="single" w:sz="8" w:color="939598"/>
            </w:tcBorders>
            <w:shd w:val="clear" w:color="auto" w:fill="E3F1DA"/>
          </w:tcPr>
          <w:p>
            <w:pPr>
              <w:jc w:val="right"/>
              <w:ind w:right="130"/>
              <w:spacing w:after="0" w:line="196" w:lineRule="exact"/>
              <w:rPr>
                <w:sz w:val="20"/>
                <w:szCs w:val="20"/>
                <w:color w:val="auto"/>
              </w:rPr>
            </w:pPr>
            <w:r>
              <w:rPr>
                <w:rFonts w:ascii="Arial" w:cs="Arial" w:eastAsia="Arial" w:hAnsi="Arial"/>
                <w:sz w:val="18"/>
                <w:szCs w:val="18"/>
                <w:color w:val="86B6A5"/>
              </w:rPr>
              <w:t>61.9</w:t>
            </w:r>
          </w:p>
        </w:tc>
        <w:tc>
          <w:tcPr>
            <w:tcW w:w="440" w:type="dxa"/>
            <w:vAlign w:val="bottom"/>
            <w:tcBorders>
              <w:bottom w:val="single" w:sz="8" w:color="939598"/>
            </w:tcBorders>
          </w:tcPr>
          <w:p>
            <w:pPr>
              <w:spacing w:after="0"/>
              <w:rPr>
                <w:sz w:val="17"/>
                <w:szCs w:val="17"/>
                <w:color w:val="auto"/>
              </w:rPr>
            </w:pPr>
          </w:p>
        </w:tc>
        <w:tc>
          <w:tcPr>
            <w:tcW w:w="920" w:type="dxa"/>
            <w:vAlign w:val="bottom"/>
            <w:tcBorders>
              <w:bottom w:val="single" w:sz="8" w:color="939598"/>
            </w:tcBorders>
          </w:tcPr>
          <w:p>
            <w:pPr>
              <w:jc w:val="right"/>
              <w:ind w:right="30"/>
              <w:spacing w:after="0" w:line="196" w:lineRule="exact"/>
              <w:rPr>
                <w:sz w:val="20"/>
                <w:szCs w:val="20"/>
                <w:color w:val="auto"/>
              </w:rPr>
            </w:pPr>
            <w:r>
              <w:rPr>
                <w:rFonts w:ascii="Arial" w:cs="Arial" w:eastAsia="Arial" w:hAnsi="Arial"/>
                <w:sz w:val="18"/>
                <w:szCs w:val="18"/>
                <w:color w:val="auto"/>
              </w:rPr>
              <w:t>71.2</w:t>
            </w:r>
          </w:p>
        </w:tc>
        <w:tc>
          <w:tcPr>
            <w:tcW w:w="540" w:type="dxa"/>
            <w:vAlign w:val="bottom"/>
            <w:tcBorders>
              <w:bottom w:val="single" w:sz="8" w:color="939598"/>
            </w:tcBorders>
          </w:tcPr>
          <w:p>
            <w:pPr>
              <w:spacing w:after="0"/>
              <w:rPr>
                <w:sz w:val="17"/>
                <w:szCs w:val="17"/>
                <w:color w:val="auto"/>
              </w:rPr>
            </w:pPr>
          </w:p>
        </w:tc>
        <w:tc>
          <w:tcPr>
            <w:tcW w:w="800" w:type="dxa"/>
            <w:vAlign w:val="bottom"/>
            <w:tcBorders>
              <w:bottom w:val="single" w:sz="8" w:color="939598"/>
            </w:tcBorders>
          </w:tcPr>
          <w:p>
            <w:pPr>
              <w:jc w:val="right"/>
              <w:spacing w:after="0" w:line="196" w:lineRule="exact"/>
              <w:rPr>
                <w:sz w:val="20"/>
                <w:szCs w:val="20"/>
                <w:color w:val="auto"/>
              </w:rPr>
            </w:pPr>
            <w:r>
              <w:rPr>
                <w:rFonts w:ascii="Arial" w:cs="Arial" w:eastAsia="Arial" w:hAnsi="Arial"/>
                <w:sz w:val="18"/>
                <w:szCs w:val="18"/>
                <w:color w:val="auto"/>
              </w:rPr>
              <w:t>85.3</w:t>
            </w:r>
          </w:p>
        </w:tc>
        <w:tc>
          <w:tcPr>
            <w:tcW w:w="20" w:type="dxa"/>
            <w:vAlign w:val="bottom"/>
          </w:tcPr>
          <w:p>
            <w:pPr>
              <w:spacing w:after="0"/>
              <w:rPr>
                <w:sz w:val="17"/>
                <w:szCs w:val="17"/>
                <w:color w:val="auto"/>
              </w:rPr>
            </w:pPr>
          </w:p>
        </w:tc>
      </w:tr>
      <w:tr>
        <w:trPr>
          <w:trHeight w:val="195"/>
        </w:trPr>
        <w:tc>
          <w:tcPr>
            <w:tcW w:w="20" w:type="dxa"/>
            <w:vAlign w:val="bottom"/>
          </w:tcPr>
          <w:p>
            <w:pPr>
              <w:spacing w:after="0"/>
              <w:rPr>
                <w:sz w:val="16"/>
                <w:szCs w:val="16"/>
                <w:color w:val="auto"/>
              </w:rPr>
            </w:pPr>
          </w:p>
        </w:tc>
        <w:tc>
          <w:tcPr>
            <w:tcW w:w="7020" w:type="dxa"/>
            <w:vAlign w:val="bottom"/>
          </w:tcPr>
          <w:p>
            <w:pPr>
              <w:spacing w:after="0" w:line="195" w:lineRule="exact"/>
              <w:rPr>
                <w:sz w:val="20"/>
                <w:szCs w:val="20"/>
                <w:color w:val="auto"/>
              </w:rPr>
            </w:pPr>
            <w:r>
              <w:rPr>
                <w:rFonts w:ascii="Arial" w:cs="Arial" w:eastAsia="Arial" w:hAnsi="Arial"/>
                <w:sz w:val="18"/>
                <w:szCs w:val="18"/>
                <w:color w:val="auto"/>
              </w:rPr>
              <w:t>Asia Pacific</w:t>
            </w:r>
          </w:p>
        </w:tc>
        <w:tc>
          <w:tcPr>
            <w:tcW w:w="120" w:type="dxa"/>
            <w:vAlign w:val="bottom"/>
            <w:shd w:val="clear" w:color="auto" w:fill="E3F1DA"/>
          </w:tcPr>
          <w:p>
            <w:pPr>
              <w:spacing w:after="0"/>
              <w:rPr>
                <w:sz w:val="16"/>
                <w:szCs w:val="16"/>
                <w:color w:val="auto"/>
              </w:rPr>
            </w:pPr>
          </w:p>
        </w:tc>
        <w:tc>
          <w:tcPr>
            <w:tcW w:w="1340" w:type="dxa"/>
            <w:vAlign w:val="bottom"/>
            <w:shd w:val="clear" w:color="auto" w:fill="E3F1DA"/>
          </w:tcPr>
          <w:p>
            <w:pPr>
              <w:jc w:val="right"/>
              <w:ind w:right="130"/>
              <w:spacing w:after="0" w:line="195" w:lineRule="exact"/>
              <w:rPr>
                <w:sz w:val="20"/>
                <w:szCs w:val="20"/>
                <w:color w:val="auto"/>
              </w:rPr>
            </w:pPr>
            <w:r>
              <w:rPr>
                <w:rFonts w:ascii="Arial" w:cs="Arial" w:eastAsia="Arial" w:hAnsi="Arial"/>
                <w:sz w:val="18"/>
                <w:szCs w:val="18"/>
                <w:color w:val="86B6A5"/>
              </w:rPr>
              <w:t>17.8</w:t>
            </w:r>
          </w:p>
        </w:tc>
        <w:tc>
          <w:tcPr>
            <w:tcW w:w="440" w:type="dxa"/>
            <w:vAlign w:val="bottom"/>
          </w:tcPr>
          <w:p>
            <w:pPr>
              <w:spacing w:after="0"/>
              <w:rPr>
                <w:sz w:val="16"/>
                <w:szCs w:val="16"/>
                <w:color w:val="auto"/>
              </w:rPr>
            </w:pPr>
          </w:p>
        </w:tc>
        <w:tc>
          <w:tcPr>
            <w:tcW w:w="920" w:type="dxa"/>
            <w:vAlign w:val="bottom"/>
          </w:tcPr>
          <w:p>
            <w:pPr>
              <w:jc w:val="right"/>
              <w:ind w:right="30"/>
              <w:spacing w:after="0" w:line="195" w:lineRule="exact"/>
              <w:rPr>
                <w:sz w:val="20"/>
                <w:szCs w:val="20"/>
                <w:color w:val="auto"/>
              </w:rPr>
            </w:pPr>
            <w:r>
              <w:rPr>
                <w:rFonts w:ascii="Arial" w:cs="Arial" w:eastAsia="Arial" w:hAnsi="Arial"/>
                <w:sz w:val="18"/>
                <w:szCs w:val="18"/>
                <w:color w:val="auto"/>
              </w:rPr>
              <w:t>13.9</w:t>
            </w:r>
          </w:p>
        </w:tc>
        <w:tc>
          <w:tcPr>
            <w:tcW w:w="540" w:type="dxa"/>
            <w:vAlign w:val="bottom"/>
          </w:tcPr>
          <w:p>
            <w:pPr>
              <w:spacing w:after="0"/>
              <w:rPr>
                <w:sz w:val="16"/>
                <w:szCs w:val="16"/>
                <w:color w:val="auto"/>
              </w:rPr>
            </w:pPr>
          </w:p>
        </w:tc>
        <w:tc>
          <w:tcPr>
            <w:tcW w:w="800" w:type="dxa"/>
            <w:vAlign w:val="bottom"/>
          </w:tcPr>
          <w:p>
            <w:pPr>
              <w:jc w:val="right"/>
              <w:spacing w:after="0" w:line="195" w:lineRule="exact"/>
              <w:rPr>
                <w:sz w:val="20"/>
                <w:szCs w:val="20"/>
                <w:color w:val="auto"/>
              </w:rPr>
            </w:pPr>
            <w:r>
              <w:rPr>
                <w:rFonts w:ascii="Arial" w:cs="Arial" w:eastAsia="Arial" w:hAnsi="Arial"/>
                <w:sz w:val="18"/>
                <w:szCs w:val="18"/>
                <w:color w:val="auto"/>
              </w:rPr>
              <w:t>17.6</w:t>
            </w:r>
          </w:p>
        </w:tc>
        <w:tc>
          <w:tcPr>
            <w:tcW w:w="20" w:type="dxa"/>
            <w:vAlign w:val="bottom"/>
          </w:tcPr>
          <w:p>
            <w:pPr>
              <w:spacing w:after="0"/>
              <w:rPr>
                <w:sz w:val="16"/>
                <w:szCs w:val="16"/>
                <w:color w:val="auto"/>
              </w:rPr>
            </w:pPr>
          </w:p>
        </w:tc>
      </w:tr>
      <w:tr>
        <w:trPr>
          <w:trHeight w:val="203"/>
        </w:trPr>
        <w:tc>
          <w:tcPr>
            <w:tcW w:w="7040" w:type="dxa"/>
            <w:vAlign w:val="bottom"/>
            <w:gridSpan w:val="2"/>
          </w:tcPr>
          <w:p>
            <w:pPr>
              <w:spacing w:after="0" w:line="202" w:lineRule="exact"/>
              <w:rPr>
                <w:sz w:val="20"/>
                <w:szCs w:val="20"/>
                <w:color w:val="auto"/>
              </w:rPr>
            </w:pPr>
            <w:r>
              <w:rPr>
                <w:rFonts w:ascii="Arial" w:cs="Arial" w:eastAsia="Arial" w:hAnsi="Arial"/>
                <w:sz w:val="18"/>
                <w:szCs w:val="18"/>
                <w:color w:val="auto"/>
              </w:rPr>
              <w:t>Right Management</w:t>
            </w:r>
          </w:p>
        </w:tc>
        <w:tc>
          <w:tcPr>
            <w:tcW w:w="120" w:type="dxa"/>
            <w:vAlign w:val="bottom"/>
            <w:shd w:val="clear" w:color="auto" w:fill="E3F1DA"/>
          </w:tcPr>
          <w:p>
            <w:pPr>
              <w:spacing w:after="0"/>
              <w:rPr>
                <w:sz w:val="17"/>
                <w:szCs w:val="17"/>
                <w:color w:val="auto"/>
              </w:rPr>
            </w:pPr>
          </w:p>
        </w:tc>
        <w:tc>
          <w:tcPr>
            <w:tcW w:w="1340" w:type="dxa"/>
            <w:vAlign w:val="bottom"/>
            <w:shd w:val="clear" w:color="auto" w:fill="E3F1DA"/>
          </w:tcPr>
          <w:p>
            <w:pPr>
              <w:jc w:val="right"/>
              <w:ind w:right="130"/>
              <w:spacing w:after="0" w:line="202" w:lineRule="exact"/>
              <w:rPr>
                <w:sz w:val="20"/>
                <w:szCs w:val="20"/>
                <w:color w:val="auto"/>
              </w:rPr>
            </w:pPr>
            <w:r>
              <w:rPr>
                <w:rFonts w:ascii="Arial" w:cs="Arial" w:eastAsia="Arial" w:hAnsi="Arial"/>
                <w:sz w:val="18"/>
                <w:szCs w:val="18"/>
                <w:color w:val="86B6A5"/>
              </w:rPr>
              <w:t>15.9</w:t>
            </w:r>
          </w:p>
        </w:tc>
        <w:tc>
          <w:tcPr>
            <w:tcW w:w="440" w:type="dxa"/>
            <w:vAlign w:val="bottom"/>
          </w:tcPr>
          <w:p>
            <w:pPr>
              <w:spacing w:after="0"/>
              <w:rPr>
                <w:sz w:val="17"/>
                <w:szCs w:val="17"/>
                <w:color w:val="auto"/>
              </w:rPr>
            </w:pPr>
          </w:p>
        </w:tc>
        <w:tc>
          <w:tcPr>
            <w:tcW w:w="9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21.4</w:t>
            </w:r>
          </w:p>
        </w:tc>
        <w:tc>
          <w:tcPr>
            <w:tcW w:w="54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23.5</w:t>
            </w:r>
          </w:p>
        </w:tc>
        <w:tc>
          <w:tcPr>
            <w:tcW w:w="20" w:type="dxa"/>
            <w:vAlign w:val="bottom"/>
          </w:tcPr>
          <w:p>
            <w:pPr>
              <w:spacing w:after="0"/>
              <w:rPr>
                <w:sz w:val="17"/>
                <w:szCs w:val="17"/>
                <w:color w:val="auto"/>
              </w:rPr>
            </w:pPr>
          </w:p>
        </w:tc>
      </w:tr>
      <w:tr>
        <w:trPr>
          <w:trHeight w:val="203"/>
        </w:trPr>
        <w:tc>
          <w:tcPr>
            <w:tcW w:w="7040" w:type="dxa"/>
            <w:vAlign w:val="bottom"/>
            <w:gridSpan w:val="2"/>
          </w:tcPr>
          <w:p>
            <w:pPr>
              <w:spacing w:after="0" w:line="203" w:lineRule="exact"/>
              <w:rPr>
                <w:sz w:val="20"/>
                <w:szCs w:val="20"/>
                <w:color w:val="auto"/>
              </w:rPr>
            </w:pPr>
            <w:r>
              <w:rPr>
                <w:rFonts w:ascii="Arial" w:cs="Arial" w:eastAsia="Arial" w:hAnsi="Arial"/>
                <w:sz w:val="18"/>
                <w:szCs w:val="18"/>
                <w:color w:val="auto"/>
              </w:rPr>
              <w:t>Corporate</w:t>
            </w:r>
          </w:p>
        </w:tc>
        <w:tc>
          <w:tcPr>
            <w:tcW w:w="120" w:type="dxa"/>
            <w:vAlign w:val="bottom"/>
            <w:shd w:val="clear" w:color="auto" w:fill="E3F1DA"/>
          </w:tcPr>
          <w:p>
            <w:pPr>
              <w:spacing w:after="0"/>
              <w:rPr>
                <w:sz w:val="17"/>
                <w:szCs w:val="17"/>
                <w:color w:val="auto"/>
              </w:rPr>
            </w:pPr>
          </w:p>
        </w:tc>
        <w:tc>
          <w:tcPr>
            <w:tcW w:w="1340" w:type="dxa"/>
            <w:vAlign w:val="bottom"/>
            <w:shd w:val="clear" w:color="auto" w:fill="E3F1DA"/>
          </w:tcPr>
          <w:p>
            <w:pPr>
              <w:jc w:val="right"/>
              <w:ind w:right="130"/>
              <w:spacing w:after="0" w:line="203" w:lineRule="exact"/>
              <w:rPr>
                <w:sz w:val="20"/>
                <w:szCs w:val="20"/>
                <w:color w:val="auto"/>
              </w:rPr>
            </w:pPr>
            <w:r>
              <w:rPr>
                <w:rFonts w:ascii="Arial" w:cs="Arial" w:eastAsia="Arial" w:hAnsi="Arial"/>
                <w:sz w:val="18"/>
                <w:szCs w:val="18"/>
                <w:color w:val="86B6A5"/>
              </w:rPr>
              <w:t>4.0</w:t>
            </w:r>
          </w:p>
        </w:tc>
        <w:tc>
          <w:tcPr>
            <w:tcW w:w="440" w:type="dxa"/>
            <w:vAlign w:val="bottom"/>
          </w:tcPr>
          <w:p>
            <w:pPr>
              <w:spacing w:after="0"/>
              <w:rPr>
                <w:sz w:val="17"/>
                <w:szCs w:val="17"/>
                <w:color w:val="auto"/>
              </w:rPr>
            </w:pPr>
          </w:p>
        </w:tc>
        <w:tc>
          <w:tcPr>
            <w:tcW w:w="920" w:type="dxa"/>
            <w:vAlign w:val="bottom"/>
          </w:tcPr>
          <w:p>
            <w:pPr>
              <w:jc w:val="right"/>
              <w:ind w:right="30"/>
              <w:spacing w:after="0" w:line="203" w:lineRule="exact"/>
              <w:rPr>
                <w:sz w:val="20"/>
                <w:szCs w:val="20"/>
                <w:color w:val="auto"/>
              </w:rPr>
            </w:pPr>
            <w:r>
              <w:rPr>
                <w:rFonts w:ascii="Arial" w:cs="Arial" w:eastAsia="Arial" w:hAnsi="Arial"/>
                <w:sz w:val="18"/>
                <w:szCs w:val="18"/>
                <w:color w:val="auto"/>
              </w:rPr>
              <w:t>6.0</w:t>
            </w:r>
          </w:p>
        </w:tc>
        <w:tc>
          <w:tcPr>
            <w:tcW w:w="540" w:type="dxa"/>
            <w:vAlign w:val="bottom"/>
          </w:tcPr>
          <w:p>
            <w:pPr>
              <w:spacing w:after="0"/>
              <w:rPr>
                <w:sz w:val="17"/>
                <w:szCs w:val="17"/>
                <w:color w:val="auto"/>
              </w:rPr>
            </w:pPr>
          </w:p>
        </w:tc>
        <w:tc>
          <w:tcPr>
            <w:tcW w:w="820" w:type="dxa"/>
            <w:vAlign w:val="bottom"/>
            <w:gridSpan w:val="2"/>
          </w:tcPr>
          <w:p>
            <w:pPr>
              <w:jc w:val="right"/>
              <w:ind w:right="20"/>
              <w:spacing w:after="0" w:line="203" w:lineRule="exact"/>
              <w:rPr>
                <w:sz w:val="20"/>
                <w:szCs w:val="20"/>
                <w:color w:val="auto"/>
              </w:rPr>
            </w:pPr>
            <w:r>
              <w:rPr>
                <w:rFonts w:ascii="Arial" w:cs="Arial" w:eastAsia="Arial" w:hAnsi="Arial"/>
                <w:sz w:val="18"/>
                <w:szCs w:val="18"/>
                <w:color w:val="auto"/>
              </w:rPr>
              <w:t>7.6</w:t>
            </w:r>
          </w:p>
        </w:tc>
      </w:tr>
      <w:tr>
        <w:trPr>
          <w:trHeight w:val="203"/>
        </w:trPr>
        <w:tc>
          <w:tcPr>
            <w:tcW w:w="20" w:type="dxa"/>
            <w:vAlign w:val="bottom"/>
          </w:tcPr>
          <w:p>
            <w:pPr>
              <w:spacing w:after="0"/>
              <w:rPr>
                <w:sz w:val="17"/>
                <w:szCs w:val="17"/>
                <w:color w:val="auto"/>
              </w:rPr>
            </w:pPr>
          </w:p>
        </w:tc>
        <w:tc>
          <w:tcPr>
            <w:tcW w:w="7020" w:type="dxa"/>
            <w:vAlign w:val="bottom"/>
            <w:tcBorders>
              <w:top w:val="single" w:sz="8" w:color="939598"/>
            </w:tcBorders>
          </w:tcPr>
          <w:p>
            <w:pPr>
              <w:spacing w:after="0"/>
              <w:rPr>
                <w:sz w:val="17"/>
                <w:szCs w:val="17"/>
                <w:color w:val="auto"/>
              </w:rPr>
            </w:pPr>
          </w:p>
        </w:tc>
        <w:tc>
          <w:tcPr>
            <w:tcW w:w="120" w:type="dxa"/>
            <w:vAlign w:val="bottom"/>
            <w:tcBorders>
              <w:top w:val="single" w:sz="8" w:color="939598"/>
            </w:tcBorders>
            <w:shd w:val="clear" w:color="auto" w:fill="E3F1DA"/>
          </w:tcPr>
          <w:p>
            <w:pPr>
              <w:jc w:val="right"/>
              <w:spacing w:after="0" w:line="196" w:lineRule="exact"/>
              <w:rPr>
                <w:sz w:val="20"/>
                <w:szCs w:val="20"/>
                <w:color w:val="auto"/>
              </w:rPr>
            </w:pPr>
            <w:r>
              <w:rPr>
                <w:rFonts w:ascii="Arial" w:cs="Arial" w:eastAsia="Arial" w:hAnsi="Arial"/>
                <w:sz w:val="18"/>
                <w:szCs w:val="18"/>
                <w:color w:val="86B6A5"/>
                <w:w w:val="79"/>
              </w:rPr>
              <w:t>$</w:t>
            </w:r>
          </w:p>
        </w:tc>
        <w:tc>
          <w:tcPr>
            <w:tcW w:w="1340" w:type="dxa"/>
            <w:vAlign w:val="bottom"/>
            <w:tcBorders>
              <w:top w:val="single" w:sz="8" w:color="939598"/>
            </w:tcBorders>
            <w:shd w:val="clear" w:color="auto" w:fill="E3F1DA"/>
          </w:tcPr>
          <w:p>
            <w:pPr>
              <w:jc w:val="right"/>
              <w:ind w:right="130"/>
              <w:spacing w:after="0" w:line="196" w:lineRule="exact"/>
              <w:rPr>
                <w:sz w:val="20"/>
                <w:szCs w:val="20"/>
                <w:color w:val="auto"/>
              </w:rPr>
            </w:pPr>
            <w:r>
              <w:rPr>
                <w:rFonts w:ascii="Arial" w:cs="Arial" w:eastAsia="Arial" w:hAnsi="Arial"/>
                <w:sz w:val="18"/>
                <w:szCs w:val="18"/>
                <w:color w:val="86B6A5"/>
              </w:rPr>
              <w:t>192.2</w:t>
            </w:r>
          </w:p>
        </w:tc>
        <w:tc>
          <w:tcPr>
            <w:tcW w:w="440" w:type="dxa"/>
            <w:vAlign w:val="bottom"/>
            <w:tcBorders>
              <w:top w:val="single" w:sz="8" w:color="939598"/>
            </w:tcBorders>
          </w:tcPr>
          <w:p>
            <w:pPr>
              <w:jc w:val="right"/>
              <w:ind w:right="25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939598"/>
            </w:tcBorders>
          </w:tcPr>
          <w:p>
            <w:pPr>
              <w:jc w:val="right"/>
              <w:ind w:right="30"/>
              <w:spacing w:after="0" w:line="196" w:lineRule="exact"/>
              <w:rPr>
                <w:sz w:val="20"/>
                <w:szCs w:val="20"/>
                <w:color w:val="auto"/>
              </w:rPr>
            </w:pPr>
            <w:r>
              <w:rPr>
                <w:rFonts w:ascii="Arial" w:cs="Arial" w:eastAsia="Arial" w:hAnsi="Arial"/>
                <w:sz w:val="18"/>
                <w:szCs w:val="18"/>
                <w:color w:val="auto"/>
              </w:rPr>
              <w:t>201.0</w:t>
            </w:r>
          </w:p>
        </w:tc>
        <w:tc>
          <w:tcPr>
            <w:tcW w:w="540" w:type="dxa"/>
            <w:vAlign w:val="bottom"/>
            <w:tcBorders>
              <w:top w:val="single" w:sz="8" w:color="939598"/>
            </w:tcBorders>
          </w:tcPr>
          <w:p>
            <w:pPr>
              <w:jc w:val="right"/>
              <w:ind w:right="250"/>
              <w:spacing w:after="0" w:line="196" w:lineRule="exact"/>
              <w:rPr>
                <w:sz w:val="20"/>
                <w:szCs w:val="20"/>
                <w:color w:val="auto"/>
              </w:rPr>
            </w:pPr>
            <w:r>
              <w:rPr>
                <w:rFonts w:ascii="Arial" w:cs="Arial" w:eastAsia="Arial" w:hAnsi="Arial"/>
                <w:sz w:val="18"/>
                <w:szCs w:val="18"/>
                <w:color w:val="auto"/>
              </w:rPr>
              <w:t>$</w:t>
            </w:r>
          </w:p>
        </w:tc>
        <w:tc>
          <w:tcPr>
            <w:tcW w:w="820" w:type="dxa"/>
            <w:vAlign w:val="bottom"/>
            <w:tcBorders>
              <w:top w:val="single" w:sz="8" w:color="939598"/>
            </w:tcBorders>
            <w:gridSpan w:val="2"/>
          </w:tcPr>
          <w:p>
            <w:pPr>
              <w:jc w:val="right"/>
              <w:ind w:right="20"/>
              <w:spacing w:after="0" w:line="196" w:lineRule="exact"/>
              <w:rPr>
                <w:sz w:val="20"/>
                <w:szCs w:val="20"/>
                <w:color w:val="auto"/>
              </w:rPr>
            </w:pPr>
            <w:r>
              <w:rPr>
                <w:rFonts w:ascii="Arial" w:cs="Arial" w:eastAsia="Arial" w:hAnsi="Arial"/>
                <w:sz w:val="18"/>
                <w:szCs w:val="18"/>
                <w:color w:val="auto"/>
              </w:rPr>
              <w:t>247.2</w:t>
            </w:r>
          </w:p>
        </w:tc>
      </w:tr>
      <w:tr>
        <w:trPr>
          <w:trHeight w:val="202"/>
        </w:trPr>
        <w:tc>
          <w:tcPr>
            <w:tcW w:w="20" w:type="dxa"/>
            <w:vAlign w:val="bottom"/>
          </w:tcPr>
          <w:p>
            <w:pPr>
              <w:spacing w:after="0"/>
              <w:rPr>
                <w:sz w:val="17"/>
                <w:szCs w:val="17"/>
                <w:color w:val="auto"/>
              </w:rPr>
            </w:pPr>
          </w:p>
        </w:tc>
        <w:tc>
          <w:tcPr>
            <w:tcW w:w="7020" w:type="dxa"/>
            <w:vAlign w:val="bottom"/>
            <w:tcBorders>
              <w:top w:val="single" w:sz="8" w:color="939598"/>
            </w:tcBorders>
          </w:tcPr>
          <w:p>
            <w:pPr>
              <w:spacing w:after="0" w:line="201" w:lineRule="exact"/>
              <w:rPr>
                <w:sz w:val="20"/>
                <w:szCs w:val="20"/>
                <w:color w:val="auto"/>
              </w:rPr>
            </w:pPr>
            <w:r>
              <w:rPr>
                <w:rFonts w:ascii="Arial" w:cs="Arial" w:eastAsia="Arial" w:hAnsi="Arial"/>
                <w:sz w:val="18"/>
                <w:szCs w:val="18"/>
                <w:b w:val="1"/>
                <w:bCs w:val="1"/>
                <w:color w:val="939598"/>
              </w:rPr>
              <w:t>Additions to Long-Lived Assets</w:t>
            </w:r>
          </w:p>
        </w:tc>
        <w:tc>
          <w:tcPr>
            <w:tcW w:w="120" w:type="dxa"/>
            <w:vAlign w:val="bottom"/>
            <w:tcBorders>
              <w:top w:val="single" w:sz="8" w:color="939598"/>
            </w:tcBorders>
            <w:shd w:val="clear" w:color="auto" w:fill="E3F1DA"/>
          </w:tcPr>
          <w:p>
            <w:pPr>
              <w:spacing w:after="0"/>
              <w:rPr>
                <w:sz w:val="17"/>
                <w:szCs w:val="17"/>
                <w:color w:val="auto"/>
              </w:rPr>
            </w:pPr>
          </w:p>
        </w:tc>
        <w:tc>
          <w:tcPr>
            <w:tcW w:w="1340" w:type="dxa"/>
            <w:vAlign w:val="bottom"/>
            <w:tcBorders>
              <w:top w:val="single" w:sz="8" w:color="939598"/>
            </w:tcBorders>
            <w:shd w:val="clear" w:color="auto" w:fill="E3F1DA"/>
          </w:tcPr>
          <w:p>
            <w:pPr>
              <w:spacing w:after="0"/>
              <w:rPr>
                <w:sz w:val="17"/>
                <w:szCs w:val="17"/>
                <w:color w:val="auto"/>
              </w:rPr>
            </w:pPr>
          </w:p>
        </w:tc>
        <w:tc>
          <w:tcPr>
            <w:tcW w:w="440" w:type="dxa"/>
            <w:vAlign w:val="bottom"/>
            <w:tcBorders>
              <w:top w:val="single" w:sz="8" w:color="939598"/>
            </w:tcBorders>
          </w:tcPr>
          <w:p>
            <w:pPr>
              <w:spacing w:after="0"/>
              <w:rPr>
                <w:sz w:val="17"/>
                <w:szCs w:val="17"/>
                <w:color w:val="auto"/>
              </w:rPr>
            </w:pPr>
          </w:p>
        </w:tc>
        <w:tc>
          <w:tcPr>
            <w:tcW w:w="920" w:type="dxa"/>
            <w:vAlign w:val="bottom"/>
            <w:tcBorders>
              <w:top w:val="single" w:sz="8" w:color="939598"/>
            </w:tcBorders>
          </w:tcPr>
          <w:p>
            <w:pPr>
              <w:spacing w:after="0"/>
              <w:rPr>
                <w:sz w:val="17"/>
                <w:szCs w:val="17"/>
                <w:color w:val="auto"/>
              </w:rPr>
            </w:pPr>
          </w:p>
        </w:tc>
        <w:tc>
          <w:tcPr>
            <w:tcW w:w="540" w:type="dxa"/>
            <w:vAlign w:val="bottom"/>
            <w:tcBorders>
              <w:top w:val="single" w:sz="8" w:color="939598"/>
            </w:tcBorders>
          </w:tcPr>
          <w:p>
            <w:pPr>
              <w:spacing w:after="0"/>
              <w:rPr>
                <w:sz w:val="17"/>
                <w:szCs w:val="17"/>
                <w:color w:val="auto"/>
              </w:rPr>
            </w:pPr>
          </w:p>
        </w:tc>
        <w:tc>
          <w:tcPr>
            <w:tcW w:w="800" w:type="dxa"/>
            <w:vAlign w:val="bottom"/>
            <w:tcBorders>
              <w:top w:val="single" w:sz="8" w:color="939598"/>
            </w:tcBorders>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7040" w:type="dxa"/>
            <w:vAlign w:val="bottom"/>
            <w:gridSpan w:val="2"/>
          </w:tcPr>
          <w:p>
            <w:pPr>
              <w:spacing w:after="0" w:line="202" w:lineRule="exact"/>
              <w:rPr>
                <w:sz w:val="20"/>
                <w:szCs w:val="20"/>
                <w:color w:val="auto"/>
              </w:rPr>
            </w:pPr>
            <w:r>
              <w:rPr>
                <w:rFonts w:ascii="Arial" w:cs="Arial" w:eastAsia="Arial" w:hAnsi="Arial"/>
                <w:sz w:val="18"/>
                <w:szCs w:val="18"/>
                <w:color w:val="auto"/>
              </w:rPr>
              <w:t>Americas:</w:t>
            </w:r>
          </w:p>
        </w:tc>
        <w:tc>
          <w:tcPr>
            <w:tcW w:w="120" w:type="dxa"/>
            <w:vAlign w:val="bottom"/>
            <w:shd w:val="clear" w:color="auto" w:fill="E3F1DA"/>
          </w:tcPr>
          <w:p>
            <w:pPr>
              <w:spacing w:after="0"/>
              <w:rPr>
                <w:sz w:val="17"/>
                <w:szCs w:val="17"/>
                <w:color w:val="auto"/>
              </w:rPr>
            </w:pPr>
          </w:p>
        </w:tc>
        <w:tc>
          <w:tcPr>
            <w:tcW w:w="1340" w:type="dxa"/>
            <w:vAlign w:val="bottom"/>
            <w:shd w:val="clear" w:color="auto" w:fill="E3F1DA"/>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020" w:type="dxa"/>
            <w:vAlign w:val="bottom"/>
          </w:tcPr>
          <w:p>
            <w:pPr>
              <w:ind w:left="260"/>
              <w:spacing w:after="0" w:line="202" w:lineRule="exact"/>
              <w:rPr>
                <w:sz w:val="20"/>
                <w:szCs w:val="20"/>
                <w:color w:val="auto"/>
              </w:rPr>
            </w:pPr>
            <w:r>
              <w:rPr>
                <w:rFonts w:ascii="Arial" w:cs="Arial" w:eastAsia="Arial" w:hAnsi="Arial"/>
                <w:sz w:val="18"/>
                <w:szCs w:val="18"/>
                <w:color w:val="auto"/>
              </w:rPr>
              <w:t>United States</w:t>
            </w:r>
          </w:p>
        </w:tc>
        <w:tc>
          <w:tcPr>
            <w:tcW w:w="120" w:type="dxa"/>
            <w:vAlign w:val="bottom"/>
            <w:shd w:val="clear" w:color="auto" w:fill="E3F1DA"/>
          </w:tcPr>
          <w:p>
            <w:pPr>
              <w:jc w:val="right"/>
              <w:spacing w:after="0" w:line="202" w:lineRule="exact"/>
              <w:rPr>
                <w:sz w:val="20"/>
                <w:szCs w:val="20"/>
                <w:color w:val="auto"/>
              </w:rPr>
            </w:pPr>
            <w:r>
              <w:rPr>
                <w:rFonts w:ascii="Arial" w:cs="Arial" w:eastAsia="Arial" w:hAnsi="Arial"/>
                <w:sz w:val="18"/>
                <w:szCs w:val="18"/>
                <w:color w:val="86B6A5"/>
                <w:w w:val="79"/>
              </w:rPr>
              <w:t>$</w:t>
            </w:r>
          </w:p>
        </w:tc>
        <w:tc>
          <w:tcPr>
            <w:tcW w:w="1340" w:type="dxa"/>
            <w:vAlign w:val="bottom"/>
            <w:shd w:val="clear" w:color="auto" w:fill="E3F1DA"/>
          </w:tcPr>
          <w:p>
            <w:pPr>
              <w:jc w:val="right"/>
              <w:ind w:right="130"/>
              <w:spacing w:after="0" w:line="202" w:lineRule="exact"/>
              <w:rPr>
                <w:sz w:val="20"/>
                <w:szCs w:val="20"/>
                <w:color w:val="auto"/>
              </w:rPr>
            </w:pPr>
            <w:r>
              <w:rPr>
                <w:rFonts w:ascii="Arial" w:cs="Arial" w:eastAsia="Arial" w:hAnsi="Arial"/>
                <w:sz w:val="18"/>
                <w:szCs w:val="18"/>
                <w:color w:val="86B6A5"/>
              </w:rPr>
              <w:t>6.4</w:t>
            </w:r>
          </w:p>
        </w:tc>
        <w:tc>
          <w:tcPr>
            <w:tcW w:w="440" w:type="dxa"/>
            <w:vAlign w:val="bottom"/>
          </w:tcPr>
          <w:p>
            <w:pPr>
              <w:jc w:val="right"/>
              <w:ind w:right="250"/>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3.5</w:t>
            </w:r>
          </w:p>
        </w:tc>
        <w:tc>
          <w:tcPr>
            <w:tcW w:w="540" w:type="dxa"/>
            <w:vAlign w:val="bottom"/>
          </w:tcPr>
          <w:p>
            <w:pPr>
              <w:jc w:val="right"/>
              <w:ind w:right="250"/>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10.8</w:t>
            </w:r>
          </w:p>
        </w:tc>
        <w:tc>
          <w:tcPr>
            <w:tcW w:w="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020" w:type="dxa"/>
            <w:vAlign w:val="bottom"/>
          </w:tcPr>
          <w:p>
            <w:pPr>
              <w:ind w:left="260"/>
              <w:spacing w:after="0" w:line="203" w:lineRule="exact"/>
              <w:rPr>
                <w:sz w:val="20"/>
                <w:szCs w:val="20"/>
                <w:color w:val="auto"/>
              </w:rPr>
            </w:pPr>
            <w:r>
              <w:rPr>
                <w:rFonts w:ascii="Arial" w:cs="Arial" w:eastAsia="Arial" w:hAnsi="Arial"/>
                <w:sz w:val="18"/>
                <w:szCs w:val="18"/>
                <w:color w:val="auto"/>
              </w:rPr>
              <w:t>Other Americas</w:t>
            </w:r>
          </w:p>
        </w:tc>
        <w:tc>
          <w:tcPr>
            <w:tcW w:w="120" w:type="dxa"/>
            <w:vAlign w:val="bottom"/>
            <w:shd w:val="clear" w:color="auto" w:fill="E3F1DA"/>
          </w:tcPr>
          <w:p>
            <w:pPr>
              <w:spacing w:after="0"/>
              <w:rPr>
                <w:sz w:val="17"/>
                <w:szCs w:val="17"/>
                <w:color w:val="auto"/>
              </w:rPr>
            </w:pPr>
          </w:p>
        </w:tc>
        <w:tc>
          <w:tcPr>
            <w:tcW w:w="1340" w:type="dxa"/>
            <w:vAlign w:val="bottom"/>
            <w:shd w:val="clear" w:color="auto" w:fill="E3F1DA"/>
          </w:tcPr>
          <w:p>
            <w:pPr>
              <w:jc w:val="right"/>
              <w:ind w:right="130"/>
              <w:spacing w:after="0" w:line="203" w:lineRule="exact"/>
              <w:rPr>
                <w:sz w:val="20"/>
                <w:szCs w:val="20"/>
                <w:color w:val="auto"/>
              </w:rPr>
            </w:pPr>
            <w:r>
              <w:rPr>
                <w:rFonts w:ascii="Arial" w:cs="Arial" w:eastAsia="Arial" w:hAnsi="Arial"/>
                <w:sz w:val="18"/>
                <w:szCs w:val="18"/>
                <w:color w:val="86B6A5"/>
              </w:rPr>
              <w:t>3.7</w:t>
            </w:r>
          </w:p>
        </w:tc>
        <w:tc>
          <w:tcPr>
            <w:tcW w:w="440" w:type="dxa"/>
            <w:vAlign w:val="bottom"/>
          </w:tcPr>
          <w:p>
            <w:pPr>
              <w:spacing w:after="0"/>
              <w:rPr>
                <w:sz w:val="17"/>
                <w:szCs w:val="17"/>
                <w:color w:val="auto"/>
              </w:rPr>
            </w:pPr>
          </w:p>
        </w:tc>
        <w:tc>
          <w:tcPr>
            <w:tcW w:w="920" w:type="dxa"/>
            <w:vAlign w:val="bottom"/>
          </w:tcPr>
          <w:p>
            <w:pPr>
              <w:jc w:val="right"/>
              <w:ind w:right="30"/>
              <w:spacing w:after="0" w:line="203" w:lineRule="exact"/>
              <w:rPr>
                <w:sz w:val="20"/>
                <w:szCs w:val="20"/>
                <w:color w:val="auto"/>
              </w:rPr>
            </w:pPr>
            <w:r>
              <w:rPr>
                <w:rFonts w:ascii="Arial" w:cs="Arial" w:eastAsia="Arial" w:hAnsi="Arial"/>
                <w:sz w:val="18"/>
                <w:szCs w:val="18"/>
                <w:color w:val="auto"/>
              </w:rPr>
              <w:t>2.2</w:t>
            </w:r>
          </w:p>
        </w:tc>
        <w:tc>
          <w:tcPr>
            <w:tcW w:w="540" w:type="dxa"/>
            <w:vAlign w:val="bottom"/>
          </w:tcPr>
          <w:p>
            <w:pPr>
              <w:spacing w:after="0"/>
              <w:rPr>
                <w:sz w:val="17"/>
                <w:szCs w:val="17"/>
                <w:color w:val="auto"/>
              </w:rPr>
            </w:pPr>
          </w:p>
        </w:tc>
        <w:tc>
          <w:tcPr>
            <w:tcW w:w="820" w:type="dxa"/>
            <w:vAlign w:val="bottom"/>
            <w:gridSpan w:val="2"/>
          </w:tcPr>
          <w:p>
            <w:pPr>
              <w:jc w:val="right"/>
              <w:ind w:right="20"/>
              <w:spacing w:after="0" w:line="203" w:lineRule="exact"/>
              <w:rPr>
                <w:sz w:val="20"/>
                <w:szCs w:val="20"/>
                <w:color w:val="auto"/>
              </w:rPr>
            </w:pPr>
            <w:r>
              <w:rPr>
                <w:rFonts w:ascii="Arial" w:cs="Arial" w:eastAsia="Arial" w:hAnsi="Arial"/>
                <w:sz w:val="18"/>
                <w:szCs w:val="18"/>
                <w:color w:val="auto"/>
              </w:rPr>
              <w:t>6.1</w:t>
            </w:r>
          </w:p>
        </w:tc>
      </w:tr>
      <w:tr>
        <w:trPr>
          <w:trHeight w:val="196"/>
        </w:trPr>
        <w:tc>
          <w:tcPr>
            <w:tcW w:w="20" w:type="dxa"/>
            <w:vAlign w:val="bottom"/>
          </w:tcPr>
          <w:p>
            <w:pPr>
              <w:spacing w:after="0"/>
              <w:rPr>
                <w:sz w:val="17"/>
                <w:szCs w:val="17"/>
                <w:color w:val="auto"/>
              </w:rPr>
            </w:pPr>
          </w:p>
        </w:tc>
        <w:tc>
          <w:tcPr>
            <w:tcW w:w="7020" w:type="dxa"/>
            <w:vAlign w:val="bottom"/>
            <w:tcBorders>
              <w:top w:val="single" w:sz="8" w:color="939598"/>
              <w:bottom w:val="single" w:sz="8" w:color="939598"/>
            </w:tcBorders>
          </w:tcPr>
          <w:p>
            <w:pPr>
              <w:spacing w:after="0"/>
              <w:rPr>
                <w:sz w:val="17"/>
                <w:szCs w:val="17"/>
                <w:color w:val="auto"/>
              </w:rPr>
            </w:pPr>
          </w:p>
        </w:tc>
        <w:tc>
          <w:tcPr>
            <w:tcW w:w="120" w:type="dxa"/>
            <w:vAlign w:val="bottom"/>
            <w:tcBorders>
              <w:top w:val="single" w:sz="8" w:color="939598"/>
              <w:bottom w:val="single" w:sz="8" w:color="939598"/>
            </w:tcBorders>
            <w:shd w:val="clear" w:color="auto" w:fill="E3F1DA"/>
          </w:tcPr>
          <w:p>
            <w:pPr>
              <w:spacing w:after="0"/>
              <w:rPr>
                <w:sz w:val="17"/>
                <w:szCs w:val="17"/>
                <w:color w:val="auto"/>
              </w:rPr>
            </w:pPr>
          </w:p>
        </w:tc>
        <w:tc>
          <w:tcPr>
            <w:tcW w:w="1340" w:type="dxa"/>
            <w:vAlign w:val="bottom"/>
            <w:tcBorders>
              <w:top w:val="single" w:sz="8" w:color="939598"/>
              <w:bottom w:val="single" w:sz="8" w:color="939598"/>
            </w:tcBorders>
            <w:shd w:val="clear" w:color="auto" w:fill="E3F1DA"/>
          </w:tcPr>
          <w:p>
            <w:pPr>
              <w:jc w:val="right"/>
              <w:ind w:right="130"/>
              <w:spacing w:after="0" w:line="196" w:lineRule="exact"/>
              <w:rPr>
                <w:sz w:val="20"/>
                <w:szCs w:val="20"/>
                <w:color w:val="auto"/>
              </w:rPr>
            </w:pPr>
            <w:r>
              <w:rPr>
                <w:rFonts w:ascii="Arial" w:cs="Arial" w:eastAsia="Arial" w:hAnsi="Arial"/>
                <w:sz w:val="18"/>
                <w:szCs w:val="18"/>
                <w:color w:val="86B6A5"/>
              </w:rPr>
              <w:t>10.1</w:t>
            </w:r>
          </w:p>
        </w:tc>
        <w:tc>
          <w:tcPr>
            <w:tcW w:w="440" w:type="dxa"/>
            <w:vAlign w:val="bottom"/>
            <w:tcBorders>
              <w:top w:val="single" w:sz="8" w:color="939598"/>
              <w:bottom w:val="single" w:sz="8" w:color="939598"/>
            </w:tcBorders>
          </w:tcPr>
          <w:p>
            <w:pPr>
              <w:spacing w:after="0"/>
              <w:rPr>
                <w:sz w:val="17"/>
                <w:szCs w:val="17"/>
                <w:color w:val="auto"/>
              </w:rPr>
            </w:pPr>
          </w:p>
        </w:tc>
        <w:tc>
          <w:tcPr>
            <w:tcW w:w="920" w:type="dxa"/>
            <w:vAlign w:val="bottom"/>
            <w:tcBorders>
              <w:top w:val="single" w:sz="8" w:color="939598"/>
              <w:bottom w:val="single" w:sz="8" w:color="939598"/>
            </w:tcBorders>
          </w:tcPr>
          <w:p>
            <w:pPr>
              <w:jc w:val="right"/>
              <w:ind w:right="30"/>
              <w:spacing w:after="0" w:line="196" w:lineRule="exact"/>
              <w:rPr>
                <w:sz w:val="20"/>
                <w:szCs w:val="20"/>
                <w:color w:val="auto"/>
              </w:rPr>
            </w:pPr>
            <w:r>
              <w:rPr>
                <w:rFonts w:ascii="Arial" w:cs="Arial" w:eastAsia="Arial" w:hAnsi="Arial"/>
                <w:sz w:val="18"/>
                <w:szCs w:val="18"/>
                <w:color w:val="auto"/>
              </w:rPr>
              <w:t>5.7</w:t>
            </w:r>
          </w:p>
        </w:tc>
        <w:tc>
          <w:tcPr>
            <w:tcW w:w="540" w:type="dxa"/>
            <w:vAlign w:val="bottom"/>
            <w:tcBorders>
              <w:top w:val="single" w:sz="8" w:color="939598"/>
              <w:bottom w:val="single" w:sz="8" w:color="939598"/>
            </w:tcBorders>
          </w:tcPr>
          <w:p>
            <w:pPr>
              <w:spacing w:after="0"/>
              <w:rPr>
                <w:sz w:val="17"/>
                <w:szCs w:val="17"/>
                <w:color w:val="auto"/>
              </w:rPr>
            </w:pPr>
          </w:p>
        </w:tc>
        <w:tc>
          <w:tcPr>
            <w:tcW w:w="800" w:type="dxa"/>
            <w:vAlign w:val="bottom"/>
            <w:tcBorders>
              <w:top w:val="single" w:sz="8" w:color="939598"/>
              <w:bottom w:val="single" w:sz="8" w:color="939598"/>
            </w:tcBorders>
          </w:tcPr>
          <w:p>
            <w:pPr>
              <w:jc w:val="right"/>
              <w:spacing w:after="0" w:line="196" w:lineRule="exact"/>
              <w:rPr>
                <w:sz w:val="20"/>
                <w:szCs w:val="20"/>
                <w:color w:val="auto"/>
              </w:rPr>
            </w:pPr>
            <w:r>
              <w:rPr>
                <w:rFonts w:ascii="Arial" w:cs="Arial" w:eastAsia="Arial" w:hAnsi="Arial"/>
                <w:sz w:val="18"/>
                <w:szCs w:val="18"/>
                <w:color w:val="auto"/>
              </w:rPr>
              <w:t>16.9</w:t>
            </w:r>
          </w:p>
        </w:tc>
        <w:tc>
          <w:tcPr>
            <w:tcW w:w="20" w:type="dxa"/>
            <w:vAlign w:val="bottom"/>
          </w:tcPr>
          <w:p>
            <w:pPr>
              <w:spacing w:after="0"/>
              <w:rPr>
                <w:sz w:val="17"/>
                <w:szCs w:val="17"/>
                <w:color w:val="auto"/>
              </w:rPr>
            </w:pPr>
          </w:p>
        </w:tc>
      </w:tr>
      <w:tr>
        <w:trPr>
          <w:trHeight w:val="195"/>
        </w:trPr>
        <w:tc>
          <w:tcPr>
            <w:tcW w:w="20" w:type="dxa"/>
            <w:vAlign w:val="bottom"/>
          </w:tcPr>
          <w:p>
            <w:pPr>
              <w:spacing w:after="0"/>
              <w:rPr>
                <w:sz w:val="16"/>
                <w:szCs w:val="16"/>
                <w:color w:val="auto"/>
              </w:rPr>
            </w:pPr>
          </w:p>
        </w:tc>
        <w:tc>
          <w:tcPr>
            <w:tcW w:w="7020" w:type="dxa"/>
            <w:vAlign w:val="bottom"/>
          </w:tcPr>
          <w:p>
            <w:pPr>
              <w:spacing w:after="0" w:line="195" w:lineRule="exact"/>
              <w:rPr>
                <w:sz w:val="20"/>
                <w:szCs w:val="20"/>
                <w:color w:val="auto"/>
              </w:rPr>
            </w:pPr>
            <w:r>
              <w:rPr>
                <w:rFonts w:ascii="Arial" w:cs="Arial" w:eastAsia="Arial" w:hAnsi="Arial"/>
                <w:sz w:val="18"/>
                <w:szCs w:val="18"/>
                <w:color w:val="auto"/>
              </w:rPr>
              <w:t>France</w:t>
            </w:r>
          </w:p>
        </w:tc>
        <w:tc>
          <w:tcPr>
            <w:tcW w:w="120" w:type="dxa"/>
            <w:vAlign w:val="bottom"/>
            <w:shd w:val="clear" w:color="auto" w:fill="E3F1DA"/>
          </w:tcPr>
          <w:p>
            <w:pPr>
              <w:spacing w:after="0"/>
              <w:rPr>
                <w:sz w:val="16"/>
                <w:szCs w:val="16"/>
                <w:color w:val="auto"/>
              </w:rPr>
            </w:pPr>
          </w:p>
        </w:tc>
        <w:tc>
          <w:tcPr>
            <w:tcW w:w="1340" w:type="dxa"/>
            <w:vAlign w:val="bottom"/>
            <w:shd w:val="clear" w:color="auto" w:fill="E3F1DA"/>
          </w:tcPr>
          <w:p>
            <w:pPr>
              <w:jc w:val="right"/>
              <w:ind w:right="130"/>
              <w:spacing w:after="0" w:line="195" w:lineRule="exact"/>
              <w:rPr>
                <w:sz w:val="20"/>
                <w:szCs w:val="20"/>
                <w:color w:val="auto"/>
              </w:rPr>
            </w:pPr>
            <w:r>
              <w:rPr>
                <w:rFonts w:ascii="Arial" w:cs="Arial" w:eastAsia="Arial" w:hAnsi="Arial"/>
                <w:sz w:val="18"/>
                <w:szCs w:val="18"/>
                <w:color w:val="86B6A5"/>
              </w:rPr>
              <w:t>18.8</w:t>
            </w:r>
          </w:p>
        </w:tc>
        <w:tc>
          <w:tcPr>
            <w:tcW w:w="440" w:type="dxa"/>
            <w:vAlign w:val="bottom"/>
          </w:tcPr>
          <w:p>
            <w:pPr>
              <w:spacing w:after="0"/>
              <w:rPr>
                <w:sz w:val="16"/>
                <w:szCs w:val="16"/>
                <w:color w:val="auto"/>
              </w:rPr>
            </w:pPr>
          </w:p>
        </w:tc>
        <w:tc>
          <w:tcPr>
            <w:tcW w:w="920" w:type="dxa"/>
            <w:vAlign w:val="bottom"/>
          </w:tcPr>
          <w:p>
            <w:pPr>
              <w:jc w:val="right"/>
              <w:ind w:right="30"/>
              <w:spacing w:after="0" w:line="195" w:lineRule="exact"/>
              <w:rPr>
                <w:sz w:val="20"/>
                <w:szCs w:val="20"/>
                <w:color w:val="auto"/>
              </w:rPr>
            </w:pPr>
            <w:r>
              <w:rPr>
                <w:rFonts w:ascii="Arial" w:cs="Arial" w:eastAsia="Arial" w:hAnsi="Arial"/>
                <w:sz w:val="18"/>
                <w:szCs w:val="18"/>
                <w:color w:val="auto"/>
              </w:rPr>
              <w:t>5.7</w:t>
            </w:r>
          </w:p>
        </w:tc>
        <w:tc>
          <w:tcPr>
            <w:tcW w:w="540" w:type="dxa"/>
            <w:vAlign w:val="bottom"/>
          </w:tcPr>
          <w:p>
            <w:pPr>
              <w:spacing w:after="0"/>
              <w:rPr>
                <w:sz w:val="16"/>
                <w:szCs w:val="16"/>
                <w:color w:val="auto"/>
              </w:rPr>
            </w:pPr>
          </w:p>
        </w:tc>
        <w:tc>
          <w:tcPr>
            <w:tcW w:w="800" w:type="dxa"/>
            <w:vAlign w:val="bottom"/>
          </w:tcPr>
          <w:p>
            <w:pPr>
              <w:jc w:val="right"/>
              <w:spacing w:after="0" w:line="195" w:lineRule="exact"/>
              <w:rPr>
                <w:sz w:val="20"/>
                <w:szCs w:val="20"/>
                <w:color w:val="auto"/>
              </w:rPr>
            </w:pPr>
            <w:r>
              <w:rPr>
                <w:rFonts w:ascii="Arial" w:cs="Arial" w:eastAsia="Arial" w:hAnsi="Arial"/>
                <w:sz w:val="18"/>
                <w:szCs w:val="18"/>
                <w:color w:val="auto"/>
              </w:rPr>
              <w:t>12.6</w:t>
            </w:r>
          </w:p>
        </w:tc>
        <w:tc>
          <w:tcPr>
            <w:tcW w:w="20" w:type="dxa"/>
            <w:vAlign w:val="bottom"/>
          </w:tcPr>
          <w:p>
            <w:pPr>
              <w:spacing w:after="0"/>
              <w:rPr>
                <w:sz w:val="16"/>
                <w:szCs w:val="16"/>
                <w:color w:val="auto"/>
              </w:rPr>
            </w:pPr>
          </w:p>
        </w:tc>
      </w:tr>
      <w:tr>
        <w:trPr>
          <w:trHeight w:val="203"/>
        </w:trPr>
        <w:tc>
          <w:tcPr>
            <w:tcW w:w="7040" w:type="dxa"/>
            <w:vAlign w:val="bottom"/>
            <w:gridSpan w:val="2"/>
          </w:tcPr>
          <w:p>
            <w:pPr>
              <w:spacing w:after="0" w:line="202" w:lineRule="exact"/>
              <w:rPr>
                <w:sz w:val="20"/>
                <w:szCs w:val="20"/>
                <w:color w:val="auto"/>
              </w:rPr>
            </w:pPr>
            <w:r>
              <w:rPr>
                <w:rFonts w:ascii="Arial" w:cs="Arial" w:eastAsia="Arial" w:hAnsi="Arial"/>
                <w:sz w:val="18"/>
                <w:szCs w:val="18"/>
                <w:color w:val="auto"/>
              </w:rPr>
              <w:t>EMEA:</w:t>
            </w:r>
          </w:p>
        </w:tc>
        <w:tc>
          <w:tcPr>
            <w:tcW w:w="120" w:type="dxa"/>
            <w:vAlign w:val="bottom"/>
            <w:shd w:val="clear" w:color="auto" w:fill="E3F1DA"/>
          </w:tcPr>
          <w:p>
            <w:pPr>
              <w:spacing w:after="0"/>
              <w:rPr>
                <w:sz w:val="17"/>
                <w:szCs w:val="17"/>
                <w:color w:val="auto"/>
              </w:rPr>
            </w:pPr>
          </w:p>
        </w:tc>
        <w:tc>
          <w:tcPr>
            <w:tcW w:w="1340" w:type="dxa"/>
            <w:vAlign w:val="bottom"/>
            <w:shd w:val="clear" w:color="auto" w:fill="E3F1DA"/>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020" w:type="dxa"/>
            <w:vAlign w:val="bottom"/>
          </w:tcPr>
          <w:p>
            <w:pPr>
              <w:ind w:left="260"/>
              <w:spacing w:after="0" w:line="202" w:lineRule="exact"/>
              <w:rPr>
                <w:sz w:val="20"/>
                <w:szCs w:val="20"/>
                <w:color w:val="auto"/>
              </w:rPr>
            </w:pPr>
            <w:r>
              <w:rPr>
                <w:rFonts w:ascii="Arial" w:cs="Arial" w:eastAsia="Arial" w:hAnsi="Arial"/>
                <w:sz w:val="18"/>
                <w:szCs w:val="18"/>
                <w:color w:val="auto"/>
              </w:rPr>
              <w:t>Italy</w:t>
            </w:r>
          </w:p>
        </w:tc>
        <w:tc>
          <w:tcPr>
            <w:tcW w:w="120" w:type="dxa"/>
            <w:vAlign w:val="bottom"/>
            <w:shd w:val="clear" w:color="auto" w:fill="E3F1DA"/>
          </w:tcPr>
          <w:p>
            <w:pPr>
              <w:spacing w:after="0"/>
              <w:rPr>
                <w:sz w:val="17"/>
                <w:szCs w:val="17"/>
                <w:color w:val="auto"/>
              </w:rPr>
            </w:pPr>
          </w:p>
        </w:tc>
        <w:tc>
          <w:tcPr>
            <w:tcW w:w="1340" w:type="dxa"/>
            <w:vAlign w:val="bottom"/>
            <w:shd w:val="clear" w:color="auto" w:fill="E3F1DA"/>
          </w:tcPr>
          <w:p>
            <w:pPr>
              <w:jc w:val="right"/>
              <w:ind w:right="130"/>
              <w:spacing w:after="0" w:line="202" w:lineRule="exact"/>
              <w:rPr>
                <w:sz w:val="20"/>
                <w:szCs w:val="20"/>
                <w:color w:val="auto"/>
              </w:rPr>
            </w:pPr>
            <w:r>
              <w:rPr>
                <w:rFonts w:ascii="Arial" w:cs="Arial" w:eastAsia="Arial" w:hAnsi="Arial"/>
                <w:sz w:val="18"/>
                <w:szCs w:val="18"/>
                <w:color w:val="86B6A5"/>
              </w:rPr>
              <w:t>3.6</w:t>
            </w:r>
          </w:p>
        </w:tc>
        <w:tc>
          <w:tcPr>
            <w:tcW w:w="440" w:type="dxa"/>
            <w:vAlign w:val="bottom"/>
          </w:tcPr>
          <w:p>
            <w:pPr>
              <w:spacing w:after="0"/>
              <w:rPr>
                <w:sz w:val="17"/>
                <w:szCs w:val="17"/>
                <w:color w:val="auto"/>
              </w:rPr>
            </w:pPr>
          </w:p>
        </w:tc>
        <w:tc>
          <w:tcPr>
            <w:tcW w:w="9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1.6</w:t>
            </w:r>
          </w:p>
        </w:tc>
        <w:tc>
          <w:tcPr>
            <w:tcW w:w="540" w:type="dxa"/>
            <w:vAlign w:val="bottom"/>
          </w:tcPr>
          <w:p>
            <w:pPr>
              <w:spacing w:after="0"/>
              <w:rPr>
                <w:sz w:val="17"/>
                <w:szCs w:val="17"/>
                <w:color w:val="auto"/>
              </w:rPr>
            </w:pPr>
          </w:p>
        </w:tc>
        <w:tc>
          <w:tcPr>
            <w:tcW w:w="8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2.7</w:t>
            </w:r>
          </w:p>
        </w:tc>
      </w:tr>
      <w:tr>
        <w:trPr>
          <w:trHeight w:val="203"/>
        </w:trPr>
        <w:tc>
          <w:tcPr>
            <w:tcW w:w="20" w:type="dxa"/>
            <w:vAlign w:val="bottom"/>
          </w:tcPr>
          <w:p>
            <w:pPr>
              <w:spacing w:after="0"/>
              <w:rPr>
                <w:sz w:val="17"/>
                <w:szCs w:val="17"/>
                <w:color w:val="auto"/>
              </w:rPr>
            </w:pPr>
          </w:p>
        </w:tc>
        <w:tc>
          <w:tcPr>
            <w:tcW w:w="7020" w:type="dxa"/>
            <w:vAlign w:val="bottom"/>
            <w:tcBorders>
              <w:bottom w:val="single" w:sz="8" w:color="939598"/>
            </w:tcBorders>
          </w:tcPr>
          <w:p>
            <w:pPr>
              <w:ind w:left="260"/>
              <w:spacing w:after="0" w:line="203" w:lineRule="exact"/>
              <w:rPr>
                <w:sz w:val="20"/>
                <w:szCs w:val="20"/>
                <w:color w:val="auto"/>
              </w:rPr>
            </w:pPr>
            <w:r>
              <w:rPr>
                <w:rFonts w:ascii="Arial" w:cs="Arial" w:eastAsia="Arial" w:hAnsi="Arial"/>
                <w:sz w:val="18"/>
                <w:szCs w:val="18"/>
                <w:color w:val="auto"/>
              </w:rPr>
              <w:t>Other EMEA</w:t>
            </w:r>
          </w:p>
        </w:tc>
        <w:tc>
          <w:tcPr>
            <w:tcW w:w="120" w:type="dxa"/>
            <w:vAlign w:val="bottom"/>
            <w:tcBorders>
              <w:bottom w:val="single" w:sz="8" w:color="939598"/>
            </w:tcBorders>
            <w:shd w:val="clear" w:color="auto" w:fill="E3F1DA"/>
          </w:tcPr>
          <w:p>
            <w:pPr>
              <w:spacing w:after="0"/>
              <w:rPr>
                <w:sz w:val="17"/>
                <w:szCs w:val="17"/>
                <w:color w:val="auto"/>
              </w:rPr>
            </w:pPr>
          </w:p>
        </w:tc>
        <w:tc>
          <w:tcPr>
            <w:tcW w:w="1340" w:type="dxa"/>
            <w:vAlign w:val="bottom"/>
            <w:tcBorders>
              <w:bottom w:val="single" w:sz="8" w:color="939598"/>
            </w:tcBorders>
            <w:shd w:val="clear" w:color="auto" w:fill="E3F1DA"/>
          </w:tcPr>
          <w:p>
            <w:pPr>
              <w:jc w:val="right"/>
              <w:ind w:right="130"/>
              <w:spacing w:after="0" w:line="203" w:lineRule="exact"/>
              <w:rPr>
                <w:sz w:val="20"/>
                <w:szCs w:val="20"/>
                <w:color w:val="auto"/>
              </w:rPr>
            </w:pPr>
            <w:r>
              <w:rPr>
                <w:rFonts w:ascii="Arial" w:cs="Arial" w:eastAsia="Arial" w:hAnsi="Arial"/>
                <w:sz w:val="18"/>
                <w:szCs w:val="18"/>
                <w:color w:val="86B6A5"/>
              </w:rPr>
              <w:t>15.7</w:t>
            </w:r>
          </w:p>
        </w:tc>
        <w:tc>
          <w:tcPr>
            <w:tcW w:w="440" w:type="dxa"/>
            <w:vAlign w:val="bottom"/>
            <w:tcBorders>
              <w:bottom w:val="single" w:sz="8" w:color="939598"/>
            </w:tcBorders>
          </w:tcPr>
          <w:p>
            <w:pPr>
              <w:spacing w:after="0"/>
              <w:rPr>
                <w:sz w:val="17"/>
                <w:szCs w:val="17"/>
                <w:color w:val="auto"/>
              </w:rPr>
            </w:pPr>
          </w:p>
        </w:tc>
        <w:tc>
          <w:tcPr>
            <w:tcW w:w="920" w:type="dxa"/>
            <w:vAlign w:val="bottom"/>
            <w:tcBorders>
              <w:bottom w:val="single" w:sz="8" w:color="939598"/>
            </w:tcBorders>
          </w:tcPr>
          <w:p>
            <w:pPr>
              <w:jc w:val="right"/>
              <w:ind w:right="30"/>
              <w:spacing w:after="0" w:line="203" w:lineRule="exact"/>
              <w:rPr>
                <w:sz w:val="20"/>
                <w:szCs w:val="20"/>
                <w:color w:val="auto"/>
              </w:rPr>
            </w:pPr>
            <w:r>
              <w:rPr>
                <w:rFonts w:ascii="Arial" w:cs="Arial" w:eastAsia="Arial" w:hAnsi="Arial"/>
                <w:sz w:val="18"/>
                <w:szCs w:val="18"/>
                <w:color w:val="auto"/>
              </w:rPr>
              <w:t>12.6</w:t>
            </w:r>
          </w:p>
        </w:tc>
        <w:tc>
          <w:tcPr>
            <w:tcW w:w="540" w:type="dxa"/>
            <w:vAlign w:val="bottom"/>
            <w:tcBorders>
              <w:bottom w:val="single" w:sz="8" w:color="939598"/>
            </w:tcBorders>
          </w:tcPr>
          <w:p>
            <w:pPr>
              <w:spacing w:after="0"/>
              <w:rPr>
                <w:sz w:val="17"/>
                <w:szCs w:val="17"/>
                <w:color w:val="auto"/>
              </w:rPr>
            </w:pPr>
          </w:p>
        </w:tc>
        <w:tc>
          <w:tcPr>
            <w:tcW w:w="800" w:type="dxa"/>
            <w:vAlign w:val="bottom"/>
            <w:tcBorders>
              <w:bottom w:val="single" w:sz="8" w:color="939598"/>
            </w:tcBorders>
          </w:tcPr>
          <w:p>
            <w:pPr>
              <w:jc w:val="right"/>
              <w:spacing w:after="0" w:line="203" w:lineRule="exact"/>
              <w:rPr>
                <w:sz w:val="20"/>
                <w:szCs w:val="20"/>
                <w:color w:val="auto"/>
              </w:rPr>
            </w:pPr>
            <w:r>
              <w:rPr>
                <w:rFonts w:ascii="Arial" w:cs="Arial" w:eastAsia="Arial" w:hAnsi="Arial"/>
                <w:sz w:val="18"/>
                <w:szCs w:val="18"/>
                <w:color w:val="auto"/>
              </w:rPr>
              <w:t>37.9</w:t>
            </w:r>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7020" w:type="dxa"/>
            <w:vAlign w:val="bottom"/>
            <w:tcBorders>
              <w:bottom w:val="single" w:sz="8" w:color="939598"/>
            </w:tcBorders>
          </w:tcPr>
          <w:p>
            <w:pPr>
              <w:spacing w:after="0"/>
              <w:rPr>
                <w:sz w:val="17"/>
                <w:szCs w:val="17"/>
                <w:color w:val="auto"/>
              </w:rPr>
            </w:pPr>
          </w:p>
        </w:tc>
        <w:tc>
          <w:tcPr>
            <w:tcW w:w="120" w:type="dxa"/>
            <w:vAlign w:val="bottom"/>
            <w:tcBorders>
              <w:bottom w:val="single" w:sz="8" w:color="939598"/>
            </w:tcBorders>
            <w:shd w:val="clear" w:color="auto" w:fill="E3F1DA"/>
          </w:tcPr>
          <w:p>
            <w:pPr>
              <w:spacing w:after="0"/>
              <w:rPr>
                <w:sz w:val="17"/>
                <w:szCs w:val="17"/>
                <w:color w:val="auto"/>
              </w:rPr>
            </w:pPr>
          </w:p>
        </w:tc>
        <w:tc>
          <w:tcPr>
            <w:tcW w:w="1340" w:type="dxa"/>
            <w:vAlign w:val="bottom"/>
            <w:tcBorders>
              <w:bottom w:val="single" w:sz="8" w:color="939598"/>
            </w:tcBorders>
            <w:shd w:val="clear" w:color="auto" w:fill="E3F1DA"/>
          </w:tcPr>
          <w:p>
            <w:pPr>
              <w:jc w:val="right"/>
              <w:ind w:right="130"/>
              <w:spacing w:after="0" w:line="196" w:lineRule="exact"/>
              <w:rPr>
                <w:sz w:val="20"/>
                <w:szCs w:val="20"/>
                <w:color w:val="auto"/>
              </w:rPr>
            </w:pPr>
            <w:r>
              <w:rPr>
                <w:rFonts w:ascii="Arial" w:cs="Arial" w:eastAsia="Arial" w:hAnsi="Arial"/>
                <w:sz w:val="18"/>
                <w:szCs w:val="18"/>
                <w:color w:val="86B6A5"/>
              </w:rPr>
              <w:t>19.3</w:t>
            </w:r>
          </w:p>
        </w:tc>
        <w:tc>
          <w:tcPr>
            <w:tcW w:w="440" w:type="dxa"/>
            <w:vAlign w:val="bottom"/>
            <w:tcBorders>
              <w:bottom w:val="single" w:sz="8" w:color="939598"/>
            </w:tcBorders>
          </w:tcPr>
          <w:p>
            <w:pPr>
              <w:spacing w:after="0"/>
              <w:rPr>
                <w:sz w:val="17"/>
                <w:szCs w:val="17"/>
                <w:color w:val="auto"/>
              </w:rPr>
            </w:pPr>
          </w:p>
        </w:tc>
        <w:tc>
          <w:tcPr>
            <w:tcW w:w="920" w:type="dxa"/>
            <w:vAlign w:val="bottom"/>
            <w:tcBorders>
              <w:bottom w:val="single" w:sz="8" w:color="939598"/>
            </w:tcBorders>
          </w:tcPr>
          <w:p>
            <w:pPr>
              <w:jc w:val="right"/>
              <w:ind w:right="30"/>
              <w:spacing w:after="0" w:line="196" w:lineRule="exact"/>
              <w:rPr>
                <w:sz w:val="20"/>
                <w:szCs w:val="20"/>
                <w:color w:val="auto"/>
              </w:rPr>
            </w:pPr>
            <w:r>
              <w:rPr>
                <w:rFonts w:ascii="Arial" w:cs="Arial" w:eastAsia="Arial" w:hAnsi="Arial"/>
                <w:sz w:val="18"/>
                <w:szCs w:val="18"/>
                <w:color w:val="auto"/>
              </w:rPr>
              <w:t>14.2</w:t>
            </w:r>
          </w:p>
        </w:tc>
        <w:tc>
          <w:tcPr>
            <w:tcW w:w="540" w:type="dxa"/>
            <w:vAlign w:val="bottom"/>
            <w:tcBorders>
              <w:bottom w:val="single" w:sz="8" w:color="939598"/>
            </w:tcBorders>
          </w:tcPr>
          <w:p>
            <w:pPr>
              <w:spacing w:after="0"/>
              <w:rPr>
                <w:sz w:val="17"/>
                <w:szCs w:val="17"/>
                <w:color w:val="auto"/>
              </w:rPr>
            </w:pPr>
          </w:p>
        </w:tc>
        <w:tc>
          <w:tcPr>
            <w:tcW w:w="800" w:type="dxa"/>
            <w:vAlign w:val="bottom"/>
            <w:tcBorders>
              <w:bottom w:val="single" w:sz="8" w:color="939598"/>
            </w:tcBorders>
          </w:tcPr>
          <w:p>
            <w:pPr>
              <w:jc w:val="right"/>
              <w:spacing w:after="0" w:line="196" w:lineRule="exact"/>
              <w:rPr>
                <w:sz w:val="20"/>
                <w:szCs w:val="20"/>
                <w:color w:val="auto"/>
              </w:rPr>
            </w:pPr>
            <w:r>
              <w:rPr>
                <w:rFonts w:ascii="Arial" w:cs="Arial" w:eastAsia="Arial" w:hAnsi="Arial"/>
                <w:sz w:val="18"/>
                <w:szCs w:val="18"/>
                <w:color w:val="auto"/>
              </w:rPr>
              <w:t>40.6</w:t>
            </w:r>
          </w:p>
        </w:tc>
        <w:tc>
          <w:tcPr>
            <w:tcW w:w="20" w:type="dxa"/>
            <w:vAlign w:val="bottom"/>
          </w:tcPr>
          <w:p>
            <w:pPr>
              <w:spacing w:after="0"/>
              <w:rPr>
                <w:sz w:val="17"/>
                <w:szCs w:val="17"/>
                <w:color w:val="auto"/>
              </w:rPr>
            </w:pPr>
          </w:p>
        </w:tc>
      </w:tr>
      <w:tr>
        <w:trPr>
          <w:trHeight w:val="195"/>
        </w:trPr>
        <w:tc>
          <w:tcPr>
            <w:tcW w:w="20" w:type="dxa"/>
            <w:vAlign w:val="bottom"/>
          </w:tcPr>
          <w:p>
            <w:pPr>
              <w:spacing w:after="0"/>
              <w:rPr>
                <w:sz w:val="16"/>
                <w:szCs w:val="16"/>
                <w:color w:val="auto"/>
              </w:rPr>
            </w:pPr>
          </w:p>
        </w:tc>
        <w:tc>
          <w:tcPr>
            <w:tcW w:w="7020" w:type="dxa"/>
            <w:vAlign w:val="bottom"/>
          </w:tcPr>
          <w:p>
            <w:pPr>
              <w:spacing w:after="0" w:line="195" w:lineRule="exact"/>
              <w:rPr>
                <w:sz w:val="20"/>
                <w:szCs w:val="20"/>
                <w:color w:val="auto"/>
              </w:rPr>
            </w:pPr>
            <w:r>
              <w:rPr>
                <w:rFonts w:ascii="Arial" w:cs="Arial" w:eastAsia="Arial" w:hAnsi="Arial"/>
                <w:sz w:val="18"/>
                <w:szCs w:val="18"/>
                <w:color w:val="auto"/>
              </w:rPr>
              <w:t>Asia Pacific</w:t>
            </w:r>
          </w:p>
        </w:tc>
        <w:tc>
          <w:tcPr>
            <w:tcW w:w="120" w:type="dxa"/>
            <w:vAlign w:val="bottom"/>
            <w:shd w:val="clear" w:color="auto" w:fill="E3F1DA"/>
          </w:tcPr>
          <w:p>
            <w:pPr>
              <w:spacing w:after="0"/>
              <w:rPr>
                <w:sz w:val="16"/>
                <w:szCs w:val="16"/>
                <w:color w:val="auto"/>
              </w:rPr>
            </w:pPr>
          </w:p>
        </w:tc>
        <w:tc>
          <w:tcPr>
            <w:tcW w:w="1340" w:type="dxa"/>
            <w:vAlign w:val="bottom"/>
            <w:shd w:val="clear" w:color="auto" w:fill="E3F1DA"/>
          </w:tcPr>
          <w:p>
            <w:pPr>
              <w:jc w:val="right"/>
              <w:ind w:right="130"/>
              <w:spacing w:after="0" w:line="195" w:lineRule="exact"/>
              <w:rPr>
                <w:sz w:val="20"/>
                <w:szCs w:val="20"/>
                <w:color w:val="auto"/>
              </w:rPr>
            </w:pPr>
            <w:r>
              <w:rPr>
                <w:rFonts w:ascii="Arial" w:cs="Arial" w:eastAsia="Arial" w:hAnsi="Arial"/>
                <w:sz w:val="18"/>
                <w:szCs w:val="18"/>
                <w:color w:val="86B6A5"/>
              </w:rPr>
              <w:t>7.2</w:t>
            </w:r>
          </w:p>
        </w:tc>
        <w:tc>
          <w:tcPr>
            <w:tcW w:w="440" w:type="dxa"/>
            <w:vAlign w:val="bottom"/>
          </w:tcPr>
          <w:p>
            <w:pPr>
              <w:spacing w:after="0"/>
              <w:rPr>
                <w:sz w:val="16"/>
                <w:szCs w:val="16"/>
                <w:color w:val="auto"/>
              </w:rPr>
            </w:pPr>
          </w:p>
        </w:tc>
        <w:tc>
          <w:tcPr>
            <w:tcW w:w="920" w:type="dxa"/>
            <w:vAlign w:val="bottom"/>
          </w:tcPr>
          <w:p>
            <w:pPr>
              <w:jc w:val="right"/>
              <w:ind w:right="30"/>
              <w:spacing w:after="0" w:line="195" w:lineRule="exact"/>
              <w:rPr>
                <w:sz w:val="20"/>
                <w:szCs w:val="20"/>
                <w:color w:val="auto"/>
              </w:rPr>
            </w:pPr>
            <w:r>
              <w:rPr>
                <w:rFonts w:ascii="Arial" w:cs="Arial" w:eastAsia="Arial" w:hAnsi="Arial"/>
                <w:sz w:val="18"/>
                <w:szCs w:val="18"/>
                <w:color w:val="auto"/>
              </w:rPr>
              <w:t>2.2</w:t>
            </w:r>
          </w:p>
        </w:tc>
        <w:tc>
          <w:tcPr>
            <w:tcW w:w="540" w:type="dxa"/>
            <w:vAlign w:val="bottom"/>
          </w:tcPr>
          <w:p>
            <w:pPr>
              <w:spacing w:after="0"/>
              <w:rPr>
                <w:sz w:val="16"/>
                <w:szCs w:val="16"/>
                <w:color w:val="auto"/>
              </w:rPr>
            </w:pPr>
          </w:p>
        </w:tc>
        <w:tc>
          <w:tcPr>
            <w:tcW w:w="800" w:type="dxa"/>
            <w:vAlign w:val="bottom"/>
          </w:tcPr>
          <w:p>
            <w:pPr>
              <w:jc w:val="right"/>
              <w:spacing w:after="0" w:line="195" w:lineRule="exact"/>
              <w:rPr>
                <w:sz w:val="20"/>
                <w:szCs w:val="20"/>
                <w:color w:val="auto"/>
              </w:rPr>
            </w:pPr>
            <w:r>
              <w:rPr>
                <w:rFonts w:ascii="Arial" w:cs="Arial" w:eastAsia="Arial" w:hAnsi="Arial"/>
                <w:sz w:val="18"/>
                <w:szCs w:val="18"/>
                <w:color w:val="auto"/>
              </w:rPr>
              <w:t>6.8</w:t>
            </w:r>
          </w:p>
        </w:tc>
        <w:tc>
          <w:tcPr>
            <w:tcW w:w="20" w:type="dxa"/>
            <w:vAlign w:val="bottom"/>
          </w:tcPr>
          <w:p>
            <w:pPr>
              <w:spacing w:after="0"/>
              <w:rPr>
                <w:sz w:val="16"/>
                <w:szCs w:val="16"/>
                <w:color w:val="auto"/>
              </w:rPr>
            </w:pPr>
          </w:p>
        </w:tc>
      </w:tr>
      <w:tr>
        <w:trPr>
          <w:trHeight w:val="203"/>
        </w:trPr>
        <w:tc>
          <w:tcPr>
            <w:tcW w:w="7040" w:type="dxa"/>
            <w:vAlign w:val="bottom"/>
            <w:gridSpan w:val="2"/>
          </w:tcPr>
          <w:p>
            <w:pPr>
              <w:spacing w:after="0" w:line="202" w:lineRule="exact"/>
              <w:rPr>
                <w:sz w:val="20"/>
                <w:szCs w:val="20"/>
                <w:color w:val="auto"/>
              </w:rPr>
            </w:pPr>
            <w:r>
              <w:rPr>
                <w:rFonts w:ascii="Arial" w:cs="Arial" w:eastAsia="Arial" w:hAnsi="Arial"/>
                <w:sz w:val="18"/>
                <w:szCs w:val="18"/>
                <w:color w:val="auto"/>
              </w:rPr>
              <w:t>Right Management</w:t>
            </w:r>
          </w:p>
        </w:tc>
        <w:tc>
          <w:tcPr>
            <w:tcW w:w="120" w:type="dxa"/>
            <w:vAlign w:val="bottom"/>
            <w:shd w:val="clear" w:color="auto" w:fill="E3F1DA"/>
          </w:tcPr>
          <w:p>
            <w:pPr>
              <w:spacing w:after="0"/>
              <w:rPr>
                <w:sz w:val="17"/>
                <w:szCs w:val="17"/>
                <w:color w:val="auto"/>
              </w:rPr>
            </w:pPr>
          </w:p>
        </w:tc>
        <w:tc>
          <w:tcPr>
            <w:tcW w:w="1340" w:type="dxa"/>
            <w:vAlign w:val="bottom"/>
            <w:shd w:val="clear" w:color="auto" w:fill="E3F1DA"/>
          </w:tcPr>
          <w:p>
            <w:pPr>
              <w:jc w:val="right"/>
              <w:ind w:right="130"/>
              <w:spacing w:after="0" w:line="202" w:lineRule="exact"/>
              <w:rPr>
                <w:sz w:val="20"/>
                <w:szCs w:val="20"/>
                <w:color w:val="auto"/>
              </w:rPr>
            </w:pPr>
            <w:r>
              <w:rPr>
                <w:rFonts w:ascii="Arial" w:cs="Arial" w:eastAsia="Arial" w:hAnsi="Arial"/>
                <w:sz w:val="18"/>
                <w:szCs w:val="18"/>
                <w:color w:val="86B6A5"/>
              </w:rPr>
              <w:t>2.9</w:t>
            </w:r>
          </w:p>
        </w:tc>
        <w:tc>
          <w:tcPr>
            <w:tcW w:w="440" w:type="dxa"/>
            <w:vAlign w:val="bottom"/>
          </w:tcPr>
          <w:p>
            <w:pPr>
              <w:spacing w:after="0"/>
              <w:rPr>
                <w:sz w:val="17"/>
                <w:szCs w:val="17"/>
                <w:color w:val="auto"/>
              </w:rPr>
            </w:pPr>
          </w:p>
        </w:tc>
        <w:tc>
          <w:tcPr>
            <w:tcW w:w="9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6.3</w:t>
            </w:r>
          </w:p>
        </w:tc>
        <w:tc>
          <w:tcPr>
            <w:tcW w:w="540" w:type="dxa"/>
            <w:vAlign w:val="bottom"/>
          </w:tcPr>
          <w:p>
            <w:pPr>
              <w:spacing w:after="0"/>
              <w:rPr>
                <w:sz w:val="17"/>
                <w:szCs w:val="17"/>
                <w:color w:val="auto"/>
              </w:rPr>
            </w:pPr>
          </w:p>
        </w:tc>
        <w:tc>
          <w:tcPr>
            <w:tcW w:w="8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7.8</w:t>
            </w:r>
          </w:p>
        </w:tc>
      </w:tr>
      <w:tr>
        <w:trPr>
          <w:trHeight w:val="203"/>
        </w:trPr>
        <w:tc>
          <w:tcPr>
            <w:tcW w:w="7040" w:type="dxa"/>
            <w:vAlign w:val="bottom"/>
            <w:gridSpan w:val="2"/>
          </w:tcPr>
          <w:p>
            <w:pPr>
              <w:spacing w:after="0" w:line="203" w:lineRule="exact"/>
              <w:rPr>
                <w:sz w:val="20"/>
                <w:szCs w:val="20"/>
                <w:color w:val="auto"/>
              </w:rPr>
            </w:pPr>
            <w:r>
              <w:rPr>
                <w:rFonts w:ascii="Arial" w:cs="Arial" w:eastAsia="Arial" w:hAnsi="Arial"/>
                <w:sz w:val="18"/>
                <w:szCs w:val="18"/>
                <w:color w:val="auto"/>
              </w:rPr>
              <w:t>Corporate</w:t>
            </w:r>
          </w:p>
        </w:tc>
        <w:tc>
          <w:tcPr>
            <w:tcW w:w="120" w:type="dxa"/>
            <w:vAlign w:val="bottom"/>
            <w:shd w:val="clear" w:color="auto" w:fill="E3F1DA"/>
          </w:tcPr>
          <w:p>
            <w:pPr>
              <w:spacing w:after="0"/>
              <w:rPr>
                <w:sz w:val="17"/>
                <w:szCs w:val="17"/>
                <w:color w:val="auto"/>
              </w:rPr>
            </w:pPr>
          </w:p>
        </w:tc>
        <w:tc>
          <w:tcPr>
            <w:tcW w:w="1340" w:type="dxa"/>
            <w:vAlign w:val="bottom"/>
            <w:shd w:val="clear" w:color="auto" w:fill="E3F1DA"/>
          </w:tcPr>
          <w:p>
            <w:pPr>
              <w:jc w:val="right"/>
              <w:ind w:right="130"/>
              <w:spacing w:after="0" w:line="203" w:lineRule="exact"/>
              <w:rPr>
                <w:sz w:val="20"/>
                <w:szCs w:val="20"/>
                <w:color w:val="auto"/>
              </w:rPr>
            </w:pPr>
            <w:r>
              <w:rPr>
                <w:rFonts w:ascii="Arial" w:cs="Arial" w:eastAsia="Arial" w:hAnsi="Arial"/>
                <w:sz w:val="18"/>
                <w:szCs w:val="18"/>
                <w:color w:val="86B6A5"/>
              </w:rPr>
              <w:t>0.2</w:t>
            </w:r>
          </w:p>
        </w:tc>
        <w:tc>
          <w:tcPr>
            <w:tcW w:w="440" w:type="dxa"/>
            <w:vAlign w:val="bottom"/>
          </w:tcPr>
          <w:p>
            <w:pPr>
              <w:spacing w:after="0"/>
              <w:rPr>
                <w:sz w:val="17"/>
                <w:szCs w:val="17"/>
                <w:color w:val="auto"/>
              </w:rPr>
            </w:pPr>
          </w:p>
        </w:tc>
        <w:tc>
          <w:tcPr>
            <w:tcW w:w="920" w:type="dxa"/>
            <w:vAlign w:val="bottom"/>
          </w:tcPr>
          <w:p>
            <w:pPr>
              <w:jc w:val="right"/>
              <w:ind w:right="30"/>
              <w:spacing w:after="0" w:line="203" w:lineRule="exact"/>
              <w:rPr>
                <w:sz w:val="20"/>
                <w:szCs w:val="20"/>
                <w:color w:val="auto"/>
              </w:rPr>
            </w:pPr>
            <w:r>
              <w:rPr>
                <w:rFonts w:ascii="Arial" w:cs="Arial" w:eastAsia="Arial" w:hAnsi="Arial"/>
                <w:sz w:val="18"/>
                <w:szCs w:val="18"/>
                <w:color w:val="auto"/>
              </w:rPr>
              <w:t>1.0</w:t>
            </w:r>
          </w:p>
        </w:tc>
        <w:tc>
          <w:tcPr>
            <w:tcW w:w="540" w:type="dxa"/>
            <w:vAlign w:val="bottom"/>
          </w:tcPr>
          <w:p>
            <w:pPr>
              <w:spacing w:after="0"/>
              <w:rPr>
                <w:sz w:val="17"/>
                <w:szCs w:val="17"/>
                <w:color w:val="auto"/>
              </w:rPr>
            </w:pPr>
          </w:p>
        </w:tc>
        <w:tc>
          <w:tcPr>
            <w:tcW w:w="820" w:type="dxa"/>
            <w:vAlign w:val="bottom"/>
            <w:gridSpan w:val="2"/>
          </w:tcPr>
          <w:p>
            <w:pPr>
              <w:jc w:val="right"/>
              <w:ind w:right="20"/>
              <w:spacing w:after="0" w:line="203" w:lineRule="exact"/>
              <w:rPr>
                <w:sz w:val="20"/>
                <w:szCs w:val="20"/>
                <w:color w:val="auto"/>
              </w:rPr>
            </w:pPr>
            <w:r>
              <w:rPr>
                <w:rFonts w:ascii="Arial" w:cs="Arial" w:eastAsia="Arial" w:hAnsi="Arial"/>
                <w:sz w:val="18"/>
                <w:szCs w:val="18"/>
                <w:color w:val="auto"/>
              </w:rPr>
              <w:t>2.2</w:t>
            </w:r>
          </w:p>
        </w:tc>
      </w:tr>
      <w:tr>
        <w:trPr>
          <w:trHeight w:val="203"/>
        </w:trPr>
        <w:tc>
          <w:tcPr>
            <w:tcW w:w="20" w:type="dxa"/>
            <w:vAlign w:val="bottom"/>
          </w:tcPr>
          <w:p>
            <w:pPr>
              <w:spacing w:after="0"/>
              <w:rPr>
                <w:sz w:val="17"/>
                <w:szCs w:val="17"/>
                <w:color w:val="auto"/>
              </w:rPr>
            </w:pPr>
          </w:p>
        </w:tc>
        <w:tc>
          <w:tcPr>
            <w:tcW w:w="7020" w:type="dxa"/>
            <w:vAlign w:val="bottom"/>
            <w:tcBorders>
              <w:top w:val="single" w:sz="8" w:color="939598"/>
              <w:bottom w:val="single" w:sz="8" w:color="939598"/>
            </w:tcBorders>
          </w:tcPr>
          <w:p>
            <w:pPr>
              <w:spacing w:after="0"/>
              <w:rPr>
                <w:sz w:val="17"/>
                <w:szCs w:val="17"/>
                <w:color w:val="auto"/>
              </w:rPr>
            </w:pPr>
          </w:p>
        </w:tc>
        <w:tc>
          <w:tcPr>
            <w:tcW w:w="120" w:type="dxa"/>
            <w:vAlign w:val="bottom"/>
            <w:tcBorders>
              <w:top w:val="single" w:sz="8" w:color="939598"/>
              <w:bottom w:val="single" w:sz="8" w:color="939598"/>
            </w:tcBorders>
            <w:shd w:val="clear" w:color="auto" w:fill="E3F1DA"/>
          </w:tcPr>
          <w:p>
            <w:pPr>
              <w:jc w:val="right"/>
              <w:spacing w:after="0" w:line="196" w:lineRule="exact"/>
              <w:rPr>
                <w:sz w:val="20"/>
                <w:szCs w:val="20"/>
                <w:color w:val="auto"/>
              </w:rPr>
            </w:pPr>
            <w:r>
              <w:rPr>
                <w:rFonts w:ascii="Arial" w:cs="Arial" w:eastAsia="Arial" w:hAnsi="Arial"/>
                <w:sz w:val="18"/>
                <w:szCs w:val="18"/>
                <w:color w:val="86B6A5"/>
                <w:w w:val="79"/>
              </w:rPr>
              <w:t>$</w:t>
            </w:r>
          </w:p>
        </w:tc>
        <w:tc>
          <w:tcPr>
            <w:tcW w:w="1340" w:type="dxa"/>
            <w:vAlign w:val="bottom"/>
            <w:tcBorders>
              <w:top w:val="single" w:sz="8" w:color="939598"/>
              <w:bottom w:val="single" w:sz="8" w:color="939598"/>
            </w:tcBorders>
            <w:shd w:val="clear" w:color="auto" w:fill="E3F1DA"/>
          </w:tcPr>
          <w:p>
            <w:pPr>
              <w:jc w:val="right"/>
              <w:ind w:right="130"/>
              <w:spacing w:after="0" w:line="196" w:lineRule="exact"/>
              <w:rPr>
                <w:sz w:val="20"/>
                <w:szCs w:val="20"/>
                <w:color w:val="auto"/>
              </w:rPr>
            </w:pPr>
            <w:r>
              <w:rPr>
                <w:rFonts w:ascii="Arial" w:cs="Arial" w:eastAsia="Arial" w:hAnsi="Arial"/>
                <w:sz w:val="18"/>
                <w:szCs w:val="18"/>
                <w:color w:val="86B6A5"/>
              </w:rPr>
              <w:t>58.5</w:t>
            </w:r>
          </w:p>
        </w:tc>
        <w:tc>
          <w:tcPr>
            <w:tcW w:w="440" w:type="dxa"/>
            <w:vAlign w:val="bottom"/>
            <w:tcBorders>
              <w:top w:val="single" w:sz="8" w:color="939598"/>
              <w:bottom w:val="single" w:sz="8" w:color="939598"/>
            </w:tcBorders>
          </w:tcPr>
          <w:p>
            <w:pPr>
              <w:jc w:val="right"/>
              <w:ind w:right="25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939598"/>
              <w:bottom w:val="single" w:sz="8" w:color="939598"/>
            </w:tcBorders>
          </w:tcPr>
          <w:p>
            <w:pPr>
              <w:jc w:val="right"/>
              <w:ind w:right="30"/>
              <w:spacing w:after="0" w:line="196" w:lineRule="exact"/>
              <w:rPr>
                <w:sz w:val="20"/>
                <w:szCs w:val="20"/>
                <w:color w:val="auto"/>
              </w:rPr>
            </w:pPr>
            <w:r>
              <w:rPr>
                <w:rFonts w:ascii="Arial" w:cs="Arial" w:eastAsia="Arial" w:hAnsi="Arial"/>
                <w:sz w:val="18"/>
                <w:szCs w:val="18"/>
                <w:color w:val="auto"/>
              </w:rPr>
              <w:t>35.1</w:t>
            </w:r>
          </w:p>
        </w:tc>
        <w:tc>
          <w:tcPr>
            <w:tcW w:w="540" w:type="dxa"/>
            <w:vAlign w:val="bottom"/>
            <w:tcBorders>
              <w:top w:val="single" w:sz="8" w:color="939598"/>
              <w:bottom w:val="single" w:sz="8" w:color="939598"/>
            </w:tcBorders>
          </w:tcPr>
          <w:p>
            <w:pPr>
              <w:jc w:val="right"/>
              <w:ind w:right="250"/>
              <w:spacing w:after="0" w:line="196" w:lineRule="exact"/>
              <w:rPr>
                <w:sz w:val="20"/>
                <w:szCs w:val="20"/>
                <w:color w:val="auto"/>
              </w:rPr>
            </w:pPr>
            <w:r>
              <w:rPr>
                <w:rFonts w:ascii="Arial" w:cs="Arial" w:eastAsia="Arial" w:hAnsi="Arial"/>
                <w:sz w:val="18"/>
                <w:szCs w:val="18"/>
                <w:color w:val="auto"/>
              </w:rPr>
              <w:t>$</w:t>
            </w:r>
          </w:p>
        </w:tc>
        <w:tc>
          <w:tcPr>
            <w:tcW w:w="800" w:type="dxa"/>
            <w:vAlign w:val="bottom"/>
            <w:tcBorders>
              <w:top w:val="single" w:sz="8" w:color="939598"/>
              <w:bottom w:val="single" w:sz="8" w:color="939598"/>
            </w:tcBorders>
          </w:tcPr>
          <w:p>
            <w:pPr>
              <w:jc w:val="right"/>
              <w:spacing w:after="0" w:line="196" w:lineRule="exact"/>
              <w:rPr>
                <w:sz w:val="20"/>
                <w:szCs w:val="20"/>
                <w:color w:val="auto"/>
              </w:rPr>
            </w:pPr>
            <w:r>
              <w:rPr>
                <w:rFonts w:ascii="Arial" w:cs="Arial" w:eastAsia="Arial" w:hAnsi="Arial"/>
                <w:sz w:val="18"/>
                <w:szCs w:val="18"/>
                <w:color w:val="auto"/>
              </w:rPr>
              <w:t>86.9</w:t>
            </w:r>
          </w:p>
        </w:tc>
        <w:tc>
          <w:tcPr>
            <w:tcW w:w="20" w:type="dxa"/>
            <w:vAlign w:val="bottom"/>
          </w:tcPr>
          <w:p>
            <w:pPr>
              <w:spacing w:after="0"/>
              <w:rPr>
                <w:sz w:val="17"/>
                <w:szCs w:val="17"/>
                <w:color w:val="auto"/>
              </w:rPr>
            </w:pPr>
          </w:p>
        </w:tc>
      </w:tr>
    </w:tbl>
    <w:p>
      <w:pPr>
        <w:spacing w:after="0" w:line="218" w:lineRule="exact"/>
        <w:rPr>
          <w:sz w:val="20"/>
          <w:szCs w:val="20"/>
          <w:color w:val="auto"/>
        </w:rPr>
      </w:pPr>
    </w:p>
    <w:p>
      <w:pPr>
        <w:ind w:left="380" w:hanging="372"/>
        <w:spacing w:after="0"/>
        <w:tabs>
          <w:tab w:leader="none" w:pos="380" w:val="left"/>
        </w:tabs>
        <w:numPr>
          <w:ilvl w:val="0"/>
          <w:numId w:val="59"/>
        </w:numPr>
        <w:rPr>
          <w:rFonts w:ascii="Arial" w:cs="Arial" w:eastAsia="Arial" w:hAnsi="Arial"/>
          <w:sz w:val="16"/>
          <w:szCs w:val="16"/>
          <w:color w:val="auto"/>
        </w:rPr>
      </w:pPr>
      <w:r>
        <w:rPr>
          <w:rFonts w:ascii="Arial" w:cs="Arial" w:eastAsia="Arial" w:hAnsi="Arial"/>
          <w:sz w:val="16"/>
          <w:szCs w:val="16"/>
          <w:color w:val="auto"/>
        </w:rPr>
        <w:t>Further breakdown of Long-Lived Assets by geographical region is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7020" w:type="dxa"/>
            <w:vAlign w:val="bottom"/>
            <w:tcBorders>
              <w:bottom w:val="single" w:sz="8" w:color="86B6A5"/>
            </w:tcBorders>
          </w:tcPr>
          <w:p>
            <w:pPr>
              <w:spacing w:after="0"/>
              <w:rPr>
                <w:sz w:val="18"/>
                <w:szCs w:val="18"/>
                <w:color w:val="auto"/>
              </w:rPr>
            </w:pPr>
          </w:p>
        </w:tc>
        <w:tc>
          <w:tcPr>
            <w:tcW w:w="120" w:type="dxa"/>
            <w:vAlign w:val="bottom"/>
            <w:tcBorders>
              <w:bottom w:val="single" w:sz="8" w:color="86B6A5"/>
            </w:tcBorders>
            <w:shd w:val="clear" w:color="auto" w:fill="86B6A5"/>
          </w:tcPr>
          <w:p>
            <w:pPr>
              <w:spacing w:after="0"/>
              <w:rPr>
                <w:sz w:val="18"/>
                <w:szCs w:val="18"/>
                <w:color w:val="auto"/>
              </w:rPr>
            </w:pPr>
          </w:p>
        </w:tc>
        <w:tc>
          <w:tcPr>
            <w:tcW w:w="1340" w:type="dxa"/>
            <w:vAlign w:val="bottom"/>
            <w:tcBorders>
              <w:bottom w:val="single" w:sz="8" w:color="86B6A5"/>
            </w:tcBorders>
            <w:shd w:val="clear" w:color="auto" w:fill="86B6A5"/>
          </w:tcPr>
          <w:p>
            <w:pPr>
              <w:jc w:val="right"/>
              <w:ind w:right="131"/>
              <w:spacing w:after="0"/>
              <w:rPr>
                <w:sz w:val="20"/>
                <w:szCs w:val="20"/>
                <w:color w:val="auto"/>
              </w:rPr>
            </w:pPr>
            <w:r>
              <w:rPr>
                <w:rFonts w:ascii="Arial" w:cs="Arial" w:eastAsia="Arial" w:hAnsi="Arial"/>
                <w:sz w:val="16"/>
                <w:szCs w:val="16"/>
                <w:b w:val="1"/>
                <w:bCs w:val="1"/>
                <w:color w:val="FFFFFF"/>
              </w:rPr>
              <w:t>2010</w:t>
            </w:r>
          </w:p>
        </w:tc>
        <w:tc>
          <w:tcPr>
            <w:tcW w:w="440" w:type="dxa"/>
            <w:vAlign w:val="bottom"/>
            <w:tcBorders>
              <w:bottom w:val="single" w:sz="8" w:color="86B6A5"/>
            </w:tcBorders>
          </w:tcPr>
          <w:p>
            <w:pPr>
              <w:spacing w:after="0"/>
              <w:rPr>
                <w:sz w:val="18"/>
                <w:szCs w:val="18"/>
                <w:color w:val="auto"/>
              </w:rPr>
            </w:pPr>
          </w:p>
        </w:tc>
        <w:tc>
          <w:tcPr>
            <w:tcW w:w="920" w:type="dxa"/>
            <w:vAlign w:val="bottom"/>
            <w:tcBorders>
              <w:bottom w:val="single" w:sz="8" w:color="86B6A5"/>
            </w:tcBorders>
          </w:tcPr>
          <w:p>
            <w:pPr>
              <w:jc w:val="right"/>
              <w:ind w:right="31"/>
              <w:spacing w:after="0"/>
              <w:rPr>
                <w:sz w:val="20"/>
                <w:szCs w:val="20"/>
                <w:color w:val="auto"/>
              </w:rPr>
            </w:pPr>
            <w:r>
              <w:rPr>
                <w:rFonts w:ascii="Arial" w:cs="Arial" w:eastAsia="Arial" w:hAnsi="Arial"/>
                <w:sz w:val="16"/>
                <w:szCs w:val="16"/>
                <w:b w:val="1"/>
                <w:bCs w:val="1"/>
                <w:color w:val="86B6A5"/>
              </w:rPr>
              <w:t>2009</w:t>
            </w:r>
          </w:p>
        </w:tc>
        <w:tc>
          <w:tcPr>
            <w:tcW w:w="540" w:type="dxa"/>
            <w:vAlign w:val="bottom"/>
            <w:tcBorders>
              <w:bottom w:val="single" w:sz="8" w:color="86B6A5"/>
            </w:tcBorders>
          </w:tcPr>
          <w:p>
            <w:pPr>
              <w:spacing w:after="0"/>
              <w:rPr>
                <w:sz w:val="18"/>
                <w:szCs w:val="18"/>
                <w:color w:val="auto"/>
              </w:rPr>
            </w:pPr>
          </w:p>
        </w:tc>
        <w:tc>
          <w:tcPr>
            <w:tcW w:w="800" w:type="dxa"/>
            <w:vAlign w:val="bottom"/>
            <w:tcBorders>
              <w:bottom w:val="single" w:sz="8" w:color="86B6A5"/>
            </w:tcBorders>
          </w:tcPr>
          <w:p>
            <w:pPr>
              <w:jc w:val="right"/>
              <w:spacing w:after="0"/>
              <w:rPr>
                <w:sz w:val="20"/>
                <w:szCs w:val="20"/>
                <w:color w:val="auto"/>
              </w:rPr>
            </w:pPr>
            <w:r>
              <w:rPr>
                <w:rFonts w:ascii="Arial" w:cs="Arial" w:eastAsia="Arial" w:hAnsi="Arial"/>
                <w:sz w:val="16"/>
                <w:szCs w:val="16"/>
                <w:b w:val="1"/>
                <w:bCs w:val="1"/>
                <w:color w:val="86B6A5"/>
              </w:rPr>
              <w:t>2008</w:t>
            </w:r>
          </w:p>
        </w:tc>
      </w:tr>
      <w:tr>
        <w:trPr>
          <w:trHeight w:val="202"/>
        </w:trPr>
        <w:tc>
          <w:tcPr>
            <w:tcW w:w="20" w:type="dxa"/>
            <w:vAlign w:val="bottom"/>
          </w:tcPr>
          <w:p>
            <w:pPr>
              <w:spacing w:after="0"/>
              <w:rPr>
                <w:sz w:val="17"/>
                <w:szCs w:val="17"/>
                <w:color w:val="auto"/>
              </w:rPr>
            </w:pPr>
          </w:p>
        </w:tc>
        <w:tc>
          <w:tcPr>
            <w:tcW w:w="7020" w:type="dxa"/>
            <w:vAlign w:val="bottom"/>
          </w:tcPr>
          <w:p>
            <w:pPr>
              <w:spacing w:after="0" w:line="201" w:lineRule="exact"/>
              <w:rPr>
                <w:sz w:val="20"/>
                <w:szCs w:val="20"/>
                <w:color w:val="auto"/>
              </w:rPr>
            </w:pPr>
            <w:r>
              <w:rPr>
                <w:rFonts w:ascii="Arial" w:cs="Arial" w:eastAsia="Arial" w:hAnsi="Arial"/>
                <w:sz w:val="18"/>
                <w:szCs w:val="18"/>
                <w:b w:val="1"/>
                <w:bCs w:val="1"/>
                <w:color w:val="auto"/>
              </w:rPr>
              <w:t>Long-Lived Assets</w:t>
            </w:r>
          </w:p>
        </w:tc>
        <w:tc>
          <w:tcPr>
            <w:tcW w:w="120" w:type="dxa"/>
            <w:vAlign w:val="bottom"/>
            <w:shd w:val="clear" w:color="auto" w:fill="E3F1DA"/>
          </w:tcPr>
          <w:p>
            <w:pPr>
              <w:spacing w:after="0"/>
              <w:rPr>
                <w:sz w:val="17"/>
                <w:szCs w:val="17"/>
                <w:color w:val="auto"/>
              </w:rPr>
            </w:pPr>
          </w:p>
        </w:tc>
        <w:tc>
          <w:tcPr>
            <w:tcW w:w="1340" w:type="dxa"/>
            <w:vAlign w:val="bottom"/>
            <w:shd w:val="clear" w:color="auto" w:fill="E3F1DA"/>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7040" w:type="dxa"/>
            <w:vAlign w:val="bottom"/>
            <w:gridSpan w:val="2"/>
          </w:tcPr>
          <w:p>
            <w:pPr>
              <w:spacing w:after="0" w:line="202" w:lineRule="exact"/>
              <w:rPr>
                <w:sz w:val="20"/>
                <w:szCs w:val="20"/>
                <w:color w:val="auto"/>
              </w:rPr>
            </w:pPr>
            <w:r>
              <w:rPr>
                <w:rFonts w:ascii="Arial" w:cs="Arial" w:eastAsia="Arial" w:hAnsi="Arial"/>
                <w:sz w:val="18"/>
                <w:szCs w:val="18"/>
                <w:color w:val="auto"/>
              </w:rPr>
              <w:t>United States</w:t>
            </w:r>
          </w:p>
        </w:tc>
        <w:tc>
          <w:tcPr>
            <w:tcW w:w="120" w:type="dxa"/>
            <w:vAlign w:val="bottom"/>
            <w:shd w:val="clear" w:color="auto" w:fill="E3F1DA"/>
          </w:tcPr>
          <w:p>
            <w:pPr>
              <w:jc w:val="right"/>
              <w:spacing w:after="0" w:line="202" w:lineRule="exact"/>
              <w:rPr>
                <w:sz w:val="20"/>
                <w:szCs w:val="20"/>
                <w:color w:val="auto"/>
              </w:rPr>
            </w:pPr>
            <w:r>
              <w:rPr>
                <w:rFonts w:ascii="Arial" w:cs="Arial" w:eastAsia="Arial" w:hAnsi="Arial"/>
                <w:sz w:val="18"/>
                <w:szCs w:val="18"/>
                <w:color w:val="86B6A5"/>
                <w:w w:val="79"/>
              </w:rPr>
              <w:t>$</w:t>
            </w:r>
          </w:p>
        </w:tc>
        <w:tc>
          <w:tcPr>
            <w:tcW w:w="1340" w:type="dxa"/>
            <w:vAlign w:val="bottom"/>
            <w:shd w:val="clear" w:color="auto" w:fill="E3F1DA"/>
          </w:tcPr>
          <w:p>
            <w:pPr>
              <w:jc w:val="right"/>
              <w:ind w:right="131"/>
              <w:spacing w:after="0" w:line="202" w:lineRule="exact"/>
              <w:rPr>
                <w:sz w:val="20"/>
                <w:szCs w:val="20"/>
                <w:color w:val="auto"/>
              </w:rPr>
            </w:pPr>
            <w:r>
              <w:rPr>
                <w:rFonts w:ascii="Arial" w:cs="Arial" w:eastAsia="Arial" w:hAnsi="Arial"/>
                <w:sz w:val="18"/>
                <w:szCs w:val="18"/>
                <w:color w:val="86B6A5"/>
              </w:rPr>
              <w:t>44.2</w:t>
            </w:r>
          </w:p>
        </w:tc>
        <w:tc>
          <w:tcPr>
            <w:tcW w:w="440" w:type="dxa"/>
            <w:vAlign w:val="bottom"/>
          </w:tcPr>
          <w:p>
            <w:pPr>
              <w:jc w:val="right"/>
              <w:ind w:right="250"/>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tcPr>
          <w:p>
            <w:pPr>
              <w:jc w:val="right"/>
              <w:ind w:right="31"/>
              <w:spacing w:after="0" w:line="202" w:lineRule="exact"/>
              <w:rPr>
                <w:sz w:val="20"/>
                <w:szCs w:val="20"/>
                <w:color w:val="auto"/>
              </w:rPr>
            </w:pPr>
            <w:r>
              <w:rPr>
                <w:rFonts w:ascii="Arial" w:cs="Arial" w:eastAsia="Arial" w:hAnsi="Arial"/>
                <w:sz w:val="18"/>
                <w:szCs w:val="18"/>
                <w:color w:val="auto"/>
              </w:rPr>
              <w:t>44.9</w:t>
            </w:r>
          </w:p>
        </w:tc>
        <w:tc>
          <w:tcPr>
            <w:tcW w:w="540" w:type="dxa"/>
            <w:vAlign w:val="bottom"/>
          </w:tcPr>
          <w:p>
            <w:pPr>
              <w:jc w:val="right"/>
              <w:ind w:right="250"/>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57.3</w:t>
            </w:r>
          </w:p>
        </w:tc>
      </w:tr>
      <w:tr>
        <w:trPr>
          <w:trHeight w:val="203"/>
        </w:trPr>
        <w:tc>
          <w:tcPr>
            <w:tcW w:w="7040" w:type="dxa"/>
            <w:vAlign w:val="bottom"/>
            <w:gridSpan w:val="2"/>
          </w:tcPr>
          <w:p>
            <w:pPr>
              <w:spacing w:after="0" w:line="202" w:lineRule="exact"/>
              <w:rPr>
                <w:sz w:val="20"/>
                <w:szCs w:val="20"/>
                <w:color w:val="auto"/>
              </w:rPr>
            </w:pPr>
            <w:r>
              <w:rPr>
                <w:rFonts w:ascii="Arial" w:cs="Arial" w:eastAsia="Arial" w:hAnsi="Arial"/>
                <w:sz w:val="18"/>
                <w:szCs w:val="18"/>
                <w:color w:val="auto"/>
              </w:rPr>
              <w:t>France</w:t>
            </w:r>
          </w:p>
        </w:tc>
        <w:tc>
          <w:tcPr>
            <w:tcW w:w="120" w:type="dxa"/>
            <w:vAlign w:val="bottom"/>
            <w:shd w:val="clear" w:color="auto" w:fill="E3F1DA"/>
          </w:tcPr>
          <w:p>
            <w:pPr>
              <w:spacing w:after="0"/>
              <w:rPr>
                <w:sz w:val="17"/>
                <w:szCs w:val="17"/>
                <w:color w:val="auto"/>
              </w:rPr>
            </w:pPr>
          </w:p>
        </w:tc>
        <w:tc>
          <w:tcPr>
            <w:tcW w:w="1340" w:type="dxa"/>
            <w:vAlign w:val="bottom"/>
            <w:shd w:val="clear" w:color="auto" w:fill="E3F1DA"/>
          </w:tcPr>
          <w:p>
            <w:pPr>
              <w:jc w:val="right"/>
              <w:ind w:right="131"/>
              <w:spacing w:after="0" w:line="202" w:lineRule="exact"/>
              <w:rPr>
                <w:sz w:val="20"/>
                <w:szCs w:val="20"/>
                <w:color w:val="auto"/>
              </w:rPr>
            </w:pPr>
            <w:r>
              <w:rPr>
                <w:rFonts w:ascii="Arial" w:cs="Arial" w:eastAsia="Arial" w:hAnsi="Arial"/>
                <w:sz w:val="18"/>
                <w:szCs w:val="18"/>
                <w:color w:val="86B6A5"/>
              </w:rPr>
              <w:t>45.8</w:t>
            </w:r>
          </w:p>
        </w:tc>
        <w:tc>
          <w:tcPr>
            <w:tcW w:w="440" w:type="dxa"/>
            <w:vAlign w:val="bottom"/>
          </w:tcPr>
          <w:p>
            <w:pPr>
              <w:spacing w:after="0"/>
              <w:rPr>
                <w:sz w:val="17"/>
                <w:szCs w:val="17"/>
                <w:color w:val="auto"/>
              </w:rPr>
            </w:pPr>
          </w:p>
        </w:tc>
        <w:tc>
          <w:tcPr>
            <w:tcW w:w="920" w:type="dxa"/>
            <w:vAlign w:val="bottom"/>
          </w:tcPr>
          <w:p>
            <w:pPr>
              <w:jc w:val="right"/>
              <w:ind w:right="31"/>
              <w:spacing w:after="0" w:line="202" w:lineRule="exact"/>
              <w:rPr>
                <w:sz w:val="20"/>
                <w:szCs w:val="20"/>
                <w:color w:val="auto"/>
              </w:rPr>
            </w:pPr>
            <w:r>
              <w:rPr>
                <w:rFonts w:ascii="Arial" w:cs="Arial" w:eastAsia="Arial" w:hAnsi="Arial"/>
                <w:sz w:val="18"/>
                <w:szCs w:val="18"/>
                <w:color w:val="auto"/>
              </w:rPr>
              <w:t>45.1</w:t>
            </w:r>
          </w:p>
        </w:tc>
        <w:tc>
          <w:tcPr>
            <w:tcW w:w="54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58.3</w:t>
            </w:r>
          </w:p>
        </w:tc>
      </w:tr>
      <w:tr>
        <w:trPr>
          <w:trHeight w:val="203"/>
        </w:trPr>
        <w:tc>
          <w:tcPr>
            <w:tcW w:w="7040" w:type="dxa"/>
            <w:vAlign w:val="bottom"/>
            <w:gridSpan w:val="2"/>
          </w:tcPr>
          <w:p>
            <w:pPr>
              <w:spacing w:after="0" w:line="202" w:lineRule="exact"/>
              <w:rPr>
                <w:sz w:val="20"/>
                <w:szCs w:val="20"/>
                <w:color w:val="auto"/>
              </w:rPr>
            </w:pPr>
            <w:r>
              <w:rPr>
                <w:rFonts w:ascii="Arial" w:cs="Arial" w:eastAsia="Arial" w:hAnsi="Arial"/>
                <w:sz w:val="18"/>
                <w:szCs w:val="18"/>
                <w:color w:val="auto"/>
              </w:rPr>
              <w:t>Italy</w:t>
            </w:r>
          </w:p>
        </w:tc>
        <w:tc>
          <w:tcPr>
            <w:tcW w:w="120" w:type="dxa"/>
            <w:vAlign w:val="bottom"/>
            <w:shd w:val="clear" w:color="auto" w:fill="E3F1DA"/>
          </w:tcPr>
          <w:p>
            <w:pPr>
              <w:spacing w:after="0"/>
              <w:rPr>
                <w:sz w:val="17"/>
                <w:szCs w:val="17"/>
                <w:color w:val="auto"/>
              </w:rPr>
            </w:pPr>
          </w:p>
        </w:tc>
        <w:tc>
          <w:tcPr>
            <w:tcW w:w="1340" w:type="dxa"/>
            <w:vAlign w:val="bottom"/>
            <w:shd w:val="clear" w:color="auto" w:fill="E3F1DA"/>
          </w:tcPr>
          <w:p>
            <w:pPr>
              <w:jc w:val="right"/>
              <w:ind w:right="131"/>
              <w:spacing w:after="0" w:line="202" w:lineRule="exact"/>
              <w:rPr>
                <w:sz w:val="20"/>
                <w:szCs w:val="20"/>
                <w:color w:val="auto"/>
              </w:rPr>
            </w:pPr>
            <w:r>
              <w:rPr>
                <w:rFonts w:ascii="Arial" w:cs="Arial" w:eastAsia="Arial" w:hAnsi="Arial"/>
                <w:sz w:val="18"/>
                <w:szCs w:val="18"/>
                <w:color w:val="86B6A5"/>
              </w:rPr>
              <w:t>8.1</w:t>
            </w:r>
          </w:p>
        </w:tc>
        <w:tc>
          <w:tcPr>
            <w:tcW w:w="440" w:type="dxa"/>
            <w:vAlign w:val="bottom"/>
          </w:tcPr>
          <w:p>
            <w:pPr>
              <w:spacing w:after="0"/>
              <w:rPr>
                <w:sz w:val="17"/>
                <w:szCs w:val="17"/>
                <w:color w:val="auto"/>
              </w:rPr>
            </w:pPr>
          </w:p>
        </w:tc>
        <w:tc>
          <w:tcPr>
            <w:tcW w:w="920" w:type="dxa"/>
            <w:vAlign w:val="bottom"/>
          </w:tcPr>
          <w:p>
            <w:pPr>
              <w:jc w:val="right"/>
              <w:ind w:right="31"/>
              <w:spacing w:after="0" w:line="202" w:lineRule="exact"/>
              <w:rPr>
                <w:sz w:val="20"/>
                <w:szCs w:val="20"/>
                <w:color w:val="auto"/>
              </w:rPr>
            </w:pPr>
            <w:r>
              <w:rPr>
                <w:rFonts w:ascii="Arial" w:cs="Arial" w:eastAsia="Arial" w:hAnsi="Arial"/>
                <w:sz w:val="18"/>
                <w:szCs w:val="18"/>
                <w:color w:val="auto"/>
              </w:rPr>
              <w:t>9.3</w:t>
            </w:r>
          </w:p>
        </w:tc>
        <w:tc>
          <w:tcPr>
            <w:tcW w:w="54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12.3</w:t>
            </w:r>
          </w:p>
        </w:tc>
      </w:tr>
      <w:tr>
        <w:trPr>
          <w:trHeight w:val="203"/>
        </w:trPr>
        <w:tc>
          <w:tcPr>
            <w:tcW w:w="7040" w:type="dxa"/>
            <w:vAlign w:val="bottom"/>
            <w:gridSpan w:val="2"/>
          </w:tcPr>
          <w:p>
            <w:pPr>
              <w:spacing w:after="0" w:line="202" w:lineRule="exact"/>
              <w:rPr>
                <w:sz w:val="20"/>
                <w:szCs w:val="20"/>
                <w:color w:val="auto"/>
              </w:rPr>
            </w:pPr>
            <w:r>
              <w:rPr>
                <w:rFonts w:ascii="Arial" w:cs="Arial" w:eastAsia="Arial" w:hAnsi="Arial"/>
                <w:sz w:val="18"/>
                <w:szCs w:val="18"/>
                <w:color w:val="auto"/>
              </w:rPr>
              <w:t>United Kingdom</w:t>
            </w:r>
          </w:p>
        </w:tc>
        <w:tc>
          <w:tcPr>
            <w:tcW w:w="120" w:type="dxa"/>
            <w:vAlign w:val="bottom"/>
            <w:shd w:val="clear" w:color="auto" w:fill="E3F1DA"/>
          </w:tcPr>
          <w:p>
            <w:pPr>
              <w:spacing w:after="0"/>
              <w:rPr>
                <w:sz w:val="17"/>
                <w:szCs w:val="17"/>
                <w:color w:val="auto"/>
              </w:rPr>
            </w:pPr>
          </w:p>
        </w:tc>
        <w:tc>
          <w:tcPr>
            <w:tcW w:w="1340" w:type="dxa"/>
            <w:vAlign w:val="bottom"/>
            <w:shd w:val="clear" w:color="auto" w:fill="E3F1DA"/>
          </w:tcPr>
          <w:p>
            <w:pPr>
              <w:jc w:val="right"/>
              <w:ind w:right="131"/>
              <w:spacing w:after="0" w:line="202" w:lineRule="exact"/>
              <w:rPr>
                <w:sz w:val="20"/>
                <w:szCs w:val="20"/>
                <w:color w:val="auto"/>
              </w:rPr>
            </w:pPr>
            <w:r>
              <w:rPr>
                <w:rFonts w:ascii="Arial" w:cs="Arial" w:eastAsia="Arial" w:hAnsi="Arial"/>
                <w:sz w:val="18"/>
                <w:szCs w:val="18"/>
                <w:color w:val="86B6A5"/>
              </w:rPr>
              <w:t>15.3</w:t>
            </w:r>
          </w:p>
        </w:tc>
        <w:tc>
          <w:tcPr>
            <w:tcW w:w="440" w:type="dxa"/>
            <w:vAlign w:val="bottom"/>
          </w:tcPr>
          <w:p>
            <w:pPr>
              <w:spacing w:after="0"/>
              <w:rPr>
                <w:sz w:val="17"/>
                <w:szCs w:val="17"/>
                <w:color w:val="auto"/>
              </w:rPr>
            </w:pPr>
          </w:p>
        </w:tc>
        <w:tc>
          <w:tcPr>
            <w:tcW w:w="920" w:type="dxa"/>
            <w:vAlign w:val="bottom"/>
          </w:tcPr>
          <w:p>
            <w:pPr>
              <w:jc w:val="right"/>
              <w:ind w:right="31"/>
              <w:spacing w:after="0" w:line="202" w:lineRule="exact"/>
              <w:rPr>
                <w:sz w:val="20"/>
                <w:szCs w:val="20"/>
                <w:color w:val="auto"/>
              </w:rPr>
            </w:pPr>
            <w:r>
              <w:rPr>
                <w:rFonts w:ascii="Arial" w:cs="Arial" w:eastAsia="Arial" w:hAnsi="Arial"/>
                <w:sz w:val="18"/>
                <w:szCs w:val="18"/>
                <w:color w:val="auto"/>
              </w:rPr>
              <w:t>16.7</w:t>
            </w:r>
          </w:p>
        </w:tc>
        <w:tc>
          <w:tcPr>
            <w:tcW w:w="54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19.4</w:t>
            </w:r>
          </w:p>
        </w:tc>
      </w:tr>
      <w:tr>
        <w:trPr>
          <w:trHeight w:val="203"/>
        </w:trPr>
        <w:tc>
          <w:tcPr>
            <w:tcW w:w="7040" w:type="dxa"/>
            <w:vAlign w:val="bottom"/>
            <w:gridSpan w:val="2"/>
          </w:tcPr>
          <w:p>
            <w:pPr>
              <w:spacing w:after="0" w:line="203" w:lineRule="exact"/>
              <w:rPr>
                <w:sz w:val="20"/>
                <w:szCs w:val="20"/>
                <w:color w:val="auto"/>
              </w:rPr>
            </w:pPr>
            <w:r>
              <w:rPr>
                <w:rFonts w:ascii="Arial" w:cs="Arial" w:eastAsia="Arial" w:hAnsi="Arial"/>
                <w:sz w:val="18"/>
                <w:szCs w:val="18"/>
                <w:color w:val="auto"/>
              </w:rPr>
              <w:t>Total Foreign</w:t>
            </w:r>
          </w:p>
        </w:tc>
        <w:tc>
          <w:tcPr>
            <w:tcW w:w="120" w:type="dxa"/>
            <w:vAlign w:val="bottom"/>
            <w:shd w:val="clear" w:color="auto" w:fill="E3F1DA"/>
          </w:tcPr>
          <w:p>
            <w:pPr>
              <w:spacing w:after="0"/>
              <w:rPr>
                <w:sz w:val="17"/>
                <w:szCs w:val="17"/>
                <w:color w:val="auto"/>
              </w:rPr>
            </w:pPr>
          </w:p>
        </w:tc>
        <w:tc>
          <w:tcPr>
            <w:tcW w:w="1340" w:type="dxa"/>
            <w:vAlign w:val="bottom"/>
            <w:shd w:val="clear" w:color="auto" w:fill="E3F1DA"/>
          </w:tcPr>
          <w:p>
            <w:pPr>
              <w:jc w:val="right"/>
              <w:ind w:right="131"/>
              <w:spacing w:after="0" w:line="203" w:lineRule="exact"/>
              <w:rPr>
                <w:sz w:val="20"/>
                <w:szCs w:val="20"/>
                <w:color w:val="auto"/>
              </w:rPr>
            </w:pPr>
            <w:r>
              <w:rPr>
                <w:rFonts w:ascii="Arial" w:cs="Arial" w:eastAsia="Arial" w:hAnsi="Arial"/>
                <w:sz w:val="18"/>
                <w:szCs w:val="18"/>
                <w:color w:val="86B6A5"/>
              </w:rPr>
              <w:t>148.0</w:t>
            </w:r>
          </w:p>
        </w:tc>
        <w:tc>
          <w:tcPr>
            <w:tcW w:w="440" w:type="dxa"/>
            <w:vAlign w:val="bottom"/>
          </w:tcPr>
          <w:p>
            <w:pPr>
              <w:spacing w:after="0"/>
              <w:rPr>
                <w:sz w:val="17"/>
                <w:szCs w:val="17"/>
                <w:color w:val="auto"/>
              </w:rPr>
            </w:pPr>
          </w:p>
        </w:tc>
        <w:tc>
          <w:tcPr>
            <w:tcW w:w="920" w:type="dxa"/>
            <w:vAlign w:val="bottom"/>
          </w:tcPr>
          <w:p>
            <w:pPr>
              <w:jc w:val="right"/>
              <w:ind w:right="31"/>
              <w:spacing w:after="0" w:line="203" w:lineRule="exact"/>
              <w:rPr>
                <w:sz w:val="20"/>
                <w:szCs w:val="20"/>
                <w:color w:val="auto"/>
              </w:rPr>
            </w:pPr>
            <w:r>
              <w:rPr>
                <w:rFonts w:ascii="Arial" w:cs="Arial" w:eastAsia="Arial" w:hAnsi="Arial"/>
                <w:sz w:val="18"/>
                <w:szCs w:val="18"/>
                <w:color w:val="auto"/>
              </w:rPr>
              <w:t>156.1</w:t>
            </w:r>
          </w:p>
        </w:tc>
        <w:tc>
          <w:tcPr>
            <w:tcW w:w="54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Arial" w:cs="Arial" w:eastAsia="Arial" w:hAnsi="Arial"/>
                <w:sz w:val="18"/>
                <w:szCs w:val="18"/>
                <w:color w:val="auto"/>
              </w:rPr>
              <w:t>189.9</w:t>
            </w:r>
          </w:p>
        </w:tc>
      </w:tr>
      <w:tr>
        <w:trPr>
          <w:trHeight w:val="27"/>
        </w:trPr>
        <w:tc>
          <w:tcPr>
            <w:tcW w:w="20" w:type="dxa"/>
            <w:vAlign w:val="bottom"/>
          </w:tcPr>
          <w:p>
            <w:pPr>
              <w:spacing w:after="0"/>
              <w:rPr>
                <w:sz w:val="2"/>
                <w:szCs w:val="2"/>
                <w:color w:val="auto"/>
              </w:rPr>
            </w:pPr>
          </w:p>
        </w:tc>
        <w:tc>
          <w:tcPr>
            <w:tcW w:w="7020" w:type="dxa"/>
            <w:vAlign w:val="bottom"/>
            <w:shd w:val="clear" w:color="auto" w:fill="939598"/>
          </w:tcPr>
          <w:p>
            <w:pPr>
              <w:spacing w:after="0"/>
              <w:rPr>
                <w:sz w:val="2"/>
                <w:szCs w:val="2"/>
                <w:color w:val="auto"/>
              </w:rPr>
            </w:pPr>
          </w:p>
        </w:tc>
        <w:tc>
          <w:tcPr>
            <w:tcW w:w="120" w:type="dxa"/>
            <w:vAlign w:val="bottom"/>
            <w:shd w:val="clear" w:color="auto" w:fill="939598"/>
          </w:tcPr>
          <w:p>
            <w:pPr>
              <w:spacing w:after="0"/>
              <w:rPr>
                <w:sz w:val="2"/>
                <w:szCs w:val="2"/>
                <w:color w:val="auto"/>
              </w:rPr>
            </w:pPr>
          </w:p>
        </w:tc>
        <w:tc>
          <w:tcPr>
            <w:tcW w:w="1340" w:type="dxa"/>
            <w:vAlign w:val="bottom"/>
            <w:shd w:val="clear" w:color="auto" w:fill="939598"/>
          </w:tcPr>
          <w:p>
            <w:pPr>
              <w:spacing w:after="0"/>
              <w:rPr>
                <w:sz w:val="2"/>
                <w:szCs w:val="2"/>
                <w:color w:val="auto"/>
              </w:rPr>
            </w:pPr>
          </w:p>
        </w:tc>
        <w:tc>
          <w:tcPr>
            <w:tcW w:w="440" w:type="dxa"/>
            <w:vAlign w:val="bottom"/>
            <w:shd w:val="clear" w:color="auto" w:fill="939598"/>
          </w:tcPr>
          <w:p>
            <w:pPr>
              <w:spacing w:after="0"/>
              <w:rPr>
                <w:sz w:val="2"/>
                <w:szCs w:val="2"/>
                <w:color w:val="auto"/>
              </w:rPr>
            </w:pPr>
          </w:p>
        </w:tc>
        <w:tc>
          <w:tcPr>
            <w:tcW w:w="920" w:type="dxa"/>
            <w:vAlign w:val="bottom"/>
            <w:shd w:val="clear" w:color="auto" w:fill="939598"/>
          </w:tcPr>
          <w:p>
            <w:pPr>
              <w:spacing w:after="0"/>
              <w:rPr>
                <w:sz w:val="2"/>
                <w:szCs w:val="2"/>
                <w:color w:val="auto"/>
              </w:rPr>
            </w:pPr>
          </w:p>
        </w:tc>
        <w:tc>
          <w:tcPr>
            <w:tcW w:w="540" w:type="dxa"/>
            <w:vAlign w:val="bottom"/>
            <w:shd w:val="clear" w:color="auto" w:fill="939598"/>
          </w:tcPr>
          <w:p>
            <w:pPr>
              <w:spacing w:after="0"/>
              <w:rPr>
                <w:sz w:val="2"/>
                <w:szCs w:val="2"/>
                <w:color w:val="auto"/>
              </w:rPr>
            </w:pPr>
          </w:p>
        </w:tc>
        <w:tc>
          <w:tcPr>
            <w:tcW w:w="800" w:type="dxa"/>
            <w:vAlign w:val="bottom"/>
            <w:shd w:val="clear" w:color="auto" w:fill="939598"/>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color w:val="4D8ABE"/>
        </w:rPr>
        <w:t xml:space="preserve">76 </w:t>
      </w:r>
      <w:r>
        <w:rPr>
          <w:rFonts w:ascii="Arial" w:cs="Arial" w:eastAsia="Arial" w:hAnsi="Arial"/>
          <w:sz w:val="16"/>
          <w:szCs w:val="16"/>
          <w:color w:val="4D8ABE"/>
        </w:rPr>
        <w:t>Manpower 2010 Annual Report</w:t>
      </w:r>
      <w:r>
        <w:rPr>
          <w:rFonts w:ascii="Arial" w:cs="Arial" w:eastAsia="Arial" w:hAnsi="Arial"/>
          <w:sz w:val="16"/>
          <w:szCs w:val="16"/>
          <w:b w:val="1"/>
          <w:bCs w:val="1"/>
          <w:color w:val="4D8ABE"/>
        </w:rPr>
        <w:t xml:space="preserve"> </w:t>
      </w:r>
      <w:r>
        <w:rPr>
          <w:rFonts w:ascii="Arial" w:cs="Arial" w:eastAsia="Arial" w:hAnsi="Arial"/>
          <w:sz w:val="16"/>
          <w:szCs w:val="16"/>
          <w:b w:val="1"/>
          <w:bCs w:val="1"/>
          <w:color w:val="939598"/>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72390</wp:posOffset>
            </wp:positionV>
            <wp:extent cx="7267575" cy="469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ectPr>
          <w:pgSz w:w="11900" w:h="16838" w:orient="portrait"/>
          <w:cols w:equalWidth="0" w:num="1">
            <w:col w:w="11200"/>
          </w:cols>
          <w:pgMar w:left="240" w:top="331" w:right="459" w:bottom="1440" w:gutter="0" w:footer="0" w:header="0"/>
        </w:sectPr>
      </w:pPr>
    </w:p>
    <w:bookmarkStart w:id="107" w:name="page108"/>
    <w:bookmarkEnd w:id="107"/>
    <w:p>
      <w:pPr>
        <w:spacing w:after="0"/>
        <w:rPr>
          <w:sz w:val="20"/>
          <w:szCs w:val="20"/>
          <w:color w:val="auto"/>
        </w:rPr>
      </w:pPr>
      <w:r>
        <w:rPr>
          <w:rFonts w:ascii="Arial" w:cs="Arial" w:eastAsia="Arial" w:hAnsi="Arial"/>
          <w:sz w:val="24"/>
          <w:szCs w:val="24"/>
          <w:color w:val="86B6A5"/>
        </w:rPr>
        <w:t>15.</w:t>
      </w:r>
    </w:p>
    <w:p>
      <w:pPr>
        <w:spacing w:after="0" w:line="8" w:lineRule="exact"/>
        <w:rPr>
          <w:sz w:val="20"/>
          <w:szCs w:val="20"/>
          <w:color w:val="auto"/>
        </w:rPr>
      </w:pPr>
    </w:p>
    <w:p>
      <w:pPr>
        <w:spacing w:after="0"/>
        <w:rPr>
          <w:sz w:val="20"/>
          <w:szCs w:val="20"/>
          <w:color w:val="auto"/>
        </w:rPr>
      </w:pPr>
      <w:r>
        <w:rPr>
          <w:rFonts w:ascii="Arial" w:cs="Arial" w:eastAsia="Arial" w:hAnsi="Arial"/>
          <w:sz w:val="24"/>
          <w:szCs w:val="24"/>
          <w:color w:val="86B6A5"/>
        </w:rPr>
        <w:t>Quarterly Data (Unaudited)</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3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0" w:type="dxa"/>
            <w:vAlign w:val="bottom"/>
          </w:tcPr>
          <w:p>
            <w:pPr>
              <w:jc w:val="right"/>
              <w:ind w:right="50"/>
              <w:spacing w:after="0"/>
              <w:rPr>
                <w:sz w:val="20"/>
                <w:szCs w:val="20"/>
                <w:color w:val="auto"/>
              </w:rPr>
            </w:pPr>
            <w:r>
              <w:rPr>
                <w:rFonts w:ascii="Arial" w:cs="Arial" w:eastAsia="Arial" w:hAnsi="Arial"/>
                <w:sz w:val="16"/>
                <w:szCs w:val="16"/>
                <w:b w:val="1"/>
                <w:bCs w:val="1"/>
                <w:color w:val="86B6A5"/>
              </w:rPr>
              <w:t>First Quarter</w:t>
            </w:r>
          </w:p>
        </w:tc>
        <w:tc>
          <w:tcPr>
            <w:tcW w:w="180" w:type="dxa"/>
            <w:vAlign w:val="bottom"/>
          </w:tcPr>
          <w:p>
            <w:pPr>
              <w:spacing w:after="0"/>
              <w:rPr>
                <w:sz w:val="19"/>
                <w:szCs w:val="19"/>
                <w:color w:val="auto"/>
              </w:rPr>
            </w:pPr>
          </w:p>
        </w:tc>
        <w:tc>
          <w:tcPr>
            <w:tcW w:w="1340" w:type="dxa"/>
            <w:vAlign w:val="bottom"/>
          </w:tcPr>
          <w:p>
            <w:pPr>
              <w:jc w:val="right"/>
              <w:ind w:right="10"/>
              <w:spacing w:after="0"/>
              <w:rPr>
                <w:sz w:val="20"/>
                <w:szCs w:val="20"/>
                <w:color w:val="auto"/>
              </w:rPr>
            </w:pPr>
            <w:r>
              <w:rPr>
                <w:rFonts w:ascii="Arial" w:cs="Arial" w:eastAsia="Arial" w:hAnsi="Arial"/>
                <w:sz w:val="16"/>
                <w:szCs w:val="16"/>
                <w:b w:val="1"/>
                <w:bCs w:val="1"/>
                <w:color w:val="86B6A5"/>
              </w:rPr>
              <w:t>Second Quarter</w:t>
            </w:r>
          </w:p>
        </w:tc>
        <w:tc>
          <w:tcPr>
            <w:tcW w:w="260" w:type="dxa"/>
            <w:vAlign w:val="bottom"/>
          </w:tcPr>
          <w:p>
            <w:pPr>
              <w:spacing w:after="0"/>
              <w:rPr>
                <w:sz w:val="19"/>
                <w:szCs w:val="19"/>
                <w:color w:val="auto"/>
              </w:rPr>
            </w:pPr>
          </w:p>
        </w:tc>
        <w:tc>
          <w:tcPr>
            <w:tcW w:w="1240" w:type="dxa"/>
            <w:vAlign w:val="bottom"/>
          </w:tcPr>
          <w:p>
            <w:pPr>
              <w:jc w:val="right"/>
              <w:ind w:right="50"/>
              <w:spacing w:after="0"/>
              <w:rPr>
                <w:sz w:val="20"/>
                <w:szCs w:val="20"/>
                <w:color w:val="auto"/>
              </w:rPr>
            </w:pPr>
            <w:r>
              <w:rPr>
                <w:rFonts w:ascii="Arial" w:cs="Arial" w:eastAsia="Arial" w:hAnsi="Arial"/>
                <w:sz w:val="16"/>
                <w:szCs w:val="16"/>
                <w:b w:val="1"/>
                <w:bCs w:val="1"/>
                <w:color w:val="86B6A5"/>
              </w:rPr>
              <w:t>Third Quarter</w:t>
            </w:r>
          </w:p>
        </w:tc>
        <w:tc>
          <w:tcPr>
            <w:tcW w:w="180" w:type="dxa"/>
            <w:vAlign w:val="bottom"/>
          </w:tcPr>
          <w:p>
            <w:pPr>
              <w:spacing w:after="0"/>
              <w:rPr>
                <w:sz w:val="19"/>
                <w:szCs w:val="19"/>
                <w:color w:val="auto"/>
              </w:rPr>
            </w:pPr>
          </w:p>
        </w:tc>
        <w:tc>
          <w:tcPr>
            <w:tcW w:w="1280" w:type="dxa"/>
            <w:vAlign w:val="bottom"/>
          </w:tcPr>
          <w:p>
            <w:pPr>
              <w:jc w:val="right"/>
              <w:ind w:right="50"/>
              <w:spacing w:after="0"/>
              <w:rPr>
                <w:sz w:val="20"/>
                <w:szCs w:val="20"/>
                <w:color w:val="auto"/>
              </w:rPr>
            </w:pPr>
            <w:r>
              <w:rPr>
                <w:rFonts w:ascii="Arial" w:cs="Arial" w:eastAsia="Arial" w:hAnsi="Arial"/>
                <w:sz w:val="16"/>
                <w:szCs w:val="16"/>
                <w:b w:val="1"/>
                <w:bCs w:val="1"/>
                <w:color w:val="86B6A5"/>
                <w:w w:val="99"/>
              </w:rPr>
              <w:t>Fourth Quarter</w:t>
            </w:r>
          </w:p>
        </w:tc>
        <w:tc>
          <w:tcPr>
            <w:tcW w:w="400" w:type="dxa"/>
            <w:vAlign w:val="bottom"/>
          </w:tcPr>
          <w:p>
            <w:pPr>
              <w:spacing w:after="0"/>
              <w:rPr>
                <w:sz w:val="19"/>
                <w:szCs w:val="19"/>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6"/>
                <w:szCs w:val="16"/>
                <w:b w:val="1"/>
                <w:bCs w:val="1"/>
                <w:color w:val="86B6A5"/>
              </w:rPr>
              <w:t>Total</w:t>
            </w:r>
          </w:p>
        </w:tc>
      </w:tr>
      <w:tr>
        <w:trPr>
          <w:trHeight w:val="202"/>
        </w:trPr>
        <w:tc>
          <w:tcPr>
            <w:tcW w:w="20" w:type="dxa"/>
            <w:vAlign w:val="bottom"/>
          </w:tcPr>
          <w:p>
            <w:pPr>
              <w:spacing w:after="0"/>
              <w:rPr>
                <w:sz w:val="17"/>
                <w:szCs w:val="17"/>
                <w:color w:val="auto"/>
              </w:rPr>
            </w:pPr>
          </w:p>
        </w:tc>
        <w:tc>
          <w:tcPr>
            <w:tcW w:w="3600" w:type="dxa"/>
            <w:vAlign w:val="bottom"/>
            <w:tcBorders>
              <w:top w:val="single" w:sz="8" w:color="86B6A5"/>
            </w:tcBorders>
          </w:tcPr>
          <w:p>
            <w:pPr>
              <w:spacing w:after="0" w:line="201" w:lineRule="exact"/>
              <w:rPr>
                <w:sz w:val="20"/>
                <w:szCs w:val="20"/>
                <w:color w:val="auto"/>
              </w:rPr>
            </w:pPr>
            <w:r>
              <w:rPr>
                <w:rFonts w:ascii="Arial" w:cs="Arial" w:eastAsia="Arial" w:hAnsi="Arial"/>
                <w:sz w:val="18"/>
                <w:szCs w:val="18"/>
                <w:b w:val="1"/>
                <w:bCs w:val="1"/>
                <w:color w:val="939598"/>
              </w:rPr>
              <w:t>Year Ended December 31, 2010</w:t>
            </w:r>
          </w:p>
        </w:tc>
        <w:tc>
          <w:tcPr>
            <w:tcW w:w="580" w:type="dxa"/>
            <w:vAlign w:val="bottom"/>
            <w:tcBorders>
              <w:top w:val="single" w:sz="8" w:color="86B6A5"/>
            </w:tcBorders>
          </w:tcPr>
          <w:p>
            <w:pPr>
              <w:spacing w:after="0"/>
              <w:rPr>
                <w:sz w:val="17"/>
                <w:szCs w:val="17"/>
                <w:color w:val="auto"/>
              </w:rPr>
            </w:pPr>
          </w:p>
        </w:tc>
        <w:tc>
          <w:tcPr>
            <w:tcW w:w="1200" w:type="dxa"/>
            <w:vAlign w:val="bottom"/>
            <w:tcBorders>
              <w:top w:val="single" w:sz="8" w:color="86B6A5"/>
            </w:tcBorders>
          </w:tcPr>
          <w:p>
            <w:pPr>
              <w:spacing w:after="0"/>
              <w:rPr>
                <w:sz w:val="17"/>
                <w:szCs w:val="17"/>
                <w:color w:val="auto"/>
              </w:rPr>
            </w:pPr>
          </w:p>
        </w:tc>
        <w:tc>
          <w:tcPr>
            <w:tcW w:w="180" w:type="dxa"/>
            <w:vAlign w:val="bottom"/>
            <w:tcBorders>
              <w:top w:val="single" w:sz="8" w:color="86B6A5"/>
            </w:tcBorders>
          </w:tcPr>
          <w:p>
            <w:pPr>
              <w:spacing w:after="0"/>
              <w:rPr>
                <w:sz w:val="17"/>
                <w:szCs w:val="17"/>
                <w:color w:val="auto"/>
              </w:rPr>
            </w:pPr>
          </w:p>
        </w:tc>
        <w:tc>
          <w:tcPr>
            <w:tcW w:w="1340" w:type="dxa"/>
            <w:vAlign w:val="bottom"/>
            <w:tcBorders>
              <w:top w:val="single" w:sz="8" w:color="86B6A5"/>
            </w:tcBorders>
          </w:tcPr>
          <w:p>
            <w:pPr>
              <w:spacing w:after="0"/>
              <w:rPr>
                <w:sz w:val="17"/>
                <w:szCs w:val="17"/>
                <w:color w:val="auto"/>
              </w:rPr>
            </w:pPr>
          </w:p>
        </w:tc>
        <w:tc>
          <w:tcPr>
            <w:tcW w:w="260" w:type="dxa"/>
            <w:vAlign w:val="bottom"/>
            <w:tcBorders>
              <w:top w:val="single" w:sz="8" w:color="86B6A5"/>
            </w:tcBorders>
          </w:tcPr>
          <w:p>
            <w:pPr>
              <w:spacing w:after="0"/>
              <w:rPr>
                <w:sz w:val="17"/>
                <w:szCs w:val="17"/>
                <w:color w:val="auto"/>
              </w:rPr>
            </w:pPr>
          </w:p>
        </w:tc>
        <w:tc>
          <w:tcPr>
            <w:tcW w:w="1240" w:type="dxa"/>
            <w:vAlign w:val="bottom"/>
            <w:tcBorders>
              <w:top w:val="single" w:sz="8" w:color="86B6A5"/>
            </w:tcBorders>
          </w:tcPr>
          <w:p>
            <w:pPr>
              <w:spacing w:after="0"/>
              <w:rPr>
                <w:sz w:val="17"/>
                <w:szCs w:val="17"/>
                <w:color w:val="auto"/>
              </w:rPr>
            </w:pPr>
          </w:p>
        </w:tc>
        <w:tc>
          <w:tcPr>
            <w:tcW w:w="180" w:type="dxa"/>
            <w:vAlign w:val="bottom"/>
            <w:tcBorders>
              <w:top w:val="single" w:sz="8" w:color="86B6A5"/>
            </w:tcBorders>
          </w:tcPr>
          <w:p>
            <w:pPr>
              <w:spacing w:after="0"/>
              <w:rPr>
                <w:sz w:val="17"/>
                <w:szCs w:val="17"/>
                <w:color w:val="auto"/>
              </w:rPr>
            </w:pPr>
          </w:p>
        </w:tc>
        <w:tc>
          <w:tcPr>
            <w:tcW w:w="1280" w:type="dxa"/>
            <w:vAlign w:val="bottom"/>
            <w:tcBorders>
              <w:top w:val="single" w:sz="8" w:color="86B6A5"/>
            </w:tcBorders>
          </w:tcPr>
          <w:p>
            <w:pPr>
              <w:spacing w:after="0"/>
              <w:rPr>
                <w:sz w:val="17"/>
                <w:szCs w:val="17"/>
                <w:color w:val="auto"/>
              </w:rPr>
            </w:pPr>
          </w:p>
        </w:tc>
        <w:tc>
          <w:tcPr>
            <w:tcW w:w="400" w:type="dxa"/>
            <w:vAlign w:val="bottom"/>
            <w:tcBorders>
              <w:top w:val="single" w:sz="8" w:color="86B6A5"/>
            </w:tcBorders>
          </w:tcPr>
          <w:p>
            <w:pPr>
              <w:spacing w:after="0"/>
              <w:rPr>
                <w:sz w:val="17"/>
                <w:szCs w:val="17"/>
                <w:color w:val="auto"/>
              </w:rPr>
            </w:pPr>
          </w:p>
        </w:tc>
        <w:tc>
          <w:tcPr>
            <w:tcW w:w="920" w:type="dxa"/>
            <w:vAlign w:val="bottom"/>
            <w:tcBorders>
              <w:top w:val="single" w:sz="8" w:color="86B6A5"/>
            </w:tcBorders>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3620" w:type="dxa"/>
            <w:vAlign w:val="bottom"/>
            <w:gridSpan w:val="2"/>
          </w:tcPr>
          <w:p>
            <w:pPr>
              <w:spacing w:after="0" w:line="202" w:lineRule="exact"/>
              <w:rPr>
                <w:sz w:val="20"/>
                <w:szCs w:val="20"/>
                <w:color w:val="auto"/>
              </w:rPr>
            </w:pPr>
            <w:r>
              <w:rPr>
                <w:rFonts w:ascii="Arial" w:cs="Arial" w:eastAsia="Arial" w:hAnsi="Arial"/>
                <w:sz w:val="18"/>
                <w:szCs w:val="18"/>
                <w:color w:val="auto"/>
              </w:rPr>
              <w:t>Revenues from Services</w:t>
            </w: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200" w:type="dxa"/>
            <w:vAlign w:val="bottom"/>
          </w:tcPr>
          <w:p>
            <w:pPr>
              <w:jc w:val="right"/>
              <w:ind w:right="50"/>
              <w:spacing w:after="0" w:line="202" w:lineRule="exact"/>
              <w:rPr>
                <w:sz w:val="20"/>
                <w:szCs w:val="20"/>
                <w:color w:val="auto"/>
              </w:rPr>
            </w:pPr>
            <w:r>
              <w:rPr>
                <w:rFonts w:ascii="Arial" w:cs="Arial" w:eastAsia="Arial" w:hAnsi="Arial"/>
                <w:sz w:val="18"/>
                <w:szCs w:val="18"/>
                <w:color w:val="auto"/>
              </w:rPr>
              <w:t>4,099.3</w:t>
            </w: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3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4,585.6</w:t>
            </w:r>
          </w:p>
        </w:tc>
        <w:tc>
          <w:tcPr>
            <w:tcW w:w="2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240" w:type="dxa"/>
            <w:vAlign w:val="bottom"/>
          </w:tcPr>
          <w:p>
            <w:pPr>
              <w:jc w:val="right"/>
              <w:ind w:right="50"/>
              <w:spacing w:after="0" w:line="202" w:lineRule="exact"/>
              <w:rPr>
                <w:sz w:val="20"/>
                <w:szCs w:val="20"/>
                <w:color w:val="auto"/>
              </w:rPr>
            </w:pPr>
            <w:r>
              <w:rPr>
                <w:rFonts w:ascii="Arial" w:cs="Arial" w:eastAsia="Arial" w:hAnsi="Arial"/>
                <w:sz w:val="18"/>
                <w:szCs w:val="18"/>
                <w:color w:val="auto"/>
              </w:rPr>
              <w:t>4,972.0</w:t>
            </w: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280" w:type="dxa"/>
            <w:vAlign w:val="bottom"/>
          </w:tcPr>
          <w:p>
            <w:pPr>
              <w:jc w:val="right"/>
              <w:ind w:right="50"/>
              <w:spacing w:after="0" w:line="202" w:lineRule="exact"/>
              <w:rPr>
                <w:sz w:val="20"/>
                <w:szCs w:val="20"/>
                <w:color w:val="auto"/>
              </w:rPr>
            </w:pPr>
            <w:r>
              <w:rPr>
                <w:rFonts w:ascii="Arial" w:cs="Arial" w:eastAsia="Arial" w:hAnsi="Arial"/>
                <w:sz w:val="18"/>
                <w:szCs w:val="18"/>
                <w:color w:val="auto"/>
              </w:rPr>
              <w:t>5,209.6</w:t>
            </w:r>
          </w:p>
        </w:tc>
        <w:tc>
          <w:tcPr>
            <w:tcW w:w="40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18,866.5</w:t>
            </w:r>
          </w:p>
        </w:tc>
      </w:tr>
      <w:tr>
        <w:trPr>
          <w:trHeight w:val="197"/>
        </w:trPr>
        <w:tc>
          <w:tcPr>
            <w:tcW w:w="3620" w:type="dxa"/>
            <w:vAlign w:val="bottom"/>
            <w:gridSpan w:val="2"/>
          </w:tcPr>
          <w:p>
            <w:pPr>
              <w:spacing w:after="0" w:line="197" w:lineRule="exact"/>
              <w:rPr>
                <w:sz w:val="20"/>
                <w:szCs w:val="20"/>
                <w:color w:val="auto"/>
              </w:rPr>
            </w:pPr>
            <w:r>
              <w:rPr>
                <w:rFonts w:ascii="Arial" w:cs="Arial" w:eastAsia="Arial" w:hAnsi="Arial"/>
                <w:sz w:val="18"/>
                <w:szCs w:val="18"/>
                <w:color w:val="auto"/>
              </w:rPr>
              <w:t>Gross profit</w:t>
            </w:r>
          </w:p>
        </w:tc>
        <w:tc>
          <w:tcPr>
            <w:tcW w:w="580" w:type="dxa"/>
            <w:vAlign w:val="bottom"/>
          </w:tcPr>
          <w:p>
            <w:pPr>
              <w:spacing w:after="0"/>
              <w:rPr>
                <w:sz w:val="17"/>
                <w:szCs w:val="17"/>
                <w:color w:val="auto"/>
              </w:rPr>
            </w:pPr>
          </w:p>
        </w:tc>
        <w:tc>
          <w:tcPr>
            <w:tcW w:w="1200" w:type="dxa"/>
            <w:vAlign w:val="bottom"/>
          </w:tcPr>
          <w:p>
            <w:pPr>
              <w:jc w:val="right"/>
              <w:ind w:right="50"/>
              <w:spacing w:after="0" w:line="197" w:lineRule="exact"/>
              <w:rPr>
                <w:sz w:val="20"/>
                <w:szCs w:val="20"/>
                <w:color w:val="auto"/>
              </w:rPr>
            </w:pPr>
            <w:r>
              <w:rPr>
                <w:rFonts w:ascii="Arial" w:cs="Arial" w:eastAsia="Arial" w:hAnsi="Arial"/>
                <w:sz w:val="18"/>
                <w:szCs w:val="18"/>
                <w:color w:val="auto"/>
              </w:rPr>
              <w:t>701.5</w:t>
            </w:r>
          </w:p>
        </w:tc>
        <w:tc>
          <w:tcPr>
            <w:tcW w:w="180" w:type="dxa"/>
            <w:vAlign w:val="bottom"/>
          </w:tcPr>
          <w:p>
            <w:pPr>
              <w:spacing w:after="0"/>
              <w:rPr>
                <w:sz w:val="17"/>
                <w:szCs w:val="17"/>
                <w:color w:val="auto"/>
              </w:rPr>
            </w:pPr>
          </w:p>
        </w:tc>
        <w:tc>
          <w:tcPr>
            <w:tcW w:w="1340" w:type="dxa"/>
            <w:vAlign w:val="bottom"/>
          </w:tcPr>
          <w:p>
            <w:pPr>
              <w:jc w:val="right"/>
              <w:ind w:right="10"/>
              <w:spacing w:after="0" w:line="197" w:lineRule="exact"/>
              <w:rPr>
                <w:sz w:val="20"/>
                <w:szCs w:val="20"/>
                <w:color w:val="auto"/>
              </w:rPr>
            </w:pPr>
            <w:r>
              <w:rPr>
                <w:rFonts w:ascii="Arial" w:cs="Arial" w:eastAsia="Arial" w:hAnsi="Arial"/>
                <w:sz w:val="18"/>
                <w:szCs w:val="18"/>
                <w:color w:val="auto"/>
              </w:rPr>
              <w:t>797.0</w:t>
            </w:r>
          </w:p>
        </w:tc>
        <w:tc>
          <w:tcPr>
            <w:tcW w:w="260" w:type="dxa"/>
            <w:vAlign w:val="bottom"/>
          </w:tcPr>
          <w:p>
            <w:pPr>
              <w:spacing w:after="0"/>
              <w:rPr>
                <w:sz w:val="17"/>
                <w:szCs w:val="17"/>
                <w:color w:val="auto"/>
              </w:rPr>
            </w:pPr>
          </w:p>
        </w:tc>
        <w:tc>
          <w:tcPr>
            <w:tcW w:w="1240" w:type="dxa"/>
            <w:vAlign w:val="bottom"/>
          </w:tcPr>
          <w:p>
            <w:pPr>
              <w:jc w:val="right"/>
              <w:ind w:right="50"/>
              <w:spacing w:after="0" w:line="197" w:lineRule="exact"/>
              <w:rPr>
                <w:sz w:val="20"/>
                <w:szCs w:val="20"/>
                <w:color w:val="auto"/>
              </w:rPr>
            </w:pPr>
            <w:r>
              <w:rPr>
                <w:rFonts w:ascii="Arial" w:cs="Arial" w:eastAsia="Arial" w:hAnsi="Arial"/>
                <w:sz w:val="18"/>
                <w:szCs w:val="18"/>
                <w:color w:val="auto"/>
              </w:rPr>
              <w:t>841.2</w:t>
            </w:r>
          </w:p>
        </w:tc>
        <w:tc>
          <w:tcPr>
            <w:tcW w:w="180" w:type="dxa"/>
            <w:vAlign w:val="bottom"/>
          </w:tcPr>
          <w:p>
            <w:pPr>
              <w:spacing w:after="0"/>
              <w:rPr>
                <w:sz w:val="17"/>
                <w:szCs w:val="17"/>
                <w:color w:val="auto"/>
              </w:rPr>
            </w:pPr>
          </w:p>
        </w:tc>
        <w:tc>
          <w:tcPr>
            <w:tcW w:w="1280" w:type="dxa"/>
            <w:vAlign w:val="bottom"/>
          </w:tcPr>
          <w:p>
            <w:pPr>
              <w:jc w:val="right"/>
              <w:ind w:right="50"/>
              <w:spacing w:after="0" w:line="197" w:lineRule="exact"/>
              <w:rPr>
                <w:sz w:val="20"/>
                <w:szCs w:val="20"/>
                <w:color w:val="auto"/>
              </w:rPr>
            </w:pPr>
            <w:r>
              <w:rPr>
                <w:rFonts w:ascii="Arial" w:cs="Arial" w:eastAsia="Arial" w:hAnsi="Arial"/>
                <w:sz w:val="18"/>
                <w:szCs w:val="18"/>
                <w:color w:val="auto"/>
              </w:rPr>
              <w:t>905.7</w:t>
            </w:r>
          </w:p>
        </w:tc>
        <w:tc>
          <w:tcPr>
            <w:tcW w:w="400" w:type="dxa"/>
            <w:vAlign w:val="bottom"/>
          </w:tcPr>
          <w:p>
            <w:pPr>
              <w:spacing w:after="0"/>
              <w:rPr>
                <w:sz w:val="17"/>
                <w:szCs w:val="17"/>
                <w:color w:val="auto"/>
              </w:rPr>
            </w:pPr>
          </w:p>
        </w:tc>
        <w:tc>
          <w:tcPr>
            <w:tcW w:w="980" w:type="dxa"/>
            <w:vAlign w:val="bottom"/>
            <w:gridSpan w:val="2"/>
          </w:tcPr>
          <w:p>
            <w:pPr>
              <w:jc w:val="right"/>
              <w:ind w:right="60"/>
              <w:spacing w:after="0" w:line="197" w:lineRule="exact"/>
              <w:rPr>
                <w:sz w:val="20"/>
                <w:szCs w:val="20"/>
                <w:color w:val="auto"/>
              </w:rPr>
            </w:pPr>
            <w:r>
              <w:rPr>
                <w:rFonts w:ascii="Arial" w:cs="Arial" w:eastAsia="Arial" w:hAnsi="Arial"/>
                <w:sz w:val="18"/>
                <w:szCs w:val="18"/>
                <w:color w:val="auto"/>
              </w:rPr>
              <w:t>3,245.4</w:t>
            </w:r>
          </w:p>
        </w:tc>
      </w:tr>
      <w:tr>
        <w:trPr>
          <w:trHeight w:val="208"/>
        </w:trPr>
        <w:tc>
          <w:tcPr>
            <w:tcW w:w="3620" w:type="dxa"/>
            <w:vAlign w:val="bottom"/>
            <w:gridSpan w:val="2"/>
          </w:tcPr>
          <w:p>
            <w:pPr>
              <w:spacing w:after="0" w:line="207" w:lineRule="exact"/>
              <w:rPr>
                <w:sz w:val="20"/>
                <w:szCs w:val="20"/>
                <w:color w:val="auto"/>
              </w:rPr>
            </w:pPr>
            <w:r>
              <w:rPr>
                <w:rFonts w:ascii="Arial" w:cs="Arial" w:eastAsia="Arial" w:hAnsi="Arial"/>
                <w:sz w:val="17"/>
                <w:szCs w:val="17"/>
                <w:color w:val="auto"/>
              </w:rPr>
              <w:t>Operating profit (loss)</w:t>
            </w:r>
            <w:r>
              <w:rPr>
                <w:rFonts w:ascii="Arial" w:cs="Arial" w:eastAsia="Arial" w:hAnsi="Arial"/>
                <w:sz w:val="24"/>
                <w:szCs w:val="24"/>
                <w:color w:val="auto"/>
                <w:vertAlign w:val="superscript"/>
              </w:rPr>
              <w:t>(a)</w:t>
            </w:r>
          </w:p>
        </w:tc>
        <w:tc>
          <w:tcPr>
            <w:tcW w:w="580" w:type="dxa"/>
            <w:vAlign w:val="bottom"/>
          </w:tcPr>
          <w:p>
            <w:pPr>
              <w:spacing w:after="0"/>
              <w:rPr>
                <w:sz w:val="18"/>
                <w:szCs w:val="18"/>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32.6</w:t>
            </w:r>
          </w:p>
        </w:tc>
        <w:tc>
          <w:tcPr>
            <w:tcW w:w="180" w:type="dxa"/>
            <w:vAlign w:val="bottom"/>
          </w:tcPr>
          <w:p>
            <w:pPr>
              <w:spacing w:after="0"/>
              <w:rPr>
                <w:sz w:val="18"/>
                <w:szCs w:val="18"/>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79.1</w:t>
            </w:r>
          </w:p>
        </w:tc>
        <w:tc>
          <w:tcPr>
            <w:tcW w:w="260" w:type="dxa"/>
            <w:vAlign w:val="bottom"/>
          </w:tcPr>
          <w:p>
            <w:pPr>
              <w:spacing w:after="0"/>
              <w:rPr>
                <w:sz w:val="18"/>
                <w:szCs w:val="18"/>
                <w:color w:val="auto"/>
              </w:rPr>
            </w:pP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108.9</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(342.6)</w:t>
            </w:r>
          </w:p>
        </w:tc>
        <w:tc>
          <w:tcPr>
            <w:tcW w:w="40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(122.0)</w:t>
            </w:r>
          </w:p>
        </w:tc>
      </w:tr>
      <w:tr>
        <w:trPr>
          <w:trHeight w:val="203"/>
        </w:trPr>
        <w:tc>
          <w:tcPr>
            <w:tcW w:w="3620" w:type="dxa"/>
            <w:vAlign w:val="bottom"/>
            <w:gridSpan w:val="2"/>
          </w:tcPr>
          <w:p>
            <w:pPr>
              <w:spacing w:after="0" w:line="202" w:lineRule="exact"/>
              <w:rPr>
                <w:sz w:val="20"/>
                <w:szCs w:val="20"/>
                <w:color w:val="auto"/>
              </w:rPr>
            </w:pPr>
            <w:r>
              <w:rPr>
                <w:rFonts w:ascii="Arial" w:cs="Arial" w:eastAsia="Arial" w:hAnsi="Arial"/>
                <w:sz w:val="18"/>
                <w:szCs w:val="18"/>
                <w:color w:val="auto"/>
              </w:rPr>
              <w:t>Net earnings (loss)</w:t>
            </w:r>
          </w:p>
        </w:tc>
        <w:tc>
          <w:tcPr>
            <w:tcW w:w="580" w:type="dxa"/>
            <w:vAlign w:val="bottom"/>
          </w:tcPr>
          <w:p>
            <w:pPr>
              <w:spacing w:after="0"/>
              <w:rPr>
                <w:sz w:val="17"/>
                <w:szCs w:val="17"/>
                <w:color w:val="auto"/>
              </w:rPr>
            </w:pPr>
          </w:p>
        </w:tc>
        <w:tc>
          <w:tcPr>
            <w:tcW w:w="1200" w:type="dxa"/>
            <w:vAlign w:val="bottom"/>
          </w:tcPr>
          <w:p>
            <w:pPr>
              <w:jc w:val="right"/>
              <w:ind w:right="50"/>
              <w:spacing w:after="0" w:line="202" w:lineRule="exact"/>
              <w:rPr>
                <w:sz w:val="20"/>
                <w:szCs w:val="20"/>
                <w:color w:val="auto"/>
              </w:rPr>
            </w:pPr>
            <w:r>
              <w:rPr>
                <w:rFonts w:ascii="Arial" w:cs="Arial" w:eastAsia="Arial" w:hAnsi="Arial"/>
                <w:sz w:val="18"/>
                <w:szCs w:val="18"/>
                <w:color w:val="auto"/>
              </w:rPr>
              <w:t>2.8</w:t>
            </w:r>
          </w:p>
        </w:tc>
        <w:tc>
          <w:tcPr>
            <w:tcW w:w="180" w:type="dxa"/>
            <w:vAlign w:val="bottom"/>
          </w:tcPr>
          <w:p>
            <w:pPr>
              <w:spacing w:after="0"/>
              <w:rPr>
                <w:sz w:val="17"/>
                <w:szCs w:val="17"/>
                <w:color w:val="auto"/>
              </w:rPr>
            </w:pPr>
          </w:p>
        </w:tc>
        <w:tc>
          <w:tcPr>
            <w:tcW w:w="13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32.7</w:t>
            </w:r>
          </w:p>
        </w:tc>
        <w:tc>
          <w:tcPr>
            <w:tcW w:w="260" w:type="dxa"/>
            <w:vAlign w:val="bottom"/>
          </w:tcPr>
          <w:p>
            <w:pPr>
              <w:spacing w:after="0"/>
              <w:rPr>
                <w:sz w:val="17"/>
                <w:szCs w:val="17"/>
                <w:color w:val="auto"/>
              </w:rPr>
            </w:pPr>
          </w:p>
        </w:tc>
        <w:tc>
          <w:tcPr>
            <w:tcW w:w="1240" w:type="dxa"/>
            <w:vAlign w:val="bottom"/>
          </w:tcPr>
          <w:p>
            <w:pPr>
              <w:jc w:val="right"/>
              <w:ind w:right="50"/>
              <w:spacing w:after="0" w:line="202" w:lineRule="exact"/>
              <w:rPr>
                <w:sz w:val="20"/>
                <w:szCs w:val="20"/>
                <w:color w:val="auto"/>
              </w:rPr>
            </w:pPr>
            <w:r>
              <w:rPr>
                <w:rFonts w:ascii="Arial" w:cs="Arial" w:eastAsia="Arial" w:hAnsi="Arial"/>
                <w:sz w:val="18"/>
                <w:szCs w:val="18"/>
                <w:color w:val="auto"/>
              </w:rPr>
              <w:t>51.3</w:t>
            </w:r>
          </w:p>
        </w:tc>
        <w:tc>
          <w:tcPr>
            <w:tcW w:w="18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(350.4)</w:t>
            </w:r>
          </w:p>
        </w:tc>
        <w:tc>
          <w:tcPr>
            <w:tcW w:w="400" w:type="dxa"/>
            <w:vAlign w:val="bottom"/>
          </w:tcPr>
          <w:p>
            <w:pPr>
              <w:spacing w:after="0"/>
              <w:rPr>
                <w:sz w:val="17"/>
                <w:szCs w:val="17"/>
                <w:color w:val="auto"/>
              </w:rPr>
            </w:pPr>
          </w:p>
        </w:tc>
        <w:tc>
          <w:tcPr>
            <w:tcW w:w="9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(263.6)</w:t>
            </w:r>
          </w:p>
        </w:tc>
      </w:tr>
      <w:tr>
        <w:trPr>
          <w:trHeight w:val="200"/>
        </w:trPr>
        <w:tc>
          <w:tcPr>
            <w:tcW w:w="3620" w:type="dxa"/>
            <w:vAlign w:val="bottom"/>
            <w:gridSpan w:val="2"/>
          </w:tcPr>
          <w:p>
            <w:pPr>
              <w:spacing w:after="0" w:line="200" w:lineRule="exact"/>
              <w:rPr>
                <w:sz w:val="20"/>
                <w:szCs w:val="20"/>
                <w:color w:val="auto"/>
              </w:rPr>
            </w:pPr>
            <w:r>
              <w:rPr>
                <w:rFonts w:ascii="Arial" w:cs="Arial" w:eastAsia="Arial" w:hAnsi="Arial"/>
                <w:sz w:val="18"/>
                <w:szCs w:val="18"/>
                <w:color w:val="auto"/>
              </w:rPr>
              <w:t>Net earnings (loss) per share – basic</w:t>
            </w:r>
          </w:p>
        </w:tc>
        <w:tc>
          <w:tcPr>
            <w:tcW w:w="58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1200" w:type="dxa"/>
            <w:vAlign w:val="bottom"/>
          </w:tcPr>
          <w:p>
            <w:pPr>
              <w:jc w:val="right"/>
              <w:ind w:right="50"/>
              <w:spacing w:after="0" w:line="200" w:lineRule="exact"/>
              <w:rPr>
                <w:sz w:val="20"/>
                <w:szCs w:val="20"/>
                <w:color w:val="auto"/>
              </w:rPr>
            </w:pPr>
            <w:r>
              <w:rPr>
                <w:rFonts w:ascii="Arial" w:cs="Arial" w:eastAsia="Arial" w:hAnsi="Arial"/>
                <w:sz w:val="18"/>
                <w:szCs w:val="18"/>
                <w:color w:val="auto"/>
              </w:rPr>
              <w:t>0.04</w:t>
            </w:r>
          </w:p>
        </w:tc>
        <w:tc>
          <w:tcPr>
            <w:tcW w:w="18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1340" w:type="dxa"/>
            <w:vAlign w:val="bottom"/>
          </w:tcPr>
          <w:p>
            <w:pPr>
              <w:jc w:val="right"/>
              <w:ind w:right="10"/>
              <w:spacing w:after="0" w:line="200" w:lineRule="exact"/>
              <w:rPr>
                <w:sz w:val="20"/>
                <w:szCs w:val="20"/>
                <w:color w:val="auto"/>
              </w:rPr>
            </w:pPr>
            <w:r>
              <w:rPr>
                <w:rFonts w:ascii="Arial" w:cs="Arial" w:eastAsia="Arial" w:hAnsi="Arial"/>
                <w:sz w:val="18"/>
                <w:szCs w:val="18"/>
                <w:color w:val="auto"/>
              </w:rPr>
              <w:t>0.40</w:t>
            </w:r>
          </w:p>
        </w:tc>
        <w:tc>
          <w:tcPr>
            <w:tcW w:w="26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1240" w:type="dxa"/>
            <w:vAlign w:val="bottom"/>
          </w:tcPr>
          <w:p>
            <w:pPr>
              <w:jc w:val="right"/>
              <w:ind w:right="50"/>
              <w:spacing w:after="0" w:line="200" w:lineRule="exact"/>
              <w:rPr>
                <w:sz w:val="20"/>
                <w:szCs w:val="20"/>
                <w:color w:val="auto"/>
              </w:rPr>
            </w:pPr>
            <w:r>
              <w:rPr>
                <w:rFonts w:ascii="Arial" w:cs="Arial" w:eastAsia="Arial" w:hAnsi="Arial"/>
                <w:sz w:val="18"/>
                <w:szCs w:val="18"/>
                <w:color w:val="auto"/>
              </w:rPr>
              <w:t>0.63</w:t>
            </w:r>
          </w:p>
        </w:tc>
        <w:tc>
          <w:tcPr>
            <w:tcW w:w="18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1280" w:type="dxa"/>
            <w:vAlign w:val="bottom"/>
          </w:tcPr>
          <w:p>
            <w:pPr>
              <w:jc w:val="right"/>
              <w:spacing w:after="0" w:line="200" w:lineRule="exact"/>
              <w:rPr>
                <w:sz w:val="20"/>
                <w:szCs w:val="20"/>
                <w:color w:val="auto"/>
              </w:rPr>
            </w:pPr>
            <w:r>
              <w:rPr>
                <w:rFonts w:ascii="Arial" w:cs="Arial" w:eastAsia="Arial" w:hAnsi="Arial"/>
                <w:sz w:val="18"/>
                <w:szCs w:val="18"/>
                <w:color w:val="auto"/>
              </w:rPr>
              <w:t>(4.29)</w:t>
            </w:r>
          </w:p>
        </w:tc>
        <w:tc>
          <w:tcPr>
            <w:tcW w:w="400" w:type="dxa"/>
            <w:vAlign w:val="bottom"/>
          </w:tcPr>
          <w:p>
            <w:pPr>
              <w:jc w:val="right"/>
              <w:ind w:right="130"/>
              <w:spacing w:after="0" w:line="200" w:lineRule="exact"/>
              <w:rPr>
                <w:sz w:val="20"/>
                <w:szCs w:val="20"/>
                <w:color w:val="auto"/>
              </w:rPr>
            </w:pPr>
            <w:r>
              <w:rPr>
                <w:rFonts w:ascii="Arial" w:cs="Arial" w:eastAsia="Arial" w:hAnsi="Arial"/>
                <w:sz w:val="18"/>
                <w:szCs w:val="18"/>
                <w:color w:val="auto"/>
              </w:rPr>
              <w:t>$</w:t>
            </w:r>
          </w:p>
        </w:tc>
        <w:tc>
          <w:tcPr>
            <w:tcW w:w="980" w:type="dxa"/>
            <w:vAlign w:val="bottom"/>
            <w:gridSpan w:val="2"/>
          </w:tcPr>
          <w:p>
            <w:pPr>
              <w:jc w:val="right"/>
              <w:spacing w:after="0" w:line="200" w:lineRule="exact"/>
              <w:rPr>
                <w:sz w:val="20"/>
                <w:szCs w:val="20"/>
                <w:color w:val="auto"/>
              </w:rPr>
            </w:pPr>
            <w:r>
              <w:rPr>
                <w:rFonts w:ascii="Arial" w:cs="Arial" w:eastAsia="Arial" w:hAnsi="Arial"/>
                <w:sz w:val="18"/>
                <w:szCs w:val="18"/>
                <w:color w:val="auto"/>
              </w:rPr>
              <w:t>(3.26)</w:t>
            </w:r>
          </w:p>
        </w:tc>
      </w:tr>
      <w:tr>
        <w:trPr>
          <w:trHeight w:val="219"/>
        </w:trPr>
        <w:tc>
          <w:tcPr>
            <w:tcW w:w="3620" w:type="dxa"/>
            <w:vAlign w:val="bottom"/>
            <w:gridSpan w:val="2"/>
          </w:tcPr>
          <w:p>
            <w:pPr>
              <w:spacing w:after="0" w:line="218" w:lineRule="exact"/>
              <w:rPr>
                <w:sz w:val="20"/>
                <w:szCs w:val="20"/>
                <w:color w:val="auto"/>
              </w:rPr>
            </w:pPr>
            <w:r>
              <w:rPr>
                <w:rFonts w:ascii="Arial" w:cs="Arial" w:eastAsia="Arial" w:hAnsi="Arial"/>
                <w:sz w:val="17"/>
                <w:szCs w:val="17"/>
                <w:color w:val="auto"/>
              </w:rPr>
              <w:t>Net earnings (loss) per share – diluted</w:t>
            </w:r>
            <w:r>
              <w:rPr>
                <w:rFonts w:ascii="Arial" w:cs="Arial" w:eastAsia="Arial" w:hAnsi="Arial"/>
                <w:sz w:val="25"/>
                <w:szCs w:val="25"/>
                <w:color w:val="auto"/>
                <w:vertAlign w:val="superscript"/>
              </w:rPr>
              <w:t>(</w:t>
            </w:r>
            <w:r>
              <w:rPr>
                <w:rFonts w:ascii="Arial" w:cs="Arial" w:eastAsia="Arial" w:hAnsi="Arial"/>
                <w:sz w:val="23"/>
                <w:szCs w:val="23"/>
                <w:color w:val="auto"/>
                <w:vertAlign w:val="superscript"/>
              </w:rPr>
              <w:t>b)</w:t>
            </w:r>
          </w:p>
        </w:tc>
        <w:tc>
          <w:tcPr>
            <w:tcW w:w="580" w:type="dxa"/>
            <w:vAlign w:val="bottom"/>
          </w:tcPr>
          <w:p>
            <w:pPr>
              <w:spacing w:after="0"/>
              <w:rPr>
                <w:sz w:val="19"/>
                <w:szCs w:val="19"/>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0.04</w:t>
            </w:r>
          </w:p>
        </w:tc>
        <w:tc>
          <w:tcPr>
            <w:tcW w:w="180" w:type="dxa"/>
            <w:vAlign w:val="bottom"/>
          </w:tcPr>
          <w:p>
            <w:pPr>
              <w:spacing w:after="0"/>
              <w:rPr>
                <w:sz w:val="19"/>
                <w:szCs w:val="19"/>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0.40</w:t>
            </w:r>
          </w:p>
        </w:tc>
        <w:tc>
          <w:tcPr>
            <w:tcW w:w="260" w:type="dxa"/>
            <w:vAlign w:val="bottom"/>
          </w:tcPr>
          <w:p>
            <w:pPr>
              <w:spacing w:after="0"/>
              <w:rPr>
                <w:sz w:val="19"/>
                <w:szCs w:val="19"/>
                <w:color w:val="auto"/>
              </w:rPr>
            </w:pP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0.62</w:t>
            </w: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(4.29)</w:t>
            </w:r>
          </w:p>
        </w:tc>
        <w:tc>
          <w:tcPr>
            <w:tcW w:w="40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(3.26)</w:t>
            </w:r>
          </w:p>
        </w:tc>
      </w:tr>
      <w:tr>
        <w:trPr>
          <w:trHeight w:val="203"/>
        </w:trPr>
        <w:tc>
          <w:tcPr>
            <w:tcW w:w="3620" w:type="dxa"/>
            <w:vAlign w:val="bottom"/>
            <w:gridSpan w:val="2"/>
          </w:tcPr>
          <w:p>
            <w:pPr>
              <w:spacing w:after="0" w:line="202" w:lineRule="exact"/>
              <w:rPr>
                <w:sz w:val="20"/>
                <w:szCs w:val="20"/>
                <w:color w:val="auto"/>
              </w:rPr>
            </w:pPr>
            <w:r>
              <w:rPr>
                <w:rFonts w:ascii="Arial" w:cs="Arial" w:eastAsia="Arial" w:hAnsi="Arial"/>
                <w:sz w:val="18"/>
                <w:szCs w:val="18"/>
                <w:color w:val="auto"/>
              </w:rPr>
              <w:t>Dividends per share</w:t>
            </w:r>
          </w:p>
        </w:tc>
        <w:tc>
          <w:tcPr>
            <w:tcW w:w="580" w:type="dxa"/>
            <w:vAlign w:val="bottom"/>
          </w:tcPr>
          <w:p>
            <w:pPr>
              <w:spacing w:after="0"/>
              <w:rPr>
                <w:sz w:val="17"/>
                <w:szCs w:val="17"/>
                <w:color w:val="auto"/>
              </w:rPr>
            </w:pPr>
          </w:p>
        </w:tc>
        <w:tc>
          <w:tcPr>
            <w:tcW w:w="1200" w:type="dxa"/>
            <w:vAlign w:val="bottom"/>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3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0.37</w:t>
            </w:r>
          </w:p>
        </w:tc>
        <w:tc>
          <w:tcPr>
            <w:tcW w:w="260" w:type="dxa"/>
            <w:vAlign w:val="bottom"/>
          </w:tcPr>
          <w:p>
            <w:pPr>
              <w:spacing w:after="0"/>
              <w:rPr>
                <w:sz w:val="17"/>
                <w:szCs w:val="17"/>
                <w:color w:val="auto"/>
              </w:rPr>
            </w:pPr>
          </w:p>
        </w:tc>
        <w:tc>
          <w:tcPr>
            <w:tcW w:w="1240" w:type="dxa"/>
            <w:vAlign w:val="bottom"/>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280" w:type="dxa"/>
            <w:vAlign w:val="bottom"/>
          </w:tcPr>
          <w:p>
            <w:pPr>
              <w:jc w:val="right"/>
              <w:ind w:right="50"/>
              <w:spacing w:after="0" w:line="202" w:lineRule="exact"/>
              <w:rPr>
                <w:sz w:val="20"/>
                <w:szCs w:val="20"/>
                <w:color w:val="auto"/>
              </w:rPr>
            </w:pPr>
            <w:r>
              <w:rPr>
                <w:rFonts w:ascii="Arial" w:cs="Arial" w:eastAsia="Arial" w:hAnsi="Arial"/>
                <w:sz w:val="18"/>
                <w:szCs w:val="18"/>
                <w:color w:val="auto"/>
              </w:rPr>
              <w:t>0.37</w:t>
            </w:r>
          </w:p>
        </w:tc>
        <w:tc>
          <w:tcPr>
            <w:tcW w:w="40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0.74</w:t>
            </w:r>
          </w:p>
        </w:tc>
        <w:tc>
          <w:tcPr>
            <w:tcW w:w="60" w:type="dxa"/>
            <w:vAlign w:val="bottom"/>
          </w:tcPr>
          <w:p>
            <w:pPr>
              <w:spacing w:after="0"/>
              <w:rPr>
                <w:sz w:val="17"/>
                <w:szCs w:val="17"/>
                <w:color w:val="auto"/>
              </w:rPr>
            </w:pPr>
          </w:p>
        </w:tc>
      </w:tr>
      <w:tr>
        <w:trPr>
          <w:trHeight w:val="203"/>
        </w:trPr>
        <w:tc>
          <w:tcPr>
            <w:tcW w:w="3620" w:type="dxa"/>
            <w:vAlign w:val="bottom"/>
            <w:gridSpan w:val="2"/>
          </w:tcPr>
          <w:p>
            <w:pPr>
              <w:spacing w:after="0" w:line="202" w:lineRule="exact"/>
              <w:rPr>
                <w:sz w:val="20"/>
                <w:szCs w:val="20"/>
                <w:color w:val="auto"/>
              </w:rPr>
            </w:pPr>
            <w:r>
              <w:rPr>
                <w:rFonts w:ascii="Arial" w:cs="Arial" w:eastAsia="Arial" w:hAnsi="Arial"/>
                <w:sz w:val="18"/>
                <w:szCs w:val="18"/>
                <w:color w:val="auto"/>
              </w:rPr>
              <w:t>Market price:</w:t>
            </w:r>
          </w:p>
        </w:tc>
        <w:tc>
          <w:tcPr>
            <w:tcW w:w="5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600" w:type="dxa"/>
            <w:vAlign w:val="bottom"/>
          </w:tcPr>
          <w:p>
            <w:pPr>
              <w:ind w:left="260"/>
              <w:spacing w:after="0" w:line="202" w:lineRule="exact"/>
              <w:rPr>
                <w:sz w:val="20"/>
                <w:szCs w:val="20"/>
                <w:color w:val="auto"/>
              </w:rPr>
            </w:pPr>
            <w:r>
              <w:rPr>
                <w:rFonts w:ascii="Arial" w:cs="Arial" w:eastAsia="Arial" w:hAnsi="Arial"/>
                <w:sz w:val="18"/>
                <w:szCs w:val="18"/>
                <w:color w:val="auto"/>
              </w:rPr>
              <w:t>High</w:t>
            </w: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200" w:type="dxa"/>
            <w:vAlign w:val="bottom"/>
          </w:tcPr>
          <w:p>
            <w:pPr>
              <w:jc w:val="right"/>
              <w:ind w:right="50"/>
              <w:spacing w:after="0" w:line="202" w:lineRule="exact"/>
              <w:rPr>
                <w:sz w:val="20"/>
                <w:szCs w:val="20"/>
                <w:color w:val="auto"/>
              </w:rPr>
            </w:pPr>
            <w:r>
              <w:rPr>
                <w:rFonts w:ascii="Arial" w:cs="Arial" w:eastAsia="Arial" w:hAnsi="Arial"/>
                <w:sz w:val="18"/>
                <w:szCs w:val="18"/>
                <w:color w:val="auto"/>
              </w:rPr>
              <w:t>59.92</w:t>
            </w: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3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62.18</w:t>
            </w:r>
          </w:p>
        </w:tc>
        <w:tc>
          <w:tcPr>
            <w:tcW w:w="2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240" w:type="dxa"/>
            <w:vAlign w:val="bottom"/>
          </w:tcPr>
          <w:p>
            <w:pPr>
              <w:jc w:val="right"/>
              <w:ind w:right="50"/>
              <w:spacing w:after="0" w:line="202" w:lineRule="exact"/>
              <w:rPr>
                <w:sz w:val="20"/>
                <w:szCs w:val="20"/>
                <w:color w:val="auto"/>
              </w:rPr>
            </w:pPr>
            <w:r>
              <w:rPr>
                <w:rFonts w:ascii="Arial" w:cs="Arial" w:eastAsia="Arial" w:hAnsi="Arial"/>
                <w:sz w:val="18"/>
                <w:szCs w:val="18"/>
                <w:color w:val="auto"/>
              </w:rPr>
              <w:t>52.20</w:t>
            </w: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280" w:type="dxa"/>
            <w:vAlign w:val="bottom"/>
          </w:tcPr>
          <w:p>
            <w:pPr>
              <w:jc w:val="right"/>
              <w:ind w:right="50"/>
              <w:spacing w:after="0" w:line="202" w:lineRule="exact"/>
              <w:rPr>
                <w:sz w:val="20"/>
                <w:szCs w:val="20"/>
                <w:color w:val="auto"/>
              </w:rPr>
            </w:pPr>
            <w:r>
              <w:rPr>
                <w:rFonts w:ascii="Arial" w:cs="Arial" w:eastAsia="Arial" w:hAnsi="Arial"/>
                <w:sz w:val="18"/>
                <w:szCs w:val="18"/>
                <w:color w:val="auto"/>
              </w:rPr>
              <w:t>65.14</w:t>
            </w:r>
          </w:p>
        </w:tc>
        <w:tc>
          <w:tcPr>
            <w:tcW w:w="4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3600" w:type="dxa"/>
            <w:vAlign w:val="bottom"/>
            <w:tcBorders>
              <w:bottom w:val="single" w:sz="8" w:color="939598"/>
            </w:tcBorders>
          </w:tcPr>
          <w:p>
            <w:pPr>
              <w:ind w:left="260"/>
              <w:spacing w:after="0" w:line="203" w:lineRule="exact"/>
              <w:rPr>
                <w:sz w:val="20"/>
                <w:szCs w:val="20"/>
                <w:color w:val="auto"/>
              </w:rPr>
            </w:pPr>
            <w:r>
              <w:rPr>
                <w:rFonts w:ascii="Arial" w:cs="Arial" w:eastAsia="Arial" w:hAnsi="Arial"/>
                <w:sz w:val="18"/>
                <w:szCs w:val="18"/>
                <w:color w:val="auto"/>
              </w:rPr>
              <w:t>Low</w:t>
            </w:r>
          </w:p>
        </w:tc>
        <w:tc>
          <w:tcPr>
            <w:tcW w:w="580" w:type="dxa"/>
            <w:vAlign w:val="bottom"/>
            <w:tcBorders>
              <w:bottom w:val="single" w:sz="8" w:color="939598"/>
            </w:tcBorders>
          </w:tcPr>
          <w:p>
            <w:pPr>
              <w:spacing w:after="0"/>
              <w:rPr>
                <w:sz w:val="18"/>
                <w:szCs w:val="18"/>
                <w:color w:val="auto"/>
              </w:rPr>
            </w:pPr>
          </w:p>
        </w:tc>
        <w:tc>
          <w:tcPr>
            <w:tcW w:w="1200" w:type="dxa"/>
            <w:vAlign w:val="bottom"/>
            <w:tcBorders>
              <w:bottom w:val="single" w:sz="8" w:color="939598"/>
            </w:tcBorders>
          </w:tcPr>
          <w:p>
            <w:pPr>
              <w:jc w:val="right"/>
              <w:ind w:right="50"/>
              <w:spacing w:after="0" w:line="203" w:lineRule="exact"/>
              <w:rPr>
                <w:sz w:val="20"/>
                <w:szCs w:val="20"/>
                <w:color w:val="auto"/>
              </w:rPr>
            </w:pPr>
            <w:r>
              <w:rPr>
                <w:rFonts w:ascii="Arial" w:cs="Arial" w:eastAsia="Arial" w:hAnsi="Arial"/>
                <w:sz w:val="18"/>
                <w:szCs w:val="18"/>
                <w:color w:val="auto"/>
              </w:rPr>
              <w:t>50.63</w:t>
            </w:r>
          </w:p>
        </w:tc>
        <w:tc>
          <w:tcPr>
            <w:tcW w:w="180" w:type="dxa"/>
            <w:vAlign w:val="bottom"/>
            <w:tcBorders>
              <w:bottom w:val="single" w:sz="8" w:color="939598"/>
            </w:tcBorders>
          </w:tcPr>
          <w:p>
            <w:pPr>
              <w:spacing w:after="0"/>
              <w:rPr>
                <w:sz w:val="18"/>
                <w:szCs w:val="18"/>
                <w:color w:val="auto"/>
              </w:rPr>
            </w:pPr>
          </w:p>
        </w:tc>
        <w:tc>
          <w:tcPr>
            <w:tcW w:w="1340" w:type="dxa"/>
            <w:vAlign w:val="bottom"/>
            <w:tcBorders>
              <w:bottom w:val="single" w:sz="8" w:color="939598"/>
            </w:tcBorders>
          </w:tcPr>
          <w:p>
            <w:pPr>
              <w:jc w:val="right"/>
              <w:ind w:right="10"/>
              <w:spacing w:after="0" w:line="203" w:lineRule="exact"/>
              <w:rPr>
                <w:sz w:val="20"/>
                <w:szCs w:val="20"/>
                <w:color w:val="auto"/>
              </w:rPr>
            </w:pPr>
            <w:r>
              <w:rPr>
                <w:rFonts w:ascii="Arial" w:cs="Arial" w:eastAsia="Arial" w:hAnsi="Arial"/>
                <w:sz w:val="18"/>
                <w:szCs w:val="18"/>
                <w:color w:val="auto"/>
              </w:rPr>
              <w:t>40.58</w:t>
            </w:r>
          </w:p>
        </w:tc>
        <w:tc>
          <w:tcPr>
            <w:tcW w:w="260" w:type="dxa"/>
            <w:vAlign w:val="bottom"/>
            <w:tcBorders>
              <w:bottom w:val="single" w:sz="8" w:color="939598"/>
            </w:tcBorders>
          </w:tcPr>
          <w:p>
            <w:pPr>
              <w:spacing w:after="0"/>
              <w:rPr>
                <w:sz w:val="18"/>
                <w:szCs w:val="18"/>
                <w:color w:val="auto"/>
              </w:rPr>
            </w:pPr>
          </w:p>
        </w:tc>
        <w:tc>
          <w:tcPr>
            <w:tcW w:w="1240" w:type="dxa"/>
            <w:vAlign w:val="bottom"/>
            <w:tcBorders>
              <w:bottom w:val="single" w:sz="8" w:color="939598"/>
            </w:tcBorders>
          </w:tcPr>
          <w:p>
            <w:pPr>
              <w:jc w:val="right"/>
              <w:ind w:right="50"/>
              <w:spacing w:after="0" w:line="203" w:lineRule="exact"/>
              <w:rPr>
                <w:sz w:val="20"/>
                <w:szCs w:val="20"/>
                <w:color w:val="auto"/>
              </w:rPr>
            </w:pPr>
            <w:r>
              <w:rPr>
                <w:rFonts w:ascii="Arial" w:cs="Arial" w:eastAsia="Arial" w:hAnsi="Arial"/>
                <w:sz w:val="18"/>
                <w:szCs w:val="18"/>
                <w:color w:val="auto"/>
              </w:rPr>
              <w:t>42.50</w:t>
            </w:r>
          </w:p>
        </w:tc>
        <w:tc>
          <w:tcPr>
            <w:tcW w:w="180" w:type="dxa"/>
            <w:vAlign w:val="bottom"/>
            <w:tcBorders>
              <w:bottom w:val="single" w:sz="8" w:color="939598"/>
            </w:tcBorders>
          </w:tcPr>
          <w:p>
            <w:pPr>
              <w:spacing w:after="0"/>
              <w:rPr>
                <w:sz w:val="18"/>
                <w:szCs w:val="18"/>
                <w:color w:val="auto"/>
              </w:rPr>
            </w:pPr>
          </w:p>
        </w:tc>
        <w:tc>
          <w:tcPr>
            <w:tcW w:w="1280" w:type="dxa"/>
            <w:vAlign w:val="bottom"/>
            <w:tcBorders>
              <w:bottom w:val="single" w:sz="8" w:color="939598"/>
            </w:tcBorders>
          </w:tcPr>
          <w:p>
            <w:pPr>
              <w:jc w:val="right"/>
              <w:ind w:right="50"/>
              <w:spacing w:after="0" w:line="203" w:lineRule="exact"/>
              <w:rPr>
                <w:sz w:val="20"/>
                <w:szCs w:val="20"/>
                <w:color w:val="auto"/>
              </w:rPr>
            </w:pPr>
            <w:r>
              <w:rPr>
                <w:rFonts w:ascii="Arial" w:cs="Arial" w:eastAsia="Arial" w:hAnsi="Arial"/>
                <w:sz w:val="18"/>
                <w:szCs w:val="18"/>
                <w:color w:val="auto"/>
              </w:rPr>
              <w:t>50.39</w:t>
            </w:r>
          </w:p>
        </w:tc>
        <w:tc>
          <w:tcPr>
            <w:tcW w:w="400" w:type="dxa"/>
            <w:vAlign w:val="bottom"/>
            <w:tcBorders>
              <w:bottom w:val="single" w:sz="8" w:color="939598"/>
            </w:tcBorders>
          </w:tcPr>
          <w:p>
            <w:pPr>
              <w:spacing w:after="0"/>
              <w:rPr>
                <w:sz w:val="18"/>
                <w:szCs w:val="18"/>
                <w:color w:val="auto"/>
              </w:rPr>
            </w:pPr>
          </w:p>
        </w:tc>
        <w:tc>
          <w:tcPr>
            <w:tcW w:w="920" w:type="dxa"/>
            <w:vAlign w:val="bottom"/>
            <w:tcBorders>
              <w:bottom w:val="single" w:sz="8" w:color="939598"/>
            </w:tcBorders>
          </w:tcPr>
          <w:p>
            <w:pPr>
              <w:spacing w:after="0"/>
              <w:rPr>
                <w:sz w:val="18"/>
                <w:szCs w:val="18"/>
                <w:color w:val="auto"/>
              </w:rPr>
            </w:pPr>
          </w:p>
        </w:tc>
        <w:tc>
          <w:tcPr>
            <w:tcW w:w="6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3600" w:type="dxa"/>
            <w:vAlign w:val="bottom"/>
          </w:tcPr>
          <w:p>
            <w:pPr>
              <w:spacing w:after="0" w:line="201" w:lineRule="exact"/>
              <w:rPr>
                <w:sz w:val="20"/>
                <w:szCs w:val="20"/>
                <w:color w:val="auto"/>
              </w:rPr>
            </w:pPr>
            <w:r>
              <w:rPr>
                <w:rFonts w:ascii="Arial" w:cs="Arial" w:eastAsia="Arial" w:hAnsi="Arial"/>
                <w:sz w:val="18"/>
                <w:szCs w:val="18"/>
                <w:b w:val="1"/>
                <w:bCs w:val="1"/>
                <w:color w:val="939598"/>
              </w:rPr>
              <w:t>Year Ended December 31, 2009</w:t>
            </w:r>
          </w:p>
        </w:tc>
        <w:tc>
          <w:tcPr>
            <w:tcW w:w="5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3620" w:type="dxa"/>
            <w:vAlign w:val="bottom"/>
            <w:gridSpan w:val="2"/>
          </w:tcPr>
          <w:p>
            <w:pPr>
              <w:spacing w:after="0" w:line="202" w:lineRule="exact"/>
              <w:rPr>
                <w:sz w:val="20"/>
                <w:szCs w:val="20"/>
                <w:color w:val="auto"/>
              </w:rPr>
            </w:pPr>
            <w:r>
              <w:rPr>
                <w:rFonts w:ascii="Arial" w:cs="Arial" w:eastAsia="Arial" w:hAnsi="Arial"/>
                <w:sz w:val="18"/>
                <w:szCs w:val="18"/>
                <w:color w:val="auto"/>
              </w:rPr>
              <w:t>Revenues from Services</w:t>
            </w: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200" w:type="dxa"/>
            <w:vAlign w:val="bottom"/>
          </w:tcPr>
          <w:p>
            <w:pPr>
              <w:jc w:val="right"/>
              <w:ind w:right="50"/>
              <w:spacing w:after="0" w:line="202" w:lineRule="exact"/>
              <w:rPr>
                <w:sz w:val="20"/>
                <w:szCs w:val="20"/>
                <w:color w:val="auto"/>
              </w:rPr>
            </w:pPr>
            <w:r>
              <w:rPr>
                <w:rFonts w:ascii="Arial" w:cs="Arial" w:eastAsia="Arial" w:hAnsi="Arial"/>
                <w:sz w:val="18"/>
                <w:szCs w:val="18"/>
                <w:color w:val="auto"/>
              </w:rPr>
              <w:t>3,643.0</w:t>
            </w: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3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3,793.5</w:t>
            </w:r>
          </w:p>
        </w:tc>
        <w:tc>
          <w:tcPr>
            <w:tcW w:w="2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240" w:type="dxa"/>
            <w:vAlign w:val="bottom"/>
          </w:tcPr>
          <w:p>
            <w:pPr>
              <w:jc w:val="right"/>
              <w:ind w:right="50"/>
              <w:spacing w:after="0" w:line="202" w:lineRule="exact"/>
              <w:rPr>
                <w:sz w:val="20"/>
                <w:szCs w:val="20"/>
                <w:color w:val="auto"/>
              </w:rPr>
            </w:pPr>
            <w:r>
              <w:rPr>
                <w:rFonts w:ascii="Arial" w:cs="Arial" w:eastAsia="Arial" w:hAnsi="Arial"/>
                <w:sz w:val="18"/>
                <w:szCs w:val="18"/>
                <w:color w:val="auto"/>
              </w:rPr>
              <w:t>4,189.6</w:t>
            </w: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280" w:type="dxa"/>
            <w:vAlign w:val="bottom"/>
          </w:tcPr>
          <w:p>
            <w:pPr>
              <w:jc w:val="right"/>
              <w:ind w:right="50"/>
              <w:spacing w:after="0" w:line="202" w:lineRule="exact"/>
              <w:rPr>
                <w:sz w:val="20"/>
                <w:szCs w:val="20"/>
                <w:color w:val="auto"/>
              </w:rPr>
            </w:pPr>
            <w:r>
              <w:rPr>
                <w:rFonts w:ascii="Arial" w:cs="Arial" w:eastAsia="Arial" w:hAnsi="Arial"/>
                <w:sz w:val="18"/>
                <w:szCs w:val="18"/>
                <w:color w:val="auto"/>
              </w:rPr>
              <w:t>4,412.6</w:t>
            </w:r>
          </w:p>
        </w:tc>
        <w:tc>
          <w:tcPr>
            <w:tcW w:w="40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16,038.7</w:t>
            </w:r>
          </w:p>
        </w:tc>
      </w:tr>
      <w:tr>
        <w:trPr>
          <w:trHeight w:val="197"/>
        </w:trPr>
        <w:tc>
          <w:tcPr>
            <w:tcW w:w="3620" w:type="dxa"/>
            <w:vAlign w:val="bottom"/>
            <w:gridSpan w:val="2"/>
          </w:tcPr>
          <w:p>
            <w:pPr>
              <w:spacing w:after="0" w:line="197" w:lineRule="exact"/>
              <w:rPr>
                <w:sz w:val="20"/>
                <w:szCs w:val="20"/>
                <w:color w:val="auto"/>
              </w:rPr>
            </w:pPr>
            <w:r>
              <w:rPr>
                <w:rFonts w:ascii="Arial" w:cs="Arial" w:eastAsia="Arial" w:hAnsi="Arial"/>
                <w:sz w:val="18"/>
                <w:szCs w:val="18"/>
                <w:color w:val="auto"/>
              </w:rPr>
              <w:t>Gross profit</w:t>
            </w:r>
          </w:p>
        </w:tc>
        <w:tc>
          <w:tcPr>
            <w:tcW w:w="580" w:type="dxa"/>
            <w:vAlign w:val="bottom"/>
          </w:tcPr>
          <w:p>
            <w:pPr>
              <w:spacing w:after="0"/>
              <w:rPr>
                <w:sz w:val="17"/>
                <w:szCs w:val="17"/>
                <w:color w:val="auto"/>
              </w:rPr>
            </w:pPr>
          </w:p>
        </w:tc>
        <w:tc>
          <w:tcPr>
            <w:tcW w:w="1200" w:type="dxa"/>
            <w:vAlign w:val="bottom"/>
          </w:tcPr>
          <w:p>
            <w:pPr>
              <w:jc w:val="right"/>
              <w:ind w:right="50"/>
              <w:spacing w:after="0" w:line="197" w:lineRule="exact"/>
              <w:rPr>
                <w:sz w:val="20"/>
                <w:szCs w:val="20"/>
                <w:color w:val="auto"/>
              </w:rPr>
            </w:pPr>
            <w:r>
              <w:rPr>
                <w:rFonts w:ascii="Arial" w:cs="Arial" w:eastAsia="Arial" w:hAnsi="Arial"/>
                <w:sz w:val="18"/>
                <w:szCs w:val="18"/>
                <w:color w:val="auto"/>
              </w:rPr>
              <w:t>665.7</w:t>
            </w:r>
          </w:p>
        </w:tc>
        <w:tc>
          <w:tcPr>
            <w:tcW w:w="180" w:type="dxa"/>
            <w:vAlign w:val="bottom"/>
          </w:tcPr>
          <w:p>
            <w:pPr>
              <w:spacing w:after="0"/>
              <w:rPr>
                <w:sz w:val="17"/>
                <w:szCs w:val="17"/>
                <w:color w:val="auto"/>
              </w:rPr>
            </w:pPr>
          </w:p>
        </w:tc>
        <w:tc>
          <w:tcPr>
            <w:tcW w:w="1340" w:type="dxa"/>
            <w:vAlign w:val="bottom"/>
          </w:tcPr>
          <w:p>
            <w:pPr>
              <w:jc w:val="right"/>
              <w:ind w:right="10"/>
              <w:spacing w:after="0" w:line="197" w:lineRule="exact"/>
              <w:rPr>
                <w:sz w:val="20"/>
                <w:szCs w:val="20"/>
                <w:color w:val="auto"/>
              </w:rPr>
            </w:pPr>
            <w:r>
              <w:rPr>
                <w:rFonts w:ascii="Arial" w:cs="Arial" w:eastAsia="Arial" w:hAnsi="Arial"/>
                <w:sz w:val="18"/>
                <w:szCs w:val="18"/>
                <w:color w:val="auto"/>
              </w:rPr>
              <w:t>692.3</w:t>
            </w:r>
          </w:p>
        </w:tc>
        <w:tc>
          <w:tcPr>
            <w:tcW w:w="260" w:type="dxa"/>
            <w:vAlign w:val="bottom"/>
          </w:tcPr>
          <w:p>
            <w:pPr>
              <w:spacing w:after="0"/>
              <w:rPr>
                <w:sz w:val="17"/>
                <w:szCs w:val="17"/>
                <w:color w:val="auto"/>
              </w:rPr>
            </w:pPr>
          </w:p>
        </w:tc>
        <w:tc>
          <w:tcPr>
            <w:tcW w:w="1240" w:type="dxa"/>
            <w:vAlign w:val="bottom"/>
          </w:tcPr>
          <w:p>
            <w:pPr>
              <w:jc w:val="right"/>
              <w:ind w:right="50"/>
              <w:spacing w:after="0" w:line="197" w:lineRule="exact"/>
              <w:rPr>
                <w:sz w:val="20"/>
                <w:szCs w:val="20"/>
                <w:color w:val="auto"/>
              </w:rPr>
            </w:pPr>
            <w:r>
              <w:rPr>
                <w:rFonts w:ascii="Arial" w:cs="Arial" w:eastAsia="Arial" w:hAnsi="Arial"/>
                <w:sz w:val="18"/>
                <w:szCs w:val="18"/>
                <w:color w:val="auto"/>
              </w:rPr>
              <w:t>704.1</w:t>
            </w:r>
          </w:p>
        </w:tc>
        <w:tc>
          <w:tcPr>
            <w:tcW w:w="180" w:type="dxa"/>
            <w:vAlign w:val="bottom"/>
          </w:tcPr>
          <w:p>
            <w:pPr>
              <w:spacing w:after="0"/>
              <w:rPr>
                <w:sz w:val="17"/>
                <w:szCs w:val="17"/>
                <w:color w:val="auto"/>
              </w:rPr>
            </w:pPr>
          </w:p>
        </w:tc>
        <w:tc>
          <w:tcPr>
            <w:tcW w:w="1280" w:type="dxa"/>
            <w:vAlign w:val="bottom"/>
          </w:tcPr>
          <w:p>
            <w:pPr>
              <w:jc w:val="right"/>
              <w:ind w:right="50"/>
              <w:spacing w:after="0" w:line="197" w:lineRule="exact"/>
              <w:rPr>
                <w:sz w:val="20"/>
                <w:szCs w:val="20"/>
                <w:color w:val="auto"/>
              </w:rPr>
            </w:pPr>
            <w:r>
              <w:rPr>
                <w:rFonts w:ascii="Arial" w:cs="Arial" w:eastAsia="Arial" w:hAnsi="Arial"/>
                <w:sz w:val="18"/>
                <w:szCs w:val="18"/>
                <w:color w:val="auto"/>
              </w:rPr>
              <w:t>756.1</w:t>
            </w:r>
          </w:p>
        </w:tc>
        <w:tc>
          <w:tcPr>
            <w:tcW w:w="400" w:type="dxa"/>
            <w:vAlign w:val="bottom"/>
          </w:tcPr>
          <w:p>
            <w:pPr>
              <w:spacing w:after="0"/>
              <w:rPr>
                <w:sz w:val="17"/>
                <w:szCs w:val="17"/>
                <w:color w:val="auto"/>
              </w:rPr>
            </w:pPr>
          </w:p>
        </w:tc>
        <w:tc>
          <w:tcPr>
            <w:tcW w:w="980" w:type="dxa"/>
            <w:vAlign w:val="bottom"/>
            <w:gridSpan w:val="2"/>
          </w:tcPr>
          <w:p>
            <w:pPr>
              <w:jc w:val="right"/>
              <w:ind w:right="60"/>
              <w:spacing w:after="0" w:line="197" w:lineRule="exact"/>
              <w:rPr>
                <w:sz w:val="20"/>
                <w:szCs w:val="20"/>
                <w:color w:val="auto"/>
              </w:rPr>
            </w:pPr>
            <w:r>
              <w:rPr>
                <w:rFonts w:ascii="Arial" w:cs="Arial" w:eastAsia="Arial" w:hAnsi="Arial"/>
                <w:sz w:val="18"/>
                <w:szCs w:val="18"/>
                <w:color w:val="auto"/>
              </w:rPr>
              <w:t>2,818.2</w:t>
            </w:r>
          </w:p>
        </w:tc>
      </w:tr>
      <w:tr>
        <w:trPr>
          <w:trHeight w:val="208"/>
        </w:trPr>
        <w:tc>
          <w:tcPr>
            <w:tcW w:w="3620" w:type="dxa"/>
            <w:vAlign w:val="bottom"/>
            <w:gridSpan w:val="2"/>
          </w:tcPr>
          <w:p>
            <w:pPr>
              <w:spacing w:after="0" w:line="207" w:lineRule="exact"/>
              <w:rPr>
                <w:sz w:val="20"/>
                <w:szCs w:val="20"/>
                <w:color w:val="auto"/>
              </w:rPr>
            </w:pPr>
            <w:r>
              <w:rPr>
                <w:rFonts w:ascii="Arial" w:cs="Arial" w:eastAsia="Arial" w:hAnsi="Arial"/>
                <w:sz w:val="17"/>
                <w:szCs w:val="17"/>
                <w:color w:val="auto"/>
              </w:rPr>
              <w:t>Operating profit (loss)</w:t>
            </w:r>
            <w:r>
              <w:rPr>
                <w:rFonts w:ascii="Arial" w:cs="Arial" w:eastAsia="Arial" w:hAnsi="Arial"/>
                <w:sz w:val="24"/>
                <w:szCs w:val="24"/>
                <w:color w:val="auto"/>
                <w:vertAlign w:val="superscript"/>
              </w:rPr>
              <w:t>(c)</w:t>
            </w:r>
          </w:p>
        </w:tc>
        <w:tc>
          <w:tcPr>
            <w:tcW w:w="580" w:type="dxa"/>
            <w:vAlign w:val="bottom"/>
          </w:tcPr>
          <w:p>
            <w:pPr>
              <w:spacing w:after="0"/>
              <w:rPr>
                <w:sz w:val="18"/>
                <w:szCs w:val="18"/>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1.4</w:t>
            </w:r>
          </w:p>
        </w:tc>
        <w:tc>
          <w:tcPr>
            <w:tcW w:w="180" w:type="dxa"/>
            <w:vAlign w:val="bottom"/>
          </w:tcPr>
          <w:p>
            <w:pPr>
              <w:spacing w:after="0"/>
              <w:rPr>
                <w:sz w:val="18"/>
                <w:szCs w:val="18"/>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19.0</w:t>
            </w: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(21.5)</w:t>
            </w:r>
          </w:p>
        </w:tc>
        <w:tc>
          <w:tcPr>
            <w:tcW w:w="180" w:type="dxa"/>
            <w:vAlign w:val="bottom"/>
          </w:tcPr>
          <w:p>
            <w:pPr>
              <w:spacing w:after="0"/>
              <w:rPr>
                <w:sz w:val="18"/>
                <w:szCs w:val="18"/>
                <w:color w:val="auto"/>
              </w:rPr>
            </w:pP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42.8</w:t>
            </w: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41.7</w:t>
            </w:r>
          </w:p>
        </w:tc>
        <w:tc>
          <w:tcPr>
            <w:tcW w:w="60" w:type="dxa"/>
            <w:vAlign w:val="bottom"/>
          </w:tcPr>
          <w:p>
            <w:pPr>
              <w:spacing w:after="0"/>
              <w:rPr>
                <w:sz w:val="18"/>
                <w:szCs w:val="18"/>
                <w:color w:val="auto"/>
              </w:rPr>
            </w:pPr>
          </w:p>
        </w:tc>
      </w:tr>
      <w:tr>
        <w:trPr>
          <w:trHeight w:val="203"/>
        </w:trPr>
        <w:tc>
          <w:tcPr>
            <w:tcW w:w="3620" w:type="dxa"/>
            <w:vAlign w:val="bottom"/>
            <w:gridSpan w:val="2"/>
          </w:tcPr>
          <w:p>
            <w:pPr>
              <w:spacing w:after="0" w:line="202" w:lineRule="exact"/>
              <w:rPr>
                <w:sz w:val="20"/>
                <w:szCs w:val="20"/>
                <w:color w:val="auto"/>
              </w:rPr>
            </w:pPr>
            <w:r>
              <w:rPr>
                <w:rFonts w:ascii="Arial" w:cs="Arial" w:eastAsia="Arial" w:hAnsi="Arial"/>
                <w:sz w:val="18"/>
                <w:szCs w:val="18"/>
                <w:color w:val="auto"/>
              </w:rPr>
              <w:t>Net (loss) earnings</w:t>
            </w:r>
          </w:p>
        </w:tc>
        <w:tc>
          <w:tcPr>
            <w:tcW w:w="58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(1.8)</w:t>
            </w:r>
          </w:p>
        </w:tc>
        <w:tc>
          <w:tcPr>
            <w:tcW w:w="180" w:type="dxa"/>
            <w:vAlign w:val="bottom"/>
          </w:tcPr>
          <w:p>
            <w:pPr>
              <w:spacing w:after="0"/>
              <w:rPr>
                <w:sz w:val="17"/>
                <w:szCs w:val="17"/>
                <w:color w:val="auto"/>
              </w:rPr>
            </w:pPr>
          </w:p>
        </w:tc>
        <w:tc>
          <w:tcPr>
            <w:tcW w:w="13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16.3</w:t>
            </w:r>
          </w:p>
        </w:tc>
        <w:tc>
          <w:tcPr>
            <w:tcW w:w="26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(52.8)</w:t>
            </w:r>
          </w:p>
        </w:tc>
        <w:tc>
          <w:tcPr>
            <w:tcW w:w="180" w:type="dxa"/>
            <w:vAlign w:val="bottom"/>
          </w:tcPr>
          <w:p>
            <w:pPr>
              <w:spacing w:after="0"/>
              <w:rPr>
                <w:sz w:val="17"/>
                <w:szCs w:val="17"/>
                <w:color w:val="auto"/>
              </w:rPr>
            </w:pPr>
          </w:p>
        </w:tc>
        <w:tc>
          <w:tcPr>
            <w:tcW w:w="1280" w:type="dxa"/>
            <w:vAlign w:val="bottom"/>
          </w:tcPr>
          <w:p>
            <w:pPr>
              <w:jc w:val="right"/>
              <w:ind w:right="50"/>
              <w:spacing w:after="0" w:line="202" w:lineRule="exact"/>
              <w:rPr>
                <w:sz w:val="20"/>
                <w:szCs w:val="20"/>
                <w:color w:val="auto"/>
              </w:rPr>
            </w:pPr>
            <w:r>
              <w:rPr>
                <w:rFonts w:ascii="Arial" w:cs="Arial" w:eastAsia="Arial" w:hAnsi="Arial"/>
                <w:sz w:val="18"/>
                <w:szCs w:val="18"/>
                <w:color w:val="auto"/>
              </w:rPr>
              <w:t>29.1</w:t>
            </w:r>
          </w:p>
        </w:tc>
        <w:tc>
          <w:tcPr>
            <w:tcW w:w="400" w:type="dxa"/>
            <w:vAlign w:val="bottom"/>
          </w:tcPr>
          <w:p>
            <w:pPr>
              <w:spacing w:after="0"/>
              <w:rPr>
                <w:sz w:val="17"/>
                <w:szCs w:val="17"/>
                <w:color w:val="auto"/>
              </w:rPr>
            </w:pPr>
          </w:p>
        </w:tc>
        <w:tc>
          <w:tcPr>
            <w:tcW w:w="9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(9.2)</w:t>
            </w:r>
          </w:p>
        </w:tc>
      </w:tr>
      <w:tr>
        <w:trPr>
          <w:trHeight w:val="197"/>
        </w:trPr>
        <w:tc>
          <w:tcPr>
            <w:tcW w:w="3620" w:type="dxa"/>
            <w:vAlign w:val="bottom"/>
            <w:gridSpan w:val="2"/>
          </w:tcPr>
          <w:p>
            <w:pPr>
              <w:spacing w:after="0" w:line="197" w:lineRule="exact"/>
              <w:rPr>
                <w:sz w:val="20"/>
                <w:szCs w:val="20"/>
                <w:color w:val="auto"/>
              </w:rPr>
            </w:pPr>
            <w:r>
              <w:rPr>
                <w:rFonts w:ascii="Arial" w:cs="Arial" w:eastAsia="Arial" w:hAnsi="Arial"/>
                <w:sz w:val="18"/>
                <w:szCs w:val="18"/>
                <w:color w:val="auto"/>
              </w:rPr>
              <w:t>Net (loss) earnings per share – basic</w:t>
            </w:r>
          </w:p>
        </w:tc>
        <w:tc>
          <w:tcPr>
            <w:tcW w:w="580" w:type="dxa"/>
            <w:vAlign w:val="bottom"/>
          </w:tcPr>
          <w:p>
            <w:pPr>
              <w:jc w:val="right"/>
              <w:spacing w:after="0" w:line="197" w:lineRule="exact"/>
              <w:rPr>
                <w:sz w:val="20"/>
                <w:szCs w:val="20"/>
                <w:color w:val="auto"/>
              </w:rPr>
            </w:pPr>
            <w:r>
              <w:rPr>
                <w:rFonts w:ascii="Arial" w:cs="Arial" w:eastAsia="Arial" w:hAnsi="Arial"/>
                <w:sz w:val="18"/>
                <w:szCs w:val="18"/>
                <w:color w:val="auto"/>
              </w:rPr>
              <w:t>$</w:t>
            </w:r>
          </w:p>
        </w:tc>
        <w:tc>
          <w:tcPr>
            <w:tcW w:w="1200" w:type="dxa"/>
            <w:vAlign w:val="bottom"/>
          </w:tcPr>
          <w:p>
            <w:pPr>
              <w:jc w:val="right"/>
              <w:spacing w:after="0" w:line="197" w:lineRule="exact"/>
              <w:rPr>
                <w:sz w:val="20"/>
                <w:szCs w:val="20"/>
                <w:color w:val="auto"/>
              </w:rPr>
            </w:pPr>
            <w:r>
              <w:rPr>
                <w:rFonts w:ascii="Arial" w:cs="Arial" w:eastAsia="Arial" w:hAnsi="Arial"/>
                <w:sz w:val="18"/>
                <w:szCs w:val="18"/>
                <w:color w:val="auto"/>
              </w:rPr>
              <w:t>(0.02)</w:t>
            </w:r>
          </w:p>
        </w:tc>
        <w:tc>
          <w:tcPr>
            <w:tcW w:w="180" w:type="dxa"/>
            <w:vAlign w:val="bottom"/>
          </w:tcPr>
          <w:p>
            <w:pPr>
              <w:jc w:val="right"/>
              <w:spacing w:after="0" w:line="197" w:lineRule="exact"/>
              <w:rPr>
                <w:sz w:val="20"/>
                <w:szCs w:val="20"/>
                <w:color w:val="auto"/>
              </w:rPr>
            </w:pPr>
            <w:r>
              <w:rPr>
                <w:rFonts w:ascii="Arial" w:cs="Arial" w:eastAsia="Arial" w:hAnsi="Arial"/>
                <w:sz w:val="18"/>
                <w:szCs w:val="18"/>
                <w:color w:val="auto"/>
              </w:rPr>
              <w:t>$</w:t>
            </w:r>
          </w:p>
        </w:tc>
        <w:tc>
          <w:tcPr>
            <w:tcW w:w="1340" w:type="dxa"/>
            <w:vAlign w:val="bottom"/>
          </w:tcPr>
          <w:p>
            <w:pPr>
              <w:jc w:val="right"/>
              <w:ind w:right="10"/>
              <w:spacing w:after="0" w:line="197" w:lineRule="exact"/>
              <w:rPr>
                <w:sz w:val="20"/>
                <w:szCs w:val="20"/>
                <w:color w:val="auto"/>
              </w:rPr>
            </w:pPr>
            <w:r>
              <w:rPr>
                <w:rFonts w:ascii="Arial" w:cs="Arial" w:eastAsia="Arial" w:hAnsi="Arial"/>
                <w:sz w:val="18"/>
                <w:szCs w:val="18"/>
                <w:color w:val="auto"/>
              </w:rPr>
              <w:t>0.21</w:t>
            </w:r>
          </w:p>
        </w:tc>
        <w:tc>
          <w:tcPr>
            <w:tcW w:w="260" w:type="dxa"/>
            <w:vAlign w:val="bottom"/>
          </w:tcPr>
          <w:p>
            <w:pPr>
              <w:jc w:val="right"/>
              <w:spacing w:after="0" w:line="197" w:lineRule="exact"/>
              <w:rPr>
                <w:sz w:val="20"/>
                <w:szCs w:val="20"/>
                <w:color w:val="auto"/>
              </w:rPr>
            </w:pPr>
            <w:r>
              <w:rPr>
                <w:rFonts w:ascii="Arial" w:cs="Arial" w:eastAsia="Arial" w:hAnsi="Arial"/>
                <w:sz w:val="18"/>
                <w:szCs w:val="18"/>
                <w:color w:val="auto"/>
              </w:rPr>
              <w:t>$</w:t>
            </w:r>
          </w:p>
        </w:tc>
        <w:tc>
          <w:tcPr>
            <w:tcW w:w="1240" w:type="dxa"/>
            <w:vAlign w:val="bottom"/>
          </w:tcPr>
          <w:p>
            <w:pPr>
              <w:jc w:val="right"/>
              <w:spacing w:after="0" w:line="197" w:lineRule="exact"/>
              <w:rPr>
                <w:sz w:val="20"/>
                <w:szCs w:val="20"/>
                <w:color w:val="auto"/>
              </w:rPr>
            </w:pPr>
            <w:r>
              <w:rPr>
                <w:rFonts w:ascii="Arial" w:cs="Arial" w:eastAsia="Arial" w:hAnsi="Arial"/>
                <w:sz w:val="18"/>
                <w:szCs w:val="18"/>
                <w:color w:val="auto"/>
              </w:rPr>
              <w:t>(0.67)</w:t>
            </w:r>
          </w:p>
        </w:tc>
        <w:tc>
          <w:tcPr>
            <w:tcW w:w="180" w:type="dxa"/>
            <w:vAlign w:val="bottom"/>
          </w:tcPr>
          <w:p>
            <w:pPr>
              <w:jc w:val="right"/>
              <w:spacing w:after="0" w:line="197" w:lineRule="exact"/>
              <w:rPr>
                <w:sz w:val="20"/>
                <w:szCs w:val="20"/>
                <w:color w:val="auto"/>
              </w:rPr>
            </w:pPr>
            <w:r>
              <w:rPr>
                <w:rFonts w:ascii="Arial" w:cs="Arial" w:eastAsia="Arial" w:hAnsi="Arial"/>
                <w:sz w:val="18"/>
                <w:szCs w:val="18"/>
                <w:color w:val="auto"/>
              </w:rPr>
              <w:t>$</w:t>
            </w:r>
          </w:p>
        </w:tc>
        <w:tc>
          <w:tcPr>
            <w:tcW w:w="1280" w:type="dxa"/>
            <w:vAlign w:val="bottom"/>
          </w:tcPr>
          <w:p>
            <w:pPr>
              <w:jc w:val="right"/>
              <w:ind w:right="50"/>
              <w:spacing w:after="0" w:line="197" w:lineRule="exact"/>
              <w:rPr>
                <w:sz w:val="20"/>
                <w:szCs w:val="20"/>
                <w:color w:val="auto"/>
              </w:rPr>
            </w:pPr>
            <w:r>
              <w:rPr>
                <w:rFonts w:ascii="Arial" w:cs="Arial" w:eastAsia="Arial" w:hAnsi="Arial"/>
                <w:sz w:val="18"/>
                <w:szCs w:val="18"/>
                <w:color w:val="auto"/>
              </w:rPr>
              <w:t>0.37</w:t>
            </w:r>
          </w:p>
        </w:tc>
        <w:tc>
          <w:tcPr>
            <w:tcW w:w="400" w:type="dxa"/>
            <w:vAlign w:val="bottom"/>
          </w:tcPr>
          <w:p>
            <w:pPr>
              <w:jc w:val="right"/>
              <w:ind w:right="130"/>
              <w:spacing w:after="0" w:line="197" w:lineRule="exact"/>
              <w:rPr>
                <w:sz w:val="20"/>
                <w:szCs w:val="20"/>
                <w:color w:val="auto"/>
              </w:rPr>
            </w:pPr>
            <w:r>
              <w:rPr>
                <w:rFonts w:ascii="Arial" w:cs="Arial" w:eastAsia="Arial" w:hAnsi="Arial"/>
                <w:sz w:val="18"/>
                <w:szCs w:val="18"/>
                <w:color w:val="auto"/>
              </w:rPr>
              <w:t>$</w:t>
            </w:r>
          </w:p>
        </w:tc>
        <w:tc>
          <w:tcPr>
            <w:tcW w:w="980" w:type="dxa"/>
            <w:vAlign w:val="bottom"/>
            <w:gridSpan w:val="2"/>
          </w:tcPr>
          <w:p>
            <w:pPr>
              <w:jc w:val="right"/>
              <w:spacing w:after="0" w:line="197" w:lineRule="exact"/>
              <w:rPr>
                <w:sz w:val="20"/>
                <w:szCs w:val="20"/>
                <w:color w:val="auto"/>
              </w:rPr>
            </w:pPr>
            <w:r>
              <w:rPr>
                <w:rFonts w:ascii="Arial" w:cs="Arial" w:eastAsia="Arial" w:hAnsi="Arial"/>
                <w:sz w:val="18"/>
                <w:szCs w:val="18"/>
                <w:color w:val="auto"/>
              </w:rPr>
              <w:t>(0.12)</w:t>
            </w:r>
          </w:p>
        </w:tc>
      </w:tr>
      <w:tr>
        <w:trPr>
          <w:trHeight w:val="208"/>
        </w:trPr>
        <w:tc>
          <w:tcPr>
            <w:tcW w:w="3620" w:type="dxa"/>
            <w:vAlign w:val="bottom"/>
            <w:gridSpan w:val="2"/>
          </w:tcPr>
          <w:p>
            <w:pPr>
              <w:spacing w:after="0" w:line="207" w:lineRule="exact"/>
              <w:rPr>
                <w:sz w:val="20"/>
                <w:szCs w:val="20"/>
                <w:color w:val="auto"/>
              </w:rPr>
            </w:pPr>
            <w:r>
              <w:rPr>
                <w:rFonts w:ascii="Arial" w:cs="Arial" w:eastAsia="Arial" w:hAnsi="Arial"/>
                <w:sz w:val="17"/>
                <w:szCs w:val="17"/>
                <w:color w:val="auto"/>
              </w:rPr>
              <w:t>Net (loss) earnings per share – diluted</w:t>
            </w:r>
            <w:r>
              <w:rPr>
                <w:rFonts w:ascii="Arial" w:cs="Arial" w:eastAsia="Arial" w:hAnsi="Arial"/>
                <w:sz w:val="24"/>
                <w:szCs w:val="24"/>
                <w:color w:val="auto"/>
                <w:vertAlign w:val="superscript"/>
              </w:rPr>
              <w:t>(d)</w:t>
            </w:r>
          </w:p>
        </w:tc>
        <w:tc>
          <w:tcPr>
            <w:tcW w:w="5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(0.02)</w:t>
            </w:r>
          </w:p>
        </w:tc>
        <w:tc>
          <w:tcPr>
            <w:tcW w:w="180" w:type="dxa"/>
            <w:vAlign w:val="bottom"/>
          </w:tcPr>
          <w:p>
            <w:pPr>
              <w:spacing w:after="0"/>
              <w:rPr>
                <w:sz w:val="18"/>
                <w:szCs w:val="18"/>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0.21</w:t>
            </w: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(0.67)</w:t>
            </w:r>
          </w:p>
        </w:tc>
        <w:tc>
          <w:tcPr>
            <w:tcW w:w="180" w:type="dxa"/>
            <w:vAlign w:val="bottom"/>
          </w:tcPr>
          <w:p>
            <w:pPr>
              <w:spacing w:after="0"/>
              <w:rPr>
                <w:sz w:val="18"/>
                <w:szCs w:val="18"/>
                <w:color w:val="auto"/>
              </w:rPr>
            </w:pP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0.37</w:t>
            </w:r>
          </w:p>
        </w:tc>
        <w:tc>
          <w:tcPr>
            <w:tcW w:w="40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(0.12)</w:t>
            </w:r>
          </w:p>
        </w:tc>
      </w:tr>
      <w:tr>
        <w:trPr>
          <w:trHeight w:val="203"/>
        </w:trPr>
        <w:tc>
          <w:tcPr>
            <w:tcW w:w="3620" w:type="dxa"/>
            <w:vAlign w:val="bottom"/>
            <w:gridSpan w:val="2"/>
          </w:tcPr>
          <w:p>
            <w:pPr>
              <w:spacing w:after="0" w:line="202" w:lineRule="exact"/>
              <w:rPr>
                <w:sz w:val="20"/>
                <w:szCs w:val="20"/>
                <w:color w:val="auto"/>
              </w:rPr>
            </w:pPr>
            <w:r>
              <w:rPr>
                <w:rFonts w:ascii="Arial" w:cs="Arial" w:eastAsia="Arial" w:hAnsi="Arial"/>
                <w:sz w:val="18"/>
                <w:szCs w:val="18"/>
                <w:color w:val="auto"/>
              </w:rPr>
              <w:t>Dividends per share</w:t>
            </w:r>
          </w:p>
        </w:tc>
        <w:tc>
          <w:tcPr>
            <w:tcW w:w="580" w:type="dxa"/>
            <w:vAlign w:val="bottom"/>
          </w:tcPr>
          <w:p>
            <w:pPr>
              <w:spacing w:after="0"/>
              <w:rPr>
                <w:sz w:val="17"/>
                <w:szCs w:val="17"/>
                <w:color w:val="auto"/>
              </w:rPr>
            </w:pPr>
          </w:p>
        </w:tc>
        <w:tc>
          <w:tcPr>
            <w:tcW w:w="1200" w:type="dxa"/>
            <w:vAlign w:val="bottom"/>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3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0.37</w:t>
            </w:r>
          </w:p>
        </w:tc>
        <w:tc>
          <w:tcPr>
            <w:tcW w:w="260" w:type="dxa"/>
            <w:vAlign w:val="bottom"/>
          </w:tcPr>
          <w:p>
            <w:pPr>
              <w:spacing w:after="0"/>
              <w:rPr>
                <w:sz w:val="17"/>
                <w:szCs w:val="17"/>
                <w:color w:val="auto"/>
              </w:rPr>
            </w:pPr>
          </w:p>
        </w:tc>
        <w:tc>
          <w:tcPr>
            <w:tcW w:w="1240" w:type="dxa"/>
            <w:vAlign w:val="bottom"/>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280" w:type="dxa"/>
            <w:vAlign w:val="bottom"/>
          </w:tcPr>
          <w:p>
            <w:pPr>
              <w:jc w:val="right"/>
              <w:ind w:right="50"/>
              <w:spacing w:after="0" w:line="202" w:lineRule="exact"/>
              <w:rPr>
                <w:sz w:val="20"/>
                <w:szCs w:val="20"/>
                <w:color w:val="auto"/>
              </w:rPr>
            </w:pPr>
            <w:r>
              <w:rPr>
                <w:rFonts w:ascii="Arial" w:cs="Arial" w:eastAsia="Arial" w:hAnsi="Arial"/>
                <w:sz w:val="18"/>
                <w:szCs w:val="18"/>
                <w:color w:val="auto"/>
              </w:rPr>
              <w:t>0.37</w:t>
            </w:r>
          </w:p>
        </w:tc>
        <w:tc>
          <w:tcPr>
            <w:tcW w:w="40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0.74</w:t>
            </w:r>
          </w:p>
        </w:tc>
        <w:tc>
          <w:tcPr>
            <w:tcW w:w="60" w:type="dxa"/>
            <w:vAlign w:val="bottom"/>
          </w:tcPr>
          <w:p>
            <w:pPr>
              <w:spacing w:after="0"/>
              <w:rPr>
                <w:sz w:val="17"/>
                <w:szCs w:val="17"/>
                <w:color w:val="auto"/>
              </w:rPr>
            </w:pPr>
          </w:p>
        </w:tc>
      </w:tr>
      <w:tr>
        <w:trPr>
          <w:trHeight w:val="203"/>
        </w:trPr>
        <w:tc>
          <w:tcPr>
            <w:tcW w:w="3620" w:type="dxa"/>
            <w:vAlign w:val="bottom"/>
            <w:gridSpan w:val="2"/>
          </w:tcPr>
          <w:p>
            <w:pPr>
              <w:spacing w:after="0" w:line="202" w:lineRule="exact"/>
              <w:rPr>
                <w:sz w:val="20"/>
                <w:szCs w:val="20"/>
                <w:color w:val="auto"/>
              </w:rPr>
            </w:pPr>
            <w:r>
              <w:rPr>
                <w:rFonts w:ascii="Arial" w:cs="Arial" w:eastAsia="Arial" w:hAnsi="Arial"/>
                <w:sz w:val="18"/>
                <w:szCs w:val="18"/>
                <w:color w:val="auto"/>
              </w:rPr>
              <w:t>Market price:</w:t>
            </w:r>
          </w:p>
        </w:tc>
        <w:tc>
          <w:tcPr>
            <w:tcW w:w="5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600" w:type="dxa"/>
            <w:vAlign w:val="bottom"/>
          </w:tcPr>
          <w:p>
            <w:pPr>
              <w:ind w:left="260"/>
              <w:spacing w:after="0" w:line="202" w:lineRule="exact"/>
              <w:rPr>
                <w:sz w:val="20"/>
                <w:szCs w:val="20"/>
                <w:color w:val="auto"/>
              </w:rPr>
            </w:pPr>
            <w:r>
              <w:rPr>
                <w:rFonts w:ascii="Arial" w:cs="Arial" w:eastAsia="Arial" w:hAnsi="Arial"/>
                <w:sz w:val="18"/>
                <w:szCs w:val="18"/>
                <w:color w:val="auto"/>
              </w:rPr>
              <w:t>High</w:t>
            </w: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200" w:type="dxa"/>
            <w:vAlign w:val="bottom"/>
          </w:tcPr>
          <w:p>
            <w:pPr>
              <w:jc w:val="right"/>
              <w:ind w:right="50"/>
              <w:spacing w:after="0" w:line="202" w:lineRule="exact"/>
              <w:rPr>
                <w:sz w:val="20"/>
                <w:szCs w:val="20"/>
                <w:color w:val="auto"/>
              </w:rPr>
            </w:pPr>
            <w:r>
              <w:rPr>
                <w:rFonts w:ascii="Arial" w:cs="Arial" w:eastAsia="Arial" w:hAnsi="Arial"/>
                <w:sz w:val="18"/>
                <w:szCs w:val="18"/>
                <w:color w:val="auto"/>
              </w:rPr>
              <w:t>35.73</w:t>
            </w: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3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45.73</w:t>
            </w:r>
          </w:p>
        </w:tc>
        <w:tc>
          <w:tcPr>
            <w:tcW w:w="2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240" w:type="dxa"/>
            <w:vAlign w:val="bottom"/>
          </w:tcPr>
          <w:p>
            <w:pPr>
              <w:jc w:val="right"/>
              <w:ind w:right="50"/>
              <w:spacing w:after="0" w:line="202" w:lineRule="exact"/>
              <w:rPr>
                <w:sz w:val="20"/>
                <w:szCs w:val="20"/>
                <w:color w:val="auto"/>
              </w:rPr>
            </w:pPr>
            <w:r>
              <w:rPr>
                <w:rFonts w:ascii="Arial" w:cs="Arial" w:eastAsia="Arial" w:hAnsi="Arial"/>
                <w:sz w:val="18"/>
                <w:szCs w:val="18"/>
                <w:color w:val="auto"/>
              </w:rPr>
              <w:t>58.03</w:t>
            </w: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280" w:type="dxa"/>
            <w:vAlign w:val="bottom"/>
          </w:tcPr>
          <w:p>
            <w:pPr>
              <w:jc w:val="right"/>
              <w:ind w:right="50"/>
              <w:spacing w:after="0" w:line="202" w:lineRule="exact"/>
              <w:rPr>
                <w:sz w:val="20"/>
                <w:szCs w:val="20"/>
                <w:color w:val="auto"/>
              </w:rPr>
            </w:pPr>
            <w:r>
              <w:rPr>
                <w:rFonts w:ascii="Arial" w:cs="Arial" w:eastAsia="Arial" w:hAnsi="Arial"/>
                <w:sz w:val="18"/>
                <w:szCs w:val="18"/>
                <w:color w:val="auto"/>
              </w:rPr>
              <w:t>61.48</w:t>
            </w:r>
          </w:p>
        </w:tc>
        <w:tc>
          <w:tcPr>
            <w:tcW w:w="4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3600" w:type="dxa"/>
            <w:vAlign w:val="bottom"/>
            <w:tcBorders>
              <w:bottom w:val="single" w:sz="8" w:color="939598"/>
            </w:tcBorders>
          </w:tcPr>
          <w:p>
            <w:pPr>
              <w:ind w:left="260"/>
              <w:spacing w:after="0" w:line="203" w:lineRule="exact"/>
              <w:rPr>
                <w:sz w:val="20"/>
                <w:szCs w:val="20"/>
                <w:color w:val="auto"/>
              </w:rPr>
            </w:pPr>
            <w:r>
              <w:rPr>
                <w:rFonts w:ascii="Arial" w:cs="Arial" w:eastAsia="Arial" w:hAnsi="Arial"/>
                <w:sz w:val="18"/>
                <w:szCs w:val="18"/>
                <w:color w:val="auto"/>
              </w:rPr>
              <w:t>Low</w:t>
            </w:r>
          </w:p>
        </w:tc>
        <w:tc>
          <w:tcPr>
            <w:tcW w:w="580" w:type="dxa"/>
            <w:vAlign w:val="bottom"/>
            <w:tcBorders>
              <w:bottom w:val="single" w:sz="8" w:color="939598"/>
            </w:tcBorders>
          </w:tcPr>
          <w:p>
            <w:pPr>
              <w:spacing w:after="0"/>
              <w:rPr>
                <w:sz w:val="18"/>
                <w:szCs w:val="18"/>
                <w:color w:val="auto"/>
              </w:rPr>
            </w:pPr>
          </w:p>
        </w:tc>
        <w:tc>
          <w:tcPr>
            <w:tcW w:w="1200" w:type="dxa"/>
            <w:vAlign w:val="bottom"/>
            <w:tcBorders>
              <w:bottom w:val="single" w:sz="8" w:color="939598"/>
            </w:tcBorders>
          </w:tcPr>
          <w:p>
            <w:pPr>
              <w:jc w:val="right"/>
              <w:ind w:right="50"/>
              <w:spacing w:after="0" w:line="203" w:lineRule="exact"/>
              <w:rPr>
                <w:sz w:val="20"/>
                <w:szCs w:val="20"/>
                <w:color w:val="auto"/>
              </w:rPr>
            </w:pPr>
            <w:r>
              <w:rPr>
                <w:rFonts w:ascii="Arial" w:cs="Arial" w:eastAsia="Arial" w:hAnsi="Arial"/>
                <w:sz w:val="18"/>
                <w:szCs w:val="18"/>
                <w:color w:val="auto"/>
              </w:rPr>
              <w:t>23.75</w:t>
            </w:r>
          </w:p>
        </w:tc>
        <w:tc>
          <w:tcPr>
            <w:tcW w:w="180" w:type="dxa"/>
            <w:vAlign w:val="bottom"/>
            <w:tcBorders>
              <w:bottom w:val="single" w:sz="8" w:color="939598"/>
            </w:tcBorders>
          </w:tcPr>
          <w:p>
            <w:pPr>
              <w:spacing w:after="0"/>
              <w:rPr>
                <w:sz w:val="18"/>
                <w:szCs w:val="18"/>
                <w:color w:val="auto"/>
              </w:rPr>
            </w:pPr>
          </w:p>
        </w:tc>
        <w:tc>
          <w:tcPr>
            <w:tcW w:w="1340" w:type="dxa"/>
            <w:vAlign w:val="bottom"/>
            <w:tcBorders>
              <w:bottom w:val="single" w:sz="8" w:color="939598"/>
            </w:tcBorders>
          </w:tcPr>
          <w:p>
            <w:pPr>
              <w:jc w:val="right"/>
              <w:ind w:right="10"/>
              <w:spacing w:after="0" w:line="203" w:lineRule="exact"/>
              <w:rPr>
                <w:sz w:val="20"/>
                <w:szCs w:val="20"/>
                <w:color w:val="auto"/>
              </w:rPr>
            </w:pPr>
            <w:r>
              <w:rPr>
                <w:rFonts w:ascii="Arial" w:cs="Arial" w:eastAsia="Arial" w:hAnsi="Arial"/>
                <w:sz w:val="18"/>
                <w:szCs w:val="18"/>
                <w:color w:val="auto"/>
              </w:rPr>
              <w:t>32.53</w:t>
            </w:r>
          </w:p>
        </w:tc>
        <w:tc>
          <w:tcPr>
            <w:tcW w:w="260" w:type="dxa"/>
            <w:vAlign w:val="bottom"/>
            <w:tcBorders>
              <w:bottom w:val="single" w:sz="8" w:color="939598"/>
            </w:tcBorders>
          </w:tcPr>
          <w:p>
            <w:pPr>
              <w:spacing w:after="0"/>
              <w:rPr>
                <w:sz w:val="18"/>
                <w:szCs w:val="18"/>
                <w:color w:val="auto"/>
              </w:rPr>
            </w:pPr>
          </w:p>
        </w:tc>
        <w:tc>
          <w:tcPr>
            <w:tcW w:w="1240" w:type="dxa"/>
            <w:vAlign w:val="bottom"/>
            <w:tcBorders>
              <w:bottom w:val="single" w:sz="8" w:color="939598"/>
            </w:tcBorders>
          </w:tcPr>
          <w:p>
            <w:pPr>
              <w:jc w:val="right"/>
              <w:ind w:right="50"/>
              <w:spacing w:after="0" w:line="203" w:lineRule="exact"/>
              <w:rPr>
                <w:sz w:val="20"/>
                <w:szCs w:val="20"/>
                <w:color w:val="auto"/>
              </w:rPr>
            </w:pPr>
            <w:r>
              <w:rPr>
                <w:rFonts w:ascii="Arial" w:cs="Arial" w:eastAsia="Arial" w:hAnsi="Arial"/>
                <w:sz w:val="18"/>
                <w:szCs w:val="18"/>
                <w:color w:val="auto"/>
              </w:rPr>
              <w:t>38.54</w:t>
            </w:r>
          </w:p>
        </w:tc>
        <w:tc>
          <w:tcPr>
            <w:tcW w:w="180" w:type="dxa"/>
            <w:vAlign w:val="bottom"/>
            <w:tcBorders>
              <w:bottom w:val="single" w:sz="8" w:color="939598"/>
            </w:tcBorders>
          </w:tcPr>
          <w:p>
            <w:pPr>
              <w:spacing w:after="0"/>
              <w:rPr>
                <w:sz w:val="18"/>
                <w:szCs w:val="18"/>
                <w:color w:val="auto"/>
              </w:rPr>
            </w:pPr>
          </w:p>
        </w:tc>
        <w:tc>
          <w:tcPr>
            <w:tcW w:w="1280" w:type="dxa"/>
            <w:vAlign w:val="bottom"/>
            <w:tcBorders>
              <w:bottom w:val="single" w:sz="8" w:color="939598"/>
            </w:tcBorders>
          </w:tcPr>
          <w:p>
            <w:pPr>
              <w:jc w:val="right"/>
              <w:ind w:right="50"/>
              <w:spacing w:after="0" w:line="203" w:lineRule="exact"/>
              <w:rPr>
                <w:sz w:val="20"/>
                <w:szCs w:val="20"/>
                <w:color w:val="auto"/>
              </w:rPr>
            </w:pPr>
            <w:r>
              <w:rPr>
                <w:rFonts w:ascii="Arial" w:cs="Arial" w:eastAsia="Arial" w:hAnsi="Arial"/>
                <w:sz w:val="18"/>
                <w:szCs w:val="18"/>
                <w:color w:val="auto"/>
              </w:rPr>
              <w:t>46.71</w:t>
            </w:r>
          </w:p>
        </w:tc>
        <w:tc>
          <w:tcPr>
            <w:tcW w:w="400" w:type="dxa"/>
            <w:vAlign w:val="bottom"/>
            <w:tcBorders>
              <w:bottom w:val="single" w:sz="8" w:color="939598"/>
            </w:tcBorders>
          </w:tcPr>
          <w:p>
            <w:pPr>
              <w:spacing w:after="0"/>
              <w:rPr>
                <w:sz w:val="18"/>
                <w:szCs w:val="18"/>
                <w:color w:val="auto"/>
              </w:rPr>
            </w:pPr>
          </w:p>
        </w:tc>
        <w:tc>
          <w:tcPr>
            <w:tcW w:w="920" w:type="dxa"/>
            <w:vAlign w:val="bottom"/>
            <w:tcBorders>
              <w:bottom w:val="single" w:sz="8" w:color="939598"/>
            </w:tcBorders>
          </w:tcPr>
          <w:p>
            <w:pPr>
              <w:spacing w:after="0"/>
              <w:rPr>
                <w:sz w:val="18"/>
                <w:szCs w:val="18"/>
                <w:color w:val="auto"/>
              </w:rPr>
            </w:pPr>
          </w:p>
        </w:tc>
        <w:tc>
          <w:tcPr>
            <w:tcW w:w="60" w:type="dxa"/>
            <w:vAlign w:val="bottom"/>
          </w:tcPr>
          <w:p>
            <w:pPr>
              <w:spacing w:after="0"/>
              <w:rPr>
                <w:sz w:val="18"/>
                <w:szCs w:val="18"/>
                <w:color w:val="auto"/>
              </w:rPr>
            </w:pPr>
          </w:p>
        </w:tc>
      </w:tr>
    </w:tbl>
    <w:p>
      <w:pPr>
        <w:spacing w:after="0" w:line="204" w:lineRule="exact"/>
        <w:rPr>
          <w:sz w:val="20"/>
          <w:szCs w:val="20"/>
          <w:color w:val="auto"/>
        </w:rPr>
      </w:pPr>
    </w:p>
    <w:p>
      <w:pPr>
        <w:jc w:val="both"/>
        <w:ind w:left="220" w:right="140" w:hanging="215"/>
        <w:spacing w:after="0" w:line="246" w:lineRule="auto"/>
        <w:rPr>
          <w:sz w:val="20"/>
          <w:szCs w:val="20"/>
          <w:color w:val="auto"/>
        </w:rPr>
      </w:pPr>
      <w:r>
        <w:rPr>
          <w:rFonts w:ascii="Arial" w:cs="Arial" w:eastAsia="Arial" w:hAnsi="Arial"/>
          <w:sz w:val="16"/>
          <w:szCs w:val="16"/>
          <w:color w:val="auto"/>
        </w:rPr>
        <w:t>(a)Includes a $428.8 impairment charge recorded in the fourth quarter, and reorganization charges of $1.3, $1.2, $5.6 and $28.0 recorded in the first, second, third and fourth quarters, respectively.</w:t>
      </w:r>
    </w:p>
    <w:p>
      <w:pPr>
        <w:spacing w:after="0" w:line="1" w:lineRule="exact"/>
        <w:rPr>
          <w:sz w:val="20"/>
          <w:szCs w:val="20"/>
          <w:color w:val="auto"/>
        </w:rPr>
      </w:pPr>
    </w:p>
    <w:p>
      <w:pPr>
        <w:ind w:left="220" w:right="260" w:hanging="215"/>
        <w:spacing w:after="0" w:line="246" w:lineRule="auto"/>
        <w:rPr>
          <w:sz w:val="20"/>
          <w:szCs w:val="20"/>
          <w:color w:val="auto"/>
        </w:rPr>
      </w:pPr>
      <w:r>
        <w:rPr>
          <w:rFonts w:ascii="Arial" w:cs="Arial" w:eastAsia="Arial" w:hAnsi="Arial"/>
          <w:sz w:val="16"/>
          <w:szCs w:val="16"/>
          <w:color w:val="auto"/>
        </w:rPr>
        <w:t>(b)The fourth quarter includes ($4.70) per share related to the impairment charge, Also included in the results are reorganization costs of ($0.01) per diluted share in the first and second quarters, ($0.05) per diluted share in the third quarter and ($0.23) per diluted share in the fourth quarter.</w:t>
      </w:r>
    </w:p>
    <w:p>
      <w:pPr>
        <w:spacing w:after="0" w:line="1" w:lineRule="exact"/>
        <w:rPr>
          <w:sz w:val="20"/>
          <w:szCs w:val="20"/>
          <w:color w:val="auto"/>
        </w:rPr>
      </w:pPr>
    </w:p>
    <w:p>
      <w:pPr>
        <w:ind w:left="220" w:right="240" w:hanging="215"/>
        <w:spacing w:after="0" w:line="246" w:lineRule="auto"/>
        <w:rPr>
          <w:sz w:val="20"/>
          <w:szCs w:val="20"/>
          <w:color w:val="auto"/>
        </w:rPr>
      </w:pPr>
      <w:r>
        <w:rPr>
          <w:rFonts w:ascii="Arial" w:cs="Arial" w:eastAsia="Arial" w:hAnsi="Arial"/>
          <w:sz w:val="16"/>
          <w:szCs w:val="16"/>
          <w:color w:val="auto"/>
        </w:rPr>
        <w:t>(c) Includes a $61.0 impairment charge recorded in the third quarter, and reorganization charges of $6.9, $13.0, $0.9 and $12.7 recorded in the first, second, third and fourth quarters, respectively.</w:t>
      </w:r>
    </w:p>
    <w:p>
      <w:pPr>
        <w:spacing w:after="0" w:line="1" w:lineRule="exact"/>
        <w:rPr>
          <w:sz w:val="20"/>
          <w:szCs w:val="20"/>
          <w:color w:val="auto"/>
        </w:rPr>
      </w:pPr>
    </w:p>
    <w:p>
      <w:pPr>
        <w:ind w:left="220" w:right="20" w:hanging="215"/>
        <w:spacing w:after="0" w:line="245" w:lineRule="auto"/>
        <w:rPr>
          <w:sz w:val="20"/>
          <w:szCs w:val="20"/>
          <w:color w:val="auto"/>
        </w:rPr>
      </w:pPr>
      <w:r>
        <w:rPr>
          <w:rFonts w:ascii="Arial" w:cs="Arial" w:eastAsia="Arial" w:hAnsi="Arial"/>
          <w:sz w:val="16"/>
          <w:szCs w:val="16"/>
          <w:color w:val="auto"/>
        </w:rPr>
        <w:t>(d)The third quarter includes ($0.78) per share related to the impairment charge, ($0.07) per share for the loss on the sale of an equity investment and ($0.06) per share related to the extinguishment of our interest rate swap agreements and revolving credit facility. Also included in the results are reorganization costs of ($0.06) per diluted share in the first quarter, ($0.11) per diluted share in the second quarter, ($0.01) per diluted share in the third quarter and ($0.11) per diluted share in the fourth quarter.</w:t>
      </w:r>
    </w:p>
    <w:p>
      <w:pPr>
        <w:spacing w:after="0" w:line="2" w:lineRule="exact"/>
        <w:rPr>
          <w:sz w:val="20"/>
          <w:szCs w:val="20"/>
          <w:color w:val="auto"/>
        </w:rPr>
      </w:pPr>
    </w:p>
    <w:p>
      <w:pPr>
        <w:ind w:left="5580"/>
        <w:spacing w:after="0"/>
        <w:rPr>
          <w:sz w:val="20"/>
          <w:szCs w:val="20"/>
          <w:color w:val="auto"/>
        </w:rPr>
      </w:pPr>
      <w:r>
        <w:rPr>
          <w:rFonts w:ascii="Arial" w:cs="Arial" w:eastAsia="Arial" w:hAnsi="Arial"/>
          <w:sz w:val="18"/>
          <w:szCs w:val="18"/>
          <w:color w:val="4D8ABE"/>
        </w:rPr>
        <w:t>****</w:t>
      </w:r>
    </w:p>
    <w:p>
      <w:pPr>
        <w:spacing w:after="0" w:line="194"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939598"/>
        </w:rPr>
        <w:t xml:space="preserve">Notes to Consolidated Financial Statements </w:t>
      </w:r>
      <w:r>
        <w:rPr>
          <w:rFonts w:ascii="Arial" w:cs="Arial" w:eastAsia="Arial" w:hAnsi="Arial"/>
          <w:sz w:val="16"/>
          <w:szCs w:val="16"/>
          <w:color w:val="4D8ABE"/>
        </w:rPr>
        <w:t>Manpower 2010 Annual Report</w:t>
      </w:r>
      <w:r>
        <w:rPr>
          <w:rFonts w:ascii="Arial" w:cs="Arial" w:eastAsia="Arial" w:hAnsi="Arial"/>
          <w:sz w:val="16"/>
          <w:szCs w:val="16"/>
          <w:b w:val="1"/>
          <w:bCs w:val="1"/>
          <w:color w:val="939598"/>
        </w:rPr>
        <w:t xml:space="preserve"> </w:t>
      </w:r>
      <w:r>
        <w:rPr>
          <w:rFonts w:ascii="Arial" w:cs="Arial" w:eastAsia="Arial" w:hAnsi="Arial"/>
          <w:sz w:val="16"/>
          <w:szCs w:val="16"/>
          <w:b w:val="1"/>
          <w:bCs w:val="1"/>
          <w:color w:val="4D8ABE"/>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72390</wp:posOffset>
            </wp:positionV>
            <wp:extent cx="7267575" cy="469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ectPr>
          <w:pgSz w:w="11900" w:h="16838" w:orient="portrait"/>
          <w:cols w:equalWidth="0" w:num="1">
            <w:col w:w="11420"/>
          </w:cols>
          <w:pgMar w:left="240" w:top="352" w:right="239" w:bottom="1440" w:gutter="0" w:footer="0" w:header="0"/>
        </w:sectPr>
      </w:pPr>
    </w:p>
    <w:bookmarkStart w:id="108" w:name="page109"/>
    <w:bookmarkEnd w:id="108"/>
    <w:p>
      <w:pPr>
        <w:spacing w:after="0"/>
        <w:rPr>
          <w:sz w:val="20"/>
          <w:szCs w:val="20"/>
          <w:color w:val="auto"/>
        </w:rPr>
      </w:pPr>
      <w:r>
        <w:rPr>
          <w:rFonts w:ascii="Arial" w:cs="Arial" w:eastAsia="Arial" w:hAnsi="Arial"/>
          <w:sz w:val="22"/>
          <w:szCs w:val="22"/>
          <w:color w:val="4D8ABE"/>
        </w:rPr>
        <w:t>Selected Financial Data</w:t>
      </w:r>
    </w:p>
    <w:p>
      <w:pPr>
        <w:spacing w:after="0"/>
        <w:rPr>
          <w:sz w:val="20"/>
          <w:szCs w:val="20"/>
          <w:color w:val="auto"/>
        </w:rPr>
      </w:pPr>
      <w:r>
        <w:rPr>
          <w:rFonts w:ascii="Arial" w:cs="Arial" w:eastAsia="Arial" w:hAnsi="Arial"/>
          <w:sz w:val="18"/>
          <w:szCs w:val="18"/>
          <w:color w:val="4D8ABE"/>
        </w:rPr>
        <w:t>in millions, except per share data</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820" w:type="dxa"/>
            <w:vAlign w:val="bottom"/>
            <w:gridSpan w:val="2"/>
          </w:tcPr>
          <w:p>
            <w:pPr>
              <w:spacing w:after="0"/>
              <w:rPr>
                <w:sz w:val="20"/>
                <w:szCs w:val="20"/>
                <w:color w:val="auto"/>
              </w:rPr>
            </w:pPr>
            <w:r>
              <w:rPr>
                <w:rFonts w:ascii="Arial" w:cs="Arial" w:eastAsia="Arial" w:hAnsi="Arial"/>
                <w:sz w:val="16"/>
                <w:szCs w:val="16"/>
                <w:b w:val="1"/>
                <w:bCs w:val="1"/>
                <w:color w:val="86B6A5"/>
              </w:rPr>
              <w:t>As Of And For The Year Ended December 31</w:t>
            </w:r>
          </w:p>
        </w:tc>
        <w:tc>
          <w:tcPr>
            <w:tcW w:w="100" w:type="dxa"/>
            <w:vAlign w:val="bottom"/>
            <w:shd w:val="clear" w:color="auto" w:fill="86B6A5"/>
          </w:tcPr>
          <w:p>
            <w:pPr>
              <w:spacing w:after="0"/>
              <w:rPr>
                <w:sz w:val="18"/>
                <w:szCs w:val="18"/>
                <w:color w:val="auto"/>
              </w:rPr>
            </w:pPr>
          </w:p>
        </w:tc>
        <w:tc>
          <w:tcPr>
            <w:tcW w:w="1020" w:type="dxa"/>
            <w:vAlign w:val="bottom"/>
            <w:shd w:val="clear" w:color="auto" w:fill="86B6A5"/>
          </w:tcPr>
          <w:p>
            <w:pPr>
              <w:jc w:val="right"/>
              <w:ind w:right="131"/>
              <w:spacing w:after="0"/>
              <w:rPr>
                <w:sz w:val="20"/>
                <w:szCs w:val="20"/>
                <w:color w:val="auto"/>
              </w:rPr>
            </w:pPr>
            <w:r>
              <w:rPr>
                <w:rFonts w:ascii="Arial" w:cs="Arial" w:eastAsia="Arial" w:hAnsi="Arial"/>
                <w:sz w:val="16"/>
                <w:szCs w:val="16"/>
                <w:b w:val="1"/>
                <w:bCs w:val="1"/>
                <w:color w:val="FFFFFF"/>
              </w:rPr>
              <w:t>2010</w:t>
            </w:r>
          </w:p>
        </w:tc>
        <w:tc>
          <w:tcPr>
            <w:tcW w:w="140" w:type="dxa"/>
            <w:vAlign w:val="bottom"/>
          </w:tcPr>
          <w:p>
            <w:pPr>
              <w:spacing w:after="0"/>
              <w:rPr>
                <w:sz w:val="18"/>
                <w:szCs w:val="18"/>
                <w:color w:val="auto"/>
              </w:rPr>
            </w:pPr>
          </w:p>
        </w:tc>
        <w:tc>
          <w:tcPr>
            <w:tcW w:w="900" w:type="dxa"/>
            <w:vAlign w:val="bottom"/>
          </w:tcPr>
          <w:p>
            <w:pPr>
              <w:jc w:val="right"/>
              <w:ind w:right="51"/>
              <w:spacing w:after="0"/>
              <w:rPr>
                <w:sz w:val="20"/>
                <w:szCs w:val="20"/>
                <w:color w:val="auto"/>
              </w:rPr>
            </w:pPr>
            <w:r>
              <w:rPr>
                <w:rFonts w:ascii="Arial" w:cs="Arial" w:eastAsia="Arial" w:hAnsi="Arial"/>
                <w:sz w:val="16"/>
                <w:szCs w:val="16"/>
                <w:b w:val="1"/>
                <w:bCs w:val="1"/>
                <w:color w:val="86B6A5"/>
              </w:rPr>
              <w:t>2009</w:t>
            </w:r>
          </w:p>
        </w:tc>
        <w:tc>
          <w:tcPr>
            <w:tcW w:w="220" w:type="dxa"/>
            <w:vAlign w:val="bottom"/>
          </w:tcPr>
          <w:p>
            <w:pPr>
              <w:spacing w:after="0"/>
              <w:rPr>
                <w:sz w:val="18"/>
                <w:szCs w:val="18"/>
                <w:color w:val="auto"/>
              </w:rPr>
            </w:pPr>
          </w:p>
        </w:tc>
        <w:tc>
          <w:tcPr>
            <w:tcW w:w="880" w:type="dxa"/>
            <w:vAlign w:val="bottom"/>
          </w:tcPr>
          <w:p>
            <w:pPr>
              <w:jc w:val="right"/>
              <w:ind w:right="31"/>
              <w:spacing w:after="0"/>
              <w:rPr>
                <w:sz w:val="20"/>
                <w:szCs w:val="20"/>
                <w:color w:val="auto"/>
              </w:rPr>
            </w:pPr>
            <w:r>
              <w:rPr>
                <w:rFonts w:ascii="Arial" w:cs="Arial" w:eastAsia="Arial" w:hAnsi="Arial"/>
                <w:sz w:val="16"/>
                <w:szCs w:val="16"/>
                <w:b w:val="1"/>
                <w:bCs w:val="1"/>
                <w:color w:val="86B6A5"/>
              </w:rPr>
              <w:t>2008</w:t>
            </w:r>
          </w:p>
        </w:tc>
        <w:tc>
          <w:tcPr>
            <w:tcW w:w="260" w:type="dxa"/>
            <w:vAlign w:val="bottom"/>
          </w:tcPr>
          <w:p>
            <w:pPr>
              <w:spacing w:after="0"/>
              <w:rPr>
                <w:sz w:val="18"/>
                <w:szCs w:val="18"/>
                <w:color w:val="auto"/>
              </w:rPr>
            </w:pPr>
          </w:p>
        </w:tc>
        <w:tc>
          <w:tcPr>
            <w:tcW w:w="860" w:type="dxa"/>
            <w:vAlign w:val="bottom"/>
          </w:tcPr>
          <w:p>
            <w:pPr>
              <w:jc w:val="right"/>
              <w:ind w:right="31"/>
              <w:spacing w:after="0"/>
              <w:rPr>
                <w:sz w:val="20"/>
                <w:szCs w:val="20"/>
                <w:color w:val="auto"/>
              </w:rPr>
            </w:pPr>
            <w:r>
              <w:rPr>
                <w:rFonts w:ascii="Arial" w:cs="Arial" w:eastAsia="Arial" w:hAnsi="Arial"/>
                <w:sz w:val="16"/>
                <w:szCs w:val="16"/>
                <w:b w:val="1"/>
                <w:bCs w:val="1"/>
                <w:color w:val="86B6A5"/>
              </w:rPr>
              <w:t>2007</w:t>
            </w: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86B6A5"/>
              </w:rPr>
              <w:t>2006</w:t>
            </w:r>
          </w:p>
        </w:tc>
      </w:tr>
      <w:tr>
        <w:trPr>
          <w:trHeight w:val="202"/>
        </w:trPr>
        <w:tc>
          <w:tcPr>
            <w:tcW w:w="20" w:type="dxa"/>
            <w:vAlign w:val="bottom"/>
          </w:tcPr>
          <w:p>
            <w:pPr>
              <w:spacing w:after="0"/>
              <w:rPr>
                <w:sz w:val="17"/>
                <w:szCs w:val="17"/>
                <w:color w:val="auto"/>
              </w:rPr>
            </w:pPr>
          </w:p>
        </w:tc>
        <w:tc>
          <w:tcPr>
            <w:tcW w:w="5800" w:type="dxa"/>
            <w:vAlign w:val="bottom"/>
            <w:tcBorders>
              <w:top w:val="single" w:sz="8" w:color="86B6A5"/>
            </w:tcBorders>
          </w:tcPr>
          <w:p>
            <w:pPr>
              <w:spacing w:after="0" w:line="201" w:lineRule="exact"/>
              <w:rPr>
                <w:sz w:val="20"/>
                <w:szCs w:val="20"/>
                <w:color w:val="auto"/>
              </w:rPr>
            </w:pPr>
            <w:r>
              <w:rPr>
                <w:rFonts w:ascii="Arial" w:cs="Arial" w:eastAsia="Arial" w:hAnsi="Arial"/>
                <w:sz w:val="18"/>
                <w:szCs w:val="18"/>
                <w:b w:val="1"/>
                <w:bCs w:val="1"/>
                <w:color w:val="939598"/>
              </w:rPr>
              <w:t>Operations Data</w:t>
            </w:r>
          </w:p>
        </w:tc>
        <w:tc>
          <w:tcPr>
            <w:tcW w:w="100" w:type="dxa"/>
            <w:vAlign w:val="bottom"/>
            <w:tcBorders>
              <w:top w:val="single" w:sz="8" w:color="86B6A5"/>
            </w:tcBorders>
            <w:shd w:val="clear" w:color="auto" w:fill="E3F1DA"/>
          </w:tcPr>
          <w:p>
            <w:pPr>
              <w:spacing w:after="0"/>
              <w:rPr>
                <w:sz w:val="17"/>
                <w:szCs w:val="17"/>
                <w:color w:val="auto"/>
              </w:rPr>
            </w:pPr>
          </w:p>
        </w:tc>
        <w:tc>
          <w:tcPr>
            <w:tcW w:w="1020" w:type="dxa"/>
            <w:vAlign w:val="bottom"/>
            <w:tcBorders>
              <w:top w:val="single" w:sz="8" w:color="86B6A5"/>
            </w:tcBorders>
            <w:shd w:val="clear" w:color="auto" w:fill="E3F1DA"/>
          </w:tcPr>
          <w:p>
            <w:pPr>
              <w:spacing w:after="0"/>
              <w:rPr>
                <w:sz w:val="17"/>
                <w:szCs w:val="17"/>
                <w:color w:val="auto"/>
              </w:rPr>
            </w:pPr>
          </w:p>
        </w:tc>
        <w:tc>
          <w:tcPr>
            <w:tcW w:w="140" w:type="dxa"/>
            <w:vAlign w:val="bottom"/>
            <w:tcBorders>
              <w:top w:val="single" w:sz="8" w:color="86B6A5"/>
            </w:tcBorders>
          </w:tcPr>
          <w:p>
            <w:pPr>
              <w:spacing w:after="0"/>
              <w:rPr>
                <w:sz w:val="17"/>
                <w:szCs w:val="17"/>
                <w:color w:val="auto"/>
              </w:rPr>
            </w:pPr>
          </w:p>
        </w:tc>
        <w:tc>
          <w:tcPr>
            <w:tcW w:w="900" w:type="dxa"/>
            <w:vAlign w:val="bottom"/>
            <w:tcBorders>
              <w:top w:val="single" w:sz="8" w:color="86B6A5"/>
            </w:tcBorders>
          </w:tcPr>
          <w:p>
            <w:pPr>
              <w:spacing w:after="0"/>
              <w:rPr>
                <w:sz w:val="17"/>
                <w:szCs w:val="17"/>
                <w:color w:val="auto"/>
              </w:rPr>
            </w:pPr>
          </w:p>
        </w:tc>
        <w:tc>
          <w:tcPr>
            <w:tcW w:w="220" w:type="dxa"/>
            <w:vAlign w:val="bottom"/>
            <w:tcBorders>
              <w:top w:val="single" w:sz="8" w:color="86B6A5"/>
            </w:tcBorders>
          </w:tcPr>
          <w:p>
            <w:pPr>
              <w:spacing w:after="0"/>
              <w:rPr>
                <w:sz w:val="17"/>
                <w:szCs w:val="17"/>
                <w:color w:val="auto"/>
              </w:rPr>
            </w:pPr>
          </w:p>
        </w:tc>
        <w:tc>
          <w:tcPr>
            <w:tcW w:w="880" w:type="dxa"/>
            <w:vAlign w:val="bottom"/>
            <w:tcBorders>
              <w:top w:val="single" w:sz="8" w:color="86B6A5"/>
            </w:tcBorders>
          </w:tcPr>
          <w:p>
            <w:pPr>
              <w:spacing w:after="0"/>
              <w:rPr>
                <w:sz w:val="17"/>
                <w:szCs w:val="17"/>
                <w:color w:val="auto"/>
              </w:rPr>
            </w:pPr>
          </w:p>
        </w:tc>
        <w:tc>
          <w:tcPr>
            <w:tcW w:w="260" w:type="dxa"/>
            <w:vAlign w:val="bottom"/>
            <w:tcBorders>
              <w:top w:val="single" w:sz="8" w:color="86B6A5"/>
            </w:tcBorders>
          </w:tcPr>
          <w:p>
            <w:pPr>
              <w:spacing w:after="0"/>
              <w:rPr>
                <w:sz w:val="17"/>
                <w:szCs w:val="17"/>
                <w:color w:val="auto"/>
              </w:rPr>
            </w:pPr>
          </w:p>
        </w:tc>
        <w:tc>
          <w:tcPr>
            <w:tcW w:w="860" w:type="dxa"/>
            <w:vAlign w:val="bottom"/>
            <w:tcBorders>
              <w:top w:val="single" w:sz="8" w:color="86B6A5"/>
            </w:tcBorders>
          </w:tcPr>
          <w:p>
            <w:pPr>
              <w:spacing w:after="0"/>
              <w:rPr>
                <w:sz w:val="17"/>
                <w:szCs w:val="17"/>
                <w:color w:val="auto"/>
              </w:rPr>
            </w:pPr>
          </w:p>
        </w:tc>
        <w:tc>
          <w:tcPr>
            <w:tcW w:w="260" w:type="dxa"/>
            <w:vAlign w:val="bottom"/>
            <w:tcBorders>
              <w:top w:val="single" w:sz="8" w:color="86B6A5"/>
            </w:tcBorders>
          </w:tcPr>
          <w:p>
            <w:pPr>
              <w:spacing w:after="0"/>
              <w:rPr>
                <w:sz w:val="17"/>
                <w:szCs w:val="17"/>
                <w:color w:val="auto"/>
              </w:rPr>
            </w:pPr>
          </w:p>
        </w:tc>
        <w:tc>
          <w:tcPr>
            <w:tcW w:w="740" w:type="dxa"/>
            <w:vAlign w:val="bottom"/>
            <w:tcBorders>
              <w:top w:val="single" w:sz="8" w:color="86B6A5"/>
            </w:tcBorders>
          </w:tcPr>
          <w:p>
            <w:pPr>
              <w:spacing w:after="0"/>
              <w:rPr>
                <w:sz w:val="17"/>
                <w:szCs w:val="17"/>
                <w:color w:val="auto"/>
              </w:rPr>
            </w:pPr>
          </w:p>
        </w:tc>
      </w:tr>
      <w:tr>
        <w:trPr>
          <w:trHeight w:val="203"/>
        </w:trPr>
        <w:tc>
          <w:tcPr>
            <w:tcW w:w="5820" w:type="dxa"/>
            <w:vAlign w:val="bottom"/>
            <w:gridSpan w:val="2"/>
          </w:tcPr>
          <w:p>
            <w:pPr>
              <w:spacing w:after="0" w:line="202" w:lineRule="exact"/>
              <w:rPr>
                <w:sz w:val="20"/>
                <w:szCs w:val="20"/>
                <w:color w:val="auto"/>
              </w:rPr>
            </w:pPr>
            <w:r>
              <w:rPr>
                <w:rFonts w:ascii="Arial" w:cs="Arial" w:eastAsia="Arial" w:hAnsi="Arial"/>
                <w:sz w:val="18"/>
                <w:szCs w:val="18"/>
                <w:color w:val="auto"/>
              </w:rPr>
              <w:t>Revenues from Services</w:t>
            </w:r>
          </w:p>
        </w:tc>
        <w:tc>
          <w:tcPr>
            <w:tcW w:w="100" w:type="dxa"/>
            <w:vAlign w:val="bottom"/>
            <w:shd w:val="clear" w:color="auto" w:fill="E3F1DA"/>
          </w:tcPr>
          <w:p>
            <w:pPr>
              <w:jc w:val="right"/>
              <w:spacing w:after="0" w:line="202" w:lineRule="exact"/>
              <w:rPr>
                <w:sz w:val="20"/>
                <w:szCs w:val="20"/>
                <w:color w:val="auto"/>
              </w:rPr>
            </w:pPr>
            <w:r>
              <w:rPr>
                <w:rFonts w:ascii="Arial" w:cs="Arial" w:eastAsia="Arial" w:hAnsi="Arial"/>
                <w:sz w:val="18"/>
                <w:szCs w:val="18"/>
                <w:color w:val="86B6A5"/>
                <w:w w:val="79"/>
              </w:rPr>
              <w:t>$</w:t>
            </w:r>
          </w:p>
        </w:tc>
        <w:tc>
          <w:tcPr>
            <w:tcW w:w="1020" w:type="dxa"/>
            <w:vAlign w:val="bottom"/>
            <w:shd w:val="clear" w:color="auto" w:fill="E3F1DA"/>
          </w:tcPr>
          <w:p>
            <w:pPr>
              <w:jc w:val="right"/>
              <w:ind w:right="131"/>
              <w:spacing w:after="0" w:line="202" w:lineRule="exact"/>
              <w:rPr>
                <w:sz w:val="20"/>
                <w:szCs w:val="20"/>
                <w:color w:val="auto"/>
              </w:rPr>
            </w:pPr>
            <w:r>
              <w:rPr>
                <w:rFonts w:ascii="Arial" w:cs="Arial" w:eastAsia="Arial" w:hAnsi="Arial"/>
                <w:sz w:val="18"/>
                <w:szCs w:val="18"/>
                <w:color w:val="86B6A5"/>
              </w:rPr>
              <w:t>18,866.5</w:t>
            </w: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tcPr>
          <w:p>
            <w:pPr>
              <w:jc w:val="right"/>
              <w:ind w:right="51"/>
              <w:spacing w:after="0" w:line="202" w:lineRule="exact"/>
              <w:rPr>
                <w:sz w:val="20"/>
                <w:szCs w:val="20"/>
                <w:color w:val="auto"/>
              </w:rPr>
            </w:pPr>
            <w:r>
              <w:rPr>
                <w:rFonts w:ascii="Arial" w:cs="Arial" w:eastAsia="Arial" w:hAnsi="Arial"/>
                <w:sz w:val="18"/>
                <w:szCs w:val="18"/>
                <w:color w:val="auto"/>
              </w:rPr>
              <w:t>16,038.7</w:t>
            </w:r>
          </w:p>
        </w:tc>
        <w:tc>
          <w:tcPr>
            <w:tcW w:w="2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80" w:type="dxa"/>
            <w:vAlign w:val="bottom"/>
          </w:tcPr>
          <w:p>
            <w:pPr>
              <w:jc w:val="right"/>
              <w:ind w:right="31"/>
              <w:spacing w:after="0" w:line="202" w:lineRule="exact"/>
              <w:rPr>
                <w:sz w:val="20"/>
                <w:szCs w:val="20"/>
                <w:color w:val="auto"/>
              </w:rPr>
            </w:pPr>
            <w:r>
              <w:rPr>
                <w:rFonts w:ascii="Arial" w:cs="Arial" w:eastAsia="Arial" w:hAnsi="Arial"/>
                <w:sz w:val="18"/>
                <w:szCs w:val="18"/>
                <w:color w:val="auto"/>
              </w:rPr>
              <w:t>21,537.1</w:t>
            </w:r>
          </w:p>
        </w:tc>
        <w:tc>
          <w:tcPr>
            <w:tcW w:w="2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ind w:right="31"/>
              <w:spacing w:after="0" w:line="202" w:lineRule="exact"/>
              <w:rPr>
                <w:sz w:val="20"/>
                <w:szCs w:val="20"/>
                <w:color w:val="auto"/>
              </w:rPr>
            </w:pPr>
            <w:r>
              <w:rPr>
                <w:rFonts w:ascii="Arial" w:cs="Arial" w:eastAsia="Arial" w:hAnsi="Arial"/>
                <w:sz w:val="18"/>
                <w:szCs w:val="18"/>
                <w:color w:val="auto"/>
              </w:rPr>
              <w:t>20,486.1</w:t>
            </w:r>
          </w:p>
        </w:tc>
        <w:tc>
          <w:tcPr>
            <w:tcW w:w="2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17,562.5</w:t>
            </w:r>
          </w:p>
        </w:tc>
      </w:tr>
      <w:tr>
        <w:trPr>
          <w:trHeight w:val="202"/>
        </w:trPr>
        <w:tc>
          <w:tcPr>
            <w:tcW w:w="5820" w:type="dxa"/>
            <w:vAlign w:val="bottom"/>
            <w:gridSpan w:val="2"/>
          </w:tcPr>
          <w:p>
            <w:pPr>
              <w:spacing w:after="0" w:line="201" w:lineRule="exact"/>
              <w:rPr>
                <w:sz w:val="20"/>
                <w:szCs w:val="20"/>
                <w:color w:val="auto"/>
              </w:rPr>
            </w:pPr>
            <w:r>
              <w:rPr>
                <w:rFonts w:ascii="Arial" w:cs="Arial" w:eastAsia="Arial" w:hAnsi="Arial"/>
                <w:sz w:val="18"/>
                <w:szCs w:val="18"/>
                <w:color w:val="auto"/>
              </w:rPr>
              <w:t>Gross profit</w:t>
            </w:r>
          </w:p>
        </w:tc>
        <w:tc>
          <w:tcPr>
            <w:tcW w:w="100" w:type="dxa"/>
            <w:vAlign w:val="bottom"/>
            <w:shd w:val="clear" w:color="auto" w:fill="E3F1DA"/>
          </w:tcPr>
          <w:p>
            <w:pPr>
              <w:spacing w:after="0"/>
              <w:rPr>
                <w:sz w:val="17"/>
                <w:szCs w:val="17"/>
                <w:color w:val="auto"/>
              </w:rPr>
            </w:pPr>
          </w:p>
        </w:tc>
        <w:tc>
          <w:tcPr>
            <w:tcW w:w="1020" w:type="dxa"/>
            <w:vAlign w:val="bottom"/>
          </w:tcPr>
          <w:p>
            <w:pPr>
              <w:jc w:val="right"/>
              <w:ind w:right="131"/>
              <w:spacing w:after="0" w:line="201" w:lineRule="exact"/>
              <w:rPr>
                <w:sz w:val="20"/>
                <w:szCs w:val="20"/>
                <w:color w:val="auto"/>
              </w:rPr>
            </w:pPr>
            <w:r>
              <w:rPr>
                <w:rFonts w:ascii="Arial" w:cs="Arial" w:eastAsia="Arial" w:hAnsi="Arial"/>
                <w:sz w:val="18"/>
                <w:szCs w:val="18"/>
                <w:color w:val="86B6A5"/>
              </w:rPr>
              <w:t>3,245.4</w:t>
            </w:r>
          </w:p>
        </w:tc>
        <w:tc>
          <w:tcPr>
            <w:tcW w:w="140" w:type="dxa"/>
            <w:vAlign w:val="bottom"/>
          </w:tcPr>
          <w:p>
            <w:pPr>
              <w:spacing w:after="0"/>
              <w:rPr>
                <w:sz w:val="17"/>
                <w:szCs w:val="17"/>
                <w:color w:val="auto"/>
              </w:rPr>
            </w:pPr>
          </w:p>
        </w:tc>
        <w:tc>
          <w:tcPr>
            <w:tcW w:w="900" w:type="dxa"/>
            <w:vAlign w:val="bottom"/>
          </w:tcPr>
          <w:p>
            <w:pPr>
              <w:jc w:val="right"/>
              <w:ind w:right="51"/>
              <w:spacing w:after="0" w:line="201" w:lineRule="exact"/>
              <w:rPr>
                <w:sz w:val="20"/>
                <w:szCs w:val="20"/>
                <w:color w:val="auto"/>
              </w:rPr>
            </w:pPr>
            <w:r>
              <w:rPr>
                <w:rFonts w:ascii="Arial" w:cs="Arial" w:eastAsia="Arial" w:hAnsi="Arial"/>
                <w:sz w:val="18"/>
                <w:szCs w:val="18"/>
                <w:color w:val="auto"/>
              </w:rPr>
              <w:t>2,818.2</w:t>
            </w:r>
          </w:p>
        </w:tc>
        <w:tc>
          <w:tcPr>
            <w:tcW w:w="220" w:type="dxa"/>
            <w:vAlign w:val="bottom"/>
          </w:tcPr>
          <w:p>
            <w:pPr>
              <w:spacing w:after="0"/>
              <w:rPr>
                <w:sz w:val="17"/>
                <w:szCs w:val="17"/>
                <w:color w:val="auto"/>
              </w:rPr>
            </w:pPr>
          </w:p>
        </w:tc>
        <w:tc>
          <w:tcPr>
            <w:tcW w:w="880" w:type="dxa"/>
            <w:vAlign w:val="bottom"/>
          </w:tcPr>
          <w:p>
            <w:pPr>
              <w:jc w:val="right"/>
              <w:ind w:right="31"/>
              <w:spacing w:after="0" w:line="201" w:lineRule="exact"/>
              <w:rPr>
                <w:sz w:val="20"/>
                <w:szCs w:val="20"/>
                <w:color w:val="auto"/>
              </w:rPr>
            </w:pPr>
            <w:r>
              <w:rPr>
                <w:rFonts w:ascii="Arial" w:cs="Arial" w:eastAsia="Arial" w:hAnsi="Arial"/>
                <w:sz w:val="18"/>
                <w:szCs w:val="18"/>
                <w:color w:val="auto"/>
              </w:rPr>
              <w:t>4,086.9</w:t>
            </w:r>
          </w:p>
        </w:tc>
        <w:tc>
          <w:tcPr>
            <w:tcW w:w="260" w:type="dxa"/>
            <w:vAlign w:val="bottom"/>
          </w:tcPr>
          <w:p>
            <w:pPr>
              <w:spacing w:after="0"/>
              <w:rPr>
                <w:sz w:val="17"/>
                <w:szCs w:val="17"/>
                <w:color w:val="auto"/>
              </w:rPr>
            </w:pPr>
          </w:p>
        </w:tc>
        <w:tc>
          <w:tcPr>
            <w:tcW w:w="860" w:type="dxa"/>
            <w:vAlign w:val="bottom"/>
          </w:tcPr>
          <w:p>
            <w:pPr>
              <w:jc w:val="right"/>
              <w:ind w:right="31"/>
              <w:spacing w:after="0" w:line="201" w:lineRule="exact"/>
              <w:rPr>
                <w:sz w:val="20"/>
                <w:szCs w:val="20"/>
                <w:color w:val="auto"/>
              </w:rPr>
            </w:pPr>
            <w:r>
              <w:rPr>
                <w:rFonts w:ascii="Arial" w:cs="Arial" w:eastAsia="Arial" w:hAnsi="Arial"/>
                <w:sz w:val="18"/>
                <w:szCs w:val="18"/>
                <w:color w:val="auto"/>
              </w:rPr>
              <w:t>3,834.4</w:t>
            </w:r>
          </w:p>
        </w:tc>
        <w:tc>
          <w:tcPr>
            <w:tcW w:w="260" w:type="dxa"/>
            <w:vAlign w:val="bottom"/>
          </w:tcPr>
          <w:p>
            <w:pPr>
              <w:spacing w:after="0"/>
              <w:rPr>
                <w:sz w:val="17"/>
                <w:szCs w:val="17"/>
                <w:color w:val="auto"/>
              </w:rPr>
            </w:pPr>
          </w:p>
        </w:tc>
        <w:tc>
          <w:tcPr>
            <w:tcW w:w="740" w:type="dxa"/>
            <w:vAlign w:val="bottom"/>
          </w:tcPr>
          <w:p>
            <w:pPr>
              <w:jc w:val="right"/>
              <w:spacing w:after="0" w:line="201" w:lineRule="exact"/>
              <w:rPr>
                <w:sz w:val="20"/>
                <w:szCs w:val="20"/>
                <w:color w:val="auto"/>
              </w:rPr>
            </w:pPr>
            <w:r>
              <w:rPr>
                <w:rFonts w:ascii="Arial" w:cs="Arial" w:eastAsia="Arial" w:hAnsi="Arial"/>
                <w:sz w:val="18"/>
                <w:szCs w:val="18"/>
                <w:color w:val="auto"/>
              </w:rPr>
              <w:t>3,146.0</w:t>
            </w:r>
          </w:p>
        </w:tc>
      </w:tr>
      <w:tr>
        <w:trPr>
          <w:trHeight w:val="203"/>
        </w:trPr>
        <w:tc>
          <w:tcPr>
            <w:tcW w:w="5820" w:type="dxa"/>
            <w:vAlign w:val="bottom"/>
            <w:gridSpan w:val="2"/>
          </w:tcPr>
          <w:p>
            <w:pPr>
              <w:spacing w:after="0" w:line="202" w:lineRule="exact"/>
              <w:rPr>
                <w:sz w:val="20"/>
                <w:szCs w:val="20"/>
                <w:color w:val="auto"/>
              </w:rPr>
            </w:pPr>
            <w:r>
              <w:rPr>
                <w:rFonts w:ascii="Arial" w:cs="Arial" w:eastAsia="Arial" w:hAnsi="Arial"/>
                <w:sz w:val="18"/>
                <w:szCs w:val="18"/>
                <w:color w:val="auto"/>
              </w:rPr>
              <w:t>Operating (loss) profit</w:t>
            </w:r>
          </w:p>
        </w:tc>
        <w:tc>
          <w:tcPr>
            <w:tcW w:w="100" w:type="dxa"/>
            <w:vAlign w:val="bottom"/>
            <w:shd w:val="clear" w:color="auto" w:fill="E3F1DA"/>
          </w:tcPr>
          <w:p>
            <w:pPr>
              <w:spacing w:after="0"/>
              <w:rPr>
                <w:sz w:val="17"/>
                <w:szCs w:val="17"/>
                <w:color w:val="auto"/>
              </w:rPr>
            </w:pPr>
          </w:p>
        </w:tc>
        <w:tc>
          <w:tcPr>
            <w:tcW w:w="1020" w:type="dxa"/>
            <w:vAlign w:val="bottom"/>
          </w:tcPr>
          <w:p>
            <w:pPr>
              <w:jc w:val="right"/>
              <w:ind w:right="71"/>
              <w:spacing w:after="0" w:line="202" w:lineRule="exact"/>
              <w:rPr>
                <w:sz w:val="20"/>
                <w:szCs w:val="20"/>
                <w:color w:val="auto"/>
              </w:rPr>
            </w:pPr>
            <w:r>
              <w:rPr>
                <w:rFonts w:ascii="Arial" w:cs="Arial" w:eastAsia="Arial" w:hAnsi="Arial"/>
                <w:sz w:val="18"/>
                <w:szCs w:val="18"/>
                <w:color w:val="86B6A5"/>
              </w:rPr>
              <w:t>(122.0)</w:t>
            </w:r>
          </w:p>
        </w:tc>
        <w:tc>
          <w:tcPr>
            <w:tcW w:w="140" w:type="dxa"/>
            <w:vAlign w:val="bottom"/>
          </w:tcPr>
          <w:p>
            <w:pPr>
              <w:spacing w:after="0"/>
              <w:rPr>
                <w:sz w:val="17"/>
                <w:szCs w:val="17"/>
                <w:color w:val="auto"/>
              </w:rPr>
            </w:pPr>
          </w:p>
        </w:tc>
        <w:tc>
          <w:tcPr>
            <w:tcW w:w="900" w:type="dxa"/>
            <w:vAlign w:val="bottom"/>
          </w:tcPr>
          <w:p>
            <w:pPr>
              <w:jc w:val="right"/>
              <w:ind w:right="51"/>
              <w:spacing w:after="0" w:line="202" w:lineRule="exact"/>
              <w:rPr>
                <w:sz w:val="20"/>
                <w:szCs w:val="20"/>
                <w:color w:val="auto"/>
              </w:rPr>
            </w:pPr>
            <w:r>
              <w:rPr>
                <w:rFonts w:ascii="Arial" w:cs="Arial" w:eastAsia="Arial" w:hAnsi="Arial"/>
                <w:sz w:val="18"/>
                <w:szCs w:val="18"/>
                <w:color w:val="auto"/>
              </w:rPr>
              <w:t>41.7</w:t>
            </w:r>
          </w:p>
        </w:tc>
        <w:tc>
          <w:tcPr>
            <w:tcW w:w="220" w:type="dxa"/>
            <w:vAlign w:val="bottom"/>
          </w:tcPr>
          <w:p>
            <w:pPr>
              <w:spacing w:after="0"/>
              <w:rPr>
                <w:sz w:val="17"/>
                <w:szCs w:val="17"/>
                <w:color w:val="auto"/>
              </w:rPr>
            </w:pPr>
          </w:p>
        </w:tc>
        <w:tc>
          <w:tcPr>
            <w:tcW w:w="880" w:type="dxa"/>
            <w:vAlign w:val="bottom"/>
          </w:tcPr>
          <w:p>
            <w:pPr>
              <w:jc w:val="right"/>
              <w:ind w:right="31"/>
              <w:spacing w:after="0" w:line="202" w:lineRule="exact"/>
              <w:rPr>
                <w:sz w:val="20"/>
                <w:szCs w:val="20"/>
                <w:color w:val="auto"/>
              </w:rPr>
            </w:pPr>
            <w:r>
              <w:rPr>
                <w:rFonts w:ascii="Arial" w:cs="Arial" w:eastAsia="Arial" w:hAnsi="Arial"/>
                <w:sz w:val="18"/>
                <w:szCs w:val="18"/>
                <w:color w:val="auto"/>
              </w:rPr>
              <w:t>493.5</w:t>
            </w:r>
          </w:p>
        </w:tc>
        <w:tc>
          <w:tcPr>
            <w:tcW w:w="260" w:type="dxa"/>
            <w:vAlign w:val="bottom"/>
          </w:tcPr>
          <w:p>
            <w:pPr>
              <w:spacing w:after="0"/>
              <w:rPr>
                <w:sz w:val="17"/>
                <w:szCs w:val="17"/>
                <w:color w:val="auto"/>
              </w:rPr>
            </w:pPr>
          </w:p>
        </w:tc>
        <w:tc>
          <w:tcPr>
            <w:tcW w:w="860" w:type="dxa"/>
            <w:vAlign w:val="bottom"/>
          </w:tcPr>
          <w:p>
            <w:pPr>
              <w:jc w:val="right"/>
              <w:ind w:right="31"/>
              <w:spacing w:after="0" w:line="202" w:lineRule="exact"/>
              <w:rPr>
                <w:sz w:val="20"/>
                <w:szCs w:val="20"/>
                <w:color w:val="auto"/>
              </w:rPr>
            </w:pPr>
            <w:r>
              <w:rPr>
                <w:rFonts w:ascii="Arial" w:cs="Arial" w:eastAsia="Arial" w:hAnsi="Arial"/>
                <w:sz w:val="18"/>
                <w:szCs w:val="18"/>
                <w:color w:val="auto"/>
              </w:rPr>
              <w:t>811.2</w:t>
            </w:r>
          </w:p>
        </w:tc>
        <w:tc>
          <w:tcPr>
            <w:tcW w:w="26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532.1</w:t>
            </w:r>
          </w:p>
        </w:tc>
      </w:tr>
      <w:tr>
        <w:trPr>
          <w:trHeight w:val="181"/>
        </w:trPr>
        <w:tc>
          <w:tcPr>
            <w:tcW w:w="5820" w:type="dxa"/>
            <w:vAlign w:val="bottom"/>
            <w:gridSpan w:val="2"/>
          </w:tcPr>
          <w:p>
            <w:pPr>
              <w:spacing w:after="0" w:line="181" w:lineRule="exact"/>
              <w:rPr>
                <w:sz w:val="20"/>
                <w:szCs w:val="20"/>
                <w:color w:val="auto"/>
              </w:rPr>
            </w:pPr>
            <w:r>
              <w:rPr>
                <w:rFonts w:ascii="Arial" w:cs="Arial" w:eastAsia="Arial" w:hAnsi="Arial"/>
                <w:sz w:val="18"/>
                <w:szCs w:val="18"/>
                <w:color w:val="auto"/>
              </w:rPr>
              <w:t>Net (loss) earnings from continuing operations</w:t>
            </w:r>
          </w:p>
        </w:tc>
        <w:tc>
          <w:tcPr>
            <w:tcW w:w="100" w:type="dxa"/>
            <w:vAlign w:val="bottom"/>
            <w:shd w:val="clear" w:color="auto" w:fill="E3F1DA"/>
          </w:tcPr>
          <w:p>
            <w:pPr>
              <w:spacing w:after="0"/>
              <w:rPr>
                <w:sz w:val="15"/>
                <w:szCs w:val="15"/>
                <w:color w:val="auto"/>
              </w:rPr>
            </w:pPr>
          </w:p>
        </w:tc>
        <w:tc>
          <w:tcPr>
            <w:tcW w:w="1020" w:type="dxa"/>
            <w:vAlign w:val="bottom"/>
          </w:tcPr>
          <w:p>
            <w:pPr>
              <w:jc w:val="right"/>
              <w:ind w:right="71"/>
              <w:spacing w:after="0" w:line="181" w:lineRule="exact"/>
              <w:rPr>
                <w:sz w:val="20"/>
                <w:szCs w:val="20"/>
                <w:color w:val="auto"/>
              </w:rPr>
            </w:pPr>
            <w:r>
              <w:rPr>
                <w:rFonts w:ascii="Arial" w:cs="Arial" w:eastAsia="Arial" w:hAnsi="Arial"/>
                <w:sz w:val="18"/>
                <w:szCs w:val="18"/>
                <w:color w:val="86B6A5"/>
              </w:rPr>
              <w:t>(263.6)</w:t>
            </w:r>
          </w:p>
        </w:tc>
        <w:tc>
          <w:tcPr>
            <w:tcW w:w="140" w:type="dxa"/>
            <w:vAlign w:val="bottom"/>
          </w:tcPr>
          <w:p>
            <w:pPr>
              <w:spacing w:after="0"/>
              <w:rPr>
                <w:sz w:val="15"/>
                <w:szCs w:val="15"/>
                <w:color w:val="auto"/>
              </w:rPr>
            </w:pPr>
          </w:p>
        </w:tc>
        <w:tc>
          <w:tcPr>
            <w:tcW w:w="900" w:type="dxa"/>
            <w:vAlign w:val="bottom"/>
          </w:tcPr>
          <w:p>
            <w:pPr>
              <w:jc w:val="right"/>
              <w:spacing w:after="0" w:line="181" w:lineRule="exact"/>
              <w:rPr>
                <w:sz w:val="20"/>
                <w:szCs w:val="20"/>
                <w:color w:val="auto"/>
              </w:rPr>
            </w:pPr>
            <w:r>
              <w:rPr>
                <w:rFonts w:ascii="Arial" w:cs="Arial" w:eastAsia="Arial" w:hAnsi="Arial"/>
                <w:sz w:val="18"/>
                <w:szCs w:val="18"/>
                <w:color w:val="auto"/>
              </w:rPr>
              <w:t>(9.2)</w:t>
            </w:r>
          </w:p>
        </w:tc>
        <w:tc>
          <w:tcPr>
            <w:tcW w:w="220" w:type="dxa"/>
            <w:vAlign w:val="bottom"/>
          </w:tcPr>
          <w:p>
            <w:pPr>
              <w:spacing w:after="0"/>
              <w:rPr>
                <w:sz w:val="15"/>
                <w:szCs w:val="15"/>
                <w:color w:val="auto"/>
              </w:rPr>
            </w:pPr>
          </w:p>
        </w:tc>
        <w:tc>
          <w:tcPr>
            <w:tcW w:w="880" w:type="dxa"/>
            <w:vAlign w:val="bottom"/>
          </w:tcPr>
          <w:p>
            <w:pPr>
              <w:jc w:val="right"/>
              <w:ind w:right="31"/>
              <w:spacing w:after="0" w:line="181" w:lineRule="exact"/>
              <w:rPr>
                <w:sz w:val="20"/>
                <w:szCs w:val="20"/>
                <w:color w:val="auto"/>
              </w:rPr>
            </w:pPr>
            <w:r>
              <w:rPr>
                <w:rFonts w:ascii="Arial" w:cs="Arial" w:eastAsia="Arial" w:hAnsi="Arial"/>
                <w:sz w:val="18"/>
                <w:szCs w:val="18"/>
                <w:color w:val="auto"/>
              </w:rPr>
              <w:t>205.5</w:t>
            </w:r>
          </w:p>
        </w:tc>
        <w:tc>
          <w:tcPr>
            <w:tcW w:w="260" w:type="dxa"/>
            <w:vAlign w:val="bottom"/>
          </w:tcPr>
          <w:p>
            <w:pPr>
              <w:spacing w:after="0"/>
              <w:rPr>
                <w:sz w:val="15"/>
                <w:szCs w:val="15"/>
                <w:color w:val="auto"/>
              </w:rPr>
            </w:pPr>
          </w:p>
        </w:tc>
        <w:tc>
          <w:tcPr>
            <w:tcW w:w="860" w:type="dxa"/>
            <w:vAlign w:val="bottom"/>
          </w:tcPr>
          <w:p>
            <w:pPr>
              <w:jc w:val="right"/>
              <w:ind w:right="31"/>
              <w:spacing w:after="0" w:line="181" w:lineRule="exact"/>
              <w:rPr>
                <w:sz w:val="20"/>
                <w:szCs w:val="20"/>
                <w:color w:val="auto"/>
              </w:rPr>
            </w:pPr>
            <w:r>
              <w:rPr>
                <w:rFonts w:ascii="Arial" w:cs="Arial" w:eastAsia="Arial" w:hAnsi="Arial"/>
                <w:sz w:val="18"/>
                <w:szCs w:val="18"/>
                <w:color w:val="auto"/>
              </w:rPr>
              <w:t>473.7</w:t>
            </w:r>
          </w:p>
        </w:tc>
        <w:tc>
          <w:tcPr>
            <w:tcW w:w="260" w:type="dxa"/>
            <w:vAlign w:val="bottom"/>
          </w:tcPr>
          <w:p>
            <w:pPr>
              <w:spacing w:after="0"/>
              <w:rPr>
                <w:sz w:val="15"/>
                <w:szCs w:val="15"/>
                <w:color w:val="auto"/>
              </w:rPr>
            </w:pPr>
          </w:p>
        </w:tc>
        <w:tc>
          <w:tcPr>
            <w:tcW w:w="740" w:type="dxa"/>
            <w:vAlign w:val="bottom"/>
          </w:tcPr>
          <w:p>
            <w:pPr>
              <w:jc w:val="right"/>
              <w:spacing w:after="0" w:line="181" w:lineRule="exact"/>
              <w:rPr>
                <w:sz w:val="20"/>
                <w:szCs w:val="20"/>
                <w:color w:val="auto"/>
              </w:rPr>
            </w:pPr>
            <w:r>
              <w:rPr>
                <w:rFonts w:ascii="Arial" w:cs="Arial" w:eastAsia="Arial" w:hAnsi="Arial"/>
                <w:sz w:val="18"/>
                <w:szCs w:val="18"/>
                <w:color w:val="auto"/>
              </w:rPr>
              <w:t>305.7</w:t>
            </w:r>
          </w:p>
        </w:tc>
      </w:tr>
      <w:tr>
        <w:trPr>
          <w:trHeight w:val="225"/>
        </w:trPr>
        <w:tc>
          <w:tcPr>
            <w:tcW w:w="5820" w:type="dxa"/>
            <w:vAlign w:val="bottom"/>
            <w:gridSpan w:val="2"/>
          </w:tcPr>
          <w:p>
            <w:pPr>
              <w:spacing w:after="0"/>
              <w:rPr>
                <w:sz w:val="20"/>
                <w:szCs w:val="20"/>
                <w:color w:val="auto"/>
              </w:rPr>
            </w:pPr>
            <w:r>
              <w:rPr>
                <w:rFonts w:ascii="Arial" w:cs="Arial" w:eastAsia="Arial" w:hAnsi="Arial"/>
                <w:sz w:val="18"/>
                <w:szCs w:val="18"/>
                <w:b w:val="1"/>
                <w:bCs w:val="1"/>
                <w:color w:val="939598"/>
              </w:rPr>
              <w:t>Per Share Data</w:t>
            </w:r>
          </w:p>
        </w:tc>
        <w:tc>
          <w:tcPr>
            <w:tcW w:w="100" w:type="dxa"/>
            <w:vAlign w:val="bottom"/>
            <w:shd w:val="clear" w:color="auto" w:fill="E3F1DA"/>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03"/>
        </w:trPr>
        <w:tc>
          <w:tcPr>
            <w:tcW w:w="5820" w:type="dxa"/>
            <w:vAlign w:val="bottom"/>
            <w:gridSpan w:val="2"/>
          </w:tcPr>
          <w:p>
            <w:pPr>
              <w:spacing w:after="0" w:line="202" w:lineRule="exact"/>
              <w:rPr>
                <w:sz w:val="20"/>
                <w:szCs w:val="20"/>
                <w:color w:val="auto"/>
              </w:rPr>
            </w:pPr>
            <w:r>
              <w:rPr>
                <w:rFonts w:ascii="Arial" w:cs="Arial" w:eastAsia="Arial" w:hAnsi="Arial"/>
                <w:sz w:val="18"/>
                <w:szCs w:val="18"/>
                <w:color w:val="auto"/>
              </w:rPr>
              <w:t>Net (loss) earnings from continuing operations – basic</w:t>
            </w:r>
          </w:p>
        </w:tc>
        <w:tc>
          <w:tcPr>
            <w:tcW w:w="100" w:type="dxa"/>
            <w:vAlign w:val="bottom"/>
            <w:shd w:val="clear" w:color="auto" w:fill="E3F1DA"/>
          </w:tcPr>
          <w:p>
            <w:pPr>
              <w:jc w:val="right"/>
              <w:spacing w:after="0" w:line="202" w:lineRule="exact"/>
              <w:rPr>
                <w:sz w:val="20"/>
                <w:szCs w:val="20"/>
                <w:color w:val="auto"/>
              </w:rPr>
            </w:pPr>
            <w:r>
              <w:rPr>
                <w:rFonts w:ascii="Arial" w:cs="Arial" w:eastAsia="Arial" w:hAnsi="Arial"/>
                <w:sz w:val="18"/>
                <w:szCs w:val="18"/>
                <w:color w:val="86B6A5"/>
                <w:w w:val="79"/>
              </w:rPr>
              <w:t>$</w:t>
            </w:r>
          </w:p>
        </w:tc>
        <w:tc>
          <w:tcPr>
            <w:tcW w:w="1020" w:type="dxa"/>
            <w:vAlign w:val="bottom"/>
          </w:tcPr>
          <w:p>
            <w:pPr>
              <w:jc w:val="right"/>
              <w:ind w:right="71"/>
              <w:spacing w:after="0" w:line="202" w:lineRule="exact"/>
              <w:rPr>
                <w:sz w:val="20"/>
                <w:szCs w:val="20"/>
                <w:color w:val="auto"/>
              </w:rPr>
            </w:pPr>
            <w:r>
              <w:rPr>
                <w:rFonts w:ascii="Arial" w:cs="Arial" w:eastAsia="Arial" w:hAnsi="Arial"/>
                <w:sz w:val="18"/>
                <w:szCs w:val="18"/>
                <w:color w:val="86B6A5"/>
              </w:rPr>
              <w:t>(3.26)</w:t>
            </w: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(0.12)</w:t>
            </w:r>
          </w:p>
        </w:tc>
        <w:tc>
          <w:tcPr>
            <w:tcW w:w="2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80" w:type="dxa"/>
            <w:vAlign w:val="bottom"/>
          </w:tcPr>
          <w:p>
            <w:pPr>
              <w:jc w:val="right"/>
              <w:ind w:right="31"/>
              <w:spacing w:after="0" w:line="202" w:lineRule="exact"/>
              <w:rPr>
                <w:sz w:val="20"/>
                <w:szCs w:val="20"/>
                <w:color w:val="auto"/>
              </w:rPr>
            </w:pPr>
            <w:r>
              <w:rPr>
                <w:rFonts w:ascii="Arial" w:cs="Arial" w:eastAsia="Arial" w:hAnsi="Arial"/>
                <w:sz w:val="18"/>
                <w:szCs w:val="18"/>
                <w:color w:val="auto"/>
              </w:rPr>
              <w:t>2.61</w:t>
            </w:r>
          </w:p>
        </w:tc>
        <w:tc>
          <w:tcPr>
            <w:tcW w:w="2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ind w:right="31"/>
              <w:spacing w:after="0" w:line="202" w:lineRule="exact"/>
              <w:rPr>
                <w:sz w:val="20"/>
                <w:szCs w:val="20"/>
                <w:color w:val="auto"/>
              </w:rPr>
            </w:pPr>
            <w:r>
              <w:rPr>
                <w:rFonts w:ascii="Arial" w:cs="Arial" w:eastAsia="Arial" w:hAnsi="Arial"/>
                <w:sz w:val="18"/>
                <w:szCs w:val="18"/>
                <w:color w:val="auto"/>
              </w:rPr>
              <w:t>5.70</w:t>
            </w:r>
          </w:p>
        </w:tc>
        <w:tc>
          <w:tcPr>
            <w:tcW w:w="2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3.55</w:t>
            </w:r>
          </w:p>
        </w:tc>
      </w:tr>
      <w:tr>
        <w:trPr>
          <w:trHeight w:val="203"/>
        </w:trPr>
        <w:tc>
          <w:tcPr>
            <w:tcW w:w="5820" w:type="dxa"/>
            <w:vAlign w:val="bottom"/>
            <w:gridSpan w:val="2"/>
          </w:tcPr>
          <w:p>
            <w:pPr>
              <w:spacing w:after="0" w:line="202" w:lineRule="exact"/>
              <w:rPr>
                <w:sz w:val="20"/>
                <w:szCs w:val="20"/>
                <w:color w:val="auto"/>
              </w:rPr>
            </w:pPr>
            <w:r>
              <w:rPr>
                <w:rFonts w:ascii="Arial" w:cs="Arial" w:eastAsia="Arial" w:hAnsi="Arial"/>
                <w:sz w:val="18"/>
                <w:szCs w:val="18"/>
                <w:color w:val="auto"/>
              </w:rPr>
              <w:t>Net (loss) earnings from continuing operations – diluted</w:t>
            </w:r>
          </w:p>
        </w:tc>
        <w:tc>
          <w:tcPr>
            <w:tcW w:w="100" w:type="dxa"/>
            <w:vAlign w:val="bottom"/>
            <w:shd w:val="clear" w:color="auto" w:fill="E3F1DA"/>
          </w:tcPr>
          <w:p>
            <w:pPr>
              <w:spacing w:after="0"/>
              <w:rPr>
                <w:sz w:val="17"/>
                <w:szCs w:val="17"/>
                <w:color w:val="auto"/>
              </w:rPr>
            </w:pPr>
          </w:p>
        </w:tc>
        <w:tc>
          <w:tcPr>
            <w:tcW w:w="1020" w:type="dxa"/>
            <w:vAlign w:val="bottom"/>
          </w:tcPr>
          <w:p>
            <w:pPr>
              <w:jc w:val="right"/>
              <w:ind w:right="71"/>
              <w:spacing w:after="0" w:line="202" w:lineRule="exact"/>
              <w:rPr>
                <w:sz w:val="20"/>
                <w:szCs w:val="20"/>
                <w:color w:val="auto"/>
              </w:rPr>
            </w:pPr>
            <w:r>
              <w:rPr>
                <w:rFonts w:ascii="Arial" w:cs="Arial" w:eastAsia="Arial" w:hAnsi="Arial"/>
                <w:sz w:val="18"/>
                <w:szCs w:val="18"/>
                <w:color w:val="86B6A5"/>
              </w:rPr>
              <w:t>(3.26)</w:t>
            </w:r>
          </w:p>
        </w:tc>
        <w:tc>
          <w:tcPr>
            <w:tcW w:w="14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(0.12)</w:t>
            </w:r>
          </w:p>
        </w:tc>
        <w:tc>
          <w:tcPr>
            <w:tcW w:w="220" w:type="dxa"/>
            <w:vAlign w:val="bottom"/>
          </w:tcPr>
          <w:p>
            <w:pPr>
              <w:spacing w:after="0"/>
              <w:rPr>
                <w:sz w:val="17"/>
                <w:szCs w:val="17"/>
                <w:color w:val="auto"/>
              </w:rPr>
            </w:pPr>
          </w:p>
        </w:tc>
        <w:tc>
          <w:tcPr>
            <w:tcW w:w="880" w:type="dxa"/>
            <w:vAlign w:val="bottom"/>
          </w:tcPr>
          <w:p>
            <w:pPr>
              <w:jc w:val="right"/>
              <w:ind w:right="31"/>
              <w:spacing w:after="0" w:line="202" w:lineRule="exact"/>
              <w:rPr>
                <w:sz w:val="20"/>
                <w:szCs w:val="20"/>
                <w:color w:val="auto"/>
              </w:rPr>
            </w:pPr>
            <w:r>
              <w:rPr>
                <w:rFonts w:ascii="Arial" w:cs="Arial" w:eastAsia="Arial" w:hAnsi="Arial"/>
                <w:sz w:val="18"/>
                <w:szCs w:val="18"/>
                <w:color w:val="auto"/>
              </w:rPr>
              <w:t>2.58</w:t>
            </w:r>
          </w:p>
        </w:tc>
        <w:tc>
          <w:tcPr>
            <w:tcW w:w="260" w:type="dxa"/>
            <w:vAlign w:val="bottom"/>
          </w:tcPr>
          <w:p>
            <w:pPr>
              <w:spacing w:after="0"/>
              <w:rPr>
                <w:sz w:val="17"/>
                <w:szCs w:val="17"/>
                <w:color w:val="auto"/>
              </w:rPr>
            </w:pPr>
          </w:p>
        </w:tc>
        <w:tc>
          <w:tcPr>
            <w:tcW w:w="860" w:type="dxa"/>
            <w:vAlign w:val="bottom"/>
          </w:tcPr>
          <w:p>
            <w:pPr>
              <w:jc w:val="right"/>
              <w:ind w:right="31"/>
              <w:spacing w:after="0" w:line="202" w:lineRule="exact"/>
              <w:rPr>
                <w:sz w:val="20"/>
                <w:szCs w:val="20"/>
                <w:color w:val="auto"/>
              </w:rPr>
            </w:pPr>
            <w:r>
              <w:rPr>
                <w:rFonts w:ascii="Arial" w:cs="Arial" w:eastAsia="Arial" w:hAnsi="Arial"/>
                <w:sz w:val="18"/>
                <w:szCs w:val="18"/>
                <w:color w:val="auto"/>
              </w:rPr>
              <w:t>5.60</w:t>
            </w:r>
          </w:p>
        </w:tc>
        <w:tc>
          <w:tcPr>
            <w:tcW w:w="26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3.48</w:t>
            </w:r>
          </w:p>
        </w:tc>
      </w:tr>
      <w:tr>
        <w:trPr>
          <w:trHeight w:val="181"/>
        </w:trPr>
        <w:tc>
          <w:tcPr>
            <w:tcW w:w="5820" w:type="dxa"/>
            <w:vAlign w:val="bottom"/>
            <w:gridSpan w:val="2"/>
          </w:tcPr>
          <w:p>
            <w:pPr>
              <w:spacing w:after="0" w:line="181" w:lineRule="exact"/>
              <w:rPr>
                <w:sz w:val="20"/>
                <w:szCs w:val="20"/>
                <w:color w:val="auto"/>
              </w:rPr>
            </w:pPr>
            <w:r>
              <w:rPr>
                <w:rFonts w:ascii="Arial" w:cs="Arial" w:eastAsia="Arial" w:hAnsi="Arial"/>
                <w:sz w:val="18"/>
                <w:szCs w:val="18"/>
                <w:color w:val="auto"/>
              </w:rPr>
              <w:t>Dividends</w:t>
            </w:r>
          </w:p>
        </w:tc>
        <w:tc>
          <w:tcPr>
            <w:tcW w:w="100" w:type="dxa"/>
            <w:vAlign w:val="bottom"/>
            <w:shd w:val="clear" w:color="auto" w:fill="E3F1DA"/>
          </w:tcPr>
          <w:p>
            <w:pPr>
              <w:spacing w:after="0"/>
              <w:rPr>
                <w:sz w:val="15"/>
                <w:szCs w:val="15"/>
                <w:color w:val="auto"/>
              </w:rPr>
            </w:pPr>
          </w:p>
        </w:tc>
        <w:tc>
          <w:tcPr>
            <w:tcW w:w="1020" w:type="dxa"/>
            <w:vAlign w:val="bottom"/>
          </w:tcPr>
          <w:p>
            <w:pPr>
              <w:jc w:val="right"/>
              <w:ind w:right="131"/>
              <w:spacing w:after="0" w:line="181" w:lineRule="exact"/>
              <w:rPr>
                <w:sz w:val="20"/>
                <w:szCs w:val="20"/>
                <w:color w:val="auto"/>
              </w:rPr>
            </w:pPr>
            <w:r>
              <w:rPr>
                <w:rFonts w:ascii="Arial" w:cs="Arial" w:eastAsia="Arial" w:hAnsi="Arial"/>
                <w:sz w:val="18"/>
                <w:szCs w:val="18"/>
                <w:color w:val="86B6A5"/>
              </w:rPr>
              <w:t>0.74</w:t>
            </w:r>
          </w:p>
        </w:tc>
        <w:tc>
          <w:tcPr>
            <w:tcW w:w="140" w:type="dxa"/>
            <w:vAlign w:val="bottom"/>
          </w:tcPr>
          <w:p>
            <w:pPr>
              <w:spacing w:after="0"/>
              <w:rPr>
                <w:sz w:val="15"/>
                <w:szCs w:val="15"/>
                <w:color w:val="auto"/>
              </w:rPr>
            </w:pPr>
          </w:p>
        </w:tc>
        <w:tc>
          <w:tcPr>
            <w:tcW w:w="900" w:type="dxa"/>
            <w:vAlign w:val="bottom"/>
          </w:tcPr>
          <w:p>
            <w:pPr>
              <w:jc w:val="right"/>
              <w:ind w:right="51"/>
              <w:spacing w:after="0" w:line="181" w:lineRule="exact"/>
              <w:rPr>
                <w:sz w:val="20"/>
                <w:szCs w:val="20"/>
                <w:color w:val="auto"/>
              </w:rPr>
            </w:pPr>
            <w:r>
              <w:rPr>
                <w:rFonts w:ascii="Arial" w:cs="Arial" w:eastAsia="Arial" w:hAnsi="Arial"/>
                <w:sz w:val="18"/>
                <w:szCs w:val="18"/>
                <w:color w:val="auto"/>
              </w:rPr>
              <w:t>0.74</w:t>
            </w:r>
          </w:p>
        </w:tc>
        <w:tc>
          <w:tcPr>
            <w:tcW w:w="220" w:type="dxa"/>
            <w:vAlign w:val="bottom"/>
          </w:tcPr>
          <w:p>
            <w:pPr>
              <w:spacing w:after="0"/>
              <w:rPr>
                <w:sz w:val="15"/>
                <w:szCs w:val="15"/>
                <w:color w:val="auto"/>
              </w:rPr>
            </w:pPr>
          </w:p>
        </w:tc>
        <w:tc>
          <w:tcPr>
            <w:tcW w:w="880" w:type="dxa"/>
            <w:vAlign w:val="bottom"/>
          </w:tcPr>
          <w:p>
            <w:pPr>
              <w:jc w:val="right"/>
              <w:ind w:right="31"/>
              <w:spacing w:after="0" w:line="181" w:lineRule="exact"/>
              <w:rPr>
                <w:sz w:val="20"/>
                <w:szCs w:val="20"/>
                <w:color w:val="auto"/>
              </w:rPr>
            </w:pPr>
            <w:r>
              <w:rPr>
                <w:rFonts w:ascii="Arial" w:cs="Arial" w:eastAsia="Arial" w:hAnsi="Arial"/>
                <w:sz w:val="18"/>
                <w:szCs w:val="18"/>
                <w:color w:val="auto"/>
              </w:rPr>
              <w:t>0.74</w:t>
            </w:r>
          </w:p>
        </w:tc>
        <w:tc>
          <w:tcPr>
            <w:tcW w:w="260" w:type="dxa"/>
            <w:vAlign w:val="bottom"/>
          </w:tcPr>
          <w:p>
            <w:pPr>
              <w:spacing w:after="0"/>
              <w:rPr>
                <w:sz w:val="15"/>
                <w:szCs w:val="15"/>
                <w:color w:val="auto"/>
              </w:rPr>
            </w:pPr>
          </w:p>
        </w:tc>
        <w:tc>
          <w:tcPr>
            <w:tcW w:w="860" w:type="dxa"/>
            <w:vAlign w:val="bottom"/>
          </w:tcPr>
          <w:p>
            <w:pPr>
              <w:jc w:val="right"/>
              <w:ind w:right="31"/>
              <w:spacing w:after="0" w:line="181" w:lineRule="exact"/>
              <w:rPr>
                <w:sz w:val="20"/>
                <w:szCs w:val="20"/>
                <w:color w:val="auto"/>
              </w:rPr>
            </w:pPr>
            <w:r>
              <w:rPr>
                <w:rFonts w:ascii="Arial" w:cs="Arial" w:eastAsia="Arial" w:hAnsi="Arial"/>
                <w:sz w:val="18"/>
                <w:szCs w:val="18"/>
                <w:color w:val="auto"/>
              </w:rPr>
              <w:t>0.69</w:t>
            </w:r>
          </w:p>
        </w:tc>
        <w:tc>
          <w:tcPr>
            <w:tcW w:w="260" w:type="dxa"/>
            <w:vAlign w:val="bottom"/>
          </w:tcPr>
          <w:p>
            <w:pPr>
              <w:spacing w:after="0"/>
              <w:rPr>
                <w:sz w:val="15"/>
                <w:szCs w:val="15"/>
                <w:color w:val="auto"/>
              </w:rPr>
            </w:pPr>
          </w:p>
        </w:tc>
        <w:tc>
          <w:tcPr>
            <w:tcW w:w="740" w:type="dxa"/>
            <w:vAlign w:val="bottom"/>
          </w:tcPr>
          <w:p>
            <w:pPr>
              <w:jc w:val="right"/>
              <w:spacing w:after="0" w:line="181" w:lineRule="exact"/>
              <w:rPr>
                <w:sz w:val="20"/>
                <w:szCs w:val="20"/>
                <w:color w:val="auto"/>
              </w:rPr>
            </w:pPr>
            <w:r>
              <w:rPr>
                <w:rFonts w:ascii="Arial" w:cs="Arial" w:eastAsia="Arial" w:hAnsi="Arial"/>
                <w:sz w:val="18"/>
                <w:szCs w:val="18"/>
                <w:color w:val="auto"/>
              </w:rPr>
              <w:t>0.59</w:t>
            </w:r>
          </w:p>
        </w:tc>
      </w:tr>
      <w:tr>
        <w:trPr>
          <w:trHeight w:val="225"/>
        </w:trPr>
        <w:tc>
          <w:tcPr>
            <w:tcW w:w="5820" w:type="dxa"/>
            <w:vAlign w:val="bottom"/>
            <w:gridSpan w:val="2"/>
          </w:tcPr>
          <w:p>
            <w:pPr>
              <w:spacing w:after="0"/>
              <w:rPr>
                <w:sz w:val="20"/>
                <w:szCs w:val="20"/>
                <w:color w:val="auto"/>
              </w:rPr>
            </w:pPr>
            <w:r>
              <w:rPr>
                <w:rFonts w:ascii="Arial" w:cs="Arial" w:eastAsia="Arial" w:hAnsi="Arial"/>
                <w:sz w:val="18"/>
                <w:szCs w:val="18"/>
                <w:b w:val="1"/>
                <w:bCs w:val="1"/>
                <w:color w:val="939598"/>
              </w:rPr>
              <w:t>Balance Sheet Data</w:t>
            </w:r>
          </w:p>
        </w:tc>
        <w:tc>
          <w:tcPr>
            <w:tcW w:w="100" w:type="dxa"/>
            <w:vAlign w:val="bottom"/>
            <w:shd w:val="clear" w:color="auto" w:fill="E3F1DA"/>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03"/>
        </w:trPr>
        <w:tc>
          <w:tcPr>
            <w:tcW w:w="5820" w:type="dxa"/>
            <w:vAlign w:val="bottom"/>
            <w:gridSpan w:val="2"/>
          </w:tcPr>
          <w:p>
            <w:pPr>
              <w:spacing w:after="0" w:line="202" w:lineRule="exact"/>
              <w:rPr>
                <w:sz w:val="20"/>
                <w:szCs w:val="20"/>
                <w:color w:val="auto"/>
              </w:rPr>
            </w:pPr>
            <w:r>
              <w:rPr>
                <w:rFonts w:ascii="Arial" w:cs="Arial" w:eastAsia="Arial" w:hAnsi="Arial"/>
                <w:sz w:val="18"/>
                <w:szCs w:val="18"/>
                <w:color w:val="auto"/>
              </w:rPr>
              <w:t>Total assets</w:t>
            </w:r>
          </w:p>
        </w:tc>
        <w:tc>
          <w:tcPr>
            <w:tcW w:w="100" w:type="dxa"/>
            <w:vAlign w:val="bottom"/>
            <w:shd w:val="clear" w:color="auto" w:fill="E3F1DA"/>
          </w:tcPr>
          <w:p>
            <w:pPr>
              <w:jc w:val="right"/>
              <w:spacing w:after="0" w:line="202" w:lineRule="exact"/>
              <w:rPr>
                <w:sz w:val="20"/>
                <w:szCs w:val="20"/>
                <w:color w:val="auto"/>
              </w:rPr>
            </w:pPr>
            <w:r>
              <w:rPr>
                <w:rFonts w:ascii="Arial" w:cs="Arial" w:eastAsia="Arial" w:hAnsi="Arial"/>
                <w:sz w:val="18"/>
                <w:szCs w:val="18"/>
                <w:color w:val="86B6A5"/>
                <w:w w:val="79"/>
              </w:rPr>
              <w:t>$</w:t>
            </w:r>
          </w:p>
        </w:tc>
        <w:tc>
          <w:tcPr>
            <w:tcW w:w="1020" w:type="dxa"/>
            <w:vAlign w:val="bottom"/>
          </w:tcPr>
          <w:p>
            <w:pPr>
              <w:jc w:val="right"/>
              <w:ind w:right="131"/>
              <w:spacing w:after="0" w:line="202" w:lineRule="exact"/>
              <w:rPr>
                <w:sz w:val="20"/>
                <w:szCs w:val="20"/>
                <w:color w:val="auto"/>
              </w:rPr>
            </w:pPr>
            <w:r>
              <w:rPr>
                <w:rFonts w:ascii="Arial" w:cs="Arial" w:eastAsia="Arial" w:hAnsi="Arial"/>
                <w:sz w:val="18"/>
                <w:szCs w:val="18"/>
                <w:color w:val="86B6A5"/>
              </w:rPr>
              <w:t>6,729.7</w:t>
            </w: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tcPr>
          <w:p>
            <w:pPr>
              <w:jc w:val="right"/>
              <w:ind w:right="51"/>
              <w:spacing w:after="0" w:line="202" w:lineRule="exact"/>
              <w:rPr>
                <w:sz w:val="20"/>
                <w:szCs w:val="20"/>
                <w:color w:val="auto"/>
              </w:rPr>
            </w:pPr>
            <w:r>
              <w:rPr>
                <w:rFonts w:ascii="Arial" w:cs="Arial" w:eastAsia="Arial" w:hAnsi="Arial"/>
                <w:sz w:val="18"/>
                <w:szCs w:val="18"/>
                <w:color w:val="auto"/>
              </w:rPr>
              <w:t>6,213.8</w:t>
            </w:r>
          </w:p>
        </w:tc>
        <w:tc>
          <w:tcPr>
            <w:tcW w:w="2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80" w:type="dxa"/>
            <w:vAlign w:val="bottom"/>
          </w:tcPr>
          <w:p>
            <w:pPr>
              <w:jc w:val="right"/>
              <w:ind w:right="31"/>
              <w:spacing w:after="0" w:line="202" w:lineRule="exact"/>
              <w:rPr>
                <w:sz w:val="20"/>
                <w:szCs w:val="20"/>
                <w:color w:val="auto"/>
              </w:rPr>
            </w:pPr>
            <w:r>
              <w:rPr>
                <w:rFonts w:ascii="Arial" w:cs="Arial" w:eastAsia="Arial" w:hAnsi="Arial"/>
                <w:sz w:val="18"/>
                <w:szCs w:val="18"/>
                <w:color w:val="auto"/>
              </w:rPr>
              <w:t>6,622.2</w:t>
            </w:r>
          </w:p>
        </w:tc>
        <w:tc>
          <w:tcPr>
            <w:tcW w:w="2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ind w:right="31"/>
              <w:spacing w:after="0" w:line="202" w:lineRule="exact"/>
              <w:rPr>
                <w:sz w:val="20"/>
                <w:szCs w:val="20"/>
                <w:color w:val="auto"/>
              </w:rPr>
            </w:pPr>
            <w:r>
              <w:rPr>
                <w:rFonts w:ascii="Arial" w:cs="Arial" w:eastAsia="Arial" w:hAnsi="Arial"/>
                <w:sz w:val="18"/>
                <w:szCs w:val="18"/>
                <w:color w:val="auto"/>
              </w:rPr>
              <w:t>7,226.9</w:t>
            </w:r>
          </w:p>
        </w:tc>
        <w:tc>
          <w:tcPr>
            <w:tcW w:w="2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6,514.1</w:t>
            </w:r>
          </w:p>
        </w:tc>
      </w:tr>
      <w:tr>
        <w:trPr>
          <w:trHeight w:val="203"/>
        </w:trPr>
        <w:tc>
          <w:tcPr>
            <w:tcW w:w="5820" w:type="dxa"/>
            <w:vAlign w:val="bottom"/>
            <w:gridSpan w:val="2"/>
          </w:tcPr>
          <w:p>
            <w:pPr>
              <w:spacing w:after="0" w:line="203" w:lineRule="exact"/>
              <w:rPr>
                <w:sz w:val="20"/>
                <w:szCs w:val="20"/>
                <w:color w:val="auto"/>
              </w:rPr>
            </w:pPr>
            <w:r>
              <w:rPr>
                <w:rFonts w:ascii="Arial" w:cs="Arial" w:eastAsia="Arial" w:hAnsi="Arial"/>
                <w:sz w:val="18"/>
                <w:szCs w:val="18"/>
                <w:color w:val="auto"/>
              </w:rPr>
              <w:t>Long-term debt</w:t>
            </w:r>
          </w:p>
        </w:tc>
        <w:tc>
          <w:tcPr>
            <w:tcW w:w="100" w:type="dxa"/>
            <w:vAlign w:val="bottom"/>
            <w:shd w:val="clear" w:color="auto" w:fill="E3F1DA"/>
          </w:tcPr>
          <w:p>
            <w:pPr>
              <w:spacing w:after="0"/>
              <w:rPr>
                <w:sz w:val="17"/>
                <w:szCs w:val="17"/>
                <w:color w:val="auto"/>
              </w:rPr>
            </w:pPr>
          </w:p>
        </w:tc>
        <w:tc>
          <w:tcPr>
            <w:tcW w:w="1020" w:type="dxa"/>
            <w:vAlign w:val="bottom"/>
          </w:tcPr>
          <w:p>
            <w:pPr>
              <w:jc w:val="right"/>
              <w:ind w:right="131"/>
              <w:spacing w:after="0" w:line="203" w:lineRule="exact"/>
              <w:rPr>
                <w:sz w:val="20"/>
                <w:szCs w:val="20"/>
                <w:color w:val="auto"/>
              </w:rPr>
            </w:pPr>
            <w:r>
              <w:rPr>
                <w:rFonts w:ascii="Arial" w:cs="Arial" w:eastAsia="Arial" w:hAnsi="Arial"/>
                <w:sz w:val="18"/>
                <w:szCs w:val="18"/>
                <w:color w:val="86B6A5"/>
              </w:rPr>
              <w:t>669.3</w:t>
            </w:r>
          </w:p>
        </w:tc>
        <w:tc>
          <w:tcPr>
            <w:tcW w:w="140" w:type="dxa"/>
            <w:vAlign w:val="bottom"/>
          </w:tcPr>
          <w:p>
            <w:pPr>
              <w:spacing w:after="0"/>
              <w:rPr>
                <w:sz w:val="17"/>
                <w:szCs w:val="17"/>
                <w:color w:val="auto"/>
              </w:rPr>
            </w:pPr>
          </w:p>
        </w:tc>
        <w:tc>
          <w:tcPr>
            <w:tcW w:w="900" w:type="dxa"/>
            <w:vAlign w:val="bottom"/>
          </w:tcPr>
          <w:p>
            <w:pPr>
              <w:jc w:val="right"/>
              <w:ind w:right="51"/>
              <w:spacing w:after="0" w:line="203" w:lineRule="exact"/>
              <w:rPr>
                <w:sz w:val="20"/>
                <w:szCs w:val="20"/>
                <w:color w:val="auto"/>
              </w:rPr>
            </w:pPr>
            <w:r>
              <w:rPr>
                <w:rFonts w:ascii="Arial" w:cs="Arial" w:eastAsia="Arial" w:hAnsi="Arial"/>
                <w:sz w:val="18"/>
                <w:szCs w:val="18"/>
                <w:color w:val="auto"/>
              </w:rPr>
              <w:t>715.6</w:t>
            </w:r>
          </w:p>
        </w:tc>
        <w:tc>
          <w:tcPr>
            <w:tcW w:w="220" w:type="dxa"/>
            <w:vAlign w:val="bottom"/>
          </w:tcPr>
          <w:p>
            <w:pPr>
              <w:spacing w:after="0"/>
              <w:rPr>
                <w:sz w:val="17"/>
                <w:szCs w:val="17"/>
                <w:color w:val="auto"/>
              </w:rPr>
            </w:pPr>
          </w:p>
        </w:tc>
        <w:tc>
          <w:tcPr>
            <w:tcW w:w="880" w:type="dxa"/>
            <w:vAlign w:val="bottom"/>
          </w:tcPr>
          <w:p>
            <w:pPr>
              <w:jc w:val="right"/>
              <w:ind w:right="31"/>
              <w:spacing w:after="0" w:line="203" w:lineRule="exact"/>
              <w:rPr>
                <w:sz w:val="20"/>
                <w:szCs w:val="20"/>
                <w:color w:val="auto"/>
              </w:rPr>
            </w:pPr>
            <w:r>
              <w:rPr>
                <w:rFonts w:ascii="Arial" w:cs="Arial" w:eastAsia="Arial" w:hAnsi="Arial"/>
                <w:sz w:val="18"/>
                <w:szCs w:val="18"/>
                <w:color w:val="auto"/>
              </w:rPr>
              <w:t>837.3</w:t>
            </w:r>
          </w:p>
        </w:tc>
        <w:tc>
          <w:tcPr>
            <w:tcW w:w="260" w:type="dxa"/>
            <w:vAlign w:val="bottom"/>
          </w:tcPr>
          <w:p>
            <w:pPr>
              <w:spacing w:after="0"/>
              <w:rPr>
                <w:sz w:val="17"/>
                <w:szCs w:val="17"/>
                <w:color w:val="auto"/>
              </w:rPr>
            </w:pPr>
          </w:p>
        </w:tc>
        <w:tc>
          <w:tcPr>
            <w:tcW w:w="860" w:type="dxa"/>
            <w:vAlign w:val="bottom"/>
          </w:tcPr>
          <w:p>
            <w:pPr>
              <w:jc w:val="right"/>
              <w:ind w:right="31"/>
              <w:spacing w:after="0" w:line="203" w:lineRule="exact"/>
              <w:rPr>
                <w:sz w:val="20"/>
                <w:szCs w:val="20"/>
                <w:color w:val="auto"/>
              </w:rPr>
            </w:pPr>
            <w:r>
              <w:rPr>
                <w:rFonts w:ascii="Arial" w:cs="Arial" w:eastAsia="Arial" w:hAnsi="Arial"/>
                <w:sz w:val="18"/>
                <w:szCs w:val="18"/>
                <w:color w:val="auto"/>
              </w:rPr>
              <w:t>874.8</w:t>
            </w:r>
          </w:p>
        </w:tc>
        <w:tc>
          <w:tcPr>
            <w:tcW w:w="26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Arial" w:cs="Arial" w:eastAsia="Arial" w:hAnsi="Arial"/>
                <w:sz w:val="18"/>
                <w:szCs w:val="18"/>
                <w:color w:val="auto"/>
              </w:rPr>
              <w:t>791.2</w:t>
            </w:r>
          </w:p>
        </w:tc>
      </w:tr>
      <w:tr>
        <w:trPr>
          <w:trHeight w:val="27"/>
        </w:trPr>
        <w:tc>
          <w:tcPr>
            <w:tcW w:w="20" w:type="dxa"/>
            <w:vAlign w:val="bottom"/>
          </w:tcPr>
          <w:p>
            <w:pPr>
              <w:spacing w:after="0"/>
              <w:rPr>
                <w:sz w:val="2"/>
                <w:szCs w:val="2"/>
                <w:color w:val="auto"/>
              </w:rPr>
            </w:pPr>
          </w:p>
        </w:tc>
        <w:tc>
          <w:tcPr>
            <w:tcW w:w="5800" w:type="dxa"/>
            <w:vAlign w:val="bottom"/>
            <w:shd w:val="clear" w:color="auto" w:fill="939598"/>
          </w:tcPr>
          <w:p>
            <w:pPr>
              <w:spacing w:after="0"/>
              <w:rPr>
                <w:sz w:val="2"/>
                <w:szCs w:val="2"/>
                <w:color w:val="auto"/>
              </w:rPr>
            </w:pPr>
          </w:p>
        </w:tc>
        <w:tc>
          <w:tcPr>
            <w:tcW w:w="100" w:type="dxa"/>
            <w:vAlign w:val="bottom"/>
            <w:shd w:val="clear" w:color="auto" w:fill="939598"/>
          </w:tcPr>
          <w:p>
            <w:pPr>
              <w:spacing w:after="0"/>
              <w:rPr>
                <w:sz w:val="2"/>
                <w:szCs w:val="2"/>
                <w:color w:val="auto"/>
              </w:rPr>
            </w:pPr>
          </w:p>
        </w:tc>
        <w:tc>
          <w:tcPr>
            <w:tcW w:w="1020" w:type="dxa"/>
            <w:vAlign w:val="bottom"/>
            <w:shd w:val="clear" w:color="auto" w:fill="939598"/>
          </w:tcPr>
          <w:p>
            <w:pPr>
              <w:spacing w:after="0"/>
              <w:rPr>
                <w:sz w:val="2"/>
                <w:szCs w:val="2"/>
                <w:color w:val="auto"/>
              </w:rPr>
            </w:pPr>
          </w:p>
        </w:tc>
        <w:tc>
          <w:tcPr>
            <w:tcW w:w="140" w:type="dxa"/>
            <w:vAlign w:val="bottom"/>
            <w:shd w:val="clear" w:color="auto" w:fill="939598"/>
          </w:tcPr>
          <w:p>
            <w:pPr>
              <w:spacing w:after="0"/>
              <w:rPr>
                <w:sz w:val="2"/>
                <w:szCs w:val="2"/>
                <w:color w:val="auto"/>
              </w:rPr>
            </w:pPr>
          </w:p>
        </w:tc>
        <w:tc>
          <w:tcPr>
            <w:tcW w:w="900" w:type="dxa"/>
            <w:vAlign w:val="bottom"/>
            <w:shd w:val="clear" w:color="auto" w:fill="939598"/>
          </w:tcPr>
          <w:p>
            <w:pPr>
              <w:spacing w:after="0"/>
              <w:rPr>
                <w:sz w:val="2"/>
                <w:szCs w:val="2"/>
                <w:color w:val="auto"/>
              </w:rPr>
            </w:pPr>
          </w:p>
        </w:tc>
        <w:tc>
          <w:tcPr>
            <w:tcW w:w="220" w:type="dxa"/>
            <w:vAlign w:val="bottom"/>
            <w:shd w:val="clear" w:color="auto" w:fill="939598"/>
          </w:tcPr>
          <w:p>
            <w:pPr>
              <w:spacing w:after="0"/>
              <w:rPr>
                <w:sz w:val="2"/>
                <w:szCs w:val="2"/>
                <w:color w:val="auto"/>
              </w:rPr>
            </w:pPr>
          </w:p>
        </w:tc>
        <w:tc>
          <w:tcPr>
            <w:tcW w:w="880" w:type="dxa"/>
            <w:vAlign w:val="bottom"/>
            <w:shd w:val="clear" w:color="auto" w:fill="939598"/>
          </w:tcPr>
          <w:p>
            <w:pPr>
              <w:spacing w:after="0"/>
              <w:rPr>
                <w:sz w:val="2"/>
                <w:szCs w:val="2"/>
                <w:color w:val="auto"/>
              </w:rPr>
            </w:pPr>
          </w:p>
        </w:tc>
        <w:tc>
          <w:tcPr>
            <w:tcW w:w="260" w:type="dxa"/>
            <w:vAlign w:val="bottom"/>
            <w:shd w:val="clear" w:color="auto" w:fill="939598"/>
          </w:tcPr>
          <w:p>
            <w:pPr>
              <w:spacing w:after="0"/>
              <w:rPr>
                <w:sz w:val="2"/>
                <w:szCs w:val="2"/>
                <w:color w:val="auto"/>
              </w:rPr>
            </w:pPr>
          </w:p>
        </w:tc>
        <w:tc>
          <w:tcPr>
            <w:tcW w:w="860" w:type="dxa"/>
            <w:vAlign w:val="bottom"/>
            <w:shd w:val="clear" w:color="auto" w:fill="939598"/>
          </w:tcPr>
          <w:p>
            <w:pPr>
              <w:spacing w:after="0"/>
              <w:rPr>
                <w:sz w:val="2"/>
                <w:szCs w:val="2"/>
                <w:color w:val="auto"/>
              </w:rPr>
            </w:pPr>
          </w:p>
        </w:tc>
        <w:tc>
          <w:tcPr>
            <w:tcW w:w="260" w:type="dxa"/>
            <w:vAlign w:val="bottom"/>
            <w:shd w:val="clear" w:color="auto" w:fill="939598"/>
          </w:tcPr>
          <w:p>
            <w:pPr>
              <w:spacing w:after="0"/>
              <w:rPr>
                <w:sz w:val="2"/>
                <w:szCs w:val="2"/>
                <w:color w:val="auto"/>
              </w:rPr>
            </w:pPr>
          </w:p>
        </w:tc>
        <w:tc>
          <w:tcPr>
            <w:tcW w:w="740" w:type="dxa"/>
            <w:vAlign w:val="bottom"/>
            <w:shd w:val="clear" w:color="auto" w:fill="939598"/>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3761105</wp:posOffset>
            </wp:positionH>
            <wp:positionV relativeFrom="paragraph">
              <wp:posOffset>-1431290</wp:posOffset>
            </wp:positionV>
            <wp:extent cx="643255" cy="142367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43255" cy="1423670"/>
                    </a:xfrm>
                    <a:prstGeom prst="rect">
                      <a:avLst/>
                    </a:prstGeom>
                    <a:noFill/>
                  </pic:spPr>
                </pic:pic>
              </a:graphicData>
            </a:graphic>
          </wp:anchor>
        </w:drawing>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The Notes to Consolidated Financial Statements should be read in conjunction with the above summary.</w:t>
      </w:r>
    </w:p>
    <w:p>
      <w:pPr>
        <w:spacing w:after="0" w:line="215" w:lineRule="exact"/>
        <w:rPr>
          <w:sz w:val="20"/>
          <w:szCs w:val="20"/>
          <w:color w:val="auto"/>
        </w:rPr>
      </w:pPr>
    </w:p>
    <w:p>
      <w:pPr>
        <w:spacing w:after="0"/>
        <w:rPr>
          <w:sz w:val="20"/>
          <w:szCs w:val="20"/>
          <w:color w:val="auto"/>
        </w:rPr>
      </w:pPr>
      <w:r>
        <w:rPr>
          <w:rFonts w:ascii="Arial" w:cs="Arial" w:eastAsia="Arial" w:hAnsi="Arial"/>
          <w:sz w:val="24"/>
          <w:szCs w:val="24"/>
          <w:color w:val="86B6A5"/>
        </w:rPr>
        <w:t>Performance Graph</w:t>
      </w:r>
    </w:p>
    <w:p>
      <w:pPr>
        <w:spacing w:after="0" w:line="227"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Set forth below is a graph for the periods ending December 31, 2005-2010 comparing the cumulative total shareholder return on our common stock with the cumulative total return of companies in the Standard &amp; Poor’s 400 Midcap Stock Index and the Standard &amp; Poor’s Supercomposite Human Resources and Employment Services Index. We are included in the Standard &amp; Poor’s Supercomposite Human Resources and Employment Services Index and we estimate that we constituted approximately 29% of the total market capitalization of the companies included in the index. The graph assumes a $100 investment on December 31, 2005 in our common stock, the Standard &amp; Poor’s 400 Midcap Stock Index and the Standard &amp; Poor’s Supercomposite Human Resources and Employment Services Index and assumes the reinvestment of all 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5814695" cy="186944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814695" cy="18694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180" w:type="dxa"/>
        <w:tblCellMar>
          <w:top w:w="0" w:type="dxa"/>
          <w:left w:w="0" w:type="dxa"/>
          <w:bottom w:w="0" w:type="dxa"/>
          <w:right w:w="0" w:type="dxa"/>
        </w:tblCellMar>
      </w:tblPr>
      <w:tr>
        <w:trPr>
          <w:trHeight w:val="210"/>
        </w:trPr>
        <w:tc>
          <w:tcPr>
            <w:tcW w:w="4600" w:type="dxa"/>
            <w:vAlign w:val="bottom"/>
            <w:tcBorders>
              <w:bottom w:val="single" w:sz="8" w:color="86B6A5"/>
            </w:tcBorders>
          </w:tcPr>
          <w:p>
            <w:pPr>
              <w:spacing w:after="0"/>
              <w:rPr>
                <w:sz w:val="20"/>
                <w:szCs w:val="20"/>
                <w:color w:val="auto"/>
              </w:rPr>
            </w:pPr>
            <w:r>
              <w:rPr>
                <w:rFonts w:ascii="Arial" w:cs="Arial" w:eastAsia="Arial" w:hAnsi="Arial"/>
                <w:sz w:val="16"/>
                <w:szCs w:val="16"/>
                <w:b w:val="1"/>
                <w:bCs w:val="1"/>
                <w:color w:val="86B6A5"/>
              </w:rPr>
              <w:t>December 31</w:t>
            </w:r>
          </w:p>
        </w:tc>
        <w:tc>
          <w:tcPr>
            <w:tcW w:w="100" w:type="dxa"/>
            <w:vAlign w:val="bottom"/>
            <w:tcBorders>
              <w:bottom w:val="single" w:sz="8" w:color="86B6A5"/>
            </w:tcBorders>
            <w:shd w:val="clear" w:color="auto" w:fill="86B6A5"/>
          </w:tcPr>
          <w:p>
            <w:pPr>
              <w:spacing w:after="0"/>
              <w:rPr>
                <w:sz w:val="18"/>
                <w:szCs w:val="18"/>
                <w:color w:val="auto"/>
              </w:rPr>
            </w:pPr>
          </w:p>
        </w:tc>
        <w:tc>
          <w:tcPr>
            <w:tcW w:w="1000" w:type="dxa"/>
            <w:vAlign w:val="bottom"/>
            <w:tcBorders>
              <w:bottom w:val="single" w:sz="8" w:color="86B6A5"/>
            </w:tcBorders>
            <w:shd w:val="clear" w:color="auto" w:fill="86B6A5"/>
          </w:tcPr>
          <w:p>
            <w:pPr>
              <w:jc w:val="right"/>
              <w:ind w:right="132"/>
              <w:spacing w:after="0"/>
              <w:rPr>
                <w:sz w:val="20"/>
                <w:szCs w:val="20"/>
                <w:color w:val="auto"/>
              </w:rPr>
            </w:pPr>
            <w:r>
              <w:rPr>
                <w:rFonts w:ascii="Arial" w:cs="Arial" w:eastAsia="Arial" w:hAnsi="Arial"/>
                <w:sz w:val="16"/>
                <w:szCs w:val="16"/>
                <w:b w:val="1"/>
                <w:bCs w:val="1"/>
                <w:color w:val="FFFFFF"/>
              </w:rPr>
              <w:t>2010</w:t>
            </w:r>
          </w:p>
        </w:tc>
        <w:tc>
          <w:tcPr>
            <w:tcW w:w="320" w:type="dxa"/>
            <w:vAlign w:val="bottom"/>
            <w:tcBorders>
              <w:bottom w:val="single" w:sz="8" w:color="86B6A5"/>
            </w:tcBorders>
          </w:tcPr>
          <w:p>
            <w:pPr>
              <w:spacing w:after="0"/>
              <w:rPr>
                <w:sz w:val="18"/>
                <w:szCs w:val="18"/>
                <w:color w:val="auto"/>
              </w:rPr>
            </w:pPr>
          </w:p>
        </w:tc>
        <w:tc>
          <w:tcPr>
            <w:tcW w:w="680" w:type="dxa"/>
            <w:vAlign w:val="bottom"/>
            <w:tcBorders>
              <w:bottom w:val="single" w:sz="8" w:color="86B6A5"/>
            </w:tcBorders>
          </w:tcPr>
          <w:p>
            <w:pPr>
              <w:jc w:val="right"/>
              <w:ind w:right="12"/>
              <w:spacing w:after="0"/>
              <w:rPr>
                <w:sz w:val="20"/>
                <w:szCs w:val="20"/>
                <w:color w:val="auto"/>
              </w:rPr>
            </w:pPr>
            <w:r>
              <w:rPr>
                <w:rFonts w:ascii="Arial" w:cs="Arial" w:eastAsia="Arial" w:hAnsi="Arial"/>
                <w:sz w:val="16"/>
                <w:szCs w:val="16"/>
                <w:b w:val="1"/>
                <w:bCs w:val="1"/>
                <w:color w:val="86B6A5"/>
              </w:rPr>
              <w:t>2009</w:t>
            </w:r>
          </w:p>
        </w:tc>
        <w:tc>
          <w:tcPr>
            <w:tcW w:w="420" w:type="dxa"/>
            <w:vAlign w:val="bottom"/>
            <w:tcBorders>
              <w:bottom w:val="single" w:sz="8" w:color="86B6A5"/>
            </w:tcBorders>
          </w:tcPr>
          <w:p>
            <w:pPr>
              <w:spacing w:after="0"/>
              <w:rPr>
                <w:sz w:val="18"/>
                <w:szCs w:val="18"/>
                <w:color w:val="auto"/>
              </w:rPr>
            </w:pPr>
          </w:p>
        </w:tc>
        <w:tc>
          <w:tcPr>
            <w:tcW w:w="680" w:type="dxa"/>
            <w:vAlign w:val="bottom"/>
            <w:tcBorders>
              <w:bottom w:val="single" w:sz="8" w:color="86B6A5"/>
            </w:tcBorders>
          </w:tcPr>
          <w:p>
            <w:pPr>
              <w:jc w:val="right"/>
              <w:ind w:right="12"/>
              <w:spacing w:after="0"/>
              <w:rPr>
                <w:sz w:val="20"/>
                <w:szCs w:val="20"/>
                <w:color w:val="auto"/>
              </w:rPr>
            </w:pPr>
            <w:r>
              <w:rPr>
                <w:rFonts w:ascii="Arial" w:cs="Arial" w:eastAsia="Arial" w:hAnsi="Arial"/>
                <w:sz w:val="16"/>
                <w:szCs w:val="16"/>
                <w:b w:val="1"/>
                <w:bCs w:val="1"/>
                <w:color w:val="86B6A5"/>
              </w:rPr>
              <w:t>2008</w:t>
            </w:r>
          </w:p>
        </w:tc>
        <w:tc>
          <w:tcPr>
            <w:tcW w:w="440" w:type="dxa"/>
            <w:vAlign w:val="bottom"/>
            <w:tcBorders>
              <w:bottom w:val="single" w:sz="8" w:color="86B6A5"/>
            </w:tcBorders>
          </w:tcPr>
          <w:p>
            <w:pPr>
              <w:spacing w:after="0"/>
              <w:rPr>
                <w:sz w:val="18"/>
                <w:szCs w:val="18"/>
                <w:color w:val="auto"/>
              </w:rPr>
            </w:pPr>
          </w:p>
        </w:tc>
        <w:tc>
          <w:tcPr>
            <w:tcW w:w="680" w:type="dxa"/>
            <w:vAlign w:val="bottom"/>
            <w:tcBorders>
              <w:bottom w:val="single" w:sz="8" w:color="86B6A5"/>
            </w:tcBorders>
          </w:tcPr>
          <w:p>
            <w:pPr>
              <w:jc w:val="right"/>
              <w:ind w:right="32"/>
              <w:spacing w:after="0"/>
              <w:rPr>
                <w:sz w:val="20"/>
                <w:szCs w:val="20"/>
                <w:color w:val="auto"/>
              </w:rPr>
            </w:pPr>
            <w:r>
              <w:rPr>
                <w:rFonts w:ascii="Arial" w:cs="Arial" w:eastAsia="Arial" w:hAnsi="Arial"/>
                <w:sz w:val="16"/>
                <w:szCs w:val="16"/>
                <w:b w:val="1"/>
                <w:bCs w:val="1"/>
                <w:color w:val="86B6A5"/>
              </w:rPr>
              <w:t>2007</w:t>
            </w:r>
          </w:p>
        </w:tc>
        <w:tc>
          <w:tcPr>
            <w:tcW w:w="420" w:type="dxa"/>
            <w:vAlign w:val="bottom"/>
            <w:tcBorders>
              <w:bottom w:val="single" w:sz="8" w:color="86B6A5"/>
            </w:tcBorders>
          </w:tcPr>
          <w:p>
            <w:pPr>
              <w:spacing w:after="0"/>
              <w:rPr>
                <w:sz w:val="18"/>
                <w:szCs w:val="18"/>
                <w:color w:val="auto"/>
              </w:rPr>
            </w:pPr>
          </w:p>
        </w:tc>
        <w:tc>
          <w:tcPr>
            <w:tcW w:w="680" w:type="dxa"/>
            <w:vAlign w:val="bottom"/>
            <w:tcBorders>
              <w:bottom w:val="single" w:sz="8" w:color="86B6A5"/>
            </w:tcBorders>
          </w:tcPr>
          <w:p>
            <w:pPr>
              <w:jc w:val="right"/>
              <w:ind w:right="12"/>
              <w:spacing w:after="0"/>
              <w:rPr>
                <w:sz w:val="20"/>
                <w:szCs w:val="20"/>
                <w:color w:val="auto"/>
              </w:rPr>
            </w:pPr>
            <w:r>
              <w:rPr>
                <w:rFonts w:ascii="Arial" w:cs="Arial" w:eastAsia="Arial" w:hAnsi="Arial"/>
                <w:sz w:val="16"/>
                <w:szCs w:val="16"/>
                <w:b w:val="1"/>
                <w:bCs w:val="1"/>
                <w:color w:val="86B6A5"/>
              </w:rPr>
              <w:t>2006</w:t>
            </w:r>
          </w:p>
        </w:tc>
        <w:tc>
          <w:tcPr>
            <w:tcW w:w="420" w:type="dxa"/>
            <w:vAlign w:val="bottom"/>
            <w:tcBorders>
              <w:bottom w:val="single" w:sz="8" w:color="86B6A5"/>
            </w:tcBorders>
          </w:tcPr>
          <w:p>
            <w:pPr>
              <w:spacing w:after="0"/>
              <w:rPr>
                <w:sz w:val="18"/>
                <w:szCs w:val="18"/>
                <w:color w:val="auto"/>
              </w:rPr>
            </w:pPr>
          </w:p>
        </w:tc>
        <w:tc>
          <w:tcPr>
            <w:tcW w:w="580" w:type="dxa"/>
            <w:vAlign w:val="bottom"/>
            <w:tcBorders>
              <w:bottom w:val="single" w:sz="8" w:color="86B6A5"/>
            </w:tcBorders>
          </w:tcPr>
          <w:p>
            <w:pPr>
              <w:jc w:val="right"/>
              <w:spacing w:after="0"/>
              <w:rPr>
                <w:sz w:val="20"/>
                <w:szCs w:val="20"/>
                <w:color w:val="auto"/>
              </w:rPr>
            </w:pPr>
            <w:r>
              <w:rPr>
                <w:rFonts w:ascii="Arial" w:cs="Arial" w:eastAsia="Arial" w:hAnsi="Arial"/>
                <w:sz w:val="16"/>
                <w:szCs w:val="16"/>
                <w:b w:val="1"/>
                <w:bCs w:val="1"/>
                <w:color w:val="86B6A5"/>
              </w:rPr>
              <w:t>2005</w:t>
            </w:r>
          </w:p>
        </w:tc>
      </w:tr>
      <w:tr>
        <w:trPr>
          <w:trHeight w:val="202"/>
        </w:trPr>
        <w:tc>
          <w:tcPr>
            <w:tcW w:w="4600" w:type="dxa"/>
            <w:vAlign w:val="bottom"/>
          </w:tcPr>
          <w:p>
            <w:pPr>
              <w:spacing w:after="0" w:line="201" w:lineRule="exact"/>
              <w:rPr>
                <w:sz w:val="20"/>
                <w:szCs w:val="20"/>
                <w:color w:val="auto"/>
              </w:rPr>
            </w:pPr>
            <w:r>
              <w:rPr>
                <w:rFonts w:ascii="Arial" w:cs="Arial" w:eastAsia="Arial" w:hAnsi="Arial"/>
                <w:sz w:val="18"/>
                <w:szCs w:val="18"/>
                <w:color w:val="auto"/>
              </w:rPr>
              <w:t>Manpower</w:t>
            </w:r>
          </w:p>
        </w:tc>
        <w:tc>
          <w:tcPr>
            <w:tcW w:w="100" w:type="dxa"/>
            <w:vAlign w:val="bottom"/>
            <w:shd w:val="clear" w:color="auto" w:fill="E3F1DA"/>
          </w:tcPr>
          <w:p>
            <w:pPr>
              <w:jc w:val="right"/>
              <w:spacing w:after="0" w:line="201" w:lineRule="exact"/>
              <w:rPr>
                <w:sz w:val="20"/>
                <w:szCs w:val="20"/>
                <w:color w:val="auto"/>
              </w:rPr>
            </w:pPr>
            <w:r>
              <w:rPr>
                <w:rFonts w:ascii="Arial" w:cs="Arial" w:eastAsia="Arial" w:hAnsi="Arial"/>
                <w:sz w:val="18"/>
                <w:szCs w:val="18"/>
                <w:color w:val="86B6A5"/>
                <w:w w:val="79"/>
              </w:rPr>
              <w:t>$</w:t>
            </w:r>
          </w:p>
        </w:tc>
        <w:tc>
          <w:tcPr>
            <w:tcW w:w="1000" w:type="dxa"/>
            <w:vAlign w:val="bottom"/>
            <w:shd w:val="clear" w:color="auto" w:fill="E3F1DA"/>
          </w:tcPr>
          <w:p>
            <w:pPr>
              <w:jc w:val="right"/>
              <w:ind w:right="132"/>
              <w:spacing w:after="0" w:line="201" w:lineRule="exact"/>
              <w:rPr>
                <w:sz w:val="20"/>
                <w:szCs w:val="20"/>
                <w:color w:val="auto"/>
              </w:rPr>
            </w:pPr>
            <w:r>
              <w:rPr>
                <w:rFonts w:ascii="Arial" w:cs="Arial" w:eastAsia="Arial" w:hAnsi="Arial"/>
                <w:sz w:val="18"/>
                <w:szCs w:val="18"/>
                <w:color w:val="86B6A5"/>
              </w:rPr>
              <w:t>135</w:t>
            </w:r>
          </w:p>
        </w:tc>
        <w:tc>
          <w:tcPr>
            <w:tcW w:w="320" w:type="dxa"/>
            <w:vAlign w:val="bottom"/>
          </w:tcPr>
          <w:p>
            <w:pPr>
              <w:jc w:val="right"/>
              <w:ind w:right="130"/>
              <w:spacing w:after="0" w:line="201" w:lineRule="exact"/>
              <w:rPr>
                <w:sz w:val="20"/>
                <w:szCs w:val="20"/>
                <w:color w:val="auto"/>
              </w:rPr>
            </w:pPr>
            <w:r>
              <w:rPr>
                <w:rFonts w:ascii="Arial" w:cs="Arial" w:eastAsia="Arial" w:hAnsi="Arial"/>
                <w:sz w:val="18"/>
                <w:szCs w:val="18"/>
                <w:color w:val="auto"/>
                <w:w w:val="79"/>
              </w:rPr>
              <w:t>$</w:t>
            </w:r>
          </w:p>
        </w:tc>
        <w:tc>
          <w:tcPr>
            <w:tcW w:w="680" w:type="dxa"/>
            <w:vAlign w:val="bottom"/>
          </w:tcPr>
          <w:p>
            <w:pPr>
              <w:jc w:val="right"/>
              <w:ind w:right="12"/>
              <w:spacing w:after="0" w:line="201" w:lineRule="exact"/>
              <w:rPr>
                <w:sz w:val="20"/>
                <w:szCs w:val="20"/>
                <w:color w:val="auto"/>
              </w:rPr>
            </w:pPr>
            <w:r>
              <w:rPr>
                <w:rFonts w:ascii="Arial" w:cs="Arial" w:eastAsia="Arial" w:hAnsi="Arial"/>
                <w:sz w:val="18"/>
                <w:szCs w:val="18"/>
                <w:color w:val="auto"/>
              </w:rPr>
              <w:t>117</w:t>
            </w:r>
          </w:p>
        </w:tc>
        <w:tc>
          <w:tcPr>
            <w:tcW w:w="420" w:type="dxa"/>
            <w:vAlign w:val="bottom"/>
          </w:tcPr>
          <w:p>
            <w:pPr>
              <w:jc w:val="right"/>
              <w:ind w:right="110"/>
              <w:spacing w:after="0" w:line="201"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12"/>
              <w:spacing w:after="0" w:line="201" w:lineRule="exact"/>
              <w:rPr>
                <w:sz w:val="20"/>
                <w:szCs w:val="20"/>
                <w:color w:val="auto"/>
              </w:rPr>
            </w:pPr>
            <w:r>
              <w:rPr>
                <w:rFonts w:ascii="Arial" w:cs="Arial" w:eastAsia="Arial" w:hAnsi="Arial"/>
                <w:sz w:val="18"/>
                <w:szCs w:val="18"/>
                <w:color w:val="auto"/>
              </w:rPr>
              <w:t>73</w:t>
            </w:r>
          </w:p>
        </w:tc>
        <w:tc>
          <w:tcPr>
            <w:tcW w:w="440" w:type="dxa"/>
            <w:vAlign w:val="bottom"/>
          </w:tcPr>
          <w:p>
            <w:pPr>
              <w:jc w:val="right"/>
              <w:ind w:right="130"/>
              <w:spacing w:after="0" w:line="201"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32"/>
              <w:spacing w:after="0" w:line="201" w:lineRule="exact"/>
              <w:rPr>
                <w:sz w:val="20"/>
                <w:szCs w:val="20"/>
                <w:color w:val="auto"/>
              </w:rPr>
            </w:pPr>
            <w:r>
              <w:rPr>
                <w:rFonts w:ascii="Arial" w:cs="Arial" w:eastAsia="Arial" w:hAnsi="Arial"/>
                <w:sz w:val="18"/>
                <w:szCs w:val="18"/>
                <w:color w:val="auto"/>
              </w:rPr>
              <w:t>122</w:t>
            </w:r>
          </w:p>
        </w:tc>
        <w:tc>
          <w:tcPr>
            <w:tcW w:w="420" w:type="dxa"/>
            <w:vAlign w:val="bottom"/>
          </w:tcPr>
          <w:p>
            <w:pPr>
              <w:jc w:val="right"/>
              <w:ind w:right="130"/>
              <w:spacing w:after="0" w:line="201"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12"/>
              <w:spacing w:after="0" w:line="201" w:lineRule="exact"/>
              <w:rPr>
                <w:sz w:val="20"/>
                <w:szCs w:val="20"/>
                <w:color w:val="auto"/>
              </w:rPr>
            </w:pPr>
            <w:r>
              <w:rPr>
                <w:rFonts w:ascii="Arial" w:cs="Arial" w:eastAsia="Arial" w:hAnsi="Arial"/>
                <w:sz w:val="18"/>
                <w:szCs w:val="18"/>
                <w:color w:val="auto"/>
              </w:rPr>
              <w:t>161</w:t>
            </w:r>
          </w:p>
        </w:tc>
        <w:tc>
          <w:tcPr>
            <w:tcW w:w="420" w:type="dxa"/>
            <w:vAlign w:val="bottom"/>
          </w:tcPr>
          <w:p>
            <w:pPr>
              <w:jc w:val="right"/>
              <w:ind w:right="110"/>
              <w:spacing w:after="0" w:line="201" w:lineRule="exact"/>
              <w:rPr>
                <w:sz w:val="20"/>
                <w:szCs w:val="20"/>
                <w:color w:val="auto"/>
              </w:rPr>
            </w:pPr>
            <w:r>
              <w:rPr>
                <w:rFonts w:ascii="Arial" w:cs="Arial" w:eastAsia="Arial" w:hAnsi="Arial"/>
                <w:sz w:val="18"/>
                <w:szCs w:val="18"/>
                <w:color w:val="auto"/>
              </w:rPr>
              <w:t>$</w:t>
            </w:r>
          </w:p>
        </w:tc>
        <w:tc>
          <w:tcPr>
            <w:tcW w:w="580" w:type="dxa"/>
            <w:vAlign w:val="bottom"/>
          </w:tcPr>
          <w:p>
            <w:pPr>
              <w:jc w:val="right"/>
              <w:spacing w:after="0" w:line="201" w:lineRule="exact"/>
              <w:rPr>
                <w:sz w:val="20"/>
                <w:szCs w:val="20"/>
                <w:color w:val="auto"/>
              </w:rPr>
            </w:pPr>
            <w:r>
              <w:rPr>
                <w:rFonts w:ascii="Arial" w:cs="Arial" w:eastAsia="Arial" w:hAnsi="Arial"/>
                <w:sz w:val="18"/>
                <w:szCs w:val="18"/>
                <w:color w:val="auto"/>
              </w:rPr>
              <w:t>100</w:t>
            </w:r>
          </w:p>
        </w:tc>
      </w:tr>
      <w:tr>
        <w:trPr>
          <w:trHeight w:val="203"/>
        </w:trPr>
        <w:tc>
          <w:tcPr>
            <w:tcW w:w="4600" w:type="dxa"/>
            <w:vAlign w:val="bottom"/>
          </w:tcPr>
          <w:p>
            <w:pPr>
              <w:spacing w:after="0" w:line="202" w:lineRule="exact"/>
              <w:rPr>
                <w:sz w:val="20"/>
                <w:szCs w:val="20"/>
                <w:color w:val="auto"/>
              </w:rPr>
            </w:pPr>
            <w:r>
              <w:rPr>
                <w:rFonts w:ascii="Arial" w:cs="Arial" w:eastAsia="Arial" w:hAnsi="Arial"/>
                <w:sz w:val="18"/>
                <w:szCs w:val="18"/>
                <w:color w:val="auto"/>
              </w:rPr>
              <w:t>S&amp;P 400 Midcap Stock Index</w:t>
            </w:r>
          </w:p>
        </w:tc>
        <w:tc>
          <w:tcPr>
            <w:tcW w:w="100" w:type="dxa"/>
            <w:vAlign w:val="bottom"/>
            <w:shd w:val="clear" w:color="auto" w:fill="E3F1DA"/>
          </w:tcPr>
          <w:p>
            <w:pPr>
              <w:spacing w:after="0"/>
              <w:rPr>
                <w:sz w:val="17"/>
                <w:szCs w:val="17"/>
                <w:color w:val="auto"/>
              </w:rPr>
            </w:pPr>
          </w:p>
        </w:tc>
        <w:tc>
          <w:tcPr>
            <w:tcW w:w="1000" w:type="dxa"/>
            <w:vAlign w:val="bottom"/>
            <w:shd w:val="clear" w:color="auto" w:fill="E3F1DA"/>
          </w:tcPr>
          <w:p>
            <w:pPr>
              <w:jc w:val="right"/>
              <w:ind w:right="132"/>
              <w:spacing w:after="0" w:line="202" w:lineRule="exact"/>
              <w:rPr>
                <w:sz w:val="20"/>
                <w:szCs w:val="20"/>
                <w:color w:val="auto"/>
              </w:rPr>
            </w:pPr>
            <w:r>
              <w:rPr>
                <w:rFonts w:ascii="Arial" w:cs="Arial" w:eastAsia="Arial" w:hAnsi="Arial"/>
                <w:sz w:val="18"/>
                <w:szCs w:val="18"/>
                <w:color w:val="86B6A5"/>
              </w:rPr>
              <w:t>123</w:t>
            </w:r>
          </w:p>
        </w:tc>
        <w:tc>
          <w:tcPr>
            <w:tcW w:w="320" w:type="dxa"/>
            <w:vAlign w:val="bottom"/>
          </w:tcPr>
          <w:p>
            <w:pPr>
              <w:spacing w:after="0"/>
              <w:rPr>
                <w:sz w:val="17"/>
                <w:szCs w:val="17"/>
                <w:color w:val="auto"/>
              </w:rPr>
            </w:pPr>
          </w:p>
        </w:tc>
        <w:tc>
          <w:tcPr>
            <w:tcW w:w="680" w:type="dxa"/>
            <w:vAlign w:val="bottom"/>
          </w:tcPr>
          <w:p>
            <w:pPr>
              <w:jc w:val="right"/>
              <w:ind w:right="12"/>
              <w:spacing w:after="0" w:line="202" w:lineRule="exact"/>
              <w:rPr>
                <w:sz w:val="20"/>
                <w:szCs w:val="20"/>
                <w:color w:val="auto"/>
              </w:rPr>
            </w:pPr>
            <w:r>
              <w:rPr>
                <w:rFonts w:ascii="Arial" w:cs="Arial" w:eastAsia="Arial" w:hAnsi="Arial"/>
                <w:sz w:val="18"/>
                <w:szCs w:val="18"/>
                <w:color w:val="auto"/>
              </w:rPr>
              <w:t>98</w:t>
            </w:r>
          </w:p>
        </w:tc>
        <w:tc>
          <w:tcPr>
            <w:tcW w:w="420" w:type="dxa"/>
            <w:vAlign w:val="bottom"/>
          </w:tcPr>
          <w:p>
            <w:pPr>
              <w:spacing w:after="0"/>
              <w:rPr>
                <w:sz w:val="17"/>
                <w:szCs w:val="17"/>
                <w:color w:val="auto"/>
              </w:rPr>
            </w:pPr>
          </w:p>
        </w:tc>
        <w:tc>
          <w:tcPr>
            <w:tcW w:w="680" w:type="dxa"/>
            <w:vAlign w:val="bottom"/>
          </w:tcPr>
          <w:p>
            <w:pPr>
              <w:jc w:val="right"/>
              <w:ind w:right="12"/>
              <w:spacing w:after="0" w:line="202" w:lineRule="exact"/>
              <w:rPr>
                <w:sz w:val="20"/>
                <w:szCs w:val="20"/>
                <w:color w:val="auto"/>
              </w:rPr>
            </w:pPr>
            <w:r>
              <w:rPr>
                <w:rFonts w:ascii="Arial" w:cs="Arial" w:eastAsia="Arial" w:hAnsi="Arial"/>
                <w:sz w:val="18"/>
                <w:szCs w:val="18"/>
                <w:color w:val="auto"/>
              </w:rPr>
              <w:t>73</w:t>
            </w:r>
          </w:p>
        </w:tc>
        <w:tc>
          <w:tcPr>
            <w:tcW w:w="440" w:type="dxa"/>
            <w:vAlign w:val="bottom"/>
          </w:tcPr>
          <w:p>
            <w:pPr>
              <w:spacing w:after="0"/>
              <w:rPr>
                <w:sz w:val="17"/>
                <w:szCs w:val="17"/>
                <w:color w:val="auto"/>
              </w:rPr>
            </w:pPr>
          </w:p>
        </w:tc>
        <w:tc>
          <w:tcPr>
            <w:tcW w:w="680" w:type="dxa"/>
            <w:vAlign w:val="bottom"/>
          </w:tcPr>
          <w:p>
            <w:pPr>
              <w:jc w:val="right"/>
              <w:ind w:right="32"/>
              <w:spacing w:after="0" w:line="202" w:lineRule="exact"/>
              <w:rPr>
                <w:sz w:val="20"/>
                <w:szCs w:val="20"/>
                <w:color w:val="auto"/>
              </w:rPr>
            </w:pPr>
            <w:r>
              <w:rPr>
                <w:rFonts w:ascii="Arial" w:cs="Arial" w:eastAsia="Arial" w:hAnsi="Arial"/>
                <w:sz w:val="18"/>
                <w:szCs w:val="18"/>
                <w:color w:val="auto"/>
              </w:rPr>
              <w:t>116</w:t>
            </w:r>
          </w:p>
        </w:tc>
        <w:tc>
          <w:tcPr>
            <w:tcW w:w="420" w:type="dxa"/>
            <w:vAlign w:val="bottom"/>
          </w:tcPr>
          <w:p>
            <w:pPr>
              <w:spacing w:after="0"/>
              <w:rPr>
                <w:sz w:val="17"/>
                <w:szCs w:val="17"/>
                <w:color w:val="auto"/>
              </w:rPr>
            </w:pPr>
          </w:p>
        </w:tc>
        <w:tc>
          <w:tcPr>
            <w:tcW w:w="680" w:type="dxa"/>
            <w:vAlign w:val="bottom"/>
          </w:tcPr>
          <w:p>
            <w:pPr>
              <w:jc w:val="right"/>
              <w:ind w:right="12"/>
              <w:spacing w:after="0" w:line="202" w:lineRule="exact"/>
              <w:rPr>
                <w:sz w:val="20"/>
                <w:szCs w:val="20"/>
                <w:color w:val="auto"/>
              </w:rPr>
            </w:pPr>
            <w:r>
              <w:rPr>
                <w:rFonts w:ascii="Arial" w:cs="Arial" w:eastAsia="Arial" w:hAnsi="Arial"/>
                <w:sz w:val="18"/>
                <w:szCs w:val="18"/>
                <w:color w:val="auto"/>
              </w:rPr>
              <w:t>109</w:t>
            </w:r>
          </w:p>
        </w:tc>
        <w:tc>
          <w:tcPr>
            <w:tcW w:w="42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100</w:t>
            </w:r>
          </w:p>
        </w:tc>
      </w:tr>
      <w:tr>
        <w:trPr>
          <w:trHeight w:val="203"/>
        </w:trPr>
        <w:tc>
          <w:tcPr>
            <w:tcW w:w="4600" w:type="dxa"/>
            <w:vAlign w:val="bottom"/>
          </w:tcPr>
          <w:p>
            <w:pPr>
              <w:spacing w:after="0" w:line="202" w:lineRule="exact"/>
              <w:rPr>
                <w:sz w:val="20"/>
                <w:szCs w:val="20"/>
                <w:color w:val="auto"/>
              </w:rPr>
            </w:pPr>
            <w:r>
              <w:rPr>
                <w:rFonts w:ascii="Arial" w:cs="Arial" w:eastAsia="Arial" w:hAnsi="Arial"/>
                <w:sz w:val="18"/>
                <w:szCs w:val="18"/>
                <w:color w:val="auto"/>
              </w:rPr>
              <w:t>S&amp;P Supercomposite Human Resources and</w:t>
            </w:r>
          </w:p>
        </w:tc>
        <w:tc>
          <w:tcPr>
            <w:tcW w:w="100" w:type="dxa"/>
            <w:vAlign w:val="bottom"/>
            <w:shd w:val="clear" w:color="auto" w:fill="E3F1DA"/>
          </w:tcPr>
          <w:p>
            <w:pPr>
              <w:spacing w:after="0"/>
              <w:rPr>
                <w:sz w:val="17"/>
                <w:szCs w:val="17"/>
                <w:color w:val="auto"/>
              </w:rPr>
            </w:pPr>
          </w:p>
        </w:tc>
        <w:tc>
          <w:tcPr>
            <w:tcW w:w="1000" w:type="dxa"/>
            <w:vAlign w:val="bottom"/>
            <w:shd w:val="clear" w:color="auto" w:fill="E3F1DA"/>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10"/>
        </w:trPr>
        <w:tc>
          <w:tcPr>
            <w:tcW w:w="4600" w:type="dxa"/>
            <w:vAlign w:val="bottom"/>
            <w:tcBorders>
              <w:bottom w:val="single" w:sz="8" w:color="939598"/>
            </w:tcBorders>
          </w:tcPr>
          <w:p>
            <w:pPr>
              <w:ind w:left="260"/>
              <w:spacing w:after="0" w:line="203" w:lineRule="exact"/>
              <w:rPr>
                <w:sz w:val="20"/>
                <w:szCs w:val="20"/>
                <w:color w:val="auto"/>
              </w:rPr>
            </w:pPr>
            <w:r>
              <w:rPr>
                <w:rFonts w:ascii="Arial" w:cs="Arial" w:eastAsia="Arial" w:hAnsi="Arial"/>
                <w:sz w:val="18"/>
                <w:szCs w:val="18"/>
                <w:color w:val="auto"/>
              </w:rPr>
              <w:t>Employment Services Index</w:t>
            </w:r>
          </w:p>
        </w:tc>
        <w:tc>
          <w:tcPr>
            <w:tcW w:w="100" w:type="dxa"/>
            <w:vAlign w:val="bottom"/>
            <w:tcBorders>
              <w:bottom w:val="single" w:sz="8" w:color="939598"/>
            </w:tcBorders>
            <w:shd w:val="clear" w:color="auto" w:fill="E3F1DA"/>
          </w:tcPr>
          <w:p>
            <w:pPr>
              <w:spacing w:after="0"/>
              <w:rPr>
                <w:sz w:val="18"/>
                <w:szCs w:val="18"/>
                <w:color w:val="auto"/>
              </w:rPr>
            </w:pPr>
          </w:p>
        </w:tc>
        <w:tc>
          <w:tcPr>
            <w:tcW w:w="1000" w:type="dxa"/>
            <w:vAlign w:val="bottom"/>
            <w:tcBorders>
              <w:bottom w:val="single" w:sz="8" w:color="939598"/>
            </w:tcBorders>
            <w:shd w:val="clear" w:color="auto" w:fill="E3F1DA"/>
          </w:tcPr>
          <w:p>
            <w:pPr>
              <w:jc w:val="right"/>
              <w:ind w:right="132"/>
              <w:spacing w:after="0" w:line="203" w:lineRule="exact"/>
              <w:rPr>
                <w:sz w:val="20"/>
                <w:szCs w:val="20"/>
                <w:color w:val="auto"/>
              </w:rPr>
            </w:pPr>
            <w:r>
              <w:rPr>
                <w:rFonts w:ascii="Arial" w:cs="Arial" w:eastAsia="Arial" w:hAnsi="Arial"/>
                <w:sz w:val="18"/>
                <w:szCs w:val="18"/>
                <w:color w:val="86B6A5"/>
              </w:rPr>
              <w:t>126</w:t>
            </w:r>
          </w:p>
        </w:tc>
        <w:tc>
          <w:tcPr>
            <w:tcW w:w="320" w:type="dxa"/>
            <w:vAlign w:val="bottom"/>
            <w:tcBorders>
              <w:bottom w:val="single" w:sz="8" w:color="939598"/>
            </w:tcBorders>
          </w:tcPr>
          <w:p>
            <w:pPr>
              <w:spacing w:after="0"/>
              <w:rPr>
                <w:sz w:val="18"/>
                <w:szCs w:val="18"/>
                <w:color w:val="auto"/>
              </w:rPr>
            </w:pPr>
          </w:p>
        </w:tc>
        <w:tc>
          <w:tcPr>
            <w:tcW w:w="680" w:type="dxa"/>
            <w:vAlign w:val="bottom"/>
            <w:tcBorders>
              <w:bottom w:val="single" w:sz="8" w:color="939598"/>
            </w:tcBorders>
          </w:tcPr>
          <w:p>
            <w:pPr>
              <w:jc w:val="right"/>
              <w:ind w:right="12"/>
              <w:spacing w:after="0" w:line="203" w:lineRule="exact"/>
              <w:rPr>
                <w:sz w:val="20"/>
                <w:szCs w:val="20"/>
                <w:color w:val="auto"/>
              </w:rPr>
            </w:pPr>
            <w:r>
              <w:rPr>
                <w:rFonts w:ascii="Arial" w:cs="Arial" w:eastAsia="Arial" w:hAnsi="Arial"/>
                <w:sz w:val="18"/>
                <w:szCs w:val="18"/>
                <w:color w:val="auto"/>
              </w:rPr>
              <w:t>111</w:t>
            </w:r>
          </w:p>
        </w:tc>
        <w:tc>
          <w:tcPr>
            <w:tcW w:w="420" w:type="dxa"/>
            <w:vAlign w:val="bottom"/>
            <w:tcBorders>
              <w:bottom w:val="single" w:sz="8" w:color="939598"/>
            </w:tcBorders>
          </w:tcPr>
          <w:p>
            <w:pPr>
              <w:spacing w:after="0"/>
              <w:rPr>
                <w:sz w:val="18"/>
                <w:szCs w:val="18"/>
                <w:color w:val="auto"/>
              </w:rPr>
            </w:pPr>
          </w:p>
        </w:tc>
        <w:tc>
          <w:tcPr>
            <w:tcW w:w="680" w:type="dxa"/>
            <w:vAlign w:val="bottom"/>
            <w:tcBorders>
              <w:bottom w:val="single" w:sz="8" w:color="939598"/>
            </w:tcBorders>
          </w:tcPr>
          <w:p>
            <w:pPr>
              <w:jc w:val="right"/>
              <w:ind w:right="12"/>
              <w:spacing w:after="0" w:line="203" w:lineRule="exact"/>
              <w:rPr>
                <w:sz w:val="20"/>
                <w:szCs w:val="20"/>
                <w:color w:val="auto"/>
              </w:rPr>
            </w:pPr>
            <w:r>
              <w:rPr>
                <w:rFonts w:ascii="Arial" w:cs="Arial" w:eastAsia="Arial" w:hAnsi="Arial"/>
                <w:sz w:val="18"/>
                <w:szCs w:val="18"/>
                <w:color w:val="auto"/>
              </w:rPr>
              <w:t>81</w:t>
            </w:r>
          </w:p>
        </w:tc>
        <w:tc>
          <w:tcPr>
            <w:tcW w:w="440" w:type="dxa"/>
            <w:vAlign w:val="bottom"/>
            <w:tcBorders>
              <w:bottom w:val="single" w:sz="8" w:color="939598"/>
            </w:tcBorders>
          </w:tcPr>
          <w:p>
            <w:pPr>
              <w:spacing w:after="0"/>
              <w:rPr>
                <w:sz w:val="18"/>
                <w:szCs w:val="18"/>
                <w:color w:val="auto"/>
              </w:rPr>
            </w:pPr>
          </w:p>
        </w:tc>
        <w:tc>
          <w:tcPr>
            <w:tcW w:w="680" w:type="dxa"/>
            <w:vAlign w:val="bottom"/>
            <w:tcBorders>
              <w:bottom w:val="single" w:sz="8" w:color="939598"/>
            </w:tcBorders>
          </w:tcPr>
          <w:p>
            <w:pPr>
              <w:jc w:val="right"/>
              <w:ind w:right="32"/>
              <w:spacing w:after="0" w:line="203" w:lineRule="exact"/>
              <w:rPr>
                <w:sz w:val="20"/>
                <w:szCs w:val="20"/>
                <w:color w:val="auto"/>
              </w:rPr>
            </w:pPr>
            <w:r>
              <w:rPr>
                <w:rFonts w:ascii="Arial" w:cs="Arial" w:eastAsia="Arial" w:hAnsi="Arial"/>
                <w:sz w:val="18"/>
                <w:szCs w:val="18"/>
                <w:color w:val="auto"/>
              </w:rPr>
              <w:t>90</w:t>
            </w:r>
          </w:p>
        </w:tc>
        <w:tc>
          <w:tcPr>
            <w:tcW w:w="420" w:type="dxa"/>
            <w:vAlign w:val="bottom"/>
            <w:tcBorders>
              <w:bottom w:val="single" w:sz="8" w:color="939598"/>
            </w:tcBorders>
          </w:tcPr>
          <w:p>
            <w:pPr>
              <w:spacing w:after="0"/>
              <w:rPr>
                <w:sz w:val="18"/>
                <w:szCs w:val="18"/>
                <w:color w:val="auto"/>
              </w:rPr>
            </w:pPr>
          </w:p>
        </w:tc>
        <w:tc>
          <w:tcPr>
            <w:tcW w:w="680" w:type="dxa"/>
            <w:vAlign w:val="bottom"/>
            <w:tcBorders>
              <w:bottom w:val="single" w:sz="8" w:color="939598"/>
            </w:tcBorders>
          </w:tcPr>
          <w:p>
            <w:pPr>
              <w:jc w:val="right"/>
              <w:ind w:right="12"/>
              <w:spacing w:after="0" w:line="203" w:lineRule="exact"/>
              <w:rPr>
                <w:sz w:val="20"/>
                <w:szCs w:val="20"/>
                <w:color w:val="auto"/>
              </w:rPr>
            </w:pPr>
            <w:r>
              <w:rPr>
                <w:rFonts w:ascii="Arial" w:cs="Arial" w:eastAsia="Arial" w:hAnsi="Arial"/>
                <w:sz w:val="18"/>
                <w:szCs w:val="18"/>
                <w:color w:val="auto"/>
              </w:rPr>
              <w:t>119</w:t>
            </w:r>
          </w:p>
        </w:tc>
        <w:tc>
          <w:tcPr>
            <w:tcW w:w="420" w:type="dxa"/>
            <w:vAlign w:val="bottom"/>
            <w:tcBorders>
              <w:bottom w:val="single" w:sz="8" w:color="939598"/>
            </w:tcBorders>
          </w:tcPr>
          <w:p>
            <w:pPr>
              <w:spacing w:after="0"/>
              <w:rPr>
                <w:sz w:val="18"/>
                <w:szCs w:val="18"/>
                <w:color w:val="auto"/>
              </w:rPr>
            </w:pPr>
          </w:p>
        </w:tc>
        <w:tc>
          <w:tcPr>
            <w:tcW w:w="580" w:type="dxa"/>
            <w:vAlign w:val="bottom"/>
            <w:tcBorders>
              <w:bottom w:val="single" w:sz="8" w:color="939598"/>
            </w:tcBorders>
          </w:tcPr>
          <w:p>
            <w:pPr>
              <w:jc w:val="right"/>
              <w:spacing w:after="0" w:line="203" w:lineRule="exact"/>
              <w:rPr>
                <w:sz w:val="20"/>
                <w:szCs w:val="20"/>
                <w:color w:val="auto"/>
              </w:rPr>
            </w:pPr>
            <w:r>
              <w:rPr>
                <w:rFonts w:ascii="Arial" w:cs="Arial" w:eastAsia="Arial" w:hAnsi="Arial"/>
                <w:sz w:val="18"/>
                <w:szCs w:val="18"/>
                <w:color w:val="auto"/>
              </w:rPr>
              <w:t>100</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color w:val="86B6A5"/>
        </w:rPr>
        <w:t>CERTIFICATIONS</w:t>
      </w:r>
    </w:p>
    <w:p>
      <w:pPr>
        <w:spacing w:after="0" w:line="238"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Manpower has filed the Chief Executive Officer/Chief Financial Officer certifications that are required by Section 302 of the Sarbanes-Oxley Act of 2002 as exhibits to its Annual Report on Form 10-K. In 2010, Jeffrey A. Joerres, Manpower’s Chief Executive Officer, submitted a certification to the New York Stock Exchange in accordance with Section 303A.12 of the NYSE Listed Company Manual stating that, as of the date of the certification, he was not aware of any violation by Manpower of the NYSE’s corporate governance listing standards.</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color w:val="4D8ABE"/>
        </w:rPr>
        <w:t xml:space="preserve">78 </w:t>
      </w:r>
      <w:r>
        <w:rPr>
          <w:rFonts w:ascii="Arial" w:cs="Arial" w:eastAsia="Arial" w:hAnsi="Arial"/>
          <w:sz w:val="16"/>
          <w:szCs w:val="16"/>
          <w:color w:val="4D8ABE"/>
        </w:rPr>
        <w:t>Manpower 2010 Annual Report</w:t>
      </w:r>
      <w:r>
        <w:rPr>
          <w:rFonts w:ascii="Arial" w:cs="Arial" w:eastAsia="Arial" w:hAnsi="Arial"/>
          <w:sz w:val="16"/>
          <w:szCs w:val="16"/>
          <w:b w:val="1"/>
          <w:bCs w:val="1"/>
          <w:color w:val="4D8ABE"/>
        </w:rPr>
        <w:t xml:space="preserve"> </w:t>
      </w:r>
      <w:r>
        <w:rPr>
          <w:rFonts w:ascii="Arial" w:cs="Arial" w:eastAsia="Arial" w:hAnsi="Arial"/>
          <w:sz w:val="16"/>
          <w:szCs w:val="16"/>
          <w:b w:val="1"/>
          <w:bCs w:val="1"/>
          <w:color w:val="939598"/>
        </w:rPr>
        <w:t>Selected Financial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wp:posOffset>
            </wp:positionH>
            <wp:positionV relativeFrom="paragraph">
              <wp:posOffset>72390</wp:posOffset>
            </wp:positionV>
            <wp:extent cx="7334250" cy="469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334250" cy="46990"/>
                    </a:xfrm>
                    <a:prstGeom prst="rect">
                      <a:avLst/>
                    </a:prstGeom>
                    <a:noFill/>
                  </pic:spPr>
                </pic:pic>
              </a:graphicData>
            </a:graphic>
          </wp:anchor>
        </w:drawing>
      </w:r>
    </w:p>
    <w:p>
      <w:pPr>
        <w:sectPr>
          <w:pgSz w:w="11900" w:h="16838" w:orient="portrait"/>
          <w:cols w:equalWidth="0" w:num="1">
            <w:col w:w="11380"/>
          </w:cols>
          <w:pgMar w:left="240" w:top="345" w:right="279" w:bottom="1440" w:gutter="0" w:footer="0" w:header="0"/>
        </w:sectPr>
      </w:pPr>
    </w:p>
    <w:bookmarkStart w:id="109" w:name="page110"/>
    <w:bookmarkEnd w:id="109"/>
    <w:p>
      <w:pPr>
        <w:spacing w:after="0"/>
        <w:rPr>
          <w:sz w:val="20"/>
          <w:szCs w:val="20"/>
          <w:color w:val="auto"/>
        </w:rPr>
      </w:pPr>
      <w:r>
        <w:rPr>
          <w:rFonts w:ascii="Arial" w:cs="Arial" w:eastAsia="Arial" w:hAnsi="Arial"/>
          <w:sz w:val="22"/>
          <w:szCs w:val="22"/>
          <w:color w:val="4D8ABE"/>
        </w:rPr>
        <w:t>Principle Operating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699770</wp:posOffset>
            </wp:positionH>
            <wp:positionV relativeFrom="paragraph">
              <wp:posOffset>135255</wp:posOffset>
            </wp:positionV>
            <wp:extent cx="5659755" cy="263271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5659755" cy="26327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Argentina, Australia, Austria, Bahrain, Belarus, Belgium, Bolivia, Brazil, Bulgaria, Canada, Chile, China, Colombia, Costa Rica, Croatia, Czech Republic, Denmark, Dominican Republic, Ecuador, El Salvador, Estonia, Finland, France, Germany, Greece, Guadeloupe, Guatemala, Honduras, Hong Kong, Hungary, India, Ireland, Israel, Italy, Japan, Kazakhstan, Korea, Kuwait, Latvia, Lithuania, Luxembourg, Macau, Malaysia, Martinique, Mexico, Monaco, Morocco, Netherlands, New Caledonia, New Zealand, Nicaragua, Norway, Panama, Paraguay, Peru, Philippines, Poland, Portugal, Puerto Rico, Reunion, Romania, Russia, Saudi Arabia, Serbia, Singapore, Slovakia, Slovenia, South Africa, Spain, Sweden, Switzerland, Taiwan, Thailand, Tunisia, Turkey, Ukraine, United Arab Emirates, United Kingdom, United States, Uruguay, Venezuela and Vietnam</w:t>
      </w:r>
    </w:p>
    <w:p>
      <w:pPr>
        <w:spacing w:after="0" w:line="181" w:lineRule="exact"/>
        <w:rPr>
          <w:sz w:val="20"/>
          <w:szCs w:val="20"/>
          <w:color w:val="auto"/>
        </w:rPr>
      </w:pPr>
    </w:p>
    <w:p>
      <w:pPr>
        <w:ind w:right="40"/>
        <w:spacing w:after="0"/>
        <w:rPr>
          <w:sz w:val="20"/>
          <w:szCs w:val="20"/>
          <w:color w:val="auto"/>
        </w:rPr>
      </w:pPr>
      <w:r>
        <w:rPr>
          <w:rFonts w:ascii="Arial" w:cs="Arial" w:eastAsia="Arial" w:hAnsi="Arial"/>
          <w:sz w:val="18"/>
          <w:szCs w:val="18"/>
          <w:b w:val="1"/>
          <w:bCs w:val="1"/>
          <w:color w:val="auto"/>
        </w:rPr>
        <w:t xml:space="preserve">Manpower Inc. (NYSE: MAN), </w:t>
      </w:r>
      <w:r>
        <w:rPr>
          <w:rFonts w:ascii="Arial" w:cs="Arial" w:eastAsia="Arial" w:hAnsi="Arial"/>
          <w:sz w:val="18"/>
          <w:szCs w:val="18"/>
          <w:color w:val="auto"/>
        </w:rPr>
        <w:t>world leader in innovative workforce solutions and services; creates and delivers services that enable its clients</w:t>
      </w:r>
      <w:r>
        <w:rPr>
          <w:rFonts w:ascii="Arial" w:cs="Arial" w:eastAsia="Arial" w:hAnsi="Arial"/>
          <w:sz w:val="18"/>
          <w:szCs w:val="18"/>
          <w:b w:val="1"/>
          <w:bCs w:val="1"/>
          <w:color w:val="auto"/>
        </w:rPr>
        <w:t xml:space="preserve"> </w:t>
      </w:r>
      <w:r>
        <w:rPr>
          <w:rFonts w:ascii="Arial" w:cs="Arial" w:eastAsia="Arial" w:hAnsi="Arial"/>
          <w:sz w:val="18"/>
          <w:szCs w:val="18"/>
          <w:color w:val="auto"/>
        </w:rPr>
        <w:t>to win in the changing world of work. With over 62 years’ experience, the $19 billion company offers employers a range of services and solutions for the entire employment and business cycle including permanent, temporary and contract recruitment; employee assessment and selection; training; outplacement; outsourcing and consulting. Manpower’s worldwide network of nearly 3,900 offices in 82 countries and territories is the world’s largest in the industry and enables the company to m eet the needs of its 400,000 clients per year, including small and medium size enterprises in all industry sectors, as well as the world’s largest multinational corporations. The focus of Manpower’s work is on raising productivity through improved quality, efficiency and cost-reduction across their total workforce, enabling clients to concentrate on their core business activities. More information about Manpower Inc. is available at www.manpower.com.</w:t>
      </w:r>
    </w:p>
    <w:p>
      <w:pPr>
        <w:spacing w:after="0" w:line="186"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939598"/>
        </w:rPr>
        <w:t xml:space="preserve">Principle Operating Units </w:t>
      </w:r>
      <w:r>
        <w:rPr>
          <w:rFonts w:ascii="Arial" w:cs="Arial" w:eastAsia="Arial" w:hAnsi="Arial"/>
          <w:sz w:val="16"/>
          <w:szCs w:val="16"/>
          <w:color w:val="4D8ABE"/>
        </w:rPr>
        <w:t>Manpower 2010 Annual</w:t>
      </w:r>
    </w:p>
    <w:p>
      <w:pPr>
        <w:spacing w:after="0" w:line="25" w:lineRule="exact"/>
        <w:rPr>
          <w:sz w:val="20"/>
          <w:szCs w:val="20"/>
          <w:color w:val="auto"/>
        </w:rPr>
      </w:pPr>
    </w:p>
    <w:p>
      <w:pPr>
        <w:jc w:val="right"/>
        <w:spacing w:after="0"/>
        <w:rPr>
          <w:sz w:val="20"/>
          <w:szCs w:val="20"/>
          <w:color w:val="auto"/>
        </w:rPr>
      </w:pPr>
      <w:r>
        <w:rPr>
          <w:rFonts w:ascii="Arial" w:cs="Arial" w:eastAsia="Arial" w:hAnsi="Arial"/>
          <w:sz w:val="16"/>
          <w:szCs w:val="16"/>
          <w:color w:val="4D8ABE"/>
        </w:rPr>
        <w:t xml:space="preserve">Report </w:t>
      </w:r>
      <w:r>
        <w:rPr>
          <w:rFonts w:ascii="Arial" w:cs="Arial" w:eastAsia="Arial" w:hAnsi="Arial"/>
          <w:sz w:val="16"/>
          <w:szCs w:val="16"/>
          <w:b w:val="1"/>
          <w:bCs w:val="1"/>
          <w:color w:val="4D8ABE"/>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wp:posOffset>
            </wp:positionH>
            <wp:positionV relativeFrom="paragraph">
              <wp:posOffset>59690</wp:posOffset>
            </wp:positionV>
            <wp:extent cx="7334250" cy="469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334250" cy="46990"/>
                    </a:xfrm>
                    <a:prstGeom prst="rect">
                      <a:avLst/>
                    </a:prstGeom>
                    <a:noFill/>
                  </pic:spPr>
                </pic:pic>
              </a:graphicData>
            </a:graphic>
          </wp:anchor>
        </w:drawing>
      </w:r>
    </w:p>
    <w:p>
      <w:pPr>
        <w:sectPr>
          <w:pgSz w:w="11900" w:h="16838" w:orient="portrait"/>
          <w:cols w:equalWidth="0" w:num="1">
            <w:col w:w="11420"/>
          </w:cols>
          <w:pgMar w:left="240" w:top="349" w:right="239" w:bottom="1440" w:gutter="0" w:footer="0" w:header="0"/>
        </w:sectPr>
      </w:pPr>
    </w:p>
    <w:bookmarkStart w:id="110" w:name="page111"/>
    <w:bookmarkEnd w:id="110"/>
    <w:p>
      <w:pPr>
        <w:spacing w:after="0"/>
        <w:rPr>
          <w:sz w:val="20"/>
          <w:szCs w:val="20"/>
          <w:color w:val="auto"/>
        </w:rPr>
      </w:pPr>
      <w:r>
        <w:rPr>
          <w:rFonts w:ascii="Arial" w:cs="Arial" w:eastAsia="Arial" w:hAnsi="Arial"/>
          <w:sz w:val="22"/>
          <w:szCs w:val="22"/>
          <w:color w:val="4D8ABE"/>
        </w:rPr>
        <w:t>Corporate Information</w:t>
      </w:r>
    </w:p>
    <w:p>
      <w:pPr>
        <w:spacing w:after="0" w:line="209" w:lineRule="exact"/>
        <w:rPr>
          <w:sz w:val="20"/>
          <w:szCs w:val="20"/>
          <w:color w:val="auto"/>
        </w:rPr>
      </w:pPr>
    </w:p>
    <w:p>
      <w:pPr>
        <w:spacing w:after="0"/>
        <w:rPr>
          <w:sz w:val="20"/>
          <w:szCs w:val="20"/>
          <w:color w:val="auto"/>
        </w:rPr>
      </w:pPr>
      <w:r>
        <w:rPr>
          <w:rFonts w:ascii="Arial" w:cs="Arial" w:eastAsia="Arial" w:hAnsi="Arial"/>
          <w:sz w:val="24"/>
          <w:szCs w:val="24"/>
          <w:color w:val="86B6A5"/>
        </w:rPr>
        <w:t>Directors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4D8ABE"/>
        </w:rPr>
        <w:t>JEFFREY A. JOERRES</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Chairman, CEO and President</w:t>
      </w:r>
    </w:p>
    <w:p>
      <w:pPr>
        <w:spacing w:after="0"/>
        <w:rPr>
          <w:sz w:val="20"/>
          <w:szCs w:val="20"/>
          <w:color w:val="auto"/>
        </w:rPr>
      </w:pPr>
      <w:r>
        <w:rPr>
          <w:rFonts w:ascii="Arial" w:cs="Arial" w:eastAsia="Arial" w:hAnsi="Arial"/>
          <w:sz w:val="18"/>
          <w:szCs w:val="18"/>
          <w:color w:val="auto"/>
        </w:rPr>
        <w:t>Manpower Inc.</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4D8ABE"/>
        </w:rPr>
        <w:t xml:space="preserve">MARC J. BOLLAND </w:t>
      </w:r>
      <w:r>
        <w:rPr>
          <w:rFonts w:ascii="Arial" w:cs="Arial" w:eastAsia="Arial" w:hAnsi="Arial"/>
          <w:sz w:val="25"/>
          <w:szCs w:val="25"/>
          <w:b w:val="1"/>
          <w:bCs w:val="1"/>
          <w:color w:val="4D8ABE"/>
          <w:vertAlign w:val="superscript"/>
        </w:rPr>
        <w:t>2</w:t>
      </w:r>
    </w:p>
    <w:p>
      <w:pPr>
        <w:spacing w:after="0" w:line="234" w:lineRule="auto"/>
        <w:rPr>
          <w:sz w:val="20"/>
          <w:szCs w:val="20"/>
          <w:color w:val="auto"/>
        </w:rPr>
      </w:pPr>
      <w:r>
        <w:rPr>
          <w:rFonts w:ascii="Arial" w:cs="Arial" w:eastAsia="Arial" w:hAnsi="Arial"/>
          <w:sz w:val="18"/>
          <w:szCs w:val="18"/>
          <w:color w:val="auto"/>
        </w:rPr>
        <w:t>Chief Executive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Marks and Spencer Group</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4D8ABE"/>
        </w:rPr>
        <w:t xml:space="preserve">GINA BOSWELL </w:t>
      </w:r>
      <w:r>
        <w:rPr>
          <w:rFonts w:ascii="Arial" w:cs="Arial" w:eastAsia="Arial" w:hAnsi="Arial"/>
          <w:sz w:val="25"/>
          <w:szCs w:val="25"/>
          <w:b w:val="1"/>
          <w:bCs w:val="1"/>
          <w:color w:val="4D8ABE"/>
          <w:vertAlign w:val="superscript"/>
        </w:rPr>
        <w:t>1,3</w:t>
      </w:r>
    </w:p>
    <w:p>
      <w:pPr>
        <w:spacing w:after="0" w:line="234" w:lineRule="auto"/>
        <w:rPr>
          <w:sz w:val="20"/>
          <w:szCs w:val="20"/>
          <w:color w:val="auto"/>
        </w:rPr>
      </w:pPr>
      <w:r>
        <w:rPr>
          <w:rFonts w:ascii="Arial" w:cs="Arial" w:eastAsia="Arial" w:hAnsi="Arial"/>
          <w:sz w:val="18"/>
          <w:szCs w:val="18"/>
          <w:color w:val="auto"/>
        </w:rPr>
        <w:t>President of Global Brands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The Alberto-Culver Company</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4D8ABE"/>
        </w:rPr>
        <w:t xml:space="preserve">CARI DOMINGUEZ </w:t>
      </w:r>
      <w:r>
        <w:rPr>
          <w:rFonts w:ascii="Arial" w:cs="Arial" w:eastAsia="Arial" w:hAnsi="Arial"/>
          <w:sz w:val="25"/>
          <w:szCs w:val="25"/>
          <w:b w:val="1"/>
          <w:bCs w:val="1"/>
          <w:color w:val="4D8ABE"/>
          <w:vertAlign w:val="superscript"/>
        </w:rPr>
        <w:t>2</w:t>
      </w:r>
    </w:p>
    <w:p>
      <w:pPr>
        <w:ind w:right="1160"/>
        <w:spacing w:after="0" w:line="246" w:lineRule="auto"/>
        <w:rPr>
          <w:sz w:val="20"/>
          <w:szCs w:val="20"/>
          <w:color w:val="auto"/>
        </w:rPr>
      </w:pPr>
      <w:r>
        <w:rPr>
          <w:rFonts w:ascii="Arial" w:cs="Arial" w:eastAsia="Arial" w:hAnsi="Arial"/>
          <w:sz w:val="18"/>
          <w:szCs w:val="18"/>
          <w:color w:val="auto"/>
        </w:rPr>
        <w:t>Former Chair of the Equal Employment Opportunity Commission</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4D8ABE"/>
        </w:rPr>
        <w:t xml:space="preserve">JACK M. GREENBERG </w:t>
      </w:r>
      <w:r>
        <w:rPr>
          <w:rFonts w:ascii="Arial" w:cs="Arial" w:eastAsia="Arial" w:hAnsi="Arial"/>
          <w:sz w:val="25"/>
          <w:szCs w:val="25"/>
          <w:b w:val="1"/>
          <w:bCs w:val="1"/>
          <w:color w:val="4D8ABE"/>
          <w:vertAlign w:val="superscript"/>
        </w:rPr>
        <w:t>2*,3</w:t>
      </w:r>
    </w:p>
    <w:p>
      <w:pPr>
        <w:spacing w:after="0" w:line="234" w:lineRule="auto"/>
        <w:rPr>
          <w:sz w:val="20"/>
          <w:szCs w:val="20"/>
          <w:color w:val="auto"/>
        </w:rPr>
      </w:pPr>
      <w:r>
        <w:rPr>
          <w:rFonts w:ascii="Arial" w:cs="Arial" w:eastAsia="Arial" w:hAnsi="Arial"/>
          <w:sz w:val="18"/>
          <w:szCs w:val="18"/>
          <w:color w:val="auto"/>
        </w:rPr>
        <w:t>Non-Executive Chairman</w:t>
      </w:r>
    </w:p>
    <w:p>
      <w:pPr>
        <w:spacing w:after="0" w:line="235" w:lineRule="auto"/>
        <w:rPr>
          <w:sz w:val="20"/>
          <w:szCs w:val="20"/>
          <w:color w:val="auto"/>
        </w:rPr>
      </w:pPr>
      <w:r>
        <w:rPr>
          <w:rFonts w:ascii="Arial" w:cs="Arial" w:eastAsia="Arial" w:hAnsi="Arial"/>
          <w:sz w:val="18"/>
          <w:szCs w:val="18"/>
          <w:color w:val="auto"/>
        </w:rPr>
        <w:t>Western Union Company and Innerworkings, Inc.</w:t>
      </w:r>
    </w:p>
    <w:p>
      <w:pPr>
        <w:spacing w:after="0" w:line="235" w:lineRule="auto"/>
        <w:rPr>
          <w:sz w:val="20"/>
          <w:szCs w:val="20"/>
          <w:color w:val="auto"/>
        </w:rPr>
      </w:pPr>
      <w:r>
        <w:rPr>
          <w:rFonts w:ascii="Arial" w:cs="Arial" w:eastAsia="Arial" w:hAnsi="Arial"/>
          <w:sz w:val="18"/>
          <w:szCs w:val="18"/>
          <w:color w:val="auto"/>
        </w:rPr>
        <w:t>Retired Chairman and CEO</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McDonald’s Corporation</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4D8ABE"/>
        </w:rPr>
        <w:t xml:space="preserve">TERRY A. HUENEKE </w:t>
      </w:r>
      <w:r>
        <w:rPr>
          <w:rFonts w:ascii="Arial" w:cs="Arial" w:eastAsia="Arial" w:hAnsi="Arial"/>
          <w:sz w:val="25"/>
          <w:szCs w:val="25"/>
          <w:b w:val="1"/>
          <w:bCs w:val="1"/>
          <w:color w:val="4D8ABE"/>
          <w:vertAlign w:val="superscript"/>
        </w:rPr>
        <w:t>1</w:t>
      </w:r>
    </w:p>
    <w:p>
      <w:pPr>
        <w:spacing w:after="0" w:line="234" w:lineRule="auto"/>
        <w:rPr>
          <w:sz w:val="20"/>
          <w:szCs w:val="20"/>
          <w:color w:val="auto"/>
        </w:rPr>
      </w:pPr>
      <w:r>
        <w:rPr>
          <w:rFonts w:ascii="Arial" w:cs="Arial" w:eastAsia="Arial" w:hAnsi="Arial"/>
          <w:sz w:val="18"/>
          <w:szCs w:val="18"/>
          <w:color w:val="auto"/>
        </w:rPr>
        <w:t>Retired Executive Vice President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Manpower Inc.</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4D8ABE"/>
        </w:rPr>
        <w:t xml:space="preserve">ROBERTO MENDOZA </w:t>
      </w:r>
      <w:r>
        <w:rPr>
          <w:rFonts w:ascii="Arial" w:cs="Arial" w:eastAsia="Arial" w:hAnsi="Arial"/>
          <w:sz w:val="25"/>
          <w:szCs w:val="25"/>
          <w:b w:val="1"/>
          <w:bCs w:val="1"/>
          <w:color w:val="4D8ABE"/>
          <w:vertAlign w:val="superscript"/>
        </w:rPr>
        <w:t>1</w:t>
      </w:r>
    </w:p>
    <w:p>
      <w:pPr>
        <w:spacing w:after="0" w:line="234" w:lineRule="auto"/>
        <w:rPr>
          <w:sz w:val="20"/>
          <w:szCs w:val="20"/>
          <w:color w:val="auto"/>
        </w:rPr>
      </w:pPr>
      <w:r>
        <w:rPr>
          <w:rFonts w:ascii="Arial" w:cs="Arial" w:eastAsia="Arial" w:hAnsi="Arial"/>
          <w:sz w:val="18"/>
          <w:szCs w:val="18"/>
          <w:color w:val="auto"/>
        </w:rPr>
        <w:t>Senior Managing Director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Atlas Advisors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4D8ABE"/>
        </w:rPr>
        <w:t xml:space="preserve">ULICE PAYNE JR. </w:t>
      </w:r>
      <w:r>
        <w:rPr>
          <w:rFonts w:ascii="Arial" w:cs="Arial" w:eastAsia="Arial" w:hAnsi="Arial"/>
          <w:sz w:val="25"/>
          <w:szCs w:val="25"/>
          <w:b w:val="1"/>
          <w:bCs w:val="1"/>
          <w:color w:val="4D8ABE"/>
          <w:vertAlign w:val="superscript"/>
        </w:rPr>
        <w:t>1,3</w:t>
      </w:r>
    </w:p>
    <w:p>
      <w:pPr>
        <w:spacing w:after="0" w:line="234" w:lineRule="auto"/>
        <w:rPr>
          <w:sz w:val="20"/>
          <w:szCs w:val="20"/>
          <w:color w:val="auto"/>
        </w:rPr>
      </w:pPr>
      <w:r>
        <w:rPr>
          <w:rFonts w:ascii="Arial" w:cs="Arial" w:eastAsia="Arial" w:hAnsi="Arial"/>
          <w:sz w:val="18"/>
          <w:szCs w:val="18"/>
          <w:color w:val="auto"/>
        </w:rPr>
        <w:t>President and CEO</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Addison-Clifton, LLC</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4D8ABE"/>
        </w:rPr>
        <w:t xml:space="preserve">ELIZABETH P. SARTAIN </w:t>
      </w:r>
      <w:r>
        <w:rPr>
          <w:rFonts w:ascii="Arial" w:cs="Arial" w:eastAsia="Arial" w:hAnsi="Arial"/>
          <w:sz w:val="25"/>
          <w:szCs w:val="25"/>
          <w:b w:val="1"/>
          <w:bCs w:val="1"/>
          <w:color w:val="4D8ABE"/>
          <w:vertAlign w:val="superscript"/>
        </w:rPr>
        <w:t>2</w:t>
      </w:r>
    </w:p>
    <w:p>
      <w:pPr>
        <w:spacing w:after="0" w:line="234" w:lineRule="auto"/>
        <w:rPr>
          <w:sz w:val="20"/>
          <w:szCs w:val="20"/>
          <w:color w:val="auto"/>
        </w:rPr>
      </w:pPr>
      <w:r>
        <w:rPr>
          <w:rFonts w:ascii="Arial" w:cs="Arial" w:eastAsia="Arial" w:hAnsi="Arial"/>
          <w:sz w:val="18"/>
          <w:szCs w:val="18"/>
          <w:color w:val="auto"/>
        </w:rPr>
        <w:t>Founder of Libby Sartain LLC</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Former CHRO Yahoo! Inc. and Southwest Airlines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4D8ABE"/>
        </w:rPr>
        <w:t xml:space="preserve">JOHN R. WALTER </w:t>
      </w:r>
      <w:r>
        <w:rPr>
          <w:rFonts w:ascii="Arial" w:cs="Arial" w:eastAsia="Arial" w:hAnsi="Arial"/>
          <w:sz w:val="25"/>
          <w:szCs w:val="25"/>
          <w:b w:val="1"/>
          <w:bCs w:val="1"/>
          <w:color w:val="4D8ABE"/>
          <w:vertAlign w:val="superscript"/>
        </w:rPr>
        <w:t>2,3*</w:t>
      </w:r>
    </w:p>
    <w:p>
      <w:pPr>
        <w:spacing w:after="0" w:line="234" w:lineRule="auto"/>
        <w:rPr>
          <w:sz w:val="20"/>
          <w:szCs w:val="20"/>
          <w:color w:val="auto"/>
        </w:rPr>
      </w:pPr>
      <w:r>
        <w:rPr>
          <w:rFonts w:ascii="Arial" w:cs="Arial" w:eastAsia="Arial" w:hAnsi="Arial"/>
          <w:sz w:val="18"/>
          <w:szCs w:val="18"/>
          <w:color w:val="auto"/>
        </w:rPr>
        <w:t>Retired President and COO</w:t>
      </w:r>
    </w:p>
    <w:p>
      <w:pPr>
        <w:spacing w:after="0" w:line="235" w:lineRule="auto"/>
        <w:rPr>
          <w:sz w:val="20"/>
          <w:szCs w:val="20"/>
          <w:color w:val="auto"/>
        </w:rPr>
      </w:pPr>
      <w:r>
        <w:rPr>
          <w:rFonts w:ascii="Arial" w:cs="Arial" w:eastAsia="Arial" w:hAnsi="Arial"/>
          <w:sz w:val="18"/>
          <w:szCs w:val="18"/>
          <w:color w:val="auto"/>
        </w:rPr>
        <w:t>AT&amp;T Corp.</w:t>
      </w:r>
    </w:p>
    <w:p>
      <w:pPr>
        <w:spacing w:after="0" w:line="235" w:lineRule="auto"/>
        <w:rPr>
          <w:sz w:val="20"/>
          <w:szCs w:val="20"/>
          <w:color w:val="auto"/>
        </w:rPr>
      </w:pPr>
      <w:r>
        <w:rPr>
          <w:rFonts w:ascii="Arial" w:cs="Arial" w:eastAsia="Arial" w:hAnsi="Arial"/>
          <w:sz w:val="18"/>
          <w:szCs w:val="18"/>
          <w:color w:val="auto"/>
        </w:rPr>
        <w:t>Former Chairman, President and CEO</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R.R. Donnelley &amp; Sons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4D8ABE"/>
        </w:rPr>
        <w:t xml:space="preserve">EDWARD J. ZORE </w:t>
      </w:r>
      <w:r>
        <w:rPr>
          <w:rFonts w:ascii="Arial" w:cs="Arial" w:eastAsia="Arial" w:hAnsi="Arial"/>
          <w:sz w:val="25"/>
          <w:szCs w:val="25"/>
          <w:b w:val="1"/>
          <w:bCs w:val="1"/>
          <w:color w:val="4D8ABE"/>
          <w:vertAlign w:val="superscript"/>
        </w:rPr>
        <w:t>1*,3</w:t>
      </w:r>
    </w:p>
    <w:p>
      <w:pPr>
        <w:spacing w:after="0" w:line="234" w:lineRule="auto"/>
        <w:rPr>
          <w:sz w:val="20"/>
          <w:szCs w:val="20"/>
          <w:color w:val="auto"/>
        </w:rPr>
      </w:pPr>
      <w:r>
        <w:rPr>
          <w:rFonts w:ascii="Arial" w:cs="Arial" w:eastAsia="Arial" w:hAnsi="Arial"/>
          <w:sz w:val="18"/>
          <w:szCs w:val="18"/>
          <w:color w:val="auto"/>
        </w:rPr>
        <w:t>Retired President and CEO</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Northwestern Mutual</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color w:val="4D8ABE"/>
        </w:rPr>
        <w:t>BOARD COMMITTEES</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color w:val="4D8ABE"/>
        </w:rPr>
        <w:t>1 Audit Committee</w:t>
      </w:r>
    </w:p>
    <w:p>
      <w:pPr>
        <w:spacing w:after="0"/>
        <w:rPr>
          <w:sz w:val="20"/>
          <w:szCs w:val="20"/>
          <w:color w:val="auto"/>
        </w:rPr>
      </w:pPr>
      <w:r>
        <w:rPr>
          <w:rFonts w:ascii="Arial" w:cs="Arial" w:eastAsia="Arial" w:hAnsi="Arial"/>
          <w:sz w:val="17"/>
          <w:szCs w:val="17"/>
          <w:b w:val="1"/>
          <w:bCs w:val="1"/>
          <w:color w:val="4D8ABE"/>
        </w:rPr>
        <w:t>2 Executive Compensation and Human Resources Committee</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4D8ABE"/>
        </w:rPr>
        <w:t>3 Nominating and Governance Committee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4D8ABE"/>
        </w:rPr>
        <w:t>* Denotes Committee Chair</w:t>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b w:val="1"/>
          <w:bCs w:val="1"/>
          <w:color w:val="4D8ABE"/>
        </w:rPr>
        <w:t xml:space="preserve">80 </w:t>
      </w:r>
      <w:r>
        <w:rPr>
          <w:rFonts w:ascii="Arial" w:cs="Arial" w:eastAsia="Arial" w:hAnsi="Arial"/>
          <w:sz w:val="16"/>
          <w:szCs w:val="16"/>
          <w:color w:val="4D8ABE"/>
        </w:rPr>
        <w:t>Manpower 2010 Annual Report</w:t>
      </w:r>
      <w:r>
        <w:rPr>
          <w:rFonts w:ascii="Arial" w:cs="Arial" w:eastAsia="Arial" w:hAnsi="Arial"/>
          <w:sz w:val="16"/>
          <w:szCs w:val="16"/>
          <w:b w:val="1"/>
          <w:bCs w:val="1"/>
          <w:color w:val="4D8ABE"/>
        </w:rPr>
        <w:t xml:space="preserve"> </w:t>
      </w:r>
      <w:r>
        <w:rPr>
          <w:rFonts w:ascii="Arial" w:cs="Arial" w:eastAsia="Arial" w:hAnsi="Arial"/>
          <w:sz w:val="16"/>
          <w:szCs w:val="16"/>
          <w:b w:val="1"/>
          <w:bCs w:val="1"/>
          <w:color w:val="939598"/>
        </w:rPr>
        <w:t>Corporate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-278765</wp:posOffset>
            </wp:positionH>
            <wp:positionV relativeFrom="paragraph">
              <wp:posOffset>72390</wp:posOffset>
            </wp:positionV>
            <wp:extent cx="7334250" cy="469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334250" cy="469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24"/>
          <w:szCs w:val="24"/>
          <w:color w:val="86B6A5"/>
        </w:rPr>
        <w:t>Management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4D8ABE"/>
        </w:rPr>
        <w:t>JEFFREY A. JOERRES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Chairman, CEO and President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4D8ABE"/>
        </w:rPr>
        <w:t>MICHAEL J. VAN HANDEL</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 and CFO</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4D8ABE"/>
        </w:rPr>
        <w:t>DARRYL GREEN</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w:t>
      </w:r>
    </w:p>
    <w:p>
      <w:pPr>
        <w:spacing w:after="0"/>
        <w:rPr>
          <w:sz w:val="20"/>
          <w:szCs w:val="20"/>
          <w:color w:val="auto"/>
        </w:rPr>
      </w:pPr>
      <w:r>
        <w:rPr>
          <w:rFonts w:ascii="Arial" w:cs="Arial" w:eastAsia="Arial" w:hAnsi="Arial"/>
          <w:sz w:val="18"/>
          <w:szCs w:val="18"/>
          <w:color w:val="auto"/>
        </w:rPr>
        <w:t>President – Asia Pacific and Middle East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4D8ABE"/>
        </w:rPr>
        <w:t>FRANÇOISE GRI</w:t>
      </w:r>
    </w:p>
    <w:p>
      <w:pPr>
        <w:spacing w:after="0" w:line="18" w:lineRule="exact"/>
        <w:rPr>
          <w:sz w:val="20"/>
          <w:szCs w:val="20"/>
          <w:color w:val="auto"/>
        </w:rPr>
      </w:pPr>
    </w:p>
    <w:p>
      <w:pPr>
        <w:ind w:right="2019"/>
        <w:spacing w:after="0" w:line="275" w:lineRule="auto"/>
        <w:rPr>
          <w:sz w:val="20"/>
          <w:szCs w:val="20"/>
          <w:color w:val="auto"/>
        </w:rPr>
      </w:pPr>
      <w:r>
        <w:rPr>
          <w:rFonts w:ascii="Arial" w:cs="Arial" w:eastAsia="Arial" w:hAnsi="Arial"/>
          <w:sz w:val="17"/>
          <w:szCs w:val="17"/>
          <w:color w:val="auto"/>
        </w:rPr>
        <w:t>Executive Vice President President – Southern Europe</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4D8ABE"/>
        </w:rPr>
        <w:t>HANS LEENTJES</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w:t>
      </w:r>
    </w:p>
    <w:p>
      <w:pPr>
        <w:spacing w:after="0"/>
        <w:rPr>
          <w:sz w:val="20"/>
          <w:szCs w:val="20"/>
          <w:color w:val="auto"/>
        </w:rPr>
      </w:pPr>
      <w:r>
        <w:rPr>
          <w:rFonts w:ascii="Arial" w:cs="Arial" w:eastAsia="Arial" w:hAnsi="Arial"/>
          <w:sz w:val="18"/>
          <w:szCs w:val="18"/>
          <w:color w:val="auto"/>
        </w:rPr>
        <w:t>President - Northern Europe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4D8ABE"/>
        </w:rPr>
        <w:t>JONAS PRISING</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w:t>
      </w:r>
    </w:p>
    <w:p>
      <w:pPr>
        <w:spacing w:after="0"/>
        <w:rPr>
          <w:sz w:val="20"/>
          <w:szCs w:val="20"/>
          <w:color w:val="auto"/>
        </w:rPr>
      </w:pPr>
      <w:r>
        <w:rPr>
          <w:rFonts w:ascii="Arial" w:cs="Arial" w:eastAsia="Arial" w:hAnsi="Arial"/>
          <w:sz w:val="18"/>
          <w:szCs w:val="18"/>
          <w:color w:val="auto"/>
        </w:rPr>
        <w:t>President – The Americas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4D8ABE"/>
        </w:rPr>
        <w:t>OWEN J. SULLIVAN</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w:t>
      </w:r>
    </w:p>
    <w:p>
      <w:pPr>
        <w:spacing w:after="0"/>
        <w:rPr>
          <w:sz w:val="20"/>
          <w:szCs w:val="20"/>
          <w:color w:val="auto"/>
        </w:rPr>
      </w:pPr>
      <w:r>
        <w:rPr>
          <w:rFonts w:ascii="Arial" w:cs="Arial" w:eastAsia="Arial" w:hAnsi="Arial"/>
          <w:sz w:val="18"/>
          <w:szCs w:val="18"/>
          <w:color w:val="auto"/>
        </w:rPr>
        <w:t>CEO - Right Management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4D8ABE"/>
        </w:rPr>
        <w:t>MARA SWAN</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w:t>
      </w:r>
    </w:p>
    <w:p>
      <w:pPr>
        <w:spacing w:after="0"/>
        <w:rPr>
          <w:sz w:val="20"/>
          <w:szCs w:val="20"/>
          <w:color w:val="auto"/>
        </w:rPr>
      </w:pPr>
      <w:r>
        <w:rPr>
          <w:rFonts w:ascii="Arial" w:cs="Arial" w:eastAsia="Arial" w:hAnsi="Arial"/>
          <w:sz w:val="18"/>
          <w:szCs w:val="18"/>
          <w:color w:val="auto"/>
        </w:rPr>
        <w:t>Global Strategy and Talent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4D8ABE"/>
        </w:rPr>
        <w:t>DAVID ARKLESS</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w:t>
      </w:r>
    </w:p>
    <w:p>
      <w:pPr>
        <w:spacing w:after="0"/>
        <w:rPr>
          <w:sz w:val="20"/>
          <w:szCs w:val="20"/>
          <w:color w:val="auto"/>
        </w:rPr>
      </w:pPr>
      <w:r>
        <w:rPr>
          <w:rFonts w:ascii="Arial" w:cs="Arial" w:eastAsia="Arial" w:hAnsi="Arial"/>
          <w:sz w:val="18"/>
          <w:szCs w:val="18"/>
          <w:color w:val="auto"/>
        </w:rPr>
        <w:t>President – Corporate and Government Affairs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4D8ABE"/>
        </w:rPr>
        <w:t>DENIS EDWARDS</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w:t>
      </w:r>
    </w:p>
    <w:p>
      <w:pPr>
        <w:spacing w:after="0"/>
        <w:rPr>
          <w:sz w:val="20"/>
          <w:szCs w:val="20"/>
          <w:color w:val="auto"/>
        </w:rPr>
      </w:pPr>
      <w:r>
        <w:rPr>
          <w:rFonts w:ascii="Arial" w:cs="Arial" w:eastAsia="Arial" w:hAnsi="Arial"/>
          <w:sz w:val="18"/>
          <w:szCs w:val="18"/>
          <w:color w:val="auto"/>
        </w:rPr>
        <w:t>Chief Information Officer</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4D8ABE"/>
        </w:rPr>
        <w:t>KEN C. HUNT</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w:t>
      </w:r>
    </w:p>
    <w:p>
      <w:pPr>
        <w:spacing w:after="0"/>
        <w:rPr>
          <w:sz w:val="20"/>
          <w:szCs w:val="20"/>
          <w:color w:val="auto"/>
        </w:rPr>
      </w:pPr>
      <w:r>
        <w:rPr>
          <w:rFonts w:ascii="Arial" w:cs="Arial" w:eastAsia="Arial" w:hAnsi="Arial"/>
          <w:sz w:val="18"/>
          <w:szCs w:val="18"/>
          <w:color w:val="auto"/>
        </w:rPr>
        <w:t>General Counsel and Secretary</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4D8ABE"/>
        </w:rPr>
        <w:t>TAMMY JOHNS</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w:t>
      </w:r>
    </w:p>
    <w:p>
      <w:pPr>
        <w:spacing w:after="0"/>
        <w:rPr>
          <w:sz w:val="20"/>
          <w:szCs w:val="20"/>
          <w:color w:val="auto"/>
        </w:rPr>
      </w:pPr>
      <w:r>
        <w:rPr>
          <w:rFonts w:ascii="Arial" w:cs="Arial" w:eastAsia="Arial" w:hAnsi="Arial"/>
          <w:sz w:val="18"/>
          <w:szCs w:val="18"/>
          <w:color w:val="auto"/>
        </w:rPr>
        <w:t>Innovation and Workforce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4D8ABE"/>
        </w:rPr>
        <w:t>EMMA VAN ROOYEN</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w:t>
      </w:r>
    </w:p>
    <w:p>
      <w:pPr>
        <w:spacing w:after="0"/>
        <w:rPr>
          <w:sz w:val="20"/>
          <w:szCs w:val="20"/>
          <w:color w:val="auto"/>
        </w:rPr>
      </w:pPr>
      <w:r>
        <w:rPr>
          <w:rFonts w:ascii="Arial" w:cs="Arial" w:eastAsia="Arial" w:hAnsi="Arial"/>
          <w:sz w:val="18"/>
          <w:szCs w:val="18"/>
          <w:color w:val="auto"/>
        </w:rPr>
        <w:t>Chief Marketing Officer</w:t>
      </w:r>
    </w:p>
    <w:p>
      <w:pPr>
        <w:sectPr>
          <w:pgSz w:w="11900" w:h="16838" w:orient="portrait"/>
          <w:cols w:equalWidth="0" w:num="2">
            <w:col w:w="5260" w:space="280"/>
            <w:col w:w="4339"/>
          </w:cols>
          <w:pgMar w:left="580" w:top="349" w:right="1440" w:bottom="1440" w:gutter="0" w:footer="0" w:header="0"/>
        </w:sectPr>
      </w:pPr>
    </w:p>
    <w:bookmarkStart w:id="111" w:name="page112"/>
    <w:bookmarkEnd w:id="111"/>
    <w:p>
      <w:pPr>
        <w:spacing w:after="0"/>
        <w:rPr>
          <w:sz w:val="20"/>
          <w:szCs w:val="20"/>
          <w:color w:val="auto"/>
        </w:rPr>
      </w:pPr>
      <w:r>
        <w:rPr>
          <w:rFonts w:ascii="Arial" w:cs="Arial" w:eastAsia="Arial" w:hAnsi="Arial"/>
          <w:sz w:val="18"/>
          <w:szCs w:val="18"/>
          <w:b w:val="1"/>
          <w:bCs w:val="1"/>
          <w:color w:val="4D8ABE"/>
        </w:rPr>
        <w:t>WORLD HEADQUARTERS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P.O. Box 2053</w:t>
      </w:r>
    </w:p>
    <w:p>
      <w:pPr>
        <w:spacing w:after="0" w:line="234" w:lineRule="auto"/>
        <w:rPr>
          <w:sz w:val="20"/>
          <w:szCs w:val="20"/>
          <w:color w:val="auto"/>
        </w:rPr>
      </w:pPr>
      <w:r>
        <w:rPr>
          <w:rFonts w:ascii="Arial" w:cs="Arial" w:eastAsia="Arial" w:hAnsi="Arial"/>
          <w:sz w:val="18"/>
          <w:szCs w:val="18"/>
          <w:color w:val="auto"/>
        </w:rPr>
        <w:t>100 Manpower Place</w:t>
      </w:r>
    </w:p>
    <w:p>
      <w:pPr>
        <w:spacing w:after="0" w:line="235" w:lineRule="auto"/>
        <w:rPr>
          <w:sz w:val="20"/>
          <w:szCs w:val="20"/>
          <w:color w:val="auto"/>
        </w:rPr>
      </w:pPr>
      <w:r>
        <w:rPr>
          <w:rFonts w:ascii="Arial" w:cs="Arial" w:eastAsia="Arial" w:hAnsi="Arial"/>
          <w:sz w:val="18"/>
          <w:szCs w:val="18"/>
          <w:color w:val="auto"/>
        </w:rPr>
        <w:t>Milwaukee, WI 53212 USA</w:t>
      </w:r>
    </w:p>
    <w:p>
      <w:pPr>
        <w:spacing w:after="0" w:line="235" w:lineRule="auto"/>
        <w:rPr>
          <w:sz w:val="20"/>
          <w:szCs w:val="20"/>
          <w:color w:val="auto"/>
        </w:rPr>
      </w:pPr>
      <w:r>
        <w:rPr>
          <w:rFonts w:ascii="Arial" w:cs="Arial" w:eastAsia="Arial" w:hAnsi="Arial"/>
          <w:sz w:val="18"/>
          <w:szCs w:val="18"/>
          <w:color w:val="auto"/>
        </w:rPr>
        <w:t>+1.414.961.1000</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www.manpower.com</w:t>
      </w:r>
    </w:p>
    <w:p>
      <w:pPr>
        <w:spacing w:after="0" w:line="176" w:lineRule="exact"/>
        <w:rPr>
          <w:sz w:val="20"/>
          <w:szCs w:val="20"/>
          <w:color w:val="auto"/>
        </w:rPr>
      </w:pPr>
    </w:p>
    <w:p>
      <w:pPr>
        <w:ind w:right="1780"/>
        <w:spacing w:after="0" w:line="243" w:lineRule="auto"/>
        <w:rPr>
          <w:sz w:val="20"/>
          <w:szCs w:val="20"/>
          <w:color w:val="auto"/>
        </w:rPr>
      </w:pPr>
      <w:r>
        <w:rPr>
          <w:rFonts w:ascii="Arial" w:cs="Arial" w:eastAsia="Arial" w:hAnsi="Arial"/>
          <w:sz w:val="18"/>
          <w:szCs w:val="18"/>
          <w:b w:val="1"/>
          <w:bCs w:val="1"/>
          <w:color w:val="4D8ABE"/>
        </w:rPr>
        <w:t xml:space="preserve">TRANSFER AGENT AND REGISTRAR </w:t>
      </w:r>
      <w:r>
        <w:rPr>
          <w:rFonts w:ascii="Arial" w:cs="Arial" w:eastAsia="Arial" w:hAnsi="Arial"/>
          <w:sz w:val="18"/>
          <w:szCs w:val="18"/>
          <w:color w:val="000000"/>
        </w:rPr>
        <w:t>BNY Mellon Shareowner Services P.O. Box 358015</w:t>
      </w:r>
    </w:p>
    <w:p>
      <w:pPr>
        <w:spacing w:after="0" w:line="1" w:lineRule="exact"/>
        <w:rPr>
          <w:sz w:val="20"/>
          <w:szCs w:val="20"/>
          <w:color w:val="auto"/>
        </w:rPr>
      </w:pPr>
    </w:p>
    <w:p>
      <w:pPr>
        <w:ind w:right="1860"/>
        <w:spacing w:after="0" w:line="248" w:lineRule="auto"/>
        <w:rPr>
          <w:sz w:val="20"/>
          <w:szCs w:val="20"/>
          <w:color w:val="auto"/>
        </w:rPr>
      </w:pPr>
      <w:r>
        <w:rPr>
          <w:rFonts w:ascii="Arial" w:cs="Arial" w:eastAsia="Arial" w:hAnsi="Arial"/>
          <w:sz w:val="17"/>
          <w:szCs w:val="17"/>
          <w:color w:val="auto"/>
        </w:rPr>
        <w:t>Pittsburgh, PA 15252-8015 Shareowners Toll Free: (800) 874-1547 Foreign Shareowners: (201) 680-6578</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Web Site: www.bnymellon.com/shareowner/isd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4D8ABE"/>
        </w:rPr>
        <w:t>STOCK EXCHANGE LISTING</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NYSE Symbol: MAN</w:t>
      </w: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color w:val="4D8ABE"/>
        </w:rPr>
        <w:t>FORM 10-K</w:t>
      </w:r>
    </w:p>
    <w:p>
      <w:pPr>
        <w:spacing w:after="0" w:line="18" w:lineRule="exact"/>
        <w:rPr>
          <w:sz w:val="20"/>
          <w:szCs w:val="20"/>
          <w:color w:val="auto"/>
        </w:rPr>
      </w:pPr>
    </w:p>
    <w:p>
      <w:pPr>
        <w:ind w:right="840"/>
        <w:spacing w:after="0" w:line="239" w:lineRule="auto"/>
        <w:rPr>
          <w:sz w:val="20"/>
          <w:szCs w:val="20"/>
          <w:color w:val="auto"/>
        </w:rPr>
      </w:pPr>
      <w:r>
        <w:rPr>
          <w:rFonts w:ascii="Arial" w:cs="Arial" w:eastAsia="Arial" w:hAnsi="Arial"/>
          <w:sz w:val="18"/>
          <w:szCs w:val="18"/>
          <w:color w:val="auto"/>
        </w:rPr>
        <w:t>A copy of Form 10-K filed with the Securities and Exchange Commission for the year ended December 31, 2010 is available without charge after February 24, 2011</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and can be obtained online at:</w:t>
      </w:r>
    </w:p>
    <w:p>
      <w:pPr>
        <w:spacing w:after="0" w:line="234" w:lineRule="auto"/>
        <w:rPr>
          <w:sz w:val="20"/>
          <w:szCs w:val="20"/>
          <w:color w:val="auto"/>
        </w:rPr>
      </w:pPr>
      <w:r>
        <w:rPr>
          <w:rFonts w:ascii="Arial" w:cs="Arial" w:eastAsia="Arial" w:hAnsi="Arial"/>
          <w:sz w:val="18"/>
          <w:szCs w:val="18"/>
          <w:color w:val="auto"/>
        </w:rPr>
        <w:t>www.investor.manpower.com</w:t>
      </w:r>
    </w:p>
    <w:p>
      <w:pPr>
        <w:spacing w:after="0" w:line="235" w:lineRule="auto"/>
        <w:rPr>
          <w:sz w:val="20"/>
          <w:szCs w:val="20"/>
          <w:color w:val="auto"/>
        </w:rPr>
      </w:pPr>
      <w:r>
        <w:rPr>
          <w:rFonts w:ascii="Arial" w:cs="Arial" w:eastAsia="Arial" w:hAnsi="Arial"/>
          <w:sz w:val="18"/>
          <w:szCs w:val="18"/>
          <w:color w:val="auto"/>
        </w:rPr>
        <w:t>or by writing to:</w:t>
      </w:r>
    </w:p>
    <w:p>
      <w:pPr>
        <w:spacing w:after="0" w:line="235" w:lineRule="auto"/>
        <w:rPr>
          <w:sz w:val="20"/>
          <w:szCs w:val="20"/>
          <w:color w:val="auto"/>
        </w:rPr>
      </w:pPr>
      <w:r>
        <w:rPr>
          <w:rFonts w:ascii="Arial" w:cs="Arial" w:eastAsia="Arial" w:hAnsi="Arial"/>
          <w:sz w:val="18"/>
          <w:szCs w:val="18"/>
          <w:color w:val="auto"/>
        </w:rPr>
        <w:t>Kenneth C. Hunt</w:t>
      </w:r>
    </w:p>
    <w:p>
      <w:pPr>
        <w:spacing w:after="0" w:line="235" w:lineRule="auto"/>
        <w:rPr>
          <w:sz w:val="20"/>
          <w:szCs w:val="20"/>
          <w:color w:val="auto"/>
        </w:rPr>
      </w:pPr>
      <w:r>
        <w:rPr>
          <w:rFonts w:ascii="Arial" w:cs="Arial" w:eastAsia="Arial" w:hAnsi="Arial"/>
          <w:sz w:val="18"/>
          <w:szCs w:val="18"/>
          <w:color w:val="auto"/>
        </w:rPr>
        <w:t>Manpower Inc.</w:t>
      </w:r>
    </w:p>
    <w:p>
      <w:pPr>
        <w:spacing w:after="0" w:line="235" w:lineRule="auto"/>
        <w:rPr>
          <w:sz w:val="20"/>
          <w:szCs w:val="20"/>
          <w:color w:val="auto"/>
        </w:rPr>
      </w:pPr>
      <w:r>
        <w:rPr>
          <w:rFonts w:ascii="Arial" w:cs="Arial" w:eastAsia="Arial" w:hAnsi="Arial"/>
          <w:sz w:val="18"/>
          <w:szCs w:val="18"/>
          <w:color w:val="auto"/>
        </w:rPr>
        <w:t>100 Manpower Place</w:t>
      </w:r>
    </w:p>
    <w:p>
      <w:pPr>
        <w:spacing w:after="0" w:line="235" w:lineRule="auto"/>
        <w:rPr>
          <w:sz w:val="20"/>
          <w:szCs w:val="20"/>
          <w:color w:val="auto"/>
        </w:rPr>
      </w:pPr>
      <w:r>
        <w:rPr>
          <w:rFonts w:ascii="Arial" w:cs="Arial" w:eastAsia="Arial" w:hAnsi="Arial"/>
          <w:sz w:val="18"/>
          <w:szCs w:val="18"/>
          <w:color w:val="auto"/>
        </w:rPr>
        <w:t>Milwaukee, WI 53212</w:t>
      </w:r>
    </w:p>
    <w:p>
      <w:pPr>
        <w:spacing w:after="0"/>
        <w:rPr>
          <w:sz w:val="20"/>
          <w:szCs w:val="20"/>
          <w:color w:val="auto"/>
        </w:rPr>
      </w:pPr>
      <w:r>
        <w:rPr>
          <w:rFonts w:ascii="Arial" w:cs="Arial" w:eastAsia="Arial" w:hAnsi="Arial"/>
          <w:sz w:val="18"/>
          <w:szCs w:val="18"/>
          <w:color w:val="auto"/>
        </w:rPr>
        <w:t>USA</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4D8ABE"/>
        </w:rPr>
        <w:t>SHAREHOLDERS</w:t>
      </w:r>
    </w:p>
    <w:p>
      <w:pPr>
        <w:spacing w:after="0" w:line="18" w:lineRule="exact"/>
        <w:rPr>
          <w:sz w:val="20"/>
          <w:szCs w:val="20"/>
          <w:color w:val="auto"/>
        </w:rPr>
      </w:pPr>
    </w:p>
    <w:p>
      <w:pPr>
        <w:ind w:right="560"/>
        <w:spacing w:after="0" w:line="246" w:lineRule="auto"/>
        <w:rPr>
          <w:sz w:val="20"/>
          <w:szCs w:val="20"/>
          <w:color w:val="auto"/>
        </w:rPr>
      </w:pPr>
      <w:r>
        <w:rPr>
          <w:rFonts w:ascii="Arial" w:cs="Arial" w:eastAsia="Arial" w:hAnsi="Arial"/>
          <w:sz w:val="18"/>
          <w:szCs w:val="18"/>
          <w:color w:val="auto"/>
        </w:rPr>
        <w:t>As of February 22, 2011, Manpower Inc. common stock was held by approximately 4,500 record holders.</w:t>
      </w:r>
    </w:p>
    <w:p>
      <w:pPr>
        <w:spacing w:after="0" w:line="364" w:lineRule="exact"/>
        <w:rPr>
          <w:sz w:val="20"/>
          <w:szCs w:val="20"/>
          <w:color w:val="auto"/>
        </w:rPr>
      </w:pPr>
    </w:p>
    <w:p>
      <w:pPr>
        <w:ind w:right="1500"/>
        <w:spacing w:after="0" w:line="243" w:lineRule="auto"/>
        <w:rPr>
          <w:sz w:val="20"/>
          <w:szCs w:val="20"/>
          <w:color w:val="auto"/>
        </w:rPr>
      </w:pPr>
      <w:r>
        <w:rPr>
          <w:rFonts w:ascii="Arial" w:cs="Arial" w:eastAsia="Arial" w:hAnsi="Arial"/>
          <w:sz w:val="18"/>
          <w:szCs w:val="18"/>
          <w:b w:val="1"/>
          <w:bCs w:val="1"/>
          <w:color w:val="4D8ABE"/>
        </w:rPr>
        <w:t xml:space="preserve">ANNUAL MEETING OF SHAREHOLDERS </w:t>
      </w:r>
      <w:r>
        <w:rPr>
          <w:rFonts w:ascii="Arial" w:cs="Arial" w:eastAsia="Arial" w:hAnsi="Arial"/>
          <w:sz w:val="18"/>
          <w:szCs w:val="18"/>
          <w:color w:val="000000"/>
        </w:rPr>
        <w:t>May 3, 2011 at 10 a.m. Manpower World Headquarters</w:t>
      </w:r>
    </w:p>
    <w:p>
      <w:pPr>
        <w:spacing w:after="0" w:line="236" w:lineRule="auto"/>
        <w:rPr>
          <w:sz w:val="20"/>
          <w:szCs w:val="20"/>
          <w:color w:val="auto"/>
        </w:rPr>
      </w:pPr>
      <w:r>
        <w:rPr>
          <w:rFonts w:ascii="Arial" w:cs="Arial" w:eastAsia="Arial" w:hAnsi="Arial"/>
          <w:sz w:val="18"/>
          <w:szCs w:val="18"/>
          <w:color w:val="auto"/>
        </w:rPr>
        <w:t>100 Manpower Place</w:t>
      </w:r>
    </w:p>
    <w:p>
      <w:pPr>
        <w:spacing w:after="0" w:line="234" w:lineRule="auto"/>
        <w:rPr>
          <w:sz w:val="20"/>
          <w:szCs w:val="20"/>
          <w:color w:val="auto"/>
        </w:rPr>
      </w:pPr>
      <w:r>
        <w:rPr>
          <w:rFonts w:ascii="Arial" w:cs="Arial" w:eastAsia="Arial" w:hAnsi="Arial"/>
          <w:sz w:val="18"/>
          <w:szCs w:val="18"/>
          <w:color w:val="auto"/>
        </w:rPr>
        <w:t>Milwaukee, WI 53212</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USA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color w:val="4D8ABE"/>
        </w:rPr>
        <w:t>INVESTOR RELATIONS WEBSITE</w:t>
      </w:r>
    </w:p>
    <w:p>
      <w:pPr>
        <w:spacing w:after="0" w:line="19" w:lineRule="exact"/>
        <w:rPr>
          <w:sz w:val="20"/>
          <w:szCs w:val="20"/>
          <w:color w:val="auto"/>
        </w:rPr>
      </w:pPr>
    </w:p>
    <w:p>
      <w:pPr>
        <w:ind w:right="360"/>
        <w:spacing w:after="0" w:line="237" w:lineRule="auto"/>
        <w:rPr>
          <w:sz w:val="20"/>
          <w:szCs w:val="20"/>
          <w:color w:val="auto"/>
        </w:rPr>
      </w:pPr>
      <w:r>
        <w:rPr>
          <w:rFonts w:ascii="Arial" w:cs="Arial" w:eastAsia="Arial" w:hAnsi="Arial"/>
          <w:sz w:val="18"/>
          <w:szCs w:val="18"/>
          <w:color w:val="auto"/>
        </w:rPr>
        <w:t>The most current corporate and investor information can be found on the Manpower Inc. corporate Web site at www.manpower.com. Interested individuals may also choose to receive Manpower press releases and other information via e-mail by subscribing to our E-mail Alert service at www.investor.manpower.com.</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4D8ABE"/>
        </w:rPr>
        <w:t>GOVERNANCE</w:t>
      </w:r>
    </w:p>
    <w:p>
      <w:pPr>
        <w:spacing w:after="0" w:line="18" w:lineRule="exact"/>
        <w:rPr>
          <w:sz w:val="20"/>
          <w:szCs w:val="20"/>
          <w:color w:val="auto"/>
        </w:rPr>
      </w:pPr>
    </w:p>
    <w:p>
      <w:pPr>
        <w:ind w:right="160"/>
        <w:spacing w:after="0" w:line="236" w:lineRule="auto"/>
        <w:rPr>
          <w:sz w:val="20"/>
          <w:szCs w:val="20"/>
          <w:color w:val="auto"/>
        </w:rPr>
      </w:pPr>
      <w:r>
        <w:rPr>
          <w:rFonts w:ascii="Arial" w:cs="Arial" w:eastAsia="Arial" w:hAnsi="Arial"/>
          <w:sz w:val="18"/>
          <w:szCs w:val="18"/>
          <w:color w:val="auto"/>
        </w:rPr>
        <w:t>As of February 1, 2011, ISS Corporate Services, (an MSCI Brand) gave Manpower the following Governance Risk Indicator (GRId) Scores: Audit, Medium Concern; Board Structure, Low Concern; Compensation, High Concern; and Shareholder Rights, Medium Concern. Beginning in 2010, GRId scores replace the Corporate Governance Quotient index. ISS Corporate Services is a respected authority on proxy voting and corporate governance.</w:t>
      </w:r>
    </w:p>
    <w:p>
      <w:pPr>
        <w:spacing w:after="0" w:line="195" w:lineRule="exact"/>
        <w:rPr>
          <w:sz w:val="20"/>
          <w:szCs w:val="20"/>
          <w:color w:val="auto"/>
        </w:rPr>
      </w:pPr>
    </w:p>
    <w:p>
      <w:pPr>
        <w:ind w:right="460"/>
        <w:spacing w:after="0" w:line="238" w:lineRule="auto"/>
        <w:rPr>
          <w:sz w:val="20"/>
          <w:szCs w:val="20"/>
          <w:color w:val="auto"/>
        </w:rPr>
      </w:pPr>
      <w:r>
        <w:rPr>
          <w:rFonts w:ascii="Arial" w:cs="Arial" w:eastAsia="Arial" w:hAnsi="Arial"/>
          <w:sz w:val="18"/>
          <w:szCs w:val="18"/>
          <w:color w:val="auto"/>
        </w:rPr>
        <w:t>Governance Metrics International, an independent corporate governance rating agency, rated Manpower an 8.0 on a scale of 1 to 10 with 10 being the highest ranking, on November 30, 2010. The average score for all U.S. companies rated by GMI is 7.2.</w:t>
      </w:r>
    </w:p>
    <w:p>
      <w:pPr>
        <w:spacing w:after="0" w:line="189" w:lineRule="exact"/>
        <w:rPr>
          <w:sz w:val="20"/>
          <w:szCs w:val="20"/>
          <w:color w:val="auto"/>
        </w:rPr>
      </w:pPr>
    </w:p>
    <w:p>
      <w:pPr>
        <w:ind w:right="280"/>
        <w:spacing w:after="0" w:line="237" w:lineRule="auto"/>
        <w:rPr>
          <w:sz w:val="20"/>
          <w:szCs w:val="20"/>
          <w:color w:val="auto"/>
        </w:rPr>
      </w:pPr>
      <w:r>
        <w:rPr>
          <w:rFonts w:ascii="Arial" w:cs="Arial" w:eastAsia="Arial" w:hAnsi="Arial"/>
          <w:sz w:val="18"/>
          <w:szCs w:val="18"/>
          <w:color w:val="auto"/>
        </w:rPr>
        <w:t>Manpower’s governance structure is designed to ensure transparency in our operations and adherence to the regulations set forth by the U.S. Securities and Exchange Commission (SEC). Information on Manpower’s governance structure and policies can be found at www.manpower.com in the section titled “About Manpower.”</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4D8ABE"/>
        </w:rPr>
        <w:t>SOCIAL RESPONSIBILITY</w:t>
      </w:r>
    </w:p>
    <w:p>
      <w:pPr>
        <w:spacing w:after="0" w:line="18" w:lineRule="exact"/>
        <w:rPr>
          <w:sz w:val="20"/>
          <w:szCs w:val="20"/>
          <w:color w:val="auto"/>
        </w:rPr>
      </w:pPr>
    </w:p>
    <w:p>
      <w:pPr>
        <w:spacing w:after="0" w:line="251" w:lineRule="auto"/>
        <w:rPr>
          <w:sz w:val="20"/>
          <w:szCs w:val="20"/>
          <w:color w:val="auto"/>
        </w:rPr>
      </w:pPr>
      <w:r>
        <w:rPr>
          <w:rFonts w:ascii="Arial" w:cs="Arial" w:eastAsia="Arial" w:hAnsi="Arial"/>
          <w:sz w:val="17"/>
          <w:szCs w:val="17"/>
          <w:color w:val="auto"/>
        </w:rPr>
        <w:t>Manpower’s business is, in itself, socially responsible because everything we do is geared toward connecting people with jobs, which enables individuals to support themselves and their families. Our free training programs allow all of our permanent, contract and temporary employees to improve their skills and grow in their careers, thereby improving their long-term career potential. Our outplacement services ensure that, when a client has to eliminate jobs, it is done in a manner that enables individuals to receive the support, training and career counseling they require in finding their way back to employment.</w:t>
      </w:r>
    </w:p>
    <w:p>
      <w:pPr>
        <w:spacing w:after="0" w:line="387"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We strive to be socially responsible in every aspect of our business. And we often focus our resources with special initiatives in which we can have the most impact, helping to create a bridge to employment for disadvantaged individuals through various workforce development programs around the world. We are also dedicated to increasing awareness of, and opposition to, labor practices that exploit individuals, particularly those who are vulnerable. Additional details regarding social responsibility efforts at Manpower can be found in our most recent Social Responsibility Report, which is accessible via our corporate Web site at www.manpower.com/socialresponsibility.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-3695065</wp:posOffset>
            </wp:positionH>
            <wp:positionV relativeFrom="paragraph">
              <wp:posOffset>565785</wp:posOffset>
            </wp:positionV>
            <wp:extent cx="7334250" cy="469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334250" cy="46990"/>
                    </a:xfrm>
                    <a:prstGeom prst="rect">
                      <a:avLst/>
                    </a:prstGeom>
                    <a:noFill/>
                  </pic:spPr>
                </pic:pic>
              </a:graphicData>
            </a:graphic>
          </wp:anchor>
        </w:drawing>
      </w:r>
    </w:p>
    <w:p>
      <w:pPr>
        <w:sectPr>
          <w:pgSz w:w="11900" w:h="16838" w:orient="portrait"/>
          <w:cols w:equalWidth="0" w:num="2">
            <w:col w:w="5000" w:space="720"/>
            <w:col w:w="4840"/>
          </w:cols>
          <w:pgMar w:left="240" w:top="116" w:right="1099" w:bottom="1440" w:gutter="0" w:footer="0" w:header="0"/>
        </w:sectPr>
      </w:pPr>
    </w:p>
    <w:bookmarkStart w:id="112" w:name="page113"/>
    <w:bookmarkEnd w:id="112"/>
    <w:p>
      <w:pPr>
        <w:jc w:val="right"/>
        <w:spacing w:after="0"/>
        <w:rPr>
          <w:sz w:val="20"/>
          <w:szCs w:val="20"/>
          <w:color w:val="auto"/>
        </w:rPr>
      </w:pPr>
      <w:r>
        <w:rPr>
          <w:rFonts w:ascii="Arial" w:cs="Arial" w:eastAsia="Arial" w:hAnsi="Arial"/>
          <w:sz w:val="18"/>
          <w:szCs w:val="18"/>
          <w:b w:val="1"/>
          <w:bCs w:val="1"/>
          <w:color w:val="4D8ABE"/>
        </w:rPr>
        <w:t>Exhibit 21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40" w:type="dxa"/>
            <w:vAlign w:val="bottom"/>
          </w:tcPr>
          <w:p>
            <w:pPr>
              <w:spacing w:after="0"/>
              <w:rPr>
                <w:sz w:val="18"/>
                <w:szCs w:val="18"/>
                <w:color w:val="auto"/>
              </w:rPr>
            </w:pPr>
          </w:p>
        </w:tc>
        <w:tc>
          <w:tcPr>
            <w:tcW w:w="7420" w:type="dxa"/>
            <w:vAlign w:val="bottom"/>
          </w:tcPr>
          <w:p>
            <w:pPr>
              <w:jc w:val="center"/>
              <w:ind w:left="910"/>
              <w:spacing w:after="0"/>
              <w:rPr>
                <w:sz w:val="20"/>
                <w:szCs w:val="20"/>
                <w:color w:val="auto"/>
              </w:rPr>
            </w:pPr>
            <w:r>
              <w:rPr>
                <w:rFonts w:ascii="Arial" w:cs="Arial" w:eastAsia="Arial" w:hAnsi="Arial"/>
                <w:sz w:val="18"/>
                <w:szCs w:val="18"/>
                <w:b w:val="1"/>
                <w:bCs w:val="1"/>
                <w:color w:val="4D8ABE"/>
              </w:rPr>
              <w:t>SUBSIDIARIES OF MANPOWER INC.</w:t>
            </w:r>
          </w:p>
        </w:tc>
        <w:tc>
          <w:tcPr>
            <w:tcW w:w="78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34"/>
        </w:trPr>
        <w:tc>
          <w:tcPr>
            <w:tcW w:w="1340" w:type="dxa"/>
            <w:vAlign w:val="bottom"/>
          </w:tcPr>
          <w:p>
            <w:pPr>
              <w:spacing w:after="0"/>
              <w:rPr>
                <w:sz w:val="20"/>
                <w:szCs w:val="20"/>
                <w:color w:val="auto"/>
              </w:rPr>
            </w:pPr>
          </w:p>
        </w:tc>
        <w:tc>
          <w:tcPr>
            <w:tcW w:w="7420" w:type="dxa"/>
            <w:vAlign w:val="bottom"/>
          </w:tcPr>
          <w:p>
            <w:pPr>
              <w:jc w:val="center"/>
              <w:ind w:left="910"/>
              <w:spacing w:after="0"/>
              <w:rPr>
                <w:sz w:val="20"/>
                <w:szCs w:val="20"/>
                <w:color w:val="auto"/>
              </w:rPr>
            </w:pPr>
            <w:r>
              <w:rPr>
                <w:rFonts w:ascii="Arial" w:cs="Arial" w:eastAsia="Arial" w:hAnsi="Arial"/>
                <w:sz w:val="18"/>
                <w:szCs w:val="18"/>
                <w:b w:val="1"/>
                <w:bCs w:val="1"/>
                <w:color w:val="4D8ABE"/>
                <w:w w:val="89"/>
              </w:rPr>
              <w:t>As of December 31, 2010</w:t>
            </w:r>
          </w:p>
        </w:tc>
        <w:tc>
          <w:tcPr>
            <w:tcW w:w="78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392"/>
        </w:trPr>
        <w:tc>
          <w:tcPr>
            <w:tcW w:w="8760" w:type="dxa"/>
            <w:vAlign w:val="bottom"/>
            <w:gridSpan w:val="2"/>
          </w:tcPr>
          <w:p>
            <w:pPr>
              <w:spacing w:after="0"/>
              <w:rPr>
                <w:sz w:val="20"/>
                <w:szCs w:val="20"/>
                <w:color w:val="auto"/>
              </w:rPr>
            </w:pPr>
            <w:r>
              <w:rPr>
                <w:rFonts w:ascii="Arial" w:cs="Arial" w:eastAsia="Arial" w:hAnsi="Arial"/>
                <w:sz w:val="18"/>
                <w:szCs w:val="18"/>
                <w:color w:val="auto"/>
              </w:rPr>
              <w:t>Corporation Name</w:t>
            </w:r>
          </w:p>
        </w:tc>
        <w:tc>
          <w:tcPr>
            <w:tcW w:w="1600" w:type="dxa"/>
            <w:vAlign w:val="bottom"/>
            <w:gridSpan w:val="2"/>
          </w:tcPr>
          <w:p>
            <w:pPr>
              <w:spacing w:after="0"/>
              <w:rPr>
                <w:sz w:val="20"/>
                <w:szCs w:val="20"/>
                <w:color w:val="auto"/>
              </w:rPr>
            </w:pPr>
            <w:r>
              <w:rPr>
                <w:rFonts w:ascii="Arial" w:cs="Arial" w:eastAsia="Arial" w:hAnsi="Arial"/>
                <w:sz w:val="18"/>
                <w:szCs w:val="18"/>
                <w:color w:val="auto"/>
                <w:w w:val="89"/>
              </w:rPr>
              <w:t>Incorporated in State /</w:t>
            </w:r>
          </w:p>
        </w:tc>
      </w:tr>
      <w:tr>
        <w:trPr>
          <w:trHeight w:val="196"/>
        </w:trPr>
        <w:tc>
          <w:tcPr>
            <w:tcW w:w="1340" w:type="dxa"/>
            <w:vAlign w:val="bottom"/>
            <w:tcBorders>
              <w:top w:val="single" w:sz="8" w:color="auto"/>
            </w:tcBorders>
          </w:tcPr>
          <w:p>
            <w:pPr>
              <w:spacing w:after="0"/>
              <w:rPr>
                <w:sz w:val="17"/>
                <w:szCs w:val="17"/>
                <w:color w:val="auto"/>
              </w:rPr>
            </w:pPr>
          </w:p>
        </w:tc>
        <w:tc>
          <w:tcPr>
            <w:tcW w:w="7420" w:type="dxa"/>
            <w:vAlign w:val="bottom"/>
          </w:tcPr>
          <w:p>
            <w:pPr>
              <w:spacing w:after="0"/>
              <w:rPr>
                <w:sz w:val="17"/>
                <w:szCs w:val="17"/>
                <w:color w:val="auto"/>
              </w:rPr>
            </w:pPr>
          </w:p>
        </w:tc>
        <w:tc>
          <w:tcPr>
            <w:tcW w:w="1600" w:type="dxa"/>
            <w:vAlign w:val="bottom"/>
            <w:tcBorders>
              <w:top w:val="single" w:sz="8" w:color="auto"/>
            </w:tcBorders>
            <w:gridSpan w:val="2"/>
          </w:tcPr>
          <w:p>
            <w:pPr>
              <w:spacing w:after="0" w:line="196" w:lineRule="exact"/>
              <w:rPr>
                <w:sz w:val="20"/>
                <w:szCs w:val="20"/>
                <w:color w:val="auto"/>
              </w:rPr>
            </w:pPr>
            <w:r>
              <w:rPr>
                <w:rFonts w:ascii="Arial" w:cs="Arial" w:eastAsia="Arial" w:hAnsi="Arial"/>
                <w:sz w:val="18"/>
                <w:szCs w:val="18"/>
                <w:color w:val="auto"/>
              </w:rPr>
              <w:t>Country of</w:t>
            </w:r>
          </w:p>
        </w:tc>
      </w:tr>
      <w:tr>
        <w:trPr>
          <w:trHeight w:val="222"/>
        </w:trPr>
        <w:tc>
          <w:tcPr>
            <w:tcW w:w="8760" w:type="dxa"/>
            <w:vAlign w:val="bottom"/>
            <w:gridSpan w:val="2"/>
          </w:tcPr>
          <w:p>
            <w:pPr>
              <w:spacing w:after="0"/>
              <w:rPr>
                <w:sz w:val="20"/>
                <w:szCs w:val="20"/>
                <w:color w:val="auto"/>
              </w:rPr>
            </w:pPr>
            <w:r>
              <w:rPr>
                <w:rFonts w:ascii="Arial" w:cs="Arial" w:eastAsia="Arial" w:hAnsi="Arial"/>
                <w:sz w:val="18"/>
                <w:szCs w:val="18"/>
                <w:color w:val="auto"/>
              </w:rPr>
              <w:t>Huntsville Service Contractors, Inc.</w:t>
            </w:r>
          </w:p>
        </w:tc>
        <w:tc>
          <w:tcPr>
            <w:tcW w:w="7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AL</w:t>
            </w:r>
          </w:p>
        </w:tc>
        <w:tc>
          <w:tcPr>
            <w:tcW w:w="820" w:type="dxa"/>
            <w:vAlign w:val="bottom"/>
          </w:tcPr>
          <w:p>
            <w:pPr>
              <w:spacing w:after="0"/>
              <w:rPr>
                <w:sz w:val="19"/>
                <w:szCs w:val="19"/>
                <w:color w:val="auto"/>
              </w:rPr>
            </w:pPr>
          </w:p>
        </w:tc>
      </w:tr>
      <w:tr>
        <w:trPr>
          <w:trHeight w:val="216"/>
        </w:trPr>
        <w:tc>
          <w:tcPr>
            <w:tcW w:w="8760" w:type="dxa"/>
            <w:vAlign w:val="bottom"/>
            <w:gridSpan w:val="2"/>
          </w:tcPr>
          <w:p>
            <w:pPr>
              <w:spacing w:after="0"/>
              <w:rPr>
                <w:sz w:val="20"/>
                <w:szCs w:val="20"/>
                <w:color w:val="auto"/>
              </w:rPr>
            </w:pPr>
            <w:r>
              <w:rPr>
                <w:rFonts w:ascii="Arial" w:cs="Arial" w:eastAsia="Arial" w:hAnsi="Arial"/>
                <w:sz w:val="18"/>
                <w:szCs w:val="18"/>
                <w:color w:val="auto"/>
              </w:rPr>
              <w:t>Benefits S.A.</w:t>
            </w:r>
          </w:p>
        </w:tc>
        <w:tc>
          <w:tcPr>
            <w:tcW w:w="1600" w:type="dxa"/>
            <w:vAlign w:val="bottom"/>
            <w:gridSpan w:val="2"/>
          </w:tcPr>
          <w:p>
            <w:pPr>
              <w:spacing w:after="0"/>
              <w:rPr>
                <w:sz w:val="20"/>
                <w:szCs w:val="20"/>
                <w:color w:val="auto"/>
              </w:rPr>
            </w:pPr>
            <w:r>
              <w:rPr>
                <w:rFonts w:ascii="Arial" w:cs="Arial" w:eastAsia="Arial" w:hAnsi="Arial"/>
                <w:sz w:val="18"/>
                <w:szCs w:val="18"/>
                <w:color w:val="auto"/>
              </w:rPr>
              <w:t>Argentina</w:t>
            </w:r>
          </w:p>
        </w:tc>
      </w:tr>
      <w:tr>
        <w:trPr>
          <w:trHeight w:val="216"/>
        </w:trPr>
        <w:tc>
          <w:tcPr>
            <w:tcW w:w="8760" w:type="dxa"/>
            <w:vAlign w:val="bottom"/>
            <w:gridSpan w:val="2"/>
          </w:tcPr>
          <w:p>
            <w:pPr>
              <w:spacing w:after="0"/>
              <w:rPr>
                <w:sz w:val="20"/>
                <w:szCs w:val="20"/>
                <w:color w:val="auto"/>
              </w:rPr>
            </w:pPr>
            <w:r>
              <w:rPr>
                <w:rFonts w:ascii="Arial" w:cs="Arial" w:eastAsia="Arial" w:hAnsi="Arial"/>
                <w:sz w:val="18"/>
                <w:szCs w:val="18"/>
                <w:color w:val="auto"/>
              </w:rPr>
              <w:t>Cotecsud S.A.S.E.</w:t>
            </w:r>
          </w:p>
        </w:tc>
        <w:tc>
          <w:tcPr>
            <w:tcW w:w="1600" w:type="dxa"/>
            <w:vAlign w:val="bottom"/>
            <w:gridSpan w:val="2"/>
          </w:tcPr>
          <w:p>
            <w:pPr>
              <w:spacing w:after="0"/>
              <w:rPr>
                <w:sz w:val="20"/>
                <w:szCs w:val="20"/>
                <w:color w:val="auto"/>
              </w:rPr>
            </w:pPr>
            <w:r>
              <w:rPr>
                <w:rFonts w:ascii="Arial" w:cs="Arial" w:eastAsia="Arial" w:hAnsi="Arial"/>
                <w:sz w:val="18"/>
                <w:szCs w:val="18"/>
                <w:color w:val="auto"/>
              </w:rPr>
              <w:t>Argentina</w:t>
            </w:r>
          </w:p>
        </w:tc>
      </w:tr>
      <w:tr>
        <w:trPr>
          <w:trHeight w:val="216"/>
        </w:trPr>
        <w:tc>
          <w:tcPr>
            <w:tcW w:w="8760" w:type="dxa"/>
            <w:vAlign w:val="bottom"/>
            <w:gridSpan w:val="2"/>
          </w:tcPr>
          <w:p>
            <w:pPr>
              <w:spacing w:after="0"/>
              <w:rPr>
                <w:sz w:val="20"/>
                <w:szCs w:val="20"/>
                <w:color w:val="auto"/>
              </w:rPr>
            </w:pPr>
            <w:r>
              <w:rPr>
                <w:rFonts w:ascii="Arial" w:cs="Arial" w:eastAsia="Arial" w:hAnsi="Arial"/>
                <w:sz w:val="18"/>
                <w:szCs w:val="18"/>
                <w:color w:val="auto"/>
              </w:rPr>
              <w:t>Right Management S.A.</w:t>
            </w:r>
          </w:p>
        </w:tc>
        <w:tc>
          <w:tcPr>
            <w:tcW w:w="1600" w:type="dxa"/>
            <w:vAlign w:val="bottom"/>
            <w:gridSpan w:val="2"/>
          </w:tcPr>
          <w:p>
            <w:pPr>
              <w:spacing w:after="0"/>
              <w:rPr>
                <w:sz w:val="20"/>
                <w:szCs w:val="20"/>
                <w:color w:val="auto"/>
              </w:rPr>
            </w:pPr>
            <w:r>
              <w:rPr>
                <w:rFonts w:ascii="Arial" w:cs="Arial" w:eastAsia="Arial" w:hAnsi="Arial"/>
                <w:sz w:val="18"/>
                <w:szCs w:val="18"/>
                <w:color w:val="auto"/>
              </w:rPr>
              <w:t>Argentina</w:t>
            </w:r>
          </w:p>
        </w:tc>
      </w:tr>
      <w:tr>
        <w:trPr>
          <w:trHeight w:val="216"/>
        </w:trPr>
        <w:tc>
          <w:tcPr>
            <w:tcW w:w="8760" w:type="dxa"/>
            <w:vAlign w:val="bottom"/>
            <w:gridSpan w:val="2"/>
          </w:tcPr>
          <w:p>
            <w:pPr>
              <w:spacing w:after="0"/>
              <w:rPr>
                <w:sz w:val="20"/>
                <w:szCs w:val="20"/>
                <w:color w:val="auto"/>
              </w:rPr>
            </w:pPr>
            <w:r>
              <w:rPr>
                <w:rFonts w:ascii="Arial" w:cs="Arial" w:eastAsia="Arial" w:hAnsi="Arial"/>
                <w:sz w:val="18"/>
                <w:szCs w:val="18"/>
                <w:color w:val="auto"/>
              </w:rPr>
              <w:t>Ruralpower SA</w:t>
            </w:r>
          </w:p>
        </w:tc>
        <w:tc>
          <w:tcPr>
            <w:tcW w:w="1600" w:type="dxa"/>
            <w:vAlign w:val="bottom"/>
            <w:gridSpan w:val="2"/>
          </w:tcPr>
          <w:p>
            <w:pPr>
              <w:spacing w:after="0"/>
              <w:rPr>
                <w:sz w:val="20"/>
                <w:szCs w:val="20"/>
                <w:color w:val="auto"/>
              </w:rPr>
            </w:pPr>
            <w:r>
              <w:rPr>
                <w:rFonts w:ascii="Arial" w:cs="Arial" w:eastAsia="Arial" w:hAnsi="Arial"/>
                <w:sz w:val="18"/>
                <w:szCs w:val="18"/>
                <w:color w:val="auto"/>
              </w:rPr>
              <w:t>Argentina</w:t>
            </w:r>
          </w:p>
        </w:tc>
      </w:tr>
      <w:tr>
        <w:trPr>
          <w:trHeight w:val="216"/>
        </w:trPr>
        <w:tc>
          <w:tcPr>
            <w:tcW w:w="8760" w:type="dxa"/>
            <w:vAlign w:val="bottom"/>
            <w:gridSpan w:val="2"/>
          </w:tcPr>
          <w:p>
            <w:pPr>
              <w:spacing w:after="0"/>
              <w:rPr>
                <w:sz w:val="20"/>
                <w:szCs w:val="20"/>
                <w:color w:val="auto"/>
              </w:rPr>
            </w:pPr>
            <w:r>
              <w:rPr>
                <w:rFonts w:ascii="Arial" w:cs="Arial" w:eastAsia="Arial" w:hAnsi="Arial"/>
                <w:sz w:val="18"/>
                <w:szCs w:val="18"/>
                <w:color w:val="auto"/>
              </w:rPr>
              <w:t>Salespower S.A.</w:t>
            </w:r>
          </w:p>
        </w:tc>
        <w:tc>
          <w:tcPr>
            <w:tcW w:w="1600" w:type="dxa"/>
            <w:vAlign w:val="bottom"/>
            <w:gridSpan w:val="2"/>
          </w:tcPr>
          <w:p>
            <w:pPr>
              <w:spacing w:after="0"/>
              <w:rPr>
                <w:sz w:val="20"/>
                <w:szCs w:val="20"/>
                <w:color w:val="auto"/>
              </w:rPr>
            </w:pPr>
            <w:r>
              <w:rPr>
                <w:rFonts w:ascii="Arial" w:cs="Arial" w:eastAsia="Arial" w:hAnsi="Arial"/>
                <w:sz w:val="18"/>
                <w:szCs w:val="18"/>
                <w:color w:val="auto"/>
              </w:rPr>
              <w:t>Argentina</w:t>
            </w:r>
          </w:p>
        </w:tc>
      </w:tr>
      <w:tr>
        <w:trPr>
          <w:trHeight w:val="216"/>
        </w:trPr>
        <w:tc>
          <w:tcPr>
            <w:tcW w:w="8760" w:type="dxa"/>
            <w:vAlign w:val="bottom"/>
            <w:gridSpan w:val="2"/>
          </w:tcPr>
          <w:p>
            <w:pPr>
              <w:spacing w:after="0"/>
              <w:rPr>
                <w:sz w:val="20"/>
                <w:szCs w:val="20"/>
                <w:color w:val="auto"/>
              </w:rPr>
            </w:pPr>
            <w:r>
              <w:rPr>
                <w:rFonts w:ascii="Arial" w:cs="Arial" w:eastAsia="Arial" w:hAnsi="Arial"/>
                <w:sz w:val="18"/>
                <w:szCs w:val="18"/>
                <w:color w:val="auto"/>
              </w:rPr>
              <w:t>Manpower Services (Australia) Pty. Ltd.</w:t>
            </w:r>
          </w:p>
        </w:tc>
        <w:tc>
          <w:tcPr>
            <w:tcW w:w="1600" w:type="dxa"/>
            <w:vAlign w:val="bottom"/>
            <w:gridSpan w:val="2"/>
          </w:tcPr>
          <w:p>
            <w:pPr>
              <w:spacing w:after="0"/>
              <w:rPr>
                <w:sz w:val="20"/>
                <w:szCs w:val="20"/>
                <w:color w:val="auto"/>
              </w:rPr>
            </w:pPr>
            <w:r>
              <w:rPr>
                <w:rFonts w:ascii="Arial" w:cs="Arial" w:eastAsia="Arial" w:hAnsi="Arial"/>
                <w:sz w:val="18"/>
                <w:szCs w:val="18"/>
                <w:color w:val="auto"/>
              </w:rPr>
              <w:t>Australia</w:t>
            </w:r>
          </w:p>
        </w:tc>
      </w:tr>
      <w:tr>
        <w:trPr>
          <w:trHeight w:val="216"/>
        </w:trPr>
        <w:tc>
          <w:tcPr>
            <w:tcW w:w="8760" w:type="dxa"/>
            <w:vAlign w:val="bottom"/>
            <w:gridSpan w:val="2"/>
          </w:tcPr>
          <w:p>
            <w:pPr>
              <w:spacing w:after="0"/>
              <w:rPr>
                <w:sz w:val="20"/>
                <w:szCs w:val="20"/>
                <w:color w:val="auto"/>
              </w:rPr>
            </w:pPr>
            <w:r>
              <w:rPr>
                <w:rFonts w:ascii="Arial" w:cs="Arial" w:eastAsia="Arial" w:hAnsi="Arial"/>
                <w:sz w:val="18"/>
                <w:szCs w:val="18"/>
                <w:color w:val="auto"/>
              </w:rPr>
              <w:t>Right Management Consultants (OC) Pty Ltd.</w:t>
            </w:r>
          </w:p>
        </w:tc>
        <w:tc>
          <w:tcPr>
            <w:tcW w:w="1600" w:type="dxa"/>
            <w:vAlign w:val="bottom"/>
            <w:gridSpan w:val="2"/>
          </w:tcPr>
          <w:p>
            <w:pPr>
              <w:spacing w:after="0"/>
              <w:rPr>
                <w:sz w:val="20"/>
                <w:szCs w:val="20"/>
                <w:color w:val="auto"/>
              </w:rPr>
            </w:pPr>
            <w:r>
              <w:rPr>
                <w:rFonts w:ascii="Arial" w:cs="Arial" w:eastAsia="Arial" w:hAnsi="Arial"/>
                <w:sz w:val="18"/>
                <w:szCs w:val="18"/>
                <w:color w:val="auto"/>
              </w:rPr>
              <w:t>Australia</w:t>
            </w:r>
          </w:p>
        </w:tc>
      </w:tr>
      <w:tr>
        <w:trPr>
          <w:trHeight w:val="216"/>
        </w:trPr>
        <w:tc>
          <w:tcPr>
            <w:tcW w:w="8760" w:type="dxa"/>
            <w:vAlign w:val="bottom"/>
            <w:gridSpan w:val="2"/>
          </w:tcPr>
          <w:p>
            <w:pPr>
              <w:spacing w:after="0"/>
              <w:rPr>
                <w:sz w:val="20"/>
                <w:szCs w:val="20"/>
                <w:color w:val="auto"/>
              </w:rPr>
            </w:pPr>
            <w:r>
              <w:rPr>
                <w:rFonts w:ascii="Arial" w:cs="Arial" w:eastAsia="Arial" w:hAnsi="Arial"/>
                <w:sz w:val="18"/>
                <w:szCs w:val="18"/>
                <w:color w:val="auto"/>
              </w:rPr>
              <w:t>Right Management Consultants Holdings Pty Ltd</w:t>
            </w:r>
          </w:p>
        </w:tc>
        <w:tc>
          <w:tcPr>
            <w:tcW w:w="1600" w:type="dxa"/>
            <w:vAlign w:val="bottom"/>
            <w:gridSpan w:val="2"/>
          </w:tcPr>
          <w:p>
            <w:pPr>
              <w:spacing w:after="0"/>
              <w:rPr>
                <w:sz w:val="20"/>
                <w:szCs w:val="20"/>
                <w:color w:val="auto"/>
              </w:rPr>
            </w:pPr>
            <w:r>
              <w:rPr>
                <w:rFonts w:ascii="Arial" w:cs="Arial" w:eastAsia="Arial" w:hAnsi="Arial"/>
                <w:sz w:val="18"/>
                <w:szCs w:val="18"/>
                <w:color w:val="auto"/>
              </w:rPr>
              <w:t>Australia</w:t>
            </w:r>
          </w:p>
        </w:tc>
      </w:tr>
      <w:tr>
        <w:trPr>
          <w:trHeight w:val="216"/>
        </w:trPr>
        <w:tc>
          <w:tcPr>
            <w:tcW w:w="8760" w:type="dxa"/>
            <w:vAlign w:val="bottom"/>
            <w:gridSpan w:val="2"/>
          </w:tcPr>
          <w:p>
            <w:pPr>
              <w:spacing w:after="0"/>
              <w:rPr>
                <w:sz w:val="20"/>
                <w:szCs w:val="20"/>
                <w:color w:val="auto"/>
              </w:rPr>
            </w:pPr>
            <w:r>
              <w:rPr>
                <w:rFonts w:ascii="Arial" w:cs="Arial" w:eastAsia="Arial" w:hAnsi="Arial"/>
                <w:sz w:val="18"/>
                <w:szCs w:val="18"/>
                <w:color w:val="auto"/>
              </w:rPr>
              <w:t>Right Management Consultants International Pty Ltd</w:t>
            </w:r>
          </w:p>
        </w:tc>
        <w:tc>
          <w:tcPr>
            <w:tcW w:w="1600" w:type="dxa"/>
            <w:vAlign w:val="bottom"/>
            <w:gridSpan w:val="2"/>
          </w:tcPr>
          <w:p>
            <w:pPr>
              <w:spacing w:after="0"/>
              <w:rPr>
                <w:sz w:val="20"/>
                <w:szCs w:val="20"/>
                <w:color w:val="auto"/>
              </w:rPr>
            </w:pPr>
            <w:r>
              <w:rPr>
                <w:rFonts w:ascii="Arial" w:cs="Arial" w:eastAsia="Arial" w:hAnsi="Arial"/>
                <w:sz w:val="18"/>
                <w:szCs w:val="18"/>
                <w:color w:val="auto"/>
              </w:rPr>
              <w:t>Australia</w:t>
            </w:r>
          </w:p>
        </w:tc>
      </w:tr>
      <w:tr>
        <w:trPr>
          <w:trHeight w:val="216"/>
        </w:trPr>
        <w:tc>
          <w:tcPr>
            <w:tcW w:w="8760" w:type="dxa"/>
            <w:vAlign w:val="bottom"/>
            <w:gridSpan w:val="2"/>
          </w:tcPr>
          <w:p>
            <w:pPr>
              <w:spacing w:after="0"/>
              <w:rPr>
                <w:sz w:val="20"/>
                <w:szCs w:val="20"/>
                <w:color w:val="auto"/>
              </w:rPr>
            </w:pPr>
            <w:r>
              <w:rPr>
                <w:rFonts w:ascii="Arial" w:cs="Arial" w:eastAsia="Arial" w:hAnsi="Arial"/>
                <w:sz w:val="18"/>
                <w:szCs w:val="18"/>
                <w:color w:val="auto"/>
              </w:rPr>
              <w:t>Right Management Consultants Pty Ltd</w:t>
            </w:r>
          </w:p>
        </w:tc>
        <w:tc>
          <w:tcPr>
            <w:tcW w:w="1600" w:type="dxa"/>
            <w:vAlign w:val="bottom"/>
            <w:gridSpan w:val="2"/>
          </w:tcPr>
          <w:p>
            <w:pPr>
              <w:spacing w:after="0"/>
              <w:rPr>
                <w:sz w:val="20"/>
                <w:szCs w:val="20"/>
                <w:color w:val="auto"/>
              </w:rPr>
            </w:pPr>
            <w:r>
              <w:rPr>
                <w:rFonts w:ascii="Arial" w:cs="Arial" w:eastAsia="Arial" w:hAnsi="Arial"/>
                <w:sz w:val="18"/>
                <w:szCs w:val="18"/>
                <w:color w:val="auto"/>
              </w:rPr>
              <w:t>Australia</w:t>
            </w:r>
          </w:p>
        </w:tc>
      </w:tr>
      <w:tr>
        <w:trPr>
          <w:trHeight w:val="216"/>
        </w:trPr>
        <w:tc>
          <w:tcPr>
            <w:tcW w:w="8760" w:type="dxa"/>
            <w:vAlign w:val="bottom"/>
            <w:gridSpan w:val="2"/>
          </w:tcPr>
          <w:p>
            <w:pPr>
              <w:spacing w:after="0"/>
              <w:rPr>
                <w:sz w:val="20"/>
                <w:szCs w:val="20"/>
                <w:color w:val="auto"/>
              </w:rPr>
            </w:pPr>
            <w:r>
              <w:rPr>
                <w:rFonts w:ascii="Arial" w:cs="Arial" w:eastAsia="Arial" w:hAnsi="Arial"/>
                <w:sz w:val="18"/>
                <w:szCs w:val="18"/>
                <w:color w:val="auto"/>
              </w:rPr>
              <w:t>Elan IT Resource Austria GmbH</w:t>
            </w:r>
          </w:p>
        </w:tc>
        <w:tc>
          <w:tcPr>
            <w:tcW w:w="1600" w:type="dxa"/>
            <w:vAlign w:val="bottom"/>
            <w:gridSpan w:val="2"/>
          </w:tcPr>
          <w:p>
            <w:pPr>
              <w:spacing w:after="0"/>
              <w:rPr>
                <w:sz w:val="20"/>
                <w:szCs w:val="20"/>
                <w:color w:val="auto"/>
              </w:rPr>
            </w:pPr>
            <w:r>
              <w:rPr>
                <w:rFonts w:ascii="Arial" w:cs="Arial" w:eastAsia="Arial" w:hAnsi="Arial"/>
                <w:sz w:val="18"/>
                <w:szCs w:val="18"/>
                <w:color w:val="auto"/>
              </w:rPr>
              <w:t>Austria</w:t>
            </w:r>
          </w:p>
        </w:tc>
      </w:tr>
      <w:tr>
        <w:trPr>
          <w:trHeight w:val="216"/>
        </w:trPr>
        <w:tc>
          <w:tcPr>
            <w:tcW w:w="8760" w:type="dxa"/>
            <w:vAlign w:val="bottom"/>
            <w:gridSpan w:val="2"/>
          </w:tcPr>
          <w:p>
            <w:pPr>
              <w:spacing w:after="0"/>
              <w:rPr>
                <w:sz w:val="20"/>
                <w:szCs w:val="20"/>
                <w:color w:val="auto"/>
              </w:rPr>
            </w:pPr>
            <w:r>
              <w:rPr>
                <w:rFonts w:ascii="Arial" w:cs="Arial" w:eastAsia="Arial" w:hAnsi="Arial"/>
                <w:sz w:val="18"/>
                <w:szCs w:val="18"/>
                <w:color w:val="auto"/>
              </w:rPr>
              <w:t>Manpower GmbH</w:t>
            </w:r>
          </w:p>
        </w:tc>
        <w:tc>
          <w:tcPr>
            <w:tcW w:w="1600" w:type="dxa"/>
            <w:vAlign w:val="bottom"/>
            <w:gridSpan w:val="2"/>
          </w:tcPr>
          <w:p>
            <w:pPr>
              <w:spacing w:after="0"/>
              <w:rPr>
                <w:sz w:val="20"/>
                <w:szCs w:val="20"/>
                <w:color w:val="auto"/>
              </w:rPr>
            </w:pPr>
            <w:r>
              <w:rPr>
                <w:rFonts w:ascii="Arial" w:cs="Arial" w:eastAsia="Arial" w:hAnsi="Arial"/>
                <w:sz w:val="18"/>
                <w:szCs w:val="18"/>
                <w:color w:val="auto"/>
              </w:rPr>
              <w:t>Austria</w:t>
            </w:r>
          </w:p>
        </w:tc>
      </w:tr>
      <w:tr>
        <w:trPr>
          <w:trHeight w:val="216"/>
        </w:trPr>
        <w:tc>
          <w:tcPr>
            <w:tcW w:w="8760" w:type="dxa"/>
            <w:vAlign w:val="bottom"/>
            <w:gridSpan w:val="2"/>
          </w:tcPr>
          <w:p>
            <w:pPr>
              <w:spacing w:after="0"/>
              <w:rPr>
                <w:sz w:val="20"/>
                <w:szCs w:val="20"/>
                <w:color w:val="auto"/>
              </w:rPr>
            </w:pPr>
            <w:r>
              <w:rPr>
                <w:rFonts w:ascii="Arial" w:cs="Arial" w:eastAsia="Arial" w:hAnsi="Arial"/>
                <w:sz w:val="18"/>
                <w:szCs w:val="18"/>
                <w:color w:val="auto"/>
              </w:rPr>
              <w:t>Manpower Holding GmbH</w:t>
            </w:r>
          </w:p>
        </w:tc>
        <w:tc>
          <w:tcPr>
            <w:tcW w:w="1600" w:type="dxa"/>
            <w:vAlign w:val="bottom"/>
            <w:gridSpan w:val="2"/>
          </w:tcPr>
          <w:p>
            <w:pPr>
              <w:spacing w:after="0"/>
              <w:rPr>
                <w:sz w:val="20"/>
                <w:szCs w:val="20"/>
                <w:color w:val="auto"/>
              </w:rPr>
            </w:pPr>
            <w:r>
              <w:rPr>
                <w:rFonts w:ascii="Arial" w:cs="Arial" w:eastAsia="Arial" w:hAnsi="Arial"/>
                <w:sz w:val="18"/>
                <w:szCs w:val="18"/>
                <w:color w:val="auto"/>
              </w:rPr>
              <w:t>Austria</w:t>
            </w:r>
          </w:p>
        </w:tc>
      </w:tr>
      <w:tr>
        <w:trPr>
          <w:trHeight w:val="216"/>
        </w:trPr>
        <w:tc>
          <w:tcPr>
            <w:tcW w:w="8760" w:type="dxa"/>
            <w:vAlign w:val="bottom"/>
            <w:gridSpan w:val="2"/>
          </w:tcPr>
          <w:p>
            <w:pPr>
              <w:spacing w:after="0"/>
              <w:rPr>
                <w:sz w:val="20"/>
                <w:szCs w:val="20"/>
                <w:color w:val="auto"/>
              </w:rPr>
            </w:pPr>
            <w:r>
              <w:rPr>
                <w:rFonts w:ascii="Arial" w:cs="Arial" w:eastAsia="Arial" w:hAnsi="Arial"/>
                <w:sz w:val="18"/>
                <w:szCs w:val="18"/>
                <w:color w:val="auto"/>
              </w:rPr>
              <w:t>Powerserve GmbH</w:t>
            </w:r>
          </w:p>
        </w:tc>
        <w:tc>
          <w:tcPr>
            <w:tcW w:w="1600" w:type="dxa"/>
            <w:vAlign w:val="bottom"/>
            <w:gridSpan w:val="2"/>
          </w:tcPr>
          <w:p>
            <w:pPr>
              <w:spacing w:after="0"/>
              <w:rPr>
                <w:sz w:val="20"/>
                <w:szCs w:val="20"/>
                <w:color w:val="auto"/>
              </w:rPr>
            </w:pPr>
            <w:r>
              <w:rPr>
                <w:rFonts w:ascii="Arial" w:cs="Arial" w:eastAsia="Arial" w:hAnsi="Arial"/>
                <w:sz w:val="18"/>
                <w:szCs w:val="18"/>
                <w:color w:val="auto"/>
              </w:rPr>
              <w:t>Austria</w:t>
            </w:r>
          </w:p>
        </w:tc>
      </w:tr>
      <w:tr>
        <w:trPr>
          <w:trHeight w:val="216"/>
        </w:trPr>
        <w:tc>
          <w:tcPr>
            <w:tcW w:w="8760" w:type="dxa"/>
            <w:vAlign w:val="bottom"/>
            <w:gridSpan w:val="2"/>
          </w:tcPr>
          <w:p>
            <w:pPr>
              <w:spacing w:after="0"/>
              <w:rPr>
                <w:sz w:val="20"/>
                <w:szCs w:val="20"/>
                <w:color w:val="auto"/>
              </w:rPr>
            </w:pPr>
            <w:r>
              <w:rPr>
                <w:rFonts w:ascii="Arial" w:cs="Arial" w:eastAsia="Arial" w:hAnsi="Arial"/>
                <w:sz w:val="18"/>
                <w:szCs w:val="18"/>
                <w:color w:val="auto"/>
              </w:rPr>
              <w:t>Right Management Austria GmbH</w:t>
            </w:r>
          </w:p>
        </w:tc>
        <w:tc>
          <w:tcPr>
            <w:tcW w:w="1600" w:type="dxa"/>
            <w:vAlign w:val="bottom"/>
            <w:gridSpan w:val="2"/>
          </w:tcPr>
          <w:p>
            <w:pPr>
              <w:spacing w:after="0"/>
              <w:rPr>
                <w:sz w:val="20"/>
                <w:szCs w:val="20"/>
                <w:color w:val="auto"/>
              </w:rPr>
            </w:pPr>
            <w:r>
              <w:rPr>
                <w:rFonts w:ascii="Arial" w:cs="Arial" w:eastAsia="Arial" w:hAnsi="Arial"/>
                <w:sz w:val="18"/>
                <w:szCs w:val="18"/>
                <w:color w:val="auto"/>
              </w:rPr>
              <w:t>Austria</w:t>
            </w:r>
          </w:p>
        </w:tc>
      </w:tr>
      <w:tr>
        <w:trPr>
          <w:trHeight w:val="216"/>
        </w:trPr>
        <w:tc>
          <w:tcPr>
            <w:tcW w:w="8760" w:type="dxa"/>
            <w:vAlign w:val="bottom"/>
            <w:gridSpan w:val="2"/>
          </w:tcPr>
          <w:p>
            <w:pPr>
              <w:spacing w:after="0"/>
              <w:rPr>
                <w:sz w:val="20"/>
                <w:szCs w:val="20"/>
                <w:color w:val="auto"/>
              </w:rPr>
            </w:pPr>
            <w:r>
              <w:rPr>
                <w:rFonts w:ascii="Arial" w:cs="Arial" w:eastAsia="Arial" w:hAnsi="Arial"/>
                <w:sz w:val="18"/>
                <w:szCs w:val="18"/>
                <w:color w:val="auto"/>
              </w:rPr>
              <w:t>Manpower Professional Bahrain S.P.C.</w:t>
            </w:r>
          </w:p>
        </w:tc>
        <w:tc>
          <w:tcPr>
            <w:tcW w:w="1600" w:type="dxa"/>
            <w:vAlign w:val="bottom"/>
            <w:gridSpan w:val="2"/>
          </w:tcPr>
          <w:p>
            <w:pPr>
              <w:spacing w:after="0"/>
              <w:rPr>
                <w:sz w:val="20"/>
                <w:szCs w:val="20"/>
                <w:color w:val="auto"/>
              </w:rPr>
            </w:pPr>
            <w:r>
              <w:rPr>
                <w:rFonts w:ascii="Arial" w:cs="Arial" w:eastAsia="Arial" w:hAnsi="Arial"/>
                <w:sz w:val="18"/>
                <w:szCs w:val="18"/>
                <w:color w:val="auto"/>
              </w:rPr>
              <w:t>Bahrain</w:t>
            </w:r>
          </w:p>
        </w:tc>
      </w:tr>
      <w:tr>
        <w:trPr>
          <w:trHeight w:val="216"/>
        </w:trPr>
        <w:tc>
          <w:tcPr>
            <w:tcW w:w="8760" w:type="dxa"/>
            <w:vAlign w:val="bottom"/>
            <w:gridSpan w:val="2"/>
          </w:tcPr>
          <w:p>
            <w:pPr>
              <w:spacing w:after="0"/>
              <w:rPr>
                <w:sz w:val="20"/>
                <w:szCs w:val="20"/>
                <w:color w:val="auto"/>
              </w:rPr>
            </w:pPr>
            <w:r>
              <w:rPr>
                <w:rFonts w:ascii="Arial" w:cs="Arial" w:eastAsia="Arial" w:hAnsi="Arial"/>
                <w:sz w:val="18"/>
                <w:szCs w:val="18"/>
                <w:color w:val="auto"/>
              </w:rPr>
              <w:t>Manpower Bel LLC</w:t>
            </w:r>
          </w:p>
        </w:tc>
        <w:tc>
          <w:tcPr>
            <w:tcW w:w="1600" w:type="dxa"/>
            <w:vAlign w:val="bottom"/>
            <w:gridSpan w:val="2"/>
          </w:tcPr>
          <w:p>
            <w:pPr>
              <w:spacing w:after="0"/>
              <w:rPr>
                <w:sz w:val="20"/>
                <w:szCs w:val="20"/>
                <w:color w:val="auto"/>
              </w:rPr>
            </w:pPr>
            <w:r>
              <w:rPr>
                <w:rFonts w:ascii="Arial" w:cs="Arial" w:eastAsia="Arial" w:hAnsi="Arial"/>
                <w:sz w:val="18"/>
                <w:szCs w:val="18"/>
                <w:color w:val="auto"/>
              </w:rPr>
              <w:t>Belarus</w:t>
            </w:r>
          </w:p>
        </w:tc>
      </w:tr>
      <w:tr>
        <w:trPr>
          <w:trHeight w:val="216"/>
        </w:trPr>
        <w:tc>
          <w:tcPr>
            <w:tcW w:w="8760" w:type="dxa"/>
            <w:vAlign w:val="bottom"/>
            <w:gridSpan w:val="2"/>
          </w:tcPr>
          <w:p>
            <w:pPr>
              <w:spacing w:after="0"/>
              <w:rPr>
                <w:sz w:val="20"/>
                <w:szCs w:val="20"/>
                <w:color w:val="auto"/>
              </w:rPr>
            </w:pPr>
            <w:r>
              <w:rPr>
                <w:rFonts w:ascii="Arial" w:cs="Arial" w:eastAsia="Arial" w:hAnsi="Arial"/>
                <w:sz w:val="18"/>
                <w:szCs w:val="18"/>
                <w:color w:val="auto"/>
              </w:rPr>
              <w:t>RO of Manpower CIS LLC in Belarus Republic</w:t>
            </w:r>
          </w:p>
        </w:tc>
        <w:tc>
          <w:tcPr>
            <w:tcW w:w="1600" w:type="dxa"/>
            <w:vAlign w:val="bottom"/>
            <w:gridSpan w:val="2"/>
          </w:tcPr>
          <w:p>
            <w:pPr>
              <w:spacing w:after="0"/>
              <w:rPr>
                <w:sz w:val="20"/>
                <w:szCs w:val="20"/>
                <w:color w:val="auto"/>
              </w:rPr>
            </w:pPr>
            <w:r>
              <w:rPr>
                <w:rFonts w:ascii="Arial" w:cs="Arial" w:eastAsia="Arial" w:hAnsi="Arial"/>
                <w:sz w:val="18"/>
                <w:szCs w:val="18"/>
                <w:color w:val="auto"/>
              </w:rPr>
              <w:t>Belarus</w:t>
            </w:r>
          </w:p>
        </w:tc>
      </w:tr>
      <w:tr>
        <w:trPr>
          <w:trHeight w:val="216"/>
        </w:trPr>
        <w:tc>
          <w:tcPr>
            <w:tcW w:w="8760" w:type="dxa"/>
            <w:vAlign w:val="bottom"/>
            <w:gridSpan w:val="2"/>
          </w:tcPr>
          <w:p>
            <w:pPr>
              <w:spacing w:after="0"/>
              <w:rPr>
                <w:sz w:val="20"/>
                <w:szCs w:val="20"/>
                <w:color w:val="auto"/>
              </w:rPr>
            </w:pPr>
            <w:r>
              <w:rPr>
                <w:rFonts w:ascii="Arial" w:cs="Arial" w:eastAsia="Arial" w:hAnsi="Arial"/>
                <w:sz w:val="18"/>
                <w:szCs w:val="18"/>
                <w:color w:val="auto"/>
              </w:rPr>
              <w:t>Elan IT Resource S.A.</w:t>
            </w:r>
          </w:p>
        </w:tc>
        <w:tc>
          <w:tcPr>
            <w:tcW w:w="1600" w:type="dxa"/>
            <w:vAlign w:val="bottom"/>
            <w:gridSpan w:val="2"/>
          </w:tcPr>
          <w:p>
            <w:pPr>
              <w:spacing w:after="0"/>
              <w:rPr>
                <w:sz w:val="20"/>
                <w:szCs w:val="20"/>
                <w:color w:val="auto"/>
              </w:rPr>
            </w:pPr>
            <w:r>
              <w:rPr>
                <w:rFonts w:ascii="Arial" w:cs="Arial" w:eastAsia="Arial" w:hAnsi="Arial"/>
                <w:sz w:val="18"/>
                <w:szCs w:val="18"/>
                <w:color w:val="auto"/>
              </w:rPr>
              <w:t>Belgium</w:t>
            </w:r>
          </w:p>
        </w:tc>
      </w:tr>
      <w:tr>
        <w:trPr>
          <w:trHeight w:val="216"/>
        </w:trPr>
        <w:tc>
          <w:tcPr>
            <w:tcW w:w="8760" w:type="dxa"/>
            <w:vAlign w:val="bottom"/>
            <w:gridSpan w:val="2"/>
          </w:tcPr>
          <w:p>
            <w:pPr>
              <w:spacing w:after="0"/>
              <w:rPr>
                <w:sz w:val="20"/>
                <w:szCs w:val="20"/>
                <w:color w:val="auto"/>
              </w:rPr>
            </w:pPr>
            <w:r>
              <w:rPr>
                <w:rFonts w:ascii="Arial" w:cs="Arial" w:eastAsia="Arial" w:hAnsi="Arial"/>
                <w:sz w:val="18"/>
                <w:szCs w:val="18"/>
                <w:color w:val="auto"/>
              </w:rPr>
              <w:t>Manpower Business Solutions SA</w:t>
            </w:r>
          </w:p>
        </w:tc>
        <w:tc>
          <w:tcPr>
            <w:tcW w:w="1600" w:type="dxa"/>
            <w:vAlign w:val="bottom"/>
            <w:gridSpan w:val="2"/>
          </w:tcPr>
          <w:p>
            <w:pPr>
              <w:spacing w:after="0"/>
              <w:rPr>
                <w:sz w:val="20"/>
                <w:szCs w:val="20"/>
                <w:color w:val="auto"/>
              </w:rPr>
            </w:pPr>
            <w:r>
              <w:rPr>
                <w:rFonts w:ascii="Arial" w:cs="Arial" w:eastAsia="Arial" w:hAnsi="Arial"/>
                <w:sz w:val="18"/>
                <w:szCs w:val="18"/>
                <w:color w:val="auto"/>
              </w:rPr>
              <w:t>Belgium</w:t>
            </w:r>
          </w:p>
        </w:tc>
      </w:tr>
      <w:tr>
        <w:trPr>
          <w:trHeight w:val="216"/>
        </w:trPr>
        <w:tc>
          <w:tcPr>
            <w:tcW w:w="8760" w:type="dxa"/>
            <w:vAlign w:val="bottom"/>
            <w:gridSpan w:val="2"/>
          </w:tcPr>
          <w:p>
            <w:pPr>
              <w:spacing w:after="0"/>
              <w:rPr>
                <w:sz w:val="20"/>
                <w:szCs w:val="20"/>
                <w:color w:val="auto"/>
              </w:rPr>
            </w:pPr>
            <w:r>
              <w:rPr>
                <w:rFonts w:ascii="Arial" w:cs="Arial" w:eastAsia="Arial" w:hAnsi="Arial"/>
                <w:sz w:val="18"/>
                <w:szCs w:val="18"/>
                <w:color w:val="auto"/>
              </w:rPr>
              <w:t>Right Management Belgium NV</w:t>
            </w:r>
          </w:p>
        </w:tc>
        <w:tc>
          <w:tcPr>
            <w:tcW w:w="1600" w:type="dxa"/>
            <w:vAlign w:val="bottom"/>
            <w:gridSpan w:val="2"/>
          </w:tcPr>
          <w:p>
            <w:pPr>
              <w:spacing w:after="0"/>
              <w:rPr>
                <w:sz w:val="20"/>
                <w:szCs w:val="20"/>
                <w:color w:val="auto"/>
              </w:rPr>
            </w:pPr>
            <w:r>
              <w:rPr>
                <w:rFonts w:ascii="Arial" w:cs="Arial" w:eastAsia="Arial" w:hAnsi="Arial"/>
                <w:sz w:val="18"/>
                <w:szCs w:val="18"/>
                <w:color w:val="auto"/>
              </w:rPr>
              <w:t>Belgium</w:t>
            </w:r>
          </w:p>
        </w:tc>
      </w:tr>
      <w:tr>
        <w:trPr>
          <w:trHeight w:val="216"/>
        </w:trPr>
        <w:tc>
          <w:tcPr>
            <w:tcW w:w="8760" w:type="dxa"/>
            <w:vAlign w:val="bottom"/>
            <w:gridSpan w:val="2"/>
          </w:tcPr>
          <w:p>
            <w:pPr>
              <w:spacing w:after="0"/>
              <w:rPr>
                <w:sz w:val="20"/>
                <w:szCs w:val="20"/>
                <w:color w:val="auto"/>
              </w:rPr>
            </w:pPr>
            <w:r>
              <w:rPr>
                <w:rFonts w:ascii="Arial" w:cs="Arial" w:eastAsia="Arial" w:hAnsi="Arial"/>
                <w:sz w:val="18"/>
                <w:szCs w:val="18"/>
                <w:color w:val="auto"/>
              </w:rPr>
              <w:t>S.A. Manpower (Belgium) N.V.</w:t>
            </w:r>
          </w:p>
        </w:tc>
        <w:tc>
          <w:tcPr>
            <w:tcW w:w="1600" w:type="dxa"/>
            <w:vAlign w:val="bottom"/>
            <w:gridSpan w:val="2"/>
          </w:tcPr>
          <w:p>
            <w:pPr>
              <w:spacing w:after="0"/>
              <w:rPr>
                <w:sz w:val="20"/>
                <w:szCs w:val="20"/>
                <w:color w:val="auto"/>
              </w:rPr>
            </w:pPr>
            <w:r>
              <w:rPr>
                <w:rFonts w:ascii="Arial" w:cs="Arial" w:eastAsia="Arial" w:hAnsi="Arial"/>
                <w:sz w:val="18"/>
                <w:szCs w:val="18"/>
                <w:color w:val="auto"/>
              </w:rPr>
              <w:t>Belgium</w:t>
            </w:r>
          </w:p>
        </w:tc>
      </w:tr>
      <w:tr>
        <w:trPr>
          <w:trHeight w:val="216"/>
        </w:trPr>
        <w:tc>
          <w:tcPr>
            <w:tcW w:w="8760" w:type="dxa"/>
            <w:vAlign w:val="bottom"/>
            <w:gridSpan w:val="2"/>
          </w:tcPr>
          <w:p>
            <w:pPr>
              <w:spacing w:after="0"/>
              <w:rPr>
                <w:sz w:val="20"/>
                <w:szCs w:val="20"/>
                <w:color w:val="auto"/>
              </w:rPr>
            </w:pPr>
            <w:r>
              <w:rPr>
                <w:rFonts w:ascii="Arial" w:cs="Arial" w:eastAsia="Arial" w:hAnsi="Arial"/>
                <w:sz w:val="18"/>
                <w:szCs w:val="18"/>
                <w:color w:val="auto"/>
              </w:rPr>
              <w:t>Manpower Brasil Ltda.</w:t>
            </w:r>
          </w:p>
        </w:tc>
        <w:tc>
          <w:tcPr>
            <w:tcW w:w="1600" w:type="dxa"/>
            <w:vAlign w:val="bottom"/>
            <w:gridSpan w:val="2"/>
          </w:tcPr>
          <w:p>
            <w:pPr>
              <w:spacing w:after="0"/>
              <w:rPr>
                <w:sz w:val="20"/>
                <w:szCs w:val="20"/>
                <w:color w:val="auto"/>
              </w:rPr>
            </w:pPr>
            <w:r>
              <w:rPr>
                <w:rFonts w:ascii="Arial" w:cs="Arial" w:eastAsia="Arial" w:hAnsi="Arial"/>
                <w:sz w:val="18"/>
                <w:szCs w:val="18"/>
                <w:color w:val="auto"/>
              </w:rPr>
              <w:t>Brazil</w:t>
            </w:r>
          </w:p>
        </w:tc>
      </w:tr>
      <w:tr>
        <w:trPr>
          <w:trHeight w:val="216"/>
        </w:trPr>
        <w:tc>
          <w:tcPr>
            <w:tcW w:w="8760" w:type="dxa"/>
            <w:vAlign w:val="bottom"/>
            <w:gridSpan w:val="2"/>
          </w:tcPr>
          <w:p>
            <w:pPr>
              <w:spacing w:after="0"/>
              <w:rPr>
                <w:sz w:val="20"/>
                <w:szCs w:val="20"/>
                <w:color w:val="auto"/>
              </w:rPr>
            </w:pPr>
            <w:r>
              <w:rPr>
                <w:rFonts w:ascii="Arial" w:cs="Arial" w:eastAsia="Arial" w:hAnsi="Arial"/>
                <w:sz w:val="18"/>
                <w:szCs w:val="18"/>
                <w:color w:val="auto"/>
              </w:rPr>
              <w:t>Manpower Professional Ltda.</w:t>
            </w:r>
          </w:p>
        </w:tc>
        <w:tc>
          <w:tcPr>
            <w:tcW w:w="1600" w:type="dxa"/>
            <w:vAlign w:val="bottom"/>
            <w:gridSpan w:val="2"/>
          </w:tcPr>
          <w:p>
            <w:pPr>
              <w:spacing w:after="0"/>
              <w:rPr>
                <w:sz w:val="20"/>
                <w:szCs w:val="20"/>
                <w:color w:val="auto"/>
              </w:rPr>
            </w:pPr>
            <w:r>
              <w:rPr>
                <w:rFonts w:ascii="Arial" w:cs="Arial" w:eastAsia="Arial" w:hAnsi="Arial"/>
                <w:sz w:val="18"/>
                <w:szCs w:val="18"/>
                <w:color w:val="auto"/>
              </w:rPr>
              <w:t>Brazil</w:t>
            </w:r>
          </w:p>
        </w:tc>
      </w:tr>
      <w:tr>
        <w:trPr>
          <w:trHeight w:val="216"/>
        </w:trPr>
        <w:tc>
          <w:tcPr>
            <w:tcW w:w="8760" w:type="dxa"/>
            <w:vAlign w:val="bottom"/>
            <w:gridSpan w:val="2"/>
          </w:tcPr>
          <w:p>
            <w:pPr>
              <w:spacing w:after="0"/>
              <w:rPr>
                <w:sz w:val="20"/>
                <w:szCs w:val="20"/>
                <w:color w:val="auto"/>
              </w:rPr>
            </w:pPr>
            <w:r>
              <w:rPr>
                <w:rFonts w:ascii="Arial" w:cs="Arial" w:eastAsia="Arial" w:hAnsi="Arial"/>
                <w:sz w:val="18"/>
                <w:szCs w:val="18"/>
                <w:color w:val="auto"/>
              </w:rPr>
              <w:t>Manpower Staffing Ltda.</w:t>
            </w:r>
          </w:p>
        </w:tc>
        <w:tc>
          <w:tcPr>
            <w:tcW w:w="1600" w:type="dxa"/>
            <w:vAlign w:val="bottom"/>
            <w:gridSpan w:val="2"/>
          </w:tcPr>
          <w:p>
            <w:pPr>
              <w:spacing w:after="0"/>
              <w:rPr>
                <w:sz w:val="20"/>
                <w:szCs w:val="20"/>
                <w:color w:val="auto"/>
              </w:rPr>
            </w:pPr>
            <w:r>
              <w:rPr>
                <w:rFonts w:ascii="Arial" w:cs="Arial" w:eastAsia="Arial" w:hAnsi="Arial"/>
                <w:sz w:val="18"/>
                <w:szCs w:val="18"/>
                <w:color w:val="auto"/>
              </w:rPr>
              <w:t>Brazil</w:t>
            </w:r>
          </w:p>
        </w:tc>
      </w:tr>
      <w:tr>
        <w:trPr>
          <w:trHeight w:val="216"/>
        </w:trPr>
        <w:tc>
          <w:tcPr>
            <w:tcW w:w="8760" w:type="dxa"/>
            <w:vAlign w:val="bottom"/>
            <w:gridSpan w:val="2"/>
          </w:tcPr>
          <w:p>
            <w:pPr>
              <w:spacing w:after="0"/>
              <w:rPr>
                <w:sz w:val="20"/>
                <w:szCs w:val="20"/>
                <w:color w:val="auto"/>
              </w:rPr>
            </w:pPr>
            <w:r>
              <w:rPr>
                <w:rFonts w:ascii="Arial" w:cs="Arial" w:eastAsia="Arial" w:hAnsi="Arial"/>
                <w:sz w:val="18"/>
                <w:szCs w:val="18"/>
                <w:color w:val="auto"/>
              </w:rPr>
              <w:t>Right do Brasil Ltda</w:t>
            </w:r>
          </w:p>
        </w:tc>
        <w:tc>
          <w:tcPr>
            <w:tcW w:w="1600" w:type="dxa"/>
            <w:vAlign w:val="bottom"/>
            <w:gridSpan w:val="2"/>
          </w:tcPr>
          <w:p>
            <w:pPr>
              <w:spacing w:after="0"/>
              <w:rPr>
                <w:sz w:val="20"/>
                <w:szCs w:val="20"/>
                <w:color w:val="auto"/>
              </w:rPr>
            </w:pPr>
            <w:r>
              <w:rPr>
                <w:rFonts w:ascii="Arial" w:cs="Arial" w:eastAsia="Arial" w:hAnsi="Arial"/>
                <w:sz w:val="18"/>
                <w:szCs w:val="18"/>
                <w:color w:val="auto"/>
              </w:rPr>
              <w:t>Brazil</w:t>
            </w:r>
          </w:p>
        </w:tc>
      </w:tr>
      <w:tr>
        <w:trPr>
          <w:trHeight w:val="216"/>
        </w:trPr>
        <w:tc>
          <w:tcPr>
            <w:tcW w:w="8760" w:type="dxa"/>
            <w:vAlign w:val="bottom"/>
            <w:gridSpan w:val="2"/>
          </w:tcPr>
          <w:p>
            <w:pPr>
              <w:spacing w:after="0"/>
              <w:rPr>
                <w:sz w:val="20"/>
                <w:szCs w:val="20"/>
                <w:color w:val="auto"/>
              </w:rPr>
            </w:pPr>
            <w:r>
              <w:rPr>
                <w:rFonts w:ascii="Arial" w:cs="Arial" w:eastAsia="Arial" w:hAnsi="Arial"/>
                <w:sz w:val="18"/>
                <w:szCs w:val="18"/>
                <w:color w:val="auto"/>
              </w:rPr>
              <w:t>Clarendon Parker Holdings Ltd</w:t>
            </w:r>
          </w:p>
        </w:tc>
        <w:tc>
          <w:tcPr>
            <w:tcW w:w="1600" w:type="dxa"/>
            <w:vAlign w:val="bottom"/>
            <w:gridSpan w:val="2"/>
          </w:tcPr>
          <w:p>
            <w:pPr>
              <w:spacing w:after="0"/>
              <w:rPr>
                <w:sz w:val="20"/>
                <w:szCs w:val="20"/>
                <w:color w:val="auto"/>
              </w:rPr>
            </w:pPr>
            <w:r>
              <w:rPr>
                <w:rFonts w:ascii="Arial" w:cs="Arial" w:eastAsia="Arial" w:hAnsi="Arial"/>
                <w:sz w:val="18"/>
                <w:szCs w:val="18"/>
                <w:color w:val="auto"/>
                <w:w w:val="96"/>
              </w:rPr>
              <w:t>British Virgin Islands</w:t>
            </w:r>
          </w:p>
        </w:tc>
      </w:tr>
      <w:tr>
        <w:trPr>
          <w:trHeight w:val="216"/>
        </w:trPr>
        <w:tc>
          <w:tcPr>
            <w:tcW w:w="8760" w:type="dxa"/>
            <w:vAlign w:val="bottom"/>
            <w:gridSpan w:val="2"/>
          </w:tcPr>
          <w:p>
            <w:pPr>
              <w:spacing w:after="0"/>
              <w:rPr>
                <w:sz w:val="20"/>
                <w:szCs w:val="20"/>
                <w:color w:val="auto"/>
              </w:rPr>
            </w:pPr>
            <w:r>
              <w:rPr>
                <w:rFonts w:ascii="Arial" w:cs="Arial" w:eastAsia="Arial" w:hAnsi="Arial"/>
                <w:sz w:val="18"/>
                <w:szCs w:val="18"/>
                <w:color w:val="auto"/>
              </w:rPr>
              <w:t>Bulgaria Team EOOD</w:t>
            </w:r>
          </w:p>
        </w:tc>
        <w:tc>
          <w:tcPr>
            <w:tcW w:w="1600" w:type="dxa"/>
            <w:vAlign w:val="bottom"/>
            <w:gridSpan w:val="2"/>
          </w:tcPr>
          <w:p>
            <w:pPr>
              <w:spacing w:after="0"/>
              <w:rPr>
                <w:sz w:val="20"/>
                <w:szCs w:val="20"/>
                <w:color w:val="auto"/>
              </w:rPr>
            </w:pPr>
            <w:r>
              <w:rPr>
                <w:rFonts w:ascii="Arial" w:cs="Arial" w:eastAsia="Arial" w:hAnsi="Arial"/>
                <w:sz w:val="18"/>
                <w:szCs w:val="18"/>
                <w:color w:val="auto"/>
              </w:rPr>
              <w:t>Bulgaria</w:t>
            </w:r>
          </w:p>
        </w:tc>
      </w:tr>
      <w:tr>
        <w:trPr>
          <w:trHeight w:val="216"/>
        </w:trPr>
        <w:tc>
          <w:tcPr>
            <w:tcW w:w="8760" w:type="dxa"/>
            <w:vAlign w:val="bottom"/>
            <w:gridSpan w:val="2"/>
          </w:tcPr>
          <w:p>
            <w:pPr>
              <w:spacing w:after="0"/>
              <w:rPr>
                <w:sz w:val="20"/>
                <w:szCs w:val="20"/>
                <w:color w:val="auto"/>
              </w:rPr>
            </w:pPr>
            <w:r>
              <w:rPr>
                <w:rFonts w:ascii="Arial" w:cs="Arial" w:eastAsia="Arial" w:hAnsi="Arial"/>
                <w:sz w:val="18"/>
                <w:szCs w:val="18"/>
                <w:color w:val="auto"/>
              </w:rPr>
              <w:t>Manpower Bulgaria OOD</w:t>
            </w:r>
          </w:p>
        </w:tc>
        <w:tc>
          <w:tcPr>
            <w:tcW w:w="1600" w:type="dxa"/>
            <w:vAlign w:val="bottom"/>
            <w:gridSpan w:val="2"/>
          </w:tcPr>
          <w:p>
            <w:pPr>
              <w:spacing w:after="0"/>
              <w:rPr>
                <w:sz w:val="20"/>
                <w:szCs w:val="20"/>
                <w:color w:val="auto"/>
              </w:rPr>
            </w:pPr>
            <w:r>
              <w:rPr>
                <w:rFonts w:ascii="Arial" w:cs="Arial" w:eastAsia="Arial" w:hAnsi="Arial"/>
                <w:sz w:val="18"/>
                <w:szCs w:val="18"/>
                <w:color w:val="auto"/>
              </w:rPr>
              <w:t>Bulgaria</w:t>
            </w:r>
          </w:p>
        </w:tc>
      </w:tr>
      <w:tr>
        <w:trPr>
          <w:trHeight w:val="216"/>
        </w:trPr>
        <w:tc>
          <w:tcPr>
            <w:tcW w:w="8760" w:type="dxa"/>
            <w:vAlign w:val="bottom"/>
            <w:gridSpan w:val="2"/>
          </w:tcPr>
          <w:p>
            <w:pPr>
              <w:spacing w:after="0"/>
              <w:rPr>
                <w:sz w:val="20"/>
                <w:szCs w:val="20"/>
                <w:color w:val="auto"/>
              </w:rPr>
            </w:pPr>
            <w:r>
              <w:rPr>
                <w:rFonts w:ascii="Arial" w:cs="Arial" w:eastAsia="Arial" w:hAnsi="Arial"/>
                <w:sz w:val="18"/>
                <w:szCs w:val="18"/>
                <w:color w:val="auto"/>
              </w:rPr>
              <w:t>Manpower, Inc. / SO California</w:t>
            </w:r>
          </w:p>
        </w:tc>
        <w:tc>
          <w:tcPr>
            <w:tcW w:w="1600" w:type="dxa"/>
            <w:vAlign w:val="bottom"/>
            <w:gridSpan w:val="2"/>
          </w:tcPr>
          <w:p>
            <w:pPr>
              <w:spacing w:after="0"/>
              <w:rPr>
                <w:sz w:val="20"/>
                <w:szCs w:val="20"/>
                <w:color w:val="auto"/>
              </w:rPr>
            </w:pPr>
            <w:r>
              <w:rPr>
                <w:rFonts w:ascii="Arial" w:cs="Arial" w:eastAsia="Arial" w:hAnsi="Arial"/>
                <w:sz w:val="18"/>
                <w:szCs w:val="18"/>
                <w:color w:val="auto"/>
              </w:rPr>
              <w:t>CA</w:t>
            </w:r>
          </w:p>
        </w:tc>
      </w:tr>
      <w:tr>
        <w:trPr>
          <w:trHeight w:val="216"/>
        </w:trPr>
        <w:tc>
          <w:tcPr>
            <w:tcW w:w="8760" w:type="dxa"/>
            <w:vAlign w:val="bottom"/>
            <w:gridSpan w:val="2"/>
          </w:tcPr>
          <w:p>
            <w:pPr>
              <w:spacing w:after="0"/>
              <w:rPr>
                <w:sz w:val="20"/>
                <w:szCs w:val="20"/>
                <w:color w:val="auto"/>
              </w:rPr>
            </w:pPr>
            <w:r>
              <w:rPr>
                <w:rFonts w:ascii="Arial" w:cs="Arial" w:eastAsia="Arial" w:hAnsi="Arial"/>
                <w:sz w:val="18"/>
                <w:szCs w:val="18"/>
                <w:color w:val="auto"/>
              </w:rPr>
              <w:t>Pure Solutions, Inc.</w:t>
            </w:r>
          </w:p>
        </w:tc>
        <w:tc>
          <w:tcPr>
            <w:tcW w:w="1600" w:type="dxa"/>
            <w:vAlign w:val="bottom"/>
            <w:gridSpan w:val="2"/>
          </w:tcPr>
          <w:p>
            <w:pPr>
              <w:spacing w:after="0"/>
              <w:rPr>
                <w:sz w:val="20"/>
                <w:szCs w:val="20"/>
                <w:color w:val="auto"/>
              </w:rPr>
            </w:pPr>
            <w:r>
              <w:rPr>
                <w:rFonts w:ascii="Arial" w:cs="Arial" w:eastAsia="Arial" w:hAnsi="Arial"/>
                <w:sz w:val="18"/>
                <w:szCs w:val="18"/>
                <w:color w:val="auto"/>
              </w:rPr>
              <w:t>CA</w:t>
            </w:r>
          </w:p>
        </w:tc>
      </w:tr>
      <w:tr>
        <w:trPr>
          <w:trHeight w:val="216"/>
        </w:trPr>
        <w:tc>
          <w:tcPr>
            <w:tcW w:w="8760" w:type="dxa"/>
            <w:vAlign w:val="bottom"/>
            <w:gridSpan w:val="2"/>
          </w:tcPr>
          <w:p>
            <w:pPr>
              <w:spacing w:after="0"/>
              <w:rPr>
                <w:sz w:val="20"/>
                <w:szCs w:val="20"/>
                <w:color w:val="auto"/>
              </w:rPr>
            </w:pPr>
            <w:r>
              <w:rPr>
                <w:rFonts w:ascii="Arial" w:cs="Arial" w:eastAsia="Arial" w:hAnsi="Arial"/>
                <w:sz w:val="18"/>
                <w:szCs w:val="18"/>
                <w:color w:val="auto"/>
              </w:rPr>
              <w:t>COMSYS IT Canada, Inc.</w:t>
            </w:r>
          </w:p>
        </w:tc>
        <w:tc>
          <w:tcPr>
            <w:tcW w:w="1600" w:type="dxa"/>
            <w:vAlign w:val="bottom"/>
            <w:gridSpan w:val="2"/>
          </w:tcPr>
          <w:p>
            <w:pPr>
              <w:spacing w:after="0"/>
              <w:rPr>
                <w:sz w:val="20"/>
                <w:szCs w:val="20"/>
                <w:color w:val="auto"/>
              </w:rPr>
            </w:pPr>
            <w:r>
              <w:rPr>
                <w:rFonts w:ascii="Arial" w:cs="Arial" w:eastAsia="Arial" w:hAnsi="Arial"/>
                <w:sz w:val="18"/>
                <w:szCs w:val="18"/>
                <w:color w:val="auto"/>
              </w:rPr>
              <w:t>Canada</w:t>
            </w:r>
          </w:p>
        </w:tc>
      </w:tr>
      <w:tr>
        <w:trPr>
          <w:trHeight w:val="216"/>
        </w:trPr>
        <w:tc>
          <w:tcPr>
            <w:tcW w:w="8760" w:type="dxa"/>
            <w:vAlign w:val="bottom"/>
            <w:gridSpan w:val="2"/>
          </w:tcPr>
          <w:p>
            <w:pPr>
              <w:spacing w:after="0"/>
              <w:rPr>
                <w:sz w:val="20"/>
                <w:szCs w:val="20"/>
                <w:color w:val="auto"/>
              </w:rPr>
            </w:pPr>
            <w:r>
              <w:rPr>
                <w:rFonts w:ascii="Arial" w:cs="Arial" w:eastAsia="Arial" w:hAnsi="Arial"/>
                <w:sz w:val="18"/>
                <w:szCs w:val="18"/>
                <w:color w:val="auto"/>
              </w:rPr>
              <w:t>Jefferson Wells International (Canada), Inc.</w:t>
            </w:r>
          </w:p>
        </w:tc>
        <w:tc>
          <w:tcPr>
            <w:tcW w:w="1600" w:type="dxa"/>
            <w:vAlign w:val="bottom"/>
            <w:gridSpan w:val="2"/>
          </w:tcPr>
          <w:p>
            <w:pPr>
              <w:spacing w:after="0"/>
              <w:rPr>
                <w:sz w:val="20"/>
                <w:szCs w:val="20"/>
                <w:color w:val="auto"/>
              </w:rPr>
            </w:pPr>
            <w:r>
              <w:rPr>
                <w:rFonts w:ascii="Arial" w:cs="Arial" w:eastAsia="Arial" w:hAnsi="Arial"/>
                <w:sz w:val="18"/>
                <w:szCs w:val="18"/>
                <w:color w:val="auto"/>
              </w:rPr>
              <w:t>Canada</w:t>
            </w:r>
          </w:p>
        </w:tc>
      </w:tr>
      <w:tr>
        <w:trPr>
          <w:trHeight w:val="216"/>
        </w:trPr>
        <w:tc>
          <w:tcPr>
            <w:tcW w:w="8760" w:type="dxa"/>
            <w:vAlign w:val="bottom"/>
            <w:gridSpan w:val="2"/>
          </w:tcPr>
          <w:p>
            <w:pPr>
              <w:spacing w:after="0"/>
              <w:rPr>
                <w:sz w:val="20"/>
                <w:szCs w:val="20"/>
                <w:color w:val="auto"/>
              </w:rPr>
            </w:pPr>
            <w:r>
              <w:rPr>
                <w:rFonts w:ascii="Arial" w:cs="Arial" w:eastAsia="Arial" w:hAnsi="Arial"/>
                <w:sz w:val="18"/>
                <w:szCs w:val="18"/>
                <w:color w:val="auto"/>
              </w:rPr>
              <w:t>Manpower Services Canada Limited</w:t>
            </w:r>
          </w:p>
        </w:tc>
        <w:tc>
          <w:tcPr>
            <w:tcW w:w="1600" w:type="dxa"/>
            <w:vAlign w:val="bottom"/>
            <w:gridSpan w:val="2"/>
          </w:tcPr>
          <w:p>
            <w:pPr>
              <w:spacing w:after="0"/>
              <w:rPr>
                <w:sz w:val="20"/>
                <w:szCs w:val="20"/>
                <w:color w:val="auto"/>
              </w:rPr>
            </w:pPr>
            <w:r>
              <w:rPr>
                <w:rFonts w:ascii="Arial" w:cs="Arial" w:eastAsia="Arial" w:hAnsi="Arial"/>
                <w:sz w:val="18"/>
                <w:szCs w:val="18"/>
                <w:color w:val="auto"/>
              </w:rPr>
              <w:t>Canada</w:t>
            </w:r>
          </w:p>
        </w:tc>
      </w:tr>
      <w:tr>
        <w:trPr>
          <w:trHeight w:val="216"/>
        </w:trPr>
        <w:tc>
          <w:tcPr>
            <w:tcW w:w="8760" w:type="dxa"/>
            <w:vAlign w:val="bottom"/>
            <w:gridSpan w:val="2"/>
          </w:tcPr>
          <w:p>
            <w:pPr>
              <w:spacing w:after="0"/>
              <w:rPr>
                <w:sz w:val="20"/>
                <w:szCs w:val="20"/>
                <w:color w:val="auto"/>
              </w:rPr>
            </w:pPr>
            <w:r>
              <w:rPr>
                <w:rFonts w:ascii="Arial" w:cs="Arial" w:eastAsia="Arial" w:hAnsi="Arial"/>
                <w:sz w:val="18"/>
                <w:szCs w:val="18"/>
                <w:color w:val="auto"/>
              </w:rPr>
              <w:t>Right Management Canada</w:t>
            </w:r>
          </w:p>
        </w:tc>
        <w:tc>
          <w:tcPr>
            <w:tcW w:w="1600" w:type="dxa"/>
            <w:vAlign w:val="bottom"/>
            <w:gridSpan w:val="2"/>
          </w:tcPr>
          <w:p>
            <w:pPr>
              <w:spacing w:after="0"/>
              <w:rPr>
                <w:sz w:val="20"/>
                <w:szCs w:val="20"/>
                <w:color w:val="auto"/>
              </w:rPr>
            </w:pPr>
            <w:r>
              <w:rPr>
                <w:rFonts w:ascii="Arial" w:cs="Arial" w:eastAsia="Arial" w:hAnsi="Arial"/>
                <w:sz w:val="18"/>
                <w:szCs w:val="18"/>
                <w:color w:val="auto"/>
              </w:rPr>
              <w:t>Canada</w:t>
            </w:r>
          </w:p>
        </w:tc>
      </w:tr>
      <w:tr>
        <w:trPr>
          <w:trHeight w:val="216"/>
        </w:trPr>
        <w:tc>
          <w:tcPr>
            <w:tcW w:w="8760" w:type="dxa"/>
            <w:vAlign w:val="bottom"/>
            <w:gridSpan w:val="2"/>
          </w:tcPr>
          <w:p>
            <w:pPr>
              <w:spacing w:after="0"/>
              <w:rPr>
                <w:sz w:val="20"/>
                <w:szCs w:val="20"/>
                <w:color w:val="auto"/>
              </w:rPr>
            </w:pPr>
            <w:r>
              <w:rPr>
                <w:rFonts w:ascii="Arial" w:cs="Arial" w:eastAsia="Arial" w:hAnsi="Arial"/>
                <w:sz w:val="18"/>
                <w:szCs w:val="18"/>
                <w:color w:val="auto"/>
              </w:rPr>
              <w:t>Manpower &amp; Standard Human Resources (Shanghai) Co. Ltd.</w:t>
            </w:r>
          </w:p>
        </w:tc>
        <w:tc>
          <w:tcPr>
            <w:tcW w:w="1600" w:type="dxa"/>
            <w:vAlign w:val="bottom"/>
            <w:gridSpan w:val="2"/>
          </w:tcPr>
          <w:p>
            <w:pPr>
              <w:spacing w:after="0"/>
              <w:rPr>
                <w:sz w:val="20"/>
                <w:szCs w:val="20"/>
                <w:color w:val="auto"/>
              </w:rPr>
            </w:pPr>
            <w:r>
              <w:rPr>
                <w:rFonts w:ascii="Arial" w:cs="Arial" w:eastAsia="Arial" w:hAnsi="Arial"/>
                <w:sz w:val="18"/>
                <w:szCs w:val="18"/>
                <w:color w:val="auto"/>
              </w:rPr>
              <w:t>China</w:t>
            </w:r>
          </w:p>
        </w:tc>
      </w:tr>
      <w:tr>
        <w:trPr>
          <w:trHeight w:val="216"/>
        </w:trPr>
        <w:tc>
          <w:tcPr>
            <w:tcW w:w="8760" w:type="dxa"/>
            <w:vAlign w:val="bottom"/>
            <w:gridSpan w:val="2"/>
          </w:tcPr>
          <w:p>
            <w:pPr>
              <w:spacing w:after="0"/>
              <w:rPr>
                <w:sz w:val="20"/>
                <w:szCs w:val="20"/>
                <w:color w:val="auto"/>
              </w:rPr>
            </w:pPr>
            <w:r>
              <w:rPr>
                <w:rFonts w:ascii="Arial" w:cs="Arial" w:eastAsia="Arial" w:hAnsi="Arial"/>
                <w:sz w:val="18"/>
                <w:szCs w:val="18"/>
                <w:color w:val="auto"/>
              </w:rPr>
              <w:t>Manpower &amp; Standard Labor Service (Beijing) Co. Ltd.</w:t>
            </w:r>
          </w:p>
        </w:tc>
        <w:tc>
          <w:tcPr>
            <w:tcW w:w="1600" w:type="dxa"/>
            <w:vAlign w:val="bottom"/>
            <w:gridSpan w:val="2"/>
          </w:tcPr>
          <w:p>
            <w:pPr>
              <w:spacing w:after="0"/>
              <w:rPr>
                <w:sz w:val="20"/>
                <w:szCs w:val="20"/>
                <w:color w:val="auto"/>
              </w:rPr>
            </w:pPr>
            <w:r>
              <w:rPr>
                <w:rFonts w:ascii="Arial" w:cs="Arial" w:eastAsia="Arial" w:hAnsi="Arial"/>
                <w:sz w:val="18"/>
                <w:szCs w:val="18"/>
                <w:color w:val="auto"/>
              </w:rPr>
              <w:t>China</w:t>
            </w:r>
          </w:p>
        </w:tc>
      </w:tr>
      <w:tr>
        <w:trPr>
          <w:trHeight w:val="216"/>
        </w:trPr>
        <w:tc>
          <w:tcPr>
            <w:tcW w:w="8760" w:type="dxa"/>
            <w:vAlign w:val="bottom"/>
            <w:gridSpan w:val="2"/>
          </w:tcPr>
          <w:p>
            <w:pPr>
              <w:spacing w:after="0"/>
              <w:rPr>
                <w:sz w:val="20"/>
                <w:szCs w:val="20"/>
                <w:color w:val="auto"/>
              </w:rPr>
            </w:pPr>
            <w:r>
              <w:rPr>
                <w:rFonts w:ascii="Arial" w:cs="Arial" w:eastAsia="Arial" w:hAnsi="Arial"/>
                <w:sz w:val="18"/>
                <w:szCs w:val="18"/>
                <w:color w:val="auto"/>
              </w:rPr>
              <w:t>Manpower Business Consulting (Shanghai) Co. Ltd.</w:t>
            </w:r>
          </w:p>
        </w:tc>
        <w:tc>
          <w:tcPr>
            <w:tcW w:w="1600" w:type="dxa"/>
            <w:vAlign w:val="bottom"/>
            <w:gridSpan w:val="2"/>
          </w:tcPr>
          <w:p>
            <w:pPr>
              <w:spacing w:after="0"/>
              <w:rPr>
                <w:sz w:val="20"/>
                <w:szCs w:val="20"/>
                <w:color w:val="auto"/>
              </w:rPr>
            </w:pPr>
            <w:r>
              <w:rPr>
                <w:rFonts w:ascii="Arial" w:cs="Arial" w:eastAsia="Arial" w:hAnsi="Arial"/>
                <w:sz w:val="18"/>
                <w:szCs w:val="18"/>
                <w:color w:val="auto"/>
              </w:rPr>
              <w:t>China</w:t>
            </w:r>
          </w:p>
        </w:tc>
      </w:tr>
      <w:tr>
        <w:trPr>
          <w:trHeight w:val="216"/>
        </w:trPr>
        <w:tc>
          <w:tcPr>
            <w:tcW w:w="8760" w:type="dxa"/>
            <w:vAlign w:val="bottom"/>
            <w:gridSpan w:val="2"/>
          </w:tcPr>
          <w:p>
            <w:pPr>
              <w:spacing w:after="0"/>
              <w:rPr>
                <w:sz w:val="20"/>
                <w:szCs w:val="20"/>
                <w:color w:val="auto"/>
              </w:rPr>
            </w:pPr>
            <w:r>
              <w:rPr>
                <w:rFonts w:ascii="Arial" w:cs="Arial" w:eastAsia="Arial" w:hAnsi="Arial"/>
                <w:sz w:val="18"/>
                <w:szCs w:val="18"/>
                <w:color w:val="auto"/>
              </w:rPr>
              <w:t>Manpower Caden (China) Co., Ltd.</w:t>
            </w:r>
          </w:p>
        </w:tc>
        <w:tc>
          <w:tcPr>
            <w:tcW w:w="1600" w:type="dxa"/>
            <w:vAlign w:val="bottom"/>
            <w:gridSpan w:val="2"/>
          </w:tcPr>
          <w:p>
            <w:pPr>
              <w:spacing w:after="0"/>
              <w:rPr>
                <w:sz w:val="20"/>
                <w:szCs w:val="20"/>
                <w:color w:val="auto"/>
              </w:rPr>
            </w:pPr>
            <w:r>
              <w:rPr>
                <w:rFonts w:ascii="Arial" w:cs="Arial" w:eastAsia="Arial" w:hAnsi="Arial"/>
                <w:sz w:val="18"/>
                <w:szCs w:val="18"/>
                <w:color w:val="auto"/>
              </w:rPr>
              <w:t>China</w:t>
            </w:r>
          </w:p>
        </w:tc>
      </w:tr>
      <w:tr>
        <w:trPr>
          <w:trHeight w:val="216"/>
        </w:trPr>
        <w:tc>
          <w:tcPr>
            <w:tcW w:w="8760" w:type="dxa"/>
            <w:vAlign w:val="bottom"/>
            <w:gridSpan w:val="2"/>
          </w:tcPr>
          <w:p>
            <w:pPr>
              <w:spacing w:after="0"/>
              <w:rPr>
                <w:sz w:val="20"/>
                <w:szCs w:val="20"/>
                <w:color w:val="auto"/>
              </w:rPr>
            </w:pPr>
            <w:r>
              <w:rPr>
                <w:rFonts w:ascii="Arial" w:cs="Arial" w:eastAsia="Arial" w:hAnsi="Arial"/>
                <w:sz w:val="18"/>
                <w:szCs w:val="18"/>
                <w:color w:val="auto"/>
              </w:rPr>
              <w:t>Right Management China</w:t>
            </w:r>
          </w:p>
        </w:tc>
        <w:tc>
          <w:tcPr>
            <w:tcW w:w="1600" w:type="dxa"/>
            <w:vAlign w:val="bottom"/>
            <w:gridSpan w:val="2"/>
          </w:tcPr>
          <w:p>
            <w:pPr>
              <w:spacing w:after="0"/>
              <w:rPr>
                <w:sz w:val="20"/>
                <w:szCs w:val="20"/>
                <w:color w:val="auto"/>
              </w:rPr>
            </w:pPr>
            <w:r>
              <w:rPr>
                <w:rFonts w:ascii="Arial" w:cs="Arial" w:eastAsia="Arial" w:hAnsi="Arial"/>
                <w:sz w:val="18"/>
                <w:szCs w:val="18"/>
                <w:color w:val="auto"/>
              </w:rPr>
              <w:t>China</w:t>
            </w:r>
          </w:p>
        </w:tc>
      </w:tr>
      <w:tr>
        <w:trPr>
          <w:trHeight w:val="216"/>
        </w:trPr>
        <w:tc>
          <w:tcPr>
            <w:tcW w:w="8760" w:type="dxa"/>
            <w:vAlign w:val="bottom"/>
            <w:gridSpan w:val="2"/>
          </w:tcPr>
          <w:p>
            <w:pPr>
              <w:spacing w:after="0"/>
              <w:rPr>
                <w:sz w:val="20"/>
                <w:szCs w:val="20"/>
                <w:color w:val="auto"/>
              </w:rPr>
            </w:pPr>
            <w:r>
              <w:rPr>
                <w:rFonts w:ascii="Arial" w:cs="Arial" w:eastAsia="Arial" w:hAnsi="Arial"/>
                <w:sz w:val="18"/>
                <w:szCs w:val="18"/>
                <w:color w:val="auto"/>
              </w:rPr>
              <w:t>Xi'an Foreign Enterprise Service Co., Ltd.</w:t>
            </w:r>
          </w:p>
        </w:tc>
        <w:tc>
          <w:tcPr>
            <w:tcW w:w="1600" w:type="dxa"/>
            <w:vAlign w:val="bottom"/>
            <w:gridSpan w:val="2"/>
          </w:tcPr>
          <w:p>
            <w:pPr>
              <w:spacing w:after="0"/>
              <w:rPr>
                <w:sz w:val="20"/>
                <w:szCs w:val="20"/>
                <w:color w:val="auto"/>
              </w:rPr>
            </w:pPr>
            <w:r>
              <w:rPr>
                <w:rFonts w:ascii="Arial" w:cs="Arial" w:eastAsia="Arial" w:hAnsi="Arial"/>
                <w:sz w:val="18"/>
                <w:szCs w:val="18"/>
                <w:color w:val="auto"/>
              </w:rPr>
              <w:t>China</w:t>
            </w:r>
          </w:p>
        </w:tc>
      </w:tr>
      <w:tr>
        <w:trPr>
          <w:trHeight w:val="216"/>
        </w:trPr>
        <w:tc>
          <w:tcPr>
            <w:tcW w:w="8760" w:type="dxa"/>
            <w:vAlign w:val="bottom"/>
            <w:gridSpan w:val="2"/>
          </w:tcPr>
          <w:p>
            <w:pPr>
              <w:spacing w:after="0"/>
              <w:rPr>
                <w:sz w:val="20"/>
                <w:szCs w:val="20"/>
                <w:color w:val="auto"/>
              </w:rPr>
            </w:pPr>
            <w:r>
              <w:rPr>
                <w:rFonts w:ascii="Arial" w:cs="Arial" w:eastAsia="Arial" w:hAnsi="Arial"/>
                <w:sz w:val="18"/>
                <w:szCs w:val="18"/>
                <w:color w:val="auto"/>
              </w:rPr>
              <w:t>Manpower de Columbia Ltda.</w:t>
            </w:r>
          </w:p>
        </w:tc>
        <w:tc>
          <w:tcPr>
            <w:tcW w:w="1600" w:type="dxa"/>
            <w:vAlign w:val="bottom"/>
            <w:gridSpan w:val="2"/>
          </w:tcPr>
          <w:p>
            <w:pPr>
              <w:spacing w:after="0"/>
              <w:rPr>
                <w:sz w:val="20"/>
                <w:szCs w:val="20"/>
                <w:color w:val="auto"/>
              </w:rPr>
            </w:pPr>
            <w:r>
              <w:rPr>
                <w:rFonts w:ascii="Arial" w:cs="Arial" w:eastAsia="Arial" w:hAnsi="Arial"/>
                <w:sz w:val="18"/>
                <w:szCs w:val="18"/>
                <w:color w:val="auto"/>
              </w:rPr>
              <w:t>Colombia</w:t>
            </w:r>
          </w:p>
        </w:tc>
      </w:tr>
      <w:tr>
        <w:trPr>
          <w:trHeight w:val="216"/>
        </w:trPr>
        <w:tc>
          <w:tcPr>
            <w:tcW w:w="8760" w:type="dxa"/>
            <w:vAlign w:val="bottom"/>
            <w:gridSpan w:val="2"/>
          </w:tcPr>
          <w:p>
            <w:pPr>
              <w:spacing w:after="0"/>
              <w:rPr>
                <w:sz w:val="20"/>
                <w:szCs w:val="20"/>
                <w:color w:val="auto"/>
              </w:rPr>
            </w:pPr>
            <w:r>
              <w:rPr>
                <w:rFonts w:ascii="Arial" w:cs="Arial" w:eastAsia="Arial" w:hAnsi="Arial"/>
                <w:sz w:val="18"/>
                <w:szCs w:val="18"/>
                <w:color w:val="auto"/>
              </w:rPr>
              <w:t>Manpower Professional Ltd.</w:t>
            </w:r>
          </w:p>
        </w:tc>
        <w:tc>
          <w:tcPr>
            <w:tcW w:w="1600" w:type="dxa"/>
            <w:vAlign w:val="bottom"/>
            <w:gridSpan w:val="2"/>
          </w:tcPr>
          <w:p>
            <w:pPr>
              <w:spacing w:after="0"/>
              <w:rPr>
                <w:sz w:val="20"/>
                <w:szCs w:val="20"/>
                <w:color w:val="auto"/>
              </w:rPr>
            </w:pPr>
            <w:r>
              <w:rPr>
                <w:rFonts w:ascii="Arial" w:cs="Arial" w:eastAsia="Arial" w:hAnsi="Arial"/>
                <w:sz w:val="18"/>
                <w:szCs w:val="18"/>
                <w:color w:val="auto"/>
              </w:rPr>
              <w:t>Colombia</w:t>
            </w:r>
          </w:p>
        </w:tc>
      </w:tr>
      <w:tr>
        <w:trPr>
          <w:trHeight w:val="216"/>
        </w:trPr>
        <w:tc>
          <w:tcPr>
            <w:tcW w:w="8760" w:type="dxa"/>
            <w:vAlign w:val="bottom"/>
            <w:gridSpan w:val="2"/>
          </w:tcPr>
          <w:p>
            <w:pPr>
              <w:spacing w:after="0"/>
              <w:rPr>
                <w:sz w:val="20"/>
                <w:szCs w:val="20"/>
                <w:color w:val="auto"/>
              </w:rPr>
            </w:pPr>
            <w:r>
              <w:rPr>
                <w:rFonts w:ascii="Arial" w:cs="Arial" w:eastAsia="Arial" w:hAnsi="Arial"/>
                <w:sz w:val="18"/>
                <w:szCs w:val="18"/>
                <w:color w:val="auto"/>
              </w:rPr>
              <w:t>Manpower Costa Rica, S.A.</w:t>
            </w:r>
          </w:p>
        </w:tc>
        <w:tc>
          <w:tcPr>
            <w:tcW w:w="1600" w:type="dxa"/>
            <w:vAlign w:val="bottom"/>
            <w:gridSpan w:val="2"/>
          </w:tcPr>
          <w:p>
            <w:pPr>
              <w:spacing w:after="0"/>
              <w:rPr>
                <w:sz w:val="20"/>
                <w:szCs w:val="20"/>
                <w:color w:val="auto"/>
              </w:rPr>
            </w:pPr>
            <w:r>
              <w:rPr>
                <w:rFonts w:ascii="Arial" w:cs="Arial" w:eastAsia="Arial" w:hAnsi="Arial"/>
                <w:sz w:val="18"/>
                <w:szCs w:val="18"/>
                <w:color w:val="auto"/>
              </w:rPr>
              <w:t>Costa Rica</w:t>
            </w:r>
          </w:p>
        </w:tc>
      </w:tr>
      <w:tr>
        <w:trPr>
          <w:trHeight w:val="216"/>
        </w:trPr>
        <w:tc>
          <w:tcPr>
            <w:tcW w:w="8760" w:type="dxa"/>
            <w:vAlign w:val="bottom"/>
            <w:gridSpan w:val="2"/>
          </w:tcPr>
          <w:p>
            <w:pPr>
              <w:spacing w:after="0"/>
              <w:rPr>
                <w:sz w:val="20"/>
                <w:szCs w:val="20"/>
                <w:color w:val="auto"/>
              </w:rPr>
            </w:pPr>
            <w:r>
              <w:rPr>
                <w:rFonts w:ascii="Arial" w:cs="Arial" w:eastAsia="Arial" w:hAnsi="Arial"/>
                <w:sz w:val="18"/>
                <w:szCs w:val="18"/>
                <w:color w:val="auto"/>
              </w:rPr>
              <w:t>Manpower Professional Costa Rica, S.A.</w:t>
            </w:r>
          </w:p>
        </w:tc>
        <w:tc>
          <w:tcPr>
            <w:tcW w:w="1600" w:type="dxa"/>
            <w:vAlign w:val="bottom"/>
            <w:gridSpan w:val="2"/>
          </w:tcPr>
          <w:p>
            <w:pPr>
              <w:spacing w:after="0"/>
              <w:rPr>
                <w:sz w:val="20"/>
                <w:szCs w:val="20"/>
                <w:color w:val="auto"/>
              </w:rPr>
            </w:pPr>
            <w:r>
              <w:rPr>
                <w:rFonts w:ascii="Arial" w:cs="Arial" w:eastAsia="Arial" w:hAnsi="Arial"/>
                <w:sz w:val="18"/>
                <w:szCs w:val="18"/>
                <w:color w:val="auto"/>
              </w:rPr>
              <w:t>Costa Rica</w:t>
            </w:r>
          </w:p>
        </w:tc>
      </w:tr>
      <w:tr>
        <w:trPr>
          <w:trHeight w:val="216"/>
        </w:trPr>
        <w:tc>
          <w:tcPr>
            <w:tcW w:w="8760" w:type="dxa"/>
            <w:vAlign w:val="bottom"/>
            <w:gridSpan w:val="2"/>
          </w:tcPr>
          <w:p>
            <w:pPr>
              <w:spacing w:after="0"/>
              <w:rPr>
                <w:sz w:val="20"/>
                <w:szCs w:val="20"/>
                <w:color w:val="auto"/>
              </w:rPr>
            </w:pPr>
            <w:r>
              <w:rPr>
                <w:rFonts w:ascii="Arial" w:cs="Arial" w:eastAsia="Arial" w:hAnsi="Arial"/>
                <w:sz w:val="18"/>
                <w:szCs w:val="18"/>
                <w:color w:val="auto"/>
              </w:rPr>
              <w:t>Right Management Inc.</w:t>
            </w:r>
          </w:p>
        </w:tc>
        <w:tc>
          <w:tcPr>
            <w:tcW w:w="1600" w:type="dxa"/>
            <w:vAlign w:val="bottom"/>
            <w:gridSpan w:val="2"/>
          </w:tcPr>
          <w:p>
            <w:pPr>
              <w:spacing w:after="0"/>
              <w:rPr>
                <w:sz w:val="20"/>
                <w:szCs w:val="20"/>
                <w:color w:val="auto"/>
              </w:rPr>
            </w:pPr>
            <w:r>
              <w:rPr>
                <w:rFonts w:ascii="Arial" w:cs="Arial" w:eastAsia="Arial" w:hAnsi="Arial"/>
                <w:sz w:val="18"/>
                <w:szCs w:val="18"/>
                <w:color w:val="auto"/>
              </w:rPr>
              <w:t>Costa Rica</w:t>
            </w:r>
          </w:p>
        </w:tc>
      </w:tr>
      <w:tr>
        <w:trPr>
          <w:trHeight w:val="216"/>
        </w:trPr>
        <w:tc>
          <w:tcPr>
            <w:tcW w:w="8760" w:type="dxa"/>
            <w:vAlign w:val="bottom"/>
            <w:gridSpan w:val="2"/>
          </w:tcPr>
          <w:p>
            <w:pPr>
              <w:spacing w:after="0"/>
              <w:rPr>
                <w:sz w:val="20"/>
                <w:szCs w:val="20"/>
                <w:color w:val="auto"/>
              </w:rPr>
            </w:pPr>
            <w:r>
              <w:rPr>
                <w:rFonts w:ascii="Arial" w:cs="Arial" w:eastAsia="Arial" w:hAnsi="Arial"/>
                <w:sz w:val="18"/>
                <w:szCs w:val="18"/>
                <w:color w:val="auto"/>
              </w:rPr>
              <w:t>Manpower DOO</w:t>
            </w:r>
          </w:p>
        </w:tc>
        <w:tc>
          <w:tcPr>
            <w:tcW w:w="1600" w:type="dxa"/>
            <w:vAlign w:val="bottom"/>
            <w:gridSpan w:val="2"/>
          </w:tcPr>
          <w:p>
            <w:pPr>
              <w:spacing w:after="0"/>
              <w:rPr>
                <w:sz w:val="20"/>
                <w:szCs w:val="20"/>
                <w:color w:val="auto"/>
              </w:rPr>
            </w:pPr>
            <w:r>
              <w:rPr>
                <w:rFonts w:ascii="Arial" w:cs="Arial" w:eastAsia="Arial" w:hAnsi="Arial"/>
                <w:sz w:val="18"/>
                <w:szCs w:val="18"/>
                <w:color w:val="auto"/>
              </w:rPr>
              <w:t>Croatia</w:t>
            </w:r>
          </w:p>
        </w:tc>
      </w:tr>
      <w:tr>
        <w:trPr>
          <w:trHeight w:val="216"/>
        </w:trPr>
        <w:tc>
          <w:tcPr>
            <w:tcW w:w="8760" w:type="dxa"/>
            <w:vAlign w:val="bottom"/>
            <w:gridSpan w:val="2"/>
          </w:tcPr>
          <w:p>
            <w:pPr>
              <w:spacing w:after="0"/>
              <w:rPr>
                <w:sz w:val="20"/>
                <w:szCs w:val="20"/>
                <w:color w:val="auto"/>
              </w:rPr>
            </w:pPr>
            <w:r>
              <w:rPr>
                <w:rFonts w:ascii="Arial" w:cs="Arial" w:eastAsia="Arial" w:hAnsi="Arial"/>
                <w:sz w:val="18"/>
                <w:szCs w:val="18"/>
                <w:color w:val="auto"/>
              </w:rPr>
              <w:t>Manpower Savjetovanje DOO</w:t>
            </w:r>
          </w:p>
        </w:tc>
        <w:tc>
          <w:tcPr>
            <w:tcW w:w="1600" w:type="dxa"/>
            <w:vAlign w:val="bottom"/>
            <w:gridSpan w:val="2"/>
          </w:tcPr>
          <w:p>
            <w:pPr>
              <w:spacing w:after="0"/>
              <w:rPr>
                <w:sz w:val="20"/>
                <w:szCs w:val="20"/>
                <w:color w:val="auto"/>
              </w:rPr>
            </w:pPr>
            <w:r>
              <w:rPr>
                <w:rFonts w:ascii="Arial" w:cs="Arial" w:eastAsia="Arial" w:hAnsi="Arial"/>
                <w:sz w:val="18"/>
                <w:szCs w:val="18"/>
                <w:color w:val="auto"/>
              </w:rPr>
              <w:t>Croatia</w:t>
            </w:r>
          </w:p>
        </w:tc>
      </w:tr>
      <w:tr>
        <w:trPr>
          <w:trHeight w:val="216"/>
        </w:trPr>
        <w:tc>
          <w:tcPr>
            <w:tcW w:w="8760" w:type="dxa"/>
            <w:vAlign w:val="bottom"/>
            <w:gridSpan w:val="2"/>
          </w:tcPr>
          <w:p>
            <w:pPr>
              <w:spacing w:after="0"/>
              <w:rPr>
                <w:sz w:val="20"/>
                <w:szCs w:val="20"/>
                <w:color w:val="auto"/>
              </w:rPr>
            </w:pPr>
            <w:r>
              <w:rPr>
                <w:rFonts w:ascii="Arial" w:cs="Arial" w:eastAsia="Arial" w:hAnsi="Arial"/>
                <w:sz w:val="18"/>
                <w:szCs w:val="18"/>
                <w:color w:val="auto"/>
              </w:rPr>
              <w:t>Elan IT Resource s.r.o.</w:t>
            </w:r>
          </w:p>
        </w:tc>
        <w:tc>
          <w:tcPr>
            <w:tcW w:w="1600" w:type="dxa"/>
            <w:vAlign w:val="bottom"/>
            <w:gridSpan w:val="2"/>
          </w:tcPr>
          <w:p>
            <w:pPr>
              <w:spacing w:after="0"/>
              <w:rPr>
                <w:sz w:val="20"/>
                <w:szCs w:val="20"/>
                <w:color w:val="auto"/>
              </w:rPr>
            </w:pPr>
            <w:r>
              <w:rPr>
                <w:rFonts w:ascii="Arial" w:cs="Arial" w:eastAsia="Arial" w:hAnsi="Arial"/>
                <w:sz w:val="18"/>
                <w:szCs w:val="18"/>
                <w:color w:val="auto"/>
              </w:rPr>
              <w:t>Czech Republic</w:t>
            </w:r>
          </w:p>
        </w:tc>
      </w:tr>
      <w:tr>
        <w:trPr>
          <w:trHeight w:val="216"/>
        </w:trPr>
        <w:tc>
          <w:tcPr>
            <w:tcW w:w="8760" w:type="dxa"/>
            <w:vAlign w:val="bottom"/>
            <w:gridSpan w:val="2"/>
          </w:tcPr>
          <w:p>
            <w:pPr>
              <w:spacing w:after="0"/>
              <w:rPr>
                <w:sz w:val="20"/>
                <w:szCs w:val="20"/>
                <w:color w:val="auto"/>
              </w:rPr>
            </w:pPr>
            <w:r>
              <w:rPr>
                <w:rFonts w:ascii="Arial" w:cs="Arial" w:eastAsia="Arial" w:hAnsi="Arial"/>
                <w:sz w:val="18"/>
                <w:szCs w:val="18"/>
                <w:color w:val="auto"/>
              </w:rPr>
              <w:t>Manpower,spol. s r.o.</w:t>
            </w:r>
          </w:p>
        </w:tc>
        <w:tc>
          <w:tcPr>
            <w:tcW w:w="1600" w:type="dxa"/>
            <w:vAlign w:val="bottom"/>
            <w:gridSpan w:val="2"/>
          </w:tcPr>
          <w:p>
            <w:pPr>
              <w:spacing w:after="0"/>
              <w:rPr>
                <w:sz w:val="20"/>
                <w:szCs w:val="20"/>
                <w:color w:val="auto"/>
              </w:rPr>
            </w:pPr>
            <w:r>
              <w:rPr>
                <w:rFonts w:ascii="Arial" w:cs="Arial" w:eastAsia="Arial" w:hAnsi="Arial"/>
                <w:sz w:val="18"/>
                <w:szCs w:val="18"/>
                <w:color w:val="auto"/>
              </w:rPr>
              <w:t>Czech Republic</w:t>
            </w:r>
          </w:p>
        </w:tc>
      </w:tr>
      <w:tr>
        <w:trPr>
          <w:trHeight w:val="216"/>
        </w:trPr>
        <w:tc>
          <w:tcPr>
            <w:tcW w:w="8760" w:type="dxa"/>
            <w:vAlign w:val="bottom"/>
            <w:gridSpan w:val="2"/>
          </w:tcPr>
          <w:p>
            <w:pPr>
              <w:spacing w:after="0"/>
              <w:rPr>
                <w:sz w:val="20"/>
                <w:szCs w:val="20"/>
                <w:color w:val="auto"/>
              </w:rPr>
            </w:pPr>
            <w:r>
              <w:rPr>
                <w:rFonts w:ascii="Arial" w:cs="Arial" w:eastAsia="Arial" w:hAnsi="Arial"/>
                <w:sz w:val="18"/>
                <w:szCs w:val="18"/>
                <w:color w:val="auto"/>
              </w:rPr>
              <w:t>blueRADIAN Engineering, LLC</w:t>
            </w:r>
          </w:p>
        </w:tc>
        <w:tc>
          <w:tcPr>
            <w:tcW w:w="1600" w:type="dxa"/>
            <w:vAlign w:val="bottom"/>
            <w:gridSpan w:val="2"/>
          </w:tcPr>
          <w:p>
            <w:pPr>
              <w:spacing w:after="0"/>
              <w:rPr>
                <w:sz w:val="20"/>
                <w:szCs w:val="20"/>
                <w:color w:val="auto"/>
              </w:rPr>
            </w:pPr>
            <w:r>
              <w:rPr>
                <w:rFonts w:ascii="Arial" w:cs="Arial" w:eastAsia="Arial" w:hAnsi="Arial"/>
                <w:sz w:val="18"/>
                <w:szCs w:val="18"/>
                <w:color w:val="auto"/>
              </w:rPr>
              <w:t>DE</w:t>
            </w:r>
          </w:p>
        </w:tc>
      </w:tr>
      <w:tr>
        <w:trPr>
          <w:trHeight w:val="216"/>
        </w:trPr>
        <w:tc>
          <w:tcPr>
            <w:tcW w:w="8760" w:type="dxa"/>
            <w:vAlign w:val="bottom"/>
            <w:gridSpan w:val="2"/>
          </w:tcPr>
          <w:p>
            <w:pPr>
              <w:spacing w:after="0"/>
              <w:rPr>
                <w:sz w:val="20"/>
                <w:szCs w:val="20"/>
                <w:color w:val="auto"/>
              </w:rPr>
            </w:pPr>
            <w:r>
              <w:rPr>
                <w:rFonts w:ascii="Arial" w:cs="Arial" w:eastAsia="Arial" w:hAnsi="Arial"/>
                <w:sz w:val="18"/>
                <w:szCs w:val="18"/>
                <w:color w:val="auto"/>
              </w:rPr>
              <w:t>CareerHarmony, Inc.</w:t>
            </w:r>
          </w:p>
        </w:tc>
        <w:tc>
          <w:tcPr>
            <w:tcW w:w="1600" w:type="dxa"/>
            <w:vAlign w:val="bottom"/>
            <w:gridSpan w:val="2"/>
          </w:tcPr>
          <w:p>
            <w:pPr>
              <w:spacing w:after="0"/>
              <w:rPr>
                <w:sz w:val="20"/>
                <w:szCs w:val="20"/>
                <w:color w:val="auto"/>
              </w:rPr>
            </w:pPr>
            <w:r>
              <w:rPr>
                <w:rFonts w:ascii="Arial" w:cs="Arial" w:eastAsia="Arial" w:hAnsi="Arial"/>
                <w:sz w:val="18"/>
                <w:szCs w:val="18"/>
                <w:color w:val="auto"/>
              </w:rPr>
              <w:t>DE</w:t>
            </w:r>
          </w:p>
        </w:tc>
      </w:tr>
      <w:tr>
        <w:trPr>
          <w:trHeight w:val="216"/>
        </w:trPr>
        <w:tc>
          <w:tcPr>
            <w:tcW w:w="8760" w:type="dxa"/>
            <w:vAlign w:val="bottom"/>
            <w:gridSpan w:val="2"/>
          </w:tcPr>
          <w:p>
            <w:pPr>
              <w:spacing w:after="0"/>
              <w:rPr>
                <w:sz w:val="20"/>
                <w:szCs w:val="20"/>
                <w:color w:val="auto"/>
              </w:rPr>
            </w:pPr>
            <w:r>
              <w:rPr>
                <w:rFonts w:ascii="Arial" w:cs="Arial" w:eastAsia="Arial" w:hAnsi="Arial"/>
                <w:sz w:val="18"/>
                <w:szCs w:val="18"/>
                <w:color w:val="auto"/>
              </w:rPr>
              <w:t>COMSYS Information Technology Services, Inc.</w:t>
            </w:r>
          </w:p>
        </w:tc>
        <w:tc>
          <w:tcPr>
            <w:tcW w:w="1600" w:type="dxa"/>
            <w:vAlign w:val="bottom"/>
            <w:gridSpan w:val="2"/>
          </w:tcPr>
          <w:p>
            <w:pPr>
              <w:spacing w:after="0"/>
              <w:rPr>
                <w:sz w:val="20"/>
                <w:szCs w:val="20"/>
                <w:color w:val="auto"/>
              </w:rPr>
            </w:pPr>
            <w:r>
              <w:rPr>
                <w:rFonts w:ascii="Arial" w:cs="Arial" w:eastAsia="Arial" w:hAnsi="Arial"/>
                <w:sz w:val="18"/>
                <w:szCs w:val="18"/>
                <w:color w:val="auto"/>
              </w:rPr>
              <w:t>DE</w:t>
            </w:r>
          </w:p>
        </w:tc>
      </w:tr>
      <w:tr>
        <w:trPr>
          <w:trHeight w:val="216"/>
        </w:trPr>
        <w:tc>
          <w:tcPr>
            <w:tcW w:w="8760" w:type="dxa"/>
            <w:vAlign w:val="bottom"/>
            <w:gridSpan w:val="2"/>
          </w:tcPr>
          <w:p>
            <w:pPr>
              <w:spacing w:after="0"/>
              <w:rPr>
                <w:sz w:val="20"/>
                <w:szCs w:val="20"/>
                <w:color w:val="auto"/>
              </w:rPr>
            </w:pPr>
            <w:r>
              <w:rPr>
                <w:rFonts w:ascii="Arial" w:cs="Arial" w:eastAsia="Arial" w:hAnsi="Arial"/>
                <w:sz w:val="18"/>
                <w:szCs w:val="18"/>
                <w:color w:val="auto"/>
              </w:rPr>
              <w:t>COMSYS Services LLC</w:t>
            </w:r>
          </w:p>
        </w:tc>
        <w:tc>
          <w:tcPr>
            <w:tcW w:w="1600" w:type="dxa"/>
            <w:vAlign w:val="bottom"/>
            <w:gridSpan w:val="2"/>
          </w:tcPr>
          <w:p>
            <w:pPr>
              <w:spacing w:after="0"/>
              <w:rPr>
                <w:sz w:val="20"/>
                <w:szCs w:val="20"/>
                <w:color w:val="auto"/>
              </w:rPr>
            </w:pPr>
            <w:r>
              <w:rPr>
                <w:rFonts w:ascii="Arial" w:cs="Arial" w:eastAsia="Arial" w:hAnsi="Arial"/>
                <w:sz w:val="18"/>
                <w:szCs w:val="18"/>
                <w:color w:val="auto"/>
              </w:rPr>
              <w:t>DE</w:t>
            </w:r>
          </w:p>
        </w:tc>
      </w:tr>
      <w:tr>
        <w:trPr>
          <w:trHeight w:val="216"/>
        </w:trPr>
        <w:tc>
          <w:tcPr>
            <w:tcW w:w="8760" w:type="dxa"/>
            <w:vAlign w:val="bottom"/>
            <w:gridSpan w:val="2"/>
          </w:tcPr>
          <w:p>
            <w:pPr>
              <w:spacing w:after="0"/>
              <w:rPr>
                <w:sz w:val="20"/>
                <w:szCs w:val="20"/>
                <w:color w:val="auto"/>
              </w:rPr>
            </w:pPr>
            <w:r>
              <w:rPr>
                <w:rFonts w:ascii="Arial" w:cs="Arial" w:eastAsia="Arial" w:hAnsi="Arial"/>
                <w:sz w:val="18"/>
                <w:szCs w:val="18"/>
                <w:color w:val="auto"/>
              </w:rPr>
              <w:t>Econometrix, LLC</w:t>
            </w:r>
          </w:p>
        </w:tc>
        <w:tc>
          <w:tcPr>
            <w:tcW w:w="1600" w:type="dxa"/>
            <w:vAlign w:val="bottom"/>
            <w:gridSpan w:val="2"/>
          </w:tcPr>
          <w:p>
            <w:pPr>
              <w:spacing w:after="0"/>
              <w:rPr>
                <w:sz w:val="20"/>
                <w:szCs w:val="20"/>
                <w:color w:val="auto"/>
              </w:rPr>
            </w:pPr>
            <w:r>
              <w:rPr>
                <w:rFonts w:ascii="Arial" w:cs="Arial" w:eastAsia="Arial" w:hAnsi="Arial"/>
                <w:sz w:val="18"/>
                <w:szCs w:val="18"/>
                <w:color w:val="auto"/>
              </w:rPr>
              <w:t>DE</w:t>
            </w:r>
          </w:p>
        </w:tc>
      </w:tr>
      <w:tr>
        <w:trPr>
          <w:trHeight w:val="216"/>
        </w:trPr>
        <w:tc>
          <w:tcPr>
            <w:tcW w:w="8760" w:type="dxa"/>
            <w:vAlign w:val="bottom"/>
            <w:gridSpan w:val="2"/>
          </w:tcPr>
          <w:p>
            <w:pPr>
              <w:spacing w:after="0"/>
              <w:rPr>
                <w:sz w:val="20"/>
                <w:szCs w:val="20"/>
                <w:color w:val="auto"/>
              </w:rPr>
            </w:pPr>
            <w:r>
              <w:rPr>
                <w:rFonts w:ascii="Arial" w:cs="Arial" w:eastAsia="Arial" w:hAnsi="Arial"/>
                <w:sz w:val="18"/>
                <w:szCs w:val="18"/>
                <w:color w:val="auto"/>
              </w:rPr>
              <w:t>Jefferson Wells International, Inc.</w:t>
            </w:r>
          </w:p>
        </w:tc>
        <w:tc>
          <w:tcPr>
            <w:tcW w:w="1600" w:type="dxa"/>
            <w:vAlign w:val="bottom"/>
            <w:gridSpan w:val="2"/>
          </w:tcPr>
          <w:p>
            <w:pPr>
              <w:spacing w:after="0"/>
              <w:rPr>
                <w:sz w:val="20"/>
                <w:szCs w:val="20"/>
                <w:color w:val="auto"/>
              </w:rPr>
            </w:pPr>
            <w:r>
              <w:rPr>
                <w:rFonts w:ascii="Arial" w:cs="Arial" w:eastAsia="Arial" w:hAnsi="Arial"/>
                <w:sz w:val="18"/>
                <w:szCs w:val="18"/>
                <w:color w:val="auto"/>
              </w:rPr>
              <w:t>DE</w:t>
            </w:r>
          </w:p>
        </w:tc>
      </w:tr>
      <w:tr>
        <w:trPr>
          <w:trHeight w:val="216"/>
        </w:trPr>
        <w:tc>
          <w:tcPr>
            <w:tcW w:w="8760" w:type="dxa"/>
            <w:vAlign w:val="bottom"/>
            <w:gridSpan w:val="2"/>
          </w:tcPr>
          <w:p>
            <w:pPr>
              <w:spacing w:after="0"/>
              <w:rPr>
                <w:sz w:val="20"/>
                <w:szCs w:val="20"/>
                <w:color w:val="auto"/>
              </w:rPr>
            </w:pPr>
            <w:r>
              <w:rPr>
                <w:rFonts w:ascii="Arial" w:cs="Arial" w:eastAsia="Arial" w:hAnsi="Arial"/>
                <w:sz w:val="18"/>
                <w:szCs w:val="18"/>
                <w:color w:val="auto"/>
              </w:rPr>
              <w:t>Manpower CIS Inc.</w:t>
            </w:r>
          </w:p>
        </w:tc>
        <w:tc>
          <w:tcPr>
            <w:tcW w:w="1600" w:type="dxa"/>
            <w:vAlign w:val="bottom"/>
            <w:gridSpan w:val="2"/>
          </w:tcPr>
          <w:p>
            <w:pPr>
              <w:spacing w:after="0"/>
              <w:rPr>
                <w:sz w:val="20"/>
                <w:szCs w:val="20"/>
                <w:color w:val="auto"/>
              </w:rPr>
            </w:pPr>
            <w:r>
              <w:rPr>
                <w:rFonts w:ascii="Arial" w:cs="Arial" w:eastAsia="Arial" w:hAnsi="Arial"/>
                <w:sz w:val="18"/>
                <w:szCs w:val="18"/>
                <w:color w:val="auto"/>
              </w:rPr>
              <w:t>DE</w:t>
            </w:r>
          </w:p>
        </w:tc>
      </w:tr>
      <w:tr>
        <w:trPr>
          <w:trHeight w:val="216"/>
        </w:trPr>
        <w:tc>
          <w:tcPr>
            <w:tcW w:w="8760" w:type="dxa"/>
            <w:vAlign w:val="bottom"/>
            <w:gridSpan w:val="2"/>
          </w:tcPr>
          <w:p>
            <w:pPr>
              <w:spacing w:after="0"/>
              <w:rPr>
                <w:sz w:val="20"/>
                <w:szCs w:val="20"/>
                <w:color w:val="auto"/>
              </w:rPr>
            </w:pPr>
            <w:r>
              <w:rPr>
                <w:rFonts w:ascii="Arial" w:cs="Arial" w:eastAsia="Arial" w:hAnsi="Arial"/>
                <w:sz w:val="18"/>
                <w:szCs w:val="18"/>
                <w:color w:val="auto"/>
              </w:rPr>
              <w:t>Manpower Finances LLC</w:t>
            </w:r>
          </w:p>
        </w:tc>
        <w:tc>
          <w:tcPr>
            <w:tcW w:w="1600" w:type="dxa"/>
            <w:vAlign w:val="bottom"/>
            <w:gridSpan w:val="2"/>
          </w:tcPr>
          <w:p>
            <w:pPr>
              <w:spacing w:after="0"/>
              <w:rPr>
                <w:sz w:val="20"/>
                <w:szCs w:val="20"/>
                <w:color w:val="auto"/>
              </w:rPr>
            </w:pPr>
            <w:r>
              <w:rPr>
                <w:rFonts w:ascii="Arial" w:cs="Arial" w:eastAsia="Arial" w:hAnsi="Arial"/>
                <w:sz w:val="18"/>
                <w:szCs w:val="18"/>
                <w:color w:val="auto"/>
              </w:rPr>
              <w:t>DE</w:t>
            </w:r>
          </w:p>
        </w:tc>
      </w:tr>
      <w:tr>
        <w:trPr>
          <w:trHeight w:val="216"/>
        </w:trPr>
        <w:tc>
          <w:tcPr>
            <w:tcW w:w="8760" w:type="dxa"/>
            <w:vAlign w:val="bottom"/>
            <w:gridSpan w:val="2"/>
          </w:tcPr>
          <w:p>
            <w:pPr>
              <w:spacing w:after="0"/>
              <w:rPr>
                <w:sz w:val="20"/>
                <w:szCs w:val="20"/>
                <w:color w:val="auto"/>
              </w:rPr>
            </w:pPr>
            <w:r>
              <w:rPr>
                <w:rFonts w:ascii="Arial" w:cs="Arial" w:eastAsia="Arial" w:hAnsi="Arial"/>
                <w:sz w:val="18"/>
                <w:szCs w:val="18"/>
                <w:color w:val="auto"/>
              </w:rPr>
              <w:t>Manpower Franchises, LLC</w:t>
            </w:r>
          </w:p>
        </w:tc>
        <w:tc>
          <w:tcPr>
            <w:tcW w:w="1600" w:type="dxa"/>
            <w:vAlign w:val="bottom"/>
            <w:gridSpan w:val="2"/>
          </w:tcPr>
          <w:p>
            <w:pPr>
              <w:spacing w:after="0"/>
              <w:rPr>
                <w:sz w:val="20"/>
                <w:szCs w:val="20"/>
                <w:color w:val="auto"/>
              </w:rPr>
            </w:pPr>
            <w:r>
              <w:rPr>
                <w:rFonts w:ascii="Arial" w:cs="Arial" w:eastAsia="Arial" w:hAnsi="Arial"/>
                <w:sz w:val="18"/>
                <w:szCs w:val="18"/>
                <w:color w:val="auto"/>
              </w:rPr>
              <w:t>DE</w:t>
            </w:r>
          </w:p>
        </w:tc>
      </w:tr>
      <w:tr>
        <w:trPr>
          <w:trHeight w:val="216"/>
        </w:trPr>
        <w:tc>
          <w:tcPr>
            <w:tcW w:w="8760" w:type="dxa"/>
            <w:vAlign w:val="bottom"/>
            <w:gridSpan w:val="2"/>
          </w:tcPr>
          <w:p>
            <w:pPr>
              <w:spacing w:after="0"/>
              <w:rPr>
                <w:sz w:val="20"/>
                <w:szCs w:val="20"/>
                <w:color w:val="auto"/>
              </w:rPr>
            </w:pPr>
            <w:r>
              <w:rPr>
                <w:rFonts w:ascii="Arial" w:cs="Arial" w:eastAsia="Arial" w:hAnsi="Arial"/>
                <w:sz w:val="18"/>
                <w:szCs w:val="18"/>
                <w:color w:val="auto"/>
              </w:rPr>
              <w:t>Manpower Holdings, Inc.</w:t>
            </w:r>
          </w:p>
        </w:tc>
        <w:tc>
          <w:tcPr>
            <w:tcW w:w="1600" w:type="dxa"/>
            <w:vAlign w:val="bottom"/>
            <w:gridSpan w:val="2"/>
          </w:tcPr>
          <w:p>
            <w:pPr>
              <w:spacing w:after="0"/>
              <w:rPr>
                <w:sz w:val="20"/>
                <w:szCs w:val="20"/>
                <w:color w:val="auto"/>
              </w:rPr>
            </w:pPr>
            <w:r>
              <w:rPr>
                <w:rFonts w:ascii="Arial" w:cs="Arial" w:eastAsia="Arial" w:hAnsi="Arial"/>
                <w:sz w:val="18"/>
                <w:szCs w:val="18"/>
                <w:color w:val="auto"/>
              </w:rPr>
              <w:t>DE</w:t>
            </w:r>
          </w:p>
        </w:tc>
      </w:tr>
      <w:tr>
        <w:trPr>
          <w:trHeight w:val="216"/>
        </w:trPr>
        <w:tc>
          <w:tcPr>
            <w:tcW w:w="8760" w:type="dxa"/>
            <w:vAlign w:val="bottom"/>
            <w:gridSpan w:val="2"/>
          </w:tcPr>
          <w:p>
            <w:pPr>
              <w:spacing w:after="0"/>
              <w:rPr>
                <w:sz w:val="20"/>
                <w:szCs w:val="20"/>
                <w:color w:val="auto"/>
              </w:rPr>
            </w:pPr>
            <w:r>
              <w:rPr>
                <w:rFonts w:ascii="Arial" w:cs="Arial" w:eastAsia="Arial" w:hAnsi="Arial"/>
                <w:sz w:val="18"/>
                <w:szCs w:val="18"/>
                <w:color w:val="auto"/>
              </w:rPr>
              <w:t>Manpower International Inc.</w:t>
            </w:r>
          </w:p>
        </w:tc>
        <w:tc>
          <w:tcPr>
            <w:tcW w:w="1600" w:type="dxa"/>
            <w:vAlign w:val="bottom"/>
            <w:gridSpan w:val="2"/>
          </w:tcPr>
          <w:p>
            <w:pPr>
              <w:spacing w:after="0"/>
              <w:rPr>
                <w:sz w:val="20"/>
                <w:szCs w:val="20"/>
                <w:color w:val="auto"/>
              </w:rPr>
            </w:pPr>
            <w:r>
              <w:rPr>
                <w:rFonts w:ascii="Arial" w:cs="Arial" w:eastAsia="Arial" w:hAnsi="Arial"/>
                <w:sz w:val="18"/>
                <w:szCs w:val="18"/>
                <w:color w:val="auto"/>
              </w:rPr>
              <w:t>DE</w:t>
            </w:r>
          </w:p>
        </w:tc>
      </w:tr>
      <w:tr>
        <w:trPr>
          <w:trHeight w:val="216"/>
        </w:trPr>
        <w:tc>
          <w:tcPr>
            <w:tcW w:w="8760" w:type="dxa"/>
            <w:vAlign w:val="bottom"/>
            <w:gridSpan w:val="2"/>
          </w:tcPr>
          <w:p>
            <w:pPr>
              <w:spacing w:after="0"/>
              <w:rPr>
                <w:sz w:val="20"/>
                <w:szCs w:val="20"/>
                <w:color w:val="auto"/>
              </w:rPr>
            </w:pPr>
            <w:r>
              <w:rPr>
                <w:rFonts w:ascii="Arial" w:cs="Arial" w:eastAsia="Arial" w:hAnsi="Arial"/>
                <w:sz w:val="18"/>
                <w:szCs w:val="18"/>
                <w:color w:val="auto"/>
              </w:rPr>
              <w:t>PFI LLC</w:t>
            </w:r>
          </w:p>
        </w:tc>
        <w:tc>
          <w:tcPr>
            <w:tcW w:w="1600" w:type="dxa"/>
            <w:vAlign w:val="bottom"/>
            <w:gridSpan w:val="2"/>
          </w:tcPr>
          <w:p>
            <w:pPr>
              <w:spacing w:after="0"/>
              <w:rPr>
                <w:sz w:val="20"/>
                <w:szCs w:val="20"/>
                <w:color w:val="auto"/>
              </w:rPr>
            </w:pPr>
            <w:r>
              <w:rPr>
                <w:rFonts w:ascii="Arial" w:cs="Arial" w:eastAsia="Arial" w:hAnsi="Arial"/>
                <w:sz w:val="18"/>
                <w:szCs w:val="18"/>
                <w:color w:val="auto"/>
              </w:rPr>
              <w:t>DE</w:t>
            </w:r>
          </w:p>
        </w:tc>
      </w:tr>
      <w:tr>
        <w:trPr>
          <w:trHeight w:val="216"/>
        </w:trPr>
        <w:tc>
          <w:tcPr>
            <w:tcW w:w="8760" w:type="dxa"/>
            <w:vAlign w:val="bottom"/>
            <w:gridSpan w:val="2"/>
          </w:tcPr>
          <w:p>
            <w:pPr>
              <w:spacing w:after="0"/>
              <w:rPr>
                <w:sz w:val="20"/>
                <w:szCs w:val="20"/>
                <w:color w:val="auto"/>
              </w:rPr>
            </w:pPr>
            <w:r>
              <w:rPr>
                <w:rFonts w:ascii="Arial" w:cs="Arial" w:eastAsia="Arial" w:hAnsi="Arial"/>
                <w:sz w:val="18"/>
                <w:szCs w:val="18"/>
                <w:color w:val="auto"/>
              </w:rPr>
              <w:t>Plum Phino Consulting, LLC</w:t>
            </w:r>
          </w:p>
        </w:tc>
        <w:tc>
          <w:tcPr>
            <w:tcW w:w="1600" w:type="dxa"/>
            <w:vAlign w:val="bottom"/>
            <w:gridSpan w:val="2"/>
          </w:tcPr>
          <w:p>
            <w:pPr>
              <w:spacing w:after="0"/>
              <w:rPr>
                <w:sz w:val="20"/>
                <w:szCs w:val="20"/>
                <w:color w:val="auto"/>
              </w:rPr>
            </w:pPr>
            <w:r>
              <w:rPr>
                <w:rFonts w:ascii="Arial" w:cs="Arial" w:eastAsia="Arial" w:hAnsi="Arial"/>
                <w:sz w:val="18"/>
                <w:szCs w:val="18"/>
                <w:color w:val="auto"/>
              </w:rPr>
              <w:t>DE</w:t>
            </w:r>
          </w:p>
        </w:tc>
      </w:tr>
      <w:tr>
        <w:trPr>
          <w:trHeight w:val="216"/>
        </w:trPr>
        <w:tc>
          <w:tcPr>
            <w:tcW w:w="8760" w:type="dxa"/>
            <w:vAlign w:val="bottom"/>
            <w:gridSpan w:val="2"/>
          </w:tcPr>
          <w:p>
            <w:pPr>
              <w:spacing w:after="0"/>
              <w:rPr>
                <w:sz w:val="20"/>
                <w:szCs w:val="20"/>
                <w:color w:val="auto"/>
              </w:rPr>
            </w:pPr>
            <w:r>
              <w:rPr>
                <w:rFonts w:ascii="Arial" w:cs="Arial" w:eastAsia="Arial" w:hAnsi="Arial"/>
                <w:sz w:val="18"/>
                <w:szCs w:val="18"/>
                <w:color w:val="auto"/>
              </w:rPr>
              <w:t>Right License Holding, Inc.</w:t>
            </w:r>
          </w:p>
        </w:tc>
        <w:tc>
          <w:tcPr>
            <w:tcW w:w="1600" w:type="dxa"/>
            <w:vAlign w:val="bottom"/>
            <w:gridSpan w:val="2"/>
          </w:tcPr>
          <w:p>
            <w:pPr>
              <w:spacing w:after="0"/>
              <w:rPr>
                <w:sz w:val="20"/>
                <w:szCs w:val="20"/>
                <w:color w:val="auto"/>
              </w:rPr>
            </w:pPr>
            <w:r>
              <w:rPr>
                <w:rFonts w:ascii="Arial" w:cs="Arial" w:eastAsia="Arial" w:hAnsi="Arial"/>
                <w:sz w:val="18"/>
                <w:szCs w:val="18"/>
                <w:color w:val="auto"/>
              </w:rPr>
              <w:t>DE</w:t>
            </w:r>
          </w:p>
        </w:tc>
      </w:tr>
      <w:tr>
        <w:trPr>
          <w:trHeight w:val="216"/>
        </w:trPr>
        <w:tc>
          <w:tcPr>
            <w:tcW w:w="8760" w:type="dxa"/>
            <w:vAlign w:val="bottom"/>
            <w:gridSpan w:val="2"/>
          </w:tcPr>
          <w:p>
            <w:pPr>
              <w:spacing w:after="0"/>
              <w:rPr>
                <w:sz w:val="20"/>
                <w:szCs w:val="20"/>
                <w:color w:val="auto"/>
              </w:rPr>
            </w:pPr>
            <w:r>
              <w:rPr>
                <w:rFonts w:ascii="Arial" w:cs="Arial" w:eastAsia="Arial" w:hAnsi="Arial"/>
                <w:sz w:val="18"/>
                <w:szCs w:val="18"/>
                <w:color w:val="auto"/>
              </w:rPr>
              <w:t>TAPFIN LLC</w:t>
            </w:r>
          </w:p>
        </w:tc>
        <w:tc>
          <w:tcPr>
            <w:tcW w:w="1600" w:type="dxa"/>
            <w:vAlign w:val="bottom"/>
            <w:gridSpan w:val="2"/>
          </w:tcPr>
          <w:p>
            <w:pPr>
              <w:spacing w:after="0"/>
              <w:rPr>
                <w:sz w:val="20"/>
                <w:szCs w:val="20"/>
                <w:color w:val="auto"/>
              </w:rPr>
            </w:pPr>
            <w:r>
              <w:rPr>
                <w:rFonts w:ascii="Arial" w:cs="Arial" w:eastAsia="Arial" w:hAnsi="Arial"/>
                <w:sz w:val="18"/>
                <w:szCs w:val="18"/>
                <w:color w:val="auto"/>
              </w:rPr>
              <w:t>DE</w:t>
            </w:r>
          </w:p>
        </w:tc>
      </w:tr>
      <w:tr>
        <w:trPr>
          <w:trHeight w:val="216"/>
        </w:trPr>
        <w:tc>
          <w:tcPr>
            <w:tcW w:w="8760" w:type="dxa"/>
            <w:vAlign w:val="bottom"/>
            <w:gridSpan w:val="2"/>
          </w:tcPr>
          <w:p>
            <w:pPr>
              <w:spacing w:after="0"/>
              <w:rPr>
                <w:sz w:val="20"/>
                <w:szCs w:val="20"/>
                <w:color w:val="auto"/>
              </w:rPr>
            </w:pPr>
            <w:r>
              <w:rPr>
                <w:rFonts w:ascii="Arial" w:cs="Arial" w:eastAsia="Arial" w:hAnsi="Arial"/>
                <w:sz w:val="18"/>
                <w:szCs w:val="18"/>
                <w:color w:val="auto"/>
              </w:rPr>
              <w:t>USCADEN Corporation</w:t>
            </w:r>
          </w:p>
        </w:tc>
        <w:tc>
          <w:tcPr>
            <w:tcW w:w="1600" w:type="dxa"/>
            <w:vAlign w:val="bottom"/>
            <w:gridSpan w:val="2"/>
          </w:tcPr>
          <w:p>
            <w:pPr>
              <w:spacing w:after="0"/>
              <w:rPr>
                <w:sz w:val="20"/>
                <w:szCs w:val="20"/>
                <w:color w:val="auto"/>
              </w:rPr>
            </w:pPr>
            <w:r>
              <w:rPr>
                <w:rFonts w:ascii="Arial" w:cs="Arial" w:eastAsia="Arial" w:hAnsi="Arial"/>
                <w:sz w:val="18"/>
                <w:szCs w:val="18"/>
                <w:color w:val="auto"/>
              </w:rPr>
              <w:t>DE</w:t>
            </w:r>
          </w:p>
        </w:tc>
      </w:tr>
      <w:tr>
        <w:trPr>
          <w:trHeight w:val="216"/>
        </w:trPr>
        <w:tc>
          <w:tcPr>
            <w:tcW w:w="8760" w:type="dxa"/>
            <w:vAlign w:val="bottom"/>
            <w:gridSpan w:val="2"/>
          </w:tcPr>
          <w:p>
            <w:pPr>
              <w:spacing w:after="0"/>
              <w:rPr>
                <w:sz w:val="20"/>
                <w:szCs w:val="20"/>
                <w:color w:val="auto"/>
              </w:rPr>
            </w:pPr>
            <w:r>
              <w:rPr>
                <w:rFonts w:ascii="Arial" w:cs="Arial" w:eastAsia="Arial" w:hAnsi="Arial"/>
                <w:sz w:val="18"/>
                <w:szCs w:val="18"/>
                <w:color w:val="auto"/>
              </w:rPr>
              <w:t>Elan IT Resources A/S</w:t>
            </w:r>
          </w:p>
        </w:tc>
        <w:tc>
          <w:tcPr>
            <w:tcW w:w="1600" w:type="dxa"/>
            <w:vAlign w:val="bottom"/>
            <w:gridSpan w:val="2"/>
          </w:tcPr>
          <w:p>
            <w:pPr>
              <w:spacing w:after="0"/>
              <w:rPr>
                <w:sz w:val="20"/>
                <w:szCs w:val="20"/>
                <w:color w:val="auto"/>
              </w:rPr>
            </w:pPr>
            <w:r>
              <w:rPr>
                <w:rFonts w:ascii="Arial" w:cs="Arial" w:eastAsia="Arial" w:hAnsi="Arial"/>
                <w:sz w:val="18"/>
                <w:szCs w:val="18"/>
                <w:color w:val="auto"/>
              </w:rPr>
              <w:t>Denmark</w:t>
            </w:r>
          </w:p>
        </w:tc>
      </w:tr>
      <w:tr>
        <w:trPr>
          <w:trHeight w:val="230"/>
        </w:trPr>
        <w:tc>
          <w:tcPr>
            <w:tcW w:w="8760" w:type="dxa"/>
            <w:vAlign w:val="bottom"/>
            <w:gridSpan w:val="2"/>
          </w:tcPr>
          <w:p>
            <w:pPr>
              <w:spacing w:after="0"/>
              <w:rPr>
                <w:sz w:val="20"/>
                <w:szCs w:val="20"/>
                <w:color w:val="auto"/>
              </w:rPr>
            </w:pPr>
            <w:r>
              <w:rPr>
                <w:rFonts w:ascii="Arial" w:cs="Arial" w:eastAsia="Arial" w:hAnsi="Arial"/>
                <w:sz w:val="18"/>
                <w:szCs w:val="18"/>
                <w:color w:val="auto"/>
              </w:rPr>
              <w:t>Manpower A/S (Denmark)</w:t>
            </w:r>
          </w:p>
        </w:tc>
        <w:tc>
          <w:tcPr>
            <w:tcW w:w="1600" w:type="dxa"/>
            <w:vAlign w:val="bottom"/>
            <w:gridSpan w:val="2"/>
          </w:tcPr>
          <w:p>
            <w:pPr>
              <w:spacing w:after="0"/>
              <w:rPr>
                <w:sz w:val="20"/>
                <w:szCs w:val="20"/>
                <w:color w:val="auto"/>
              </w:rPr>
            </w:pPr>
            <w:r>
              <w:rPr>
                <w:rFonts w:ascii="Arial" w:cs="Arial" w:eastAsia="Arial" w:hAnsi="Arial"/>
                <w:sz w:val="18"/>
                <w:szCs w:val="18"/>
                <w:color w:val="auto"/>
              </w:rPr>
              <w:t>Denmark</w:t>
            </w:r>
          </w:p>
        </w:tc>
      </w:tr>
    </w:tbl>
    <w:p>
      <w:pPr>
        <w:sectPr>
          <w:pgSz w:w="11900" w:h="16838" w:orient="portrait"/>
          <w:cols w:equalWidth="0" w:num="1">
            <w:col w:w="11260"/>
          </w:cols>
          <w:pgMar w:left="400" w:top="121" w:right="239" w:bottom="0" w:gutter="0" w:footer="0" w:header="0"/>
        </w:sectPr>
      </w:pPr>
    </w:p>
    <w:bookmarkStart w:id="113" w:name="page114"/>
    <w:bookmarkEnd w:id="113"/>
    <w:p>
      <w:pPr>
        <w:spacing w:after="0"/>
        <w:rPr>
          <w:sz w:val="20"/>
          <w:szCs w:val="20"/>
          <w:color w:val="auto"/>
        </w:rPr>
      </w:pPr>
      <w:r>
        <w:rPr>
          <w:rFonts w:ascii="Arial" w:cs="Arial" w:eastAsia="Arial" w:hAnsi="Arial"/>
          <w:sz w:val="18"/>
          <w:szCs w:val="18"/>
          <w:color w:val="auto"/>
        </w:rPr>
        <w:t>Manpower Europe Holdings, Aps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Right Management Denmark 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Right Management Nordic Holding 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Manpower Republica Dominicana, S.A.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Manpower El Salvador, S.A. de C.V.</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Manpower OÜ</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Elan IT Resource OY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Elan Technical Services OY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Manpower Business Solutions OY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Manpower Inclusive Oy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Manpower OY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MBS Technical Services OY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Right Management Finland OY AB</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Alisia SARL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Alvedis Conseil SAS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Elan I.T. Resource SARL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Manpower Business Solutions Consulting SAS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Manpower Business Solutions SAS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Manpower Egalite Des Chances SAS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Manpower France Holding SAS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Manpower France SAS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Manpower Nouvelles Competences SAS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Manpower Services Aux Personnes SAS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Pixid S.N.C.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Right Management SAS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Spirit Search SAS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Stealth Consulting SAS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Supplay SAS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AviationPower GmbH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Bankpower GmbH Personaldienstleistungen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Elan Computing (Deutschland) GmbH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Elan IT ReSource GmbH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Elan IT Services GmbH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Elan Telecommunications GmbH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GroundworX GmbH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Jefferson Wells GmbH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Manpower Beteiligungsgesellschaft mbH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Manpower Business Solutions GmbH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Manpower Deutschland GmbH</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Manpower GmbH &amp; Co. KG Personaldienstleistungen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Manpower Professional GmbH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Right Management GMBH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Vivento Interim Services GmbH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Manpower Team S.A.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Project Solutions S.A.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Manpower Guatemala S.A.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Manpower Professional Guatemala S.A.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Manpower Honduras, S.A.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Elan Computing (Asia)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Jefferson Wells HK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Manpower Services (Hong Kong)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Right Management Consultants Ltd (Hong Kong)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Right Management Hong Kong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Standard Management Consulting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Manpower Business Solutions Kft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Manpower Munkaero Szervezesi KFT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Complete Business Services of Illinois,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RMC OF Illinois,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Transpersonnel,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Manpower Services India Pvt.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Right Management India Private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SKA HR Solutions Pvt.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Elan Recruitment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Manpower (Ireland) Group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Manpower (Ireland)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PHI Transition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Right Transition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Adam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Adi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Career Harmony,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Career-Management of Housing for Ederly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M.F.S. Solutions for Financial Organizations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M.I.T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M.P.H. Holdings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Manpower Care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Manpower Israel Holdings (1999) Limited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Denmark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Denmark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Denmark</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Dominican Rebublic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El Salvador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Estonia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Finland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Finland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Finland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Finland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Finland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Finland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Finland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France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France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France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France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France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France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France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France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France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France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France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France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France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France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France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Germany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Germany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Germany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Germany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Germany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Germany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Germany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Germany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Germany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Germany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Germany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Germany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Germany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Germany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Germany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Greece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Greece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Guatemala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Guatemala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Honduras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Hong Kong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Hong Kong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Hong Kong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Hong Kong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Hong Kong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Hong Kong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Hungary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Hungary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India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India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India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Ireland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Ireland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Ireland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Ireland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Ireland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Israel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Israel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Israel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Israel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Israel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Israel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Israel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Israel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Israel</w:t>
      </w:r>
    </w:p>
    <w:p>
      <w:pPr>
        <w:sectPr>
          <w:pgSz w:w="11900" w:h="16838" w:orient="portrait"/>
          <w:cols w:equalWidth="0" w:num="2">
            <w:col w:w="8040" w:space="720"/>
            <w:col w:w="1500"/>
          </w:cols>
          <w:pgMar w:left="400" w:top="125" w:right="1239" w:bottom="0" w:gutter="0" w:footer="0" w:header="0"/>
        </w:sectPr>
      </w:pPr>
    </w:p>
    <w:bookmarkStart w:id="114" w:name="page115"/>
    <w:bookmarkEnd w:id="114"/>
    <w:p>
      <w:pPr>
        <w:spacing w:after="0"/>
        <w:rPr>
          <w:sz w:val="20"/>
          <w:szCs w:val="20"/>
          <w:color w:val="auto"/>
        </w:rPr>
      </w:pPr>
      <w:r>
        <w:rPr>
          <w:rFonts w:ascii="Arial" w:cs="Arial" w:eastAsia="Arial" w:hAnsi="Arial"/>
          <w:sz w:val="18"/>
          <w:szCs w:val="18"/>
          <w:color w:val="auto"/>
        </w:rPr>
        <w:t>Manpower Israel Limited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Manpower Miluot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MBS (Manpower Business Solutions)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MNPM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Nativ 2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Pacific Software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Quality Translation Partnership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Storetail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Telepower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Unison Engineering Projects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Elan IT Resource (formerly Brookstreet Spa)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Elan Solutions SRL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Jefferson Wells Srl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Manpower Business Solutions SRL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Manpower Formazione Spa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Manpower Italia S.r.l.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Manpower S.P.A.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Right Management Consultants (Italy) SRL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Adgrams,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Human Business Associates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JobSearchpower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JobSupportpower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Manpower Japan Co.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Mitsui Life Insurance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Mobile Com. Tokyo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Right Management Japan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Jordanian American Manpower Company, W.L.L.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Manpower Kaz LLC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Representative office of Manpower CIS LLC in Kazakhstan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Manpower Korea,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Manpower Service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Right Management Korea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Topeka Services,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Wichita Services,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Clarendon Parker Kuwait WLL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Representative office of UAB "Manpower Lit" in Latvia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Manpower Lit UAB</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Elan IT Resource S.a.r.l.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Manpower Business Solutions Luxembourg S.A.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Manpower SARL (Luxembourg)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Right Management Luxembourg SA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Manpower Services (Macau)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Agensi Pekerjaan Manpower Recruitment Sdn Bhd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Manpower Business Solutions (M) Sdn Bhd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Manpower Staffing Services (Malaysia) Sdn Bhd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Right Management (Malaysia) Sdn Bhd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Right Management Consultants International Pty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Techpower Consulting Sdn Bhd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Manpower Antilles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Agropower, S.A. de C.V.</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Factoria Y Manufactura S.A. de C.V.</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Intelecto Tecnologico, S.A. De C.V.</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Manpower Corporativo, S.A. de C.V.</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Manpower Industrial, S.A. de C.V.</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Manpower Mensajeria, S.A. de C.V.</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Manpower Professional, S.A. de C.V.</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Manpower, S.A. de C.V.</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Nurse.Co de Mexico, S.A. de C.V.</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Payment Services S.A. de C.V.</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Right Management S.A. de C.V.</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Tecnologia Y Manufactura, S.A. de C.V.</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Manpower Monaco SAM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Manpower Business Services Maroc Sarl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Societe Marocaine De Travail Temporaire Sarl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Flexservice Solutions BV</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Jefferson Wells, B.V</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Manpower B.V.</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Manpower Direkt B.V.</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Manpower Management B.V.</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Manpower Nederland B.V.</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Manpower Services B.V.</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Manpower Solutions B.V.</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Manpower Special Staffing B.V.</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Performance Improvement Network BV</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Right Management Nederland B.V.</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Ultraflex B.V.</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Israel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Israel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Israel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Israel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Israel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Israel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Israel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Israel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Israel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Israel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Italy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Italy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Italy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Italy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Italy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Italy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Italy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Italy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Japan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Japan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Japan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Japan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Japan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Japan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Japan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Japan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Jordan</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Kazakhstan</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Kazakhstan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Korea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Korea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Korea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Kuwait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Latvia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Lithuania</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Luxembourg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Luxembourg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Luxembourg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Luxembourg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Macau</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Malaysia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Malaysia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Malaysia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Malaysia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Malaysia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Malaysia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Martinique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Mexico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Mexico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Mexico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Mexico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Mexico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Mexico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Mexico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Mexico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Mexico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Mexico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Mexico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Mexico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Monaco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Morocco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Morocco</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Netherlands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Netherlands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Netherlands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Netherlands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Netherlands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Netherlands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Netherlands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Netherlands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Netherlands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Netherlands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Netherlands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Netherlands</w:t>
      </w:r>
    </w:p>
    <w:p>
      <w:pPr>
        <w:sectPr>
          <w:pgSz w:w="11900" w:h="16838" w:orient="portrait"/>
          <w:cols w:equalWidth="0" w:num="2">
            <w:col w:w="8040" w:space="720"/>
            <w:col w:w="1299"/>
          </w:cols>
          <w:pgMar w:left="400" w:top="125" w:right="1440" w:bottom="0" w:gutter="0" w:footer="0" w:header="0"/>
        </w:sectPr>
      </w:pPr>
    </w:p>
    <w:bookmarkStart w:id="115" w:name="page116"/>
    <w:bookmarkEnd w:id="115"/>
    <w:p>
      <w:pPr>
        <w:spacing w:after="0"/>
        <w:rPr>
          <w:sz w:val="20"/>
          <w:szCs w:val="20"/>
          <w:color w:val="auto"/>
        </w:rPr>
      </w:pPr>
      <w:r>
        <w:rPr>
          <w:rFonts w:ascii="Arial" w:cs="Arial" w:eastAsia="Arial" w:hAnsi="Arial"/>
          <w:sz w:val="18"/>
          <w:szCs w:val="18"/>
          <w:color w:val="auto"/>
        </w:rPr>
        <w:t>Ultrasearch B.V.</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Vitae Beheer B.V.</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Vitae Nederland B. V.</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Manpower Nouvelle Caledonie Sarl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Manpower Recrutement Sarl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Manpower Services (New Zealand)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Right Management Consultants (OC) Pty. Ltd (NZ)</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Right Management Consultants Ltd (New Zealand)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Manpower Nicaruagua S.A.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Alubar 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Elan IT Resource 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Elan Staffing Services 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Framnaes Installajon 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Manpower 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Manpower Business Solutions -Retail 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Manpower Norway Holdings 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Manpower Professional Engineering 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Manpower Professional Executive 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Manpower Staffing Services 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Right Management Norway 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Manpower Incorporated of 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TRI County Business Services,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Right Management,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Manpower Panama S.A.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Temporales Panama S.A.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Manpower Paraguay S.R.L.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Manpower Peru S.A.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Manpower Professional Services S.A.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Right Management Peru S.A.C.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Manpower Outsourcing Services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Prime Manpower Resources Development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Elan IT Resource Sp. Z oo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Manpower Business Solutions SP. Z.o.o.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Manpower Polska SP. ZO. 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MP Services SP. ZO. 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Right Management Poland</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Manpower Portuguesa - Servicos Recursos Humanos Empresa Trabalho Temporario, S.A.</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Manpower Portuguesa 2 Servicos, LDA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Clarendon Parker Qatar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Manpower, Qatar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FMI Resources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Manpower Ocean Indien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Manpower Romania SRL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 Manpower CIS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Clarendon Parker Arabia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Manpower Business Solutions d.o.o.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Manpower LLC Belgrade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Manpower Staffing Services (Singapore) Pte.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Right Management Consultants International Pty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Right Management Singapore Pte.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Empower Group (Asia)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Manpower Slovakia SRO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Manpower d.o.o.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Jefferson Wells SA (Proprietary)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Manpower Intoto (Pty)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Manpower SA (Pty)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Vuya Manpower (Pty)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ByManpower, S.L.U.</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Elan IT Resource Computing S.L.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Manpower Business Solutions, S.L.U</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Manpower Team E.T.T., S.A.U.</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Right Management Spain, S.L.U.</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Elan IT Resources AB</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Elan TS AB</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Manpower AB</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Manpower Bemanning AB</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Manpower Business Solution AB</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Manpower Business Solutions Service Center AB</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Manpower EL &amp; Tele AB</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Manpower HälsoPartner AB</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Manpower Student AB</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Manpower Sverige AB</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Manpower Telge Jobbstart AB</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Ostgotahalsan AB</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Right Management Sweden AB</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Right Sinova AB</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Netherlands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Netherlands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Netherlands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New Caledonia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New Caledonia</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New Zealand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Zealand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Zealand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Nicaragua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Norway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Norway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Norway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Norway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Norway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Norway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Norway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Norway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Norway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Norway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Norway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Panama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Panama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Paraguay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Peru</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Peru</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Peru</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Philippines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Philippines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Poland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Poland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Poland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Poland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Poland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Portugal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Portugal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Qatar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Qatar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Reunion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Reunion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Romania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Russia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Saudi Arabia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Serbia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Serbia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Singapore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Singapore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Singapore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Singapore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Slovakia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Slovenia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South Africa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South Africa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South Africa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South Africa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Spain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Spain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Spain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Spain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Spain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Sweden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Sweden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Sweden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Sweden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Sweden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Sweden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Sweden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Sweden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Sweden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Sweden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Sweden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Sweden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Sweden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Sweden</w:t>
      </w:r>
    </w:p>
    <w:p>
      <w:pPr>
        <w:sectPr>
          <w:pgSz w:w="11900" w:h="16838" w:orient="portrait"/>
          <w:cols w:equalWidth="0" w:num="2">
            <w:col w:w="8040" w:space="720"/>
            <w:col w:w="1299"/>
          </w:cols>
          <w:pgMar w:left="400" w:top="125" w:right="1440" w:bottom="0" w:gutter="0" w:footer="0" w:header="0"/>
        </w:sectPr>
      </w:pPr>
    </w:p>
    <w:bookmarkStart w:id="116" w:name="page117"/>
    <w:bookmarkEnd w:id="116"/>
    <w:p>
      <w:pPr>
        <w:spacing w:after="0"/>
        <w:rPr>
          <w:sz w:val="20"/>
          <w:szCs w:val="20"/>
          <w:color w:val="auto"/>
        </w:rPr>
      </w:pPr>
      <w:r>
        <w:rPr>
          <w:rFonts w:ascii="Arial" w:cs="Arial" w:eastAsia="Arial" w:hAnsi="Arial"/>
          <w:sz w:val="18"/>
          <w:szCs w:val="18"/>
          <w:color w:val="auto"/>
        </w:rPr>
        <w:t>Right Sinova Sweden AB</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Sveriges Akademikerformedling AB</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Allegra Finanz AG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Elan Computing (Schweiz) AG, Zurich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M.S.A.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Manpower AG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Manpower Holding AG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Manpower HR Management S.A.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MRC Consulting AG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Right Management Switzerland AG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Manpower Services (Taiwan)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Right Management Taiwan Co., Ltd.</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Manpower Professional and Executive Recruitment Co., Ltd.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Manpower Recruitment Solutions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Skillpower Services (Thailand)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Manpower Tunisie SARL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Manpower Tunisie International SARL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Manpower Insan Kaynaklari Limited Sirketi</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Manpower Secme ve Yerlestirme Hizmetleri Limited Sirketi</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HR Staffing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Clarendon Parker Middle East FZ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Dubai Airport Free Zone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Manpower , Middle East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Manpower Ukraine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Representative office of Manpower CIS LLC in Ukraine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Bafin Holdings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Brook Street (UK)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Brook Street Bureau PLC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BS Project Services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Challoners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COMSYS VMS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DP Support Services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Elan Computing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Elan Group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Elan Resource Support Services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Jefferson Wells,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Manpower Contract Services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Manpower Holdings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Manpower IT Services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Manpower Nominees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Manpower Public Limited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Manpower Services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Manpower UK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Nicholas Andrews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Right Corecare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Right Management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RMC EMEA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Temp Finance &amp; Accounting Service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Empower Group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Working Links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Aris Sociedad Anonima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ASET International Services,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Manpower de Venezuela C.A.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Manpower Empresa de Trabajo Temporal, C.A.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Servicios Alleray, C.A.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Manpower Vietnam Company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Right Management Vietnam Company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Manpower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Manpower Nominees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Manpower of Indiana Limited Partnership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Manpower of Texas Limited Partnership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Manpower Professional Services, Inc. (a.k.a. NOMAD)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Manpower Public Sector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Manpower Texas Holdings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Resource Consulting Group, Inc. (f/k/a MPSSI)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Signature Graphics of Milwaukee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Sweden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Sweden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Switzerland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Switzerland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Switzerland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Switzerland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Switzerland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Switzerland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Switzerland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Switzerland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Taiwan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Taiwan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Thailand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Thailand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Thailand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Tunisia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Tunisia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Turkey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Turkey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TX</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UAE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UAE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UAE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Ukraine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Ukraine</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Uruguay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Venezuela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Venezuela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Venezuela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Vietnam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Vietnam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WI</w:t>
      </w:r>
    </w:p>
    <w:p>
      <w:pPr>
        <w:sectPr>
          <w:pgSz w:w="11900" w:h="16838" w:orient="portrait"/>
          <w:cols w:equalWidth="0" w:num="2">
            <w:col w:w="8040" w:space="720"/>
            <w:col w:w="1299"/>
          </w:cols>
          <w:pgMar w:left="400" w:top="125" w:right="1440" w:bottom="1440" w:gutter="0" w:footer="0" w:header="0"/>
        </w:sectPr>
      </w:pPr>
    </w:p>
    <w:bookmarkStart w:id="117" w:name="page118"/>
    <w:bookmarkEnd w:id="117"/>
    <w:p>
      <w:pPr>
        <w:jc w:val="right"/>
        <w:spacing w:after="0"/>
        <w:rPr>
          <w:sz w:val="20"/>
          <w:szCs w:val="20"/>
          <w:color w:val="auto"/>
        </w:rPr>
      </w:pPr>
      <w:r>
        <w:rPr>
          <w:rFonts w:ascii="Arial" w:cs="Arial" w:eastAsia="Arial" w:hAnsi="Arial"/>
          <w:sz w:val="18"/>
          <w:szCs w:val="18"/>
          <w:b w:val="1"/>
          <w:bCs w:val="1"/>
          <w:color w:val="4D8ABE"/>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4D8ABE"/>
        </w:rPr>
        <w:t>CONSENT OF INDEPENDENT REGISTERED PUBLIC ACCOUNTING FIRM</w:t>
      </w:r>
    </w:p>
    <w:p>
      <w:pPr>
        <w:spacing w:after="0" w:line="200" w:lineRule="exact"/>
        <w:rPr>
          <w:sz w:val="20"/>
          <w:szCs w:val="20"/>
          <w:color w:val="auto"/>
        </w:rPr>
      </w:pPr>
    </w:p>
    <w:p>
      <w:pPr>
        <w:spacing w:after="0" w:line="20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4D8ABE"/>
        </w:rPr>
        <w:t>We consent to the incorporation by reference in Registration Statement Nos. 33-40441, 33-55264, 33-84736, 333-1040, 333-31021, 333-82459, 333-66656, 333-105205, 333-112164, 333-126703, 333-135000, and 333-161765 on Form S-8 and 333-650, 33-95896, and 333-87554 on Form S-4 of our reports dated February 24, 2011, relating to the consolidated financial statements and consolidated financial statement schedule of Manpower Inc. and subsidiaries (the "Company”), and the effectiveness of the Company’s internal control over financial reporting, appearing in and incorporated by reference in the Annual Report on Form 10-K of the Company for the year ended December 31, 2010.</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4D8ABE"/>
        </w:rPr>
        <w:t>/s/ Deloitte &amp; Touche LLP</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4D8ABE"/>
        </w:rPr>
        <w:t>Milwaukee, Wisconsin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4D8ABE"/>
        </w:rPr>
        <w:t>February 24, 2011</w:t>
      </w:r>
    </w:p>
    <w:p>
      <w:pPr>
        <w:sectPr>
          <w:pgSz w:w="11900" w:h="16838" w:orient="portrait"/>
          <w:cols w:equalWidth="0" w:num="1">
            <w:col w:w="11420"/>
          </w:cols>
          <w:pgMar w:left="240" w:top="337" w:right="239" w:bottom="1440" w:gutter="0" w:footer="0" w:header="0"/>
        </w:sectPr>
      </w:pPr>
    </w:p>
    <w:bookmarkStart w:id="118" w:name="page119"/>
    <w:bookmarkEnd w:id="118"/>
    <w:p>
      <w:pPr>
        <w:jc w:val="right"/>
        <w:spacing w:after="0"/>
        <w:rPr>
          <w:sz w:val="20"/>
          <w:szCs w:val="20"/>
          <w:color w:val="auto"/>
        </w:rPr>
      </w:pPr>
      <w:r>
        <w:rPr>
          <w:rFonts w:ascii="Arial" w:cs="Arial" w:eastAsia="Arial" w:hAnsi="Arial"/>
          <w:sz w:val="18"/>
          <w:szCs w:val="18"/>
          <w:b w:val="1"/>
          <w:bCs w:val="1"/>
          <w:color w:val="4D8ABE"/>
        </w:rPr>
        <w:t>Exhibit 24</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4D8ABE"/>
        </w:rPr>
        <w:t>POWER OF ATTORNEY FOR ANNUAL REPORT ON FORM 10-K</w:t>
      </w:r>
    </w:p>
    <w:p>
      <w:pPr>
        <w:spacing w:after="0" w:line="202" w:lineRule="exact"/>
        <w:rPr>
          <w:sz w:val="20"/>
          <w:szCs w:val="20"/>
          <w:color w:val="auto"/>
        </w:rPr>
      </w:pPr>
    </w:p>
    <w:p>
      <w:pPr>
        <w:jc w:val="both"/>
        <w:ind w:firstLine="667"/>
        <w:spacing w:after="0" w:line="272" w:lineRule="auto"/>
        <w:rPr>
          <w:sz w:val="20"/>
          <w:szCs w:val="20"/>
          <w:color w:val="auto"/>
        </w:rPr>
      </w:pPr>
      <w:r>
        <w:rPr>
          <w:rFonts w:ascii="Arial" w:cs="Arial" w:eastAsia="Arial" w:hAnsi="Arial"/>
          <w:sz w:val="16"/>
          <w:szCs w:val="16"/>
          <w:color w:val="4D8ABE"/>
        </w:rPr>
        <w:t>Each of the undersigned directors of Manpower Inc. (the “Company”) hereby constitutes and appoints Jeffrey A. Joerres, Michael J. Van Handel and Kenneth C. Hunt, and each of them, the undersigned’s true and lawful attorney-in-fact and agent, with full power of substitution and resubstitution, for the undersigned and in the undersigned’s name, place and stead to sign for the undersigned and in the undersigned’s name in the capacity as a director of the Company the Annual Report on Form 10-K for the Company’s fiscal year ended December 31, 2010, and to file the same, with all exhibits thereto, other documents in connection ther ewith, and any amendments to any of the foregoing, with the Securities and Exchange Commission and any other regulatory authority, granting unto said attorney-in-fact and agent full power and authority to do and perform each and every act and thing requisite and necessary to be done in and about the premises, as fully and to all intents and purposes as the undersigned might or could do in person, hereby ratifying and confirming all that said attorney-in-fact and agent, or the undersigned’s substitute, may lawfully do or cause to be done by virtue hereof.</w:t>
      </w:r>
    </w:p>
    <w:p>
      <w:pPr>
        <w:spacing w:after="0" w:line="155" w:lineRule="exact"/>
        <w:rPr>
          <w:sz w:val="20"/>
          <w:szCs w:val="20"/>
          <w:color w:val="auto"/>
        </w:rPr>
      </w:pPr>
    </w:p>
    <w:p>
      <w:pPr>
        <w:jc w:val="both"/>
        <w:ind w:firstLine="794"/>
        <w:spacing w:after="0" w:line="262" w:lineRule="auto"/>
        <w:rPr>
          <w:sz w:val="20"/>
          <w:szCs w:val="20"/>
          <w:color w:val="auto"/>
        </w:rPr>
      </w:pPr>
      <w:r>
        <w:rPr>
          <w:rFonts w:ascii="Arial" w:cs="Arial" w:eastAsia="Arial" w:hAnsi="Arial"/>
          <w:sz w:val="18"/>
          <w:szCs w:val="18"/>
          <w:color w:val="4D8ABE"/>
        </w:rPr>
        <w:t>IN WITNESS WHEREOF, the undersigned have each executed this Power of Attorney for Annual Report on Form 10-K, on one or more counterparts, as of the 7th day of February, 2011.</w:t>
      </w:r>
    </w:p>
    <w:p>
      <w:pPr>
        <w:spacing w:after="0" w:line="196" w:lineRule="exact"/>
        <w:rPr>
          <w:sz w:val="20"/>
          <w:szCs w:val="20"/>
          <w:color w:val="auto"/>
        </w:rPr>
      </w:pPr>
    </w:p>
    <w:tbl>
      <w:tblPr>
        <w:tblLayout w:type="fixed"/>
        <w:tblInd w:w="2300" w:type="dxa"/>
        <w:tblCellMar>
          <w:top w:w="0" w:type="dxa"/>
          <w:left w:w="0" w:type="dxa"/>
          <w:bottom w:w="0" w:type="dxa"/>
          <w:right w:w="0" w:type="dxa"/>
        </w:tblCellMar>
      </w:tblPr>
      <w:tr>
        <w:trPr>
          <w:trHeight w:val="224"/>
        </w:trPr>
        <w:tc>
          <w:tcPr>
            <w:tcW w:w="2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Marc J. Bolland</w:t>
            </w:r>
          </w:p>
        </w:tc>
        <w:tc>
          <w:tcPr>
            <w:tcW w:w="2280" w:type="dxa"/>
            <w:vAlign w:val="bottom"/>
          </w:tcPr>
          <w:p>
            <w:pPr>
              <w:spacing w:after="0"/>
              <w:rPr>
                <w:sz w:val="19"/>
                <w:szCs w:val="19"/>
                <w:color w:val="auto"/>
              </w:rPr>
            </w:pPr>
          </w:p>
        </w:tc>
        <w:tc>
          <w:tcPr>
            <w:tcW w:w="2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Jeffrey A. Joerres</w:t>
            </w:r>
          </w:p>
        </w:tc>
      </w:tr>
      <w:tr>
        <w:trPr>
          <w:trHeight w:val="230"/>
        </w:trPr>
        <w:tc>
          <w:tcPr>
            <w:tcW w:w="2280" w:type="dxa"/>
            <w:vAlign w:val="bottom"/>
          </w:tcPr>
          <w:p>
            <w:pPr>
              <w:spacing w:after="0"/>
              <w:rPr>
                <w:sz w:val="20"/>
                <w:szCs w:val="20"/>
                <w:color w:val="auto"/>
              </w:rPr>
            </w:pPr>
            <w:r>
              <w:rPr>
                <w:rFonts w:ascii="Arial" w:cs="Arial" w:eastAsia="Arial" w:hAnsi="Arial"/>
                <w:sz w:val="18"/>
                <w:szCs w:val="18"/>
                <w:color w:val="auto"/>
              </w:rPr>
              <w:t>Marc J. Bolland</w:t>
            </w:r>
          </w:p>
        </w:tc>
        <w:tc>
          <w:tcPr>
            <w:tcW w:w="2280" w:type="dxa"/>
            <w:vAlign w:val="bottom"/>
          </w:tcPr>
          <w:p>
            <w:pPr>
              <w:spacing w:after="0"/>
              <w:rPr>
                <w:sz w:val="20"/>
                <w:szCs w:val="20"/>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Jeffrey A. Joerres</w:t>
            </w: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20"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/s/ Gina R. Boswell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6350</wp:posOffset>
            </wp:positionV>
            <wp:extent cx="1449070"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449070" cy="17145"/>
                    </a:xfrm>
                    <a:prstGeom prst="rect">
                      <a:avLst/>
                    </a:prstGeom>
                    <a:noFill/>
                  </pic:spPr>
                </pic:pic>
              </a:graphicData>
            </a:graphic>
          </wp:anchor>
        </w:drawing>
      </w:r>
    </w:p>
    <w:p>
      <w:pPr>
        <w:spacing w:after="0" w:line="3"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Gina R. Boswell</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2340"/>
        <w:spacing w:after="0"/>
        <w:rPr>
          <w:sz w:val="20"/>
          <w:szCs w:val="20"/>
          <w:color w:val="auto"/>
        </w:rPr>
      </w:pPr>
      <w:r>
        <w:rPr>
          <w:rFonts w:ascii="Arial" w:cs="Arial" w:eastAsia="Arial" w:hAnsi="Arial"/>
          <w:sz w:val="16"/>
          <w:szCs w:val="16"/>
          <w:color w:val="auto"/>
        </w:rPr>
        <w:t>/s/ Cari M. Dominquez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29210</wp:posOffset>
            </wp:positionV>
            <wp:extent cx="1449070"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449070" cy="17145"/>
                    </a:xfrm>
                    <a:prstGeom prst="rect">
                      <a:avLst/>
                    </a:prstGeom>
                    <a:noFill/>
                  </pic:spPr>
                </pic:pic>
              </a:graphicData>
            </a:graphic>
          </wp:anchor>
        </w:drawing>
      </w:r>
    </w:p>
    <w:p>
      <w:pPr>
        <w:spacing w:after="0" w:line="39" w:lineRule="exact"/>
        <w:rPr>
          <w:sz w:val="20"/>
          <w:szCs w:val="20"/>
          <w:color w:val="auto"/>
        </w:rPr>
      </w:pPr>
    </w:p>
    <w:p>
      <w:pPr>
        <w:ind w:left="2340"/>
        <w:spacing w:after="0"/>
        <w:rPr>
          <w:sz w:val="20"/>
          <w:szCs w:val="20"/>
          <w:color w:val="auto"/>
        </w:rPr>
      </w:pPr>
      <w:r>
        <w:rPr>
          <w:rFonts w:ascii="Arial" w:cs="Arial" w:eastAsia="Arial" w:hAnsi="Arial"/>
          <w:sz w:val="18"/>
          <w:szCs w:val="18"/>
          <w:color w:val="auto"/>
        </w:rPr>
        <w:t>Cari M. Dominquez</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2300"/>
        <w:spacing w:after="0"/>
        <w:rPr>
          <w:sz w:val="20"/>
          <w:szCs w:val="20"/>
          <w:color w:val="auto"/>
        </w:rPr>
      </w:pPr>
      <w:r>
        <w:rPr>
          <w:rFonts w:ascii="Arial" w:cs="Arial" w:eastAsia="Arial" w:hAnsi="Arial"/>
          <w:sz w:val="17"/>
          <w:szCs w:val="17"/>
          <w:color w:val="auto"/>
        </w:rPr>
        <w:t>/s/ Jack M. Greenberg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13335</wp:posOffset>
            </wp:positionV>
            <wp:extent cx="1449070"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449070" cy="17145"/>
                    </a:xfrm>
                    <a:prstGeom prst="rect">
                      <a:avLst/>
                    </a:prstGeom>
                    <a:noFill/>
                  </pic:spPr>
                </pic:pic>
              </a:graphicData>
            </a:graphic>
          </wp:anchor>
        </w:drawing>
      </w:r>
    </w:p>
    <w:p>
      <w:pPr>
        <w:spacing w:after="0" w:line="15"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Jack M. Greenberg</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/s/ Terry A. Hueneke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6350</wp:posOffset>
            </wp:positionV>
            <wp:extent cx="1449070" cy="171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449070" cy="17145"/>
                    </a:xfrm>
                    <a:prstGeom prst="rect">
                      <a:avLst/>
                    </a:prstGeom>
                    <a:noFill/>
                  </pic:spPr>
                </pic:pic>
              </a:graphicData>
            </a:graphic>
          </wp:anchor>
        </w:drawing>
      </w:r>
    </w:p>
    <w:p>
      <w:pPr>
        <w:spacing w:after="0" w:line="3"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Terry A. Hueneke</w:t>
      </w:r>
    </w:p>
    <w:p>
      <w:pPr>
        <w:spacing w:after="0" w:line="20" w:lineRule="exact"/>
        <w:rPr>
          <w:sz w:val="20"/>
          <w:szCs w:val="20"/>
          <w:color w:val="auto"/>
        </w:rPr>
      </w:pPr>
      <w:r>
        <w:rPr>
          <w:sz w:val="20"/>
          <w:szCs w:val="20"/>
          <w:color w:val="auto"/>
        </w:rPr>
        <w:br w:type="column"/>
      </w:r>
    </w:p>
    <w:p>
      <w:pPr>
        <w:spacing w:after="0" w:line="400" w:lineRule="exact"/>
        <w:rPr>
          <w:sz w:val="20"/>
          <w:szCs w:val="20"/>
          <w:color w:val="auto"/>
        </w:rPr>
      </w:pPr>
    </w:p>
    <w:p>
      <w:pPr>
        <w:spacing w:after="0"/>
        <w:rPr>
          <w:sz w:val="20"/>
          <w:szCs w:val="20"/>
          <w:color w:val="auto"/>
        </w:rPr>
      </w:pPr>
      <w:r>
        <w:rPr>
          <w:rFonts w:ascii="Arial" w:cs="Arial" w:eastAsia="Arial" w:hAnsi="Arial"/>
          <w:sz w:val="17"/>
          <w:szCs w:val="17"/>
          <w:color w:val="auto"/>
        </w:rPr>
        <w:t>/s/ Roberto Mendoza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13335</wp:posOffset>
            </wp:positionV>
            <wp:extent cx="1449070" cy="171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449070" cy="17145"/>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Roberto Mendoza</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/s/ Ulice Payne,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14605</wp:posOffset>
            </wp:positionV>
            <wp:extent cx="1449070" cy="171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44907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Ulice Payne, Jr.</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color w:val="auto"/>
        </w:rPr>
        <w:t>/s/ Elizabeth P. Sartain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20955</wp:posOffset>
            </wp:positionV>
            <wp:extent cx="1449070" cy="171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449070" cy="17145"/>
                    </a:xfrm>
                    <a:prstGeom prst="rect">
                      <a:avLst/>
                    </a:prstGeom>
                    <a:noFill/>
                  </pic:spPr>
                </pic:pic>
              </a:graphicData>
            </a:graphic>
          </wp:anchor>
        </w:drawing>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Elizabeth P. Sartain</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/s/ John R. Walter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6350</wp:posOffset>
            </wp:positionV>
            <wp:extent cx="1449070" cy="171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449070" cy="1714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John R. Walter</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Edward J. Zore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14605</wp:posOffset>
            </wp:positionV>
            <wp:extent cx="1449070" cy="171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449070" cy="17145"/>
                    </a:xfrm>
                    <a:prstGeom prst="rect">
                      <a:avLst/>
                    </a:prstGeom>
                    <a:noFill/>
                  </pic:spPr>
                </pic:pic>
              </a:graphicData>
            </a:graphic>
          </wp:anchor>
        </w:drawing>
      </w:r>
    </w:p>
    <w:p>
      <w:pPr>
        <w:spacing w:after="0" w:line="16" w:lineRule="exact"/>
        <w:rPr>
          <w:sz w:val="20"/>
          <w:szCs w:val="20"/>
          <w:color w:val="auto"/>
        </w:rPr>
      </w:pPr>
    </w:p>
    <w:p>
      <w:pPr>
        <w:ind w:left="40"/>
        <w:spacing w:after="0"/>
        <w:rPr>
          <w:sz w:val="20"/>
          <w:szCs w:val="20"/>
          <w:color w:val="auto"/>
        </w:rPr>
      </w:pPr>
      <w:r>
        <w:rPr>
          <w:rFonts w:ascii="Arial" w:cs="Arial" w:eastAsia="Arial" w:hAnsi="Arial"/>
          <w:sz w:val="18"/>
          <w:szCs w:val="18"/>
          <w:color w:val="auto"/>
        </w:rPr>
        <w:t>Edward J. Zore</w:t>
      </w:r>
    </w:p>
    <w:p>
      <w:pPr>
        <w:sectPr>
          <w:pgSz w:w="11900" w:h="16838" w:orient="portrait"/>
          <w:cols w:equalWidth="0" w:num="2">
            <w:col w:w="6140" w:space="720"/>
            <w:col w:w="4560"/>
          </w:cols>
          <w:pgMar w:left="240" w:top="121" w:right="239" w:bottom="1440" w:gutter="0" w:footer="0" w:header="0"/>
          <w:type w:val="continuous"/>
        </w:sectPr>
      </w:pPr>
    </w:p>
    <w:bookmarkStart w:id="119" w:name="page120"/>
    <w:bookmarkEnd w:id="119"/>
    <w:p>
      <w:pPr>
        <w:jc w:val="right"/>
        <w:spacing w:after="0"/>
        <w:rPr>
          <w:sz w:val="20"/>
          <w:szCs w:val="20"/>
          <w:color w:val="auto"/>
        </w:rPr>
      </w:pPr>
      <w:r>
        <w:rPr>
          <w:rFonts w:ascii="Arial" w:cs="Arial" w:eastAsia="Arial" w:hAnsi="Arial"/>
          <w:sz w:val="18"/>
          <w:szCs w:val="18"/>
          <w:b w:val="1"/>
          <w:bCs w:val="1"/>
          <w:color w:val="4D8ABE"/>
        </w:rPr>
        <w:t>Exhibit 31.1</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4D8ABE"/>
        </w:rPr>
        <w:t>CERTIFICATION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4D8ABE"/>
        </w:rPr>
        <w:t>I, Jeffrey A. Joerres, Chairman and Chief Executive Officer of Manpower Inc., certify that:</w:t>
      </w:r>
    </w:p>
    <w:p>
      <w:pPr>
        <w:spacing w:after="0" w:line="198" w:lineRule="exact"/>
        <w:rPr>
          <w:sz w:val="20"/>
          <w:szCs w:val="20"/>
          <w:color w:val="auto"/>
        </w:rPr>
      </w:pPr>
    </w:p>
    <w:p>
      <w:pPr>
        <w:ind w:left="920" w:hanging="480"/>
        <w:spacing w:after="0"/>
        <w:tabs>
          <w:tab w:leader="none" w:pos="9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Manpower Inc.;</w:t>
      </w:r>
    </w:p>
    <w:p>
      <w:pPr>
        <w:spacing w:after="0" w:line="198" w:lineRule="exact"/>
        <w:rPr>
          <w:rFonts w:ascii="Arial" w:cs="Arial" w:eastAsia="Arial" w:hAnsi="Arial"/>
          <w:sz w:val="18"/>
          <w:szCs w:val="18"/>
          <w:color w:val="auto"/>
        </w:rPr>
      </w:pPr>
    </w:p>
    <w:p>
      <w:pPr>
        <w:jc w:val="both"/>
        <w:ind w:left="920" w:right="20" w:hanging="480"/>
        <w:spacing w:after="0" w:line="248" w:lineRule="auto"/>
        <w:tabs>
          <w:tab w:leader="none" w:pos="9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8" w:lineRule="exact"/>
        <w:rPr>
          <w:rFonts w:ascii="Arial" w:cs="Arial" w:eastAsia="Arial" w:hAnsi="Arial"/>
          <w:sz w:val="18"/>
          <w:szCs w:val="18"/>
          <w:color w:val="auto"/>
        </w:rPr>
      </w:pPr>
    </w:p>
    <w:p>
      <w:pPr>
        <w:ind w:left="920" w:right="260" w:hanging="480"/>
        <w:spacing w:after="0" w:line="291" w:lineRule="auto"/>
        <w:tabs>
          <w:tab w:leader="none" w:pos="920" w:val="left"/>
        </w:tabs>
        <w:numPr>
          <w:ilvl w:val="0"/>
          <w:numId w:val="6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3" w:lineRule="exact"/>
        <w:rPr>
          <w:rFonts w:ascii="Arial" w:cs="Arial" w:eastAsia="Arial" w:hAnsi="Arial"/>
          <w:sz w:val="17"/>
          <w:szCs w:val="17"/>
          <w:color w:val="auto"/>
        </w:rPr>
      </w:pPr>
    </w:p>
    <w:p>
      <w:pPr>
        <w:jc w:val="both"/>
        <w:ind w:left="920" w:right="20" w:hanging="480"/>
        <w:spacing w:after="0" w:line="248" w:lineRule="auto"/>
        <w:tabs>
          <w:tab w:leader="none" w:pos="9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8" w:lineRule="exact"/>
        <w:rPr>
          <w:rFonts w:ascii="Arial" w:cs="Arial" w:eastAsia="Arial" w:hAnsi="Arial"/>
          <w:sz w:val="18"/>
          <w:szCs w:val="18"/>
          <w:color w:val="auto"/>
        </w:rPr>
      </w:pPr>
    </w:p>
    <w:p>
      <w:pPr>
        <w:ind w:left="1920" w:right="100" w:hanging="480"/>
        <w:spacing w:after="0" w:line="270" w:lineRule="auto"/>
        <w:tabs>
          <w:tab w:leader="none" w:pos="1920" w:val="left"/>
        </w:tabs>
        <w:numPr>
          <w:ilvl w:val="1"/>
          <w:numId w:val="60"/>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0" w:lineRule="exact"/>
        <w:rPr>
          <w:rFonts w:ascii="Arial" w:cs="Arial" w:eastAsia="Arial" w:hAnsi="Arial"/>
          <w:sz w:val="17"/>
          <w:szCs w:val="17"/>
          <w:color w:val="auto"/>
        </w:rPr>
      </w:pPr>
    </w:p>
    <w:p>
      <w:pPr>
        <w:ind w:left="1920" w:right="420" w:hanging="480"/>
        <w:spacing w:after="0" w:line="270" w:lineRule="auto"/>
        <w:tabs>
          <w:tab w:leader="none" w:pos="1920" w:val="left"/>
        </w:tabs>
        <w:numPr>
          <w:ilvl w:val="1"/>
          <w:numId w:val="60"/>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0" w:lineRule="exact"/>
        <w:rPr>
          <w:rFonts w:ascii="Arial" w:cs="Arial" w:eastAsia="Arial" w:hAnsi="Arial"/>
          <w:sz w:val="17"/>
          <w:szCs w:val="17"/>
          <w:color w:val="auto"/>
        </w:rPr>
      </w:pPr>
    </w:p>
    <w:p>
      <w:pPr>
        <w:ind w:left="1920" w:right="60" w:hanging="480"/>
        <w:spacing w:after="0" w:line="248" w:lineRule="auto"/>
        <w:tabs>
          <w:tab w:leader="none" w:pos="1920" w:val="left"/>
        </w:tabs>
        <w:numPr>
          <w:ilvl w:val="1"/>
          <w:numId w:val="6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8" w:lineRule="exact"/>
        <w:rPr>
          <w:rFonts w:ascii="Arial" w:cs="Arial" w:eastAsia="Arial" w:hAnsi="Arial"/>
          <w:sz w:val="18"/>
          <w:szCs w:val="18"/>
          <w:color w:val="auto"/>
        </w:rPr>
      </w:pPr>
    </w:p>
    <w:p>
      <w:pPr>
        <w:ind w:left="1920" w:right="160" w:hanging="480"/>
        <w:spacing w:after="0" w:line="270" w:lineRule="auto"/>
        <w:tabs>
          <w:tab w:leader="none" w:pos="1920" w:val="left"/>
        </w:tabs>
        <w:numPr>
          <w:ilvl w:val="1"/>
          <w:numId w:val="60"/>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0" w:lineRule="exact"/>
        <w:rPr>
          <w:rFonts w:ascii="Arial" w:cs="Arial" w:eastAsia="Arial" w:hAnsi="Arial"/>
          <w:sz w:val="17"/>
          <w:szCs w:val="17"/>
          <w:color w:val="auto"/>
        </w:rPr>
      </w:pPr>
    </w:p>
    <w:p>
      <w:pPr>
        <w:ind w:left="920" w:right="180" w:hanging="480"/>
        <w:spacing w:after="0" w:line="324" w:lineRule="auto"/>
        <w:tabs>
          <w:tab w:leader="none" w:pos="920" w:val="left"/>
        </w:tabs>
        <w:numPr>
          <w:ilvl w:val="0"/>
          <w:numId w:val="6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0" w:lineRule="exact"/>
        <w:rPr>
          <w:rFonts w:ascii="Arial" w:cs="Arial" w:eastAsia="Arial" w:hAnsi="Arial"/>
          <w:sz w:val="16"/>
          <w:szCs w:val="16"/>
          <w:color w:val="auto"/>
        </w:rPr>
      </w:pPr>
    </w:p>
    <w:p>
      <w:pPr>
        <w:ind w:left="1920" w:hanging="480"/>
        <w:spacing w:after="0" w:line="324" w:lineRule="auto"/>
        <w:tabs>
          <w:tab w:leader="none" w:pos="1920" w:val="left"/>
        </w:tabs>
        <w:numPr>
          <w:ilvl w:val="1"/>
          <w:numId w:val="6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0" w:lineRule="exact"/>
        <w:rPr>
          <w:rFonts w:ascii="Arial" w:cs="Arial" w:eastAsia="Arial" w:hAnsi="Arial"/>
          <w:sz w:val="16"/>
          <w:szCs w:val="16"/>
          <w:color w:val="auto"/>
        </w:rPr>
      </w:pPr>
    </w:p>
    <w:p>
      <w:pPr>
        <w:ind w:left="1920" w:right="300" w:hanging="480"/>
        <w:spacing w:after="0" w:line="262" w:lineRule="auto"/>
        <w:tabs>
          <w:tab w:leader="none" w:pos="1920" w:val="left"/>
        </w:tabs>
        <w:numPr>
          <w:ilvl w:val="1"/>
          <w:numId w:val="6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24, 2011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Jeffrey A. Joerres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2246630" cy="171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2246630" cy="1714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Jeffrey A. Joerres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Chairman, Chief Executive Officer</w:t>
      </w:r>
    </w:p>
    <w:p>
      <w:pPr>
        <w:sectPr>
          <w:pgSz w:w="11900" w:h="16838" w:orient="portrait"/>
          <w:cols w:equalWidth="0" w:num="1">
            <w:col w:w="11420"/>
          </w:cols>
          <w:pgMar w:left="240" w:top="121" w:right="239" w:bottom="1440" w:gutter="0" w:footer="0" w:header="0"/>
        </w:sectPr>
      </w:pPr>
    </w:p>
    <w:bookmarkStart w:id="120" w:name="page121"/>
    <w:bookmarkEnd w:id="120"/>
    <w:p>
      <w:pPr>
        <w:jc w:val="right"/>
        <w:spacing w:after="0"/>
        <w:rPr>
          <w:sz w:val="20"/>
          <w:szCs w:val="20"/>
          <w:color w:val="auto"/>
        </w:rPr>
      </w:pPr>
      <w:r>
        <w:rPr>
          <w:rFonts w:ascii="Arial" w:cs="Arial" w:eastAsia="Arial" w:hAnsi="Arial"/>
          <w:sz w:val="18"/>
          <w:szCs w:val="18"/>
          <w:b w:val="1"/>
          <w:bCs w:val="1"/>
          <w:color w:val="4D8ABE"/>
        </w:rPr>
        <w:t>Exhibit 31.2</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4D8ABE"/>
        </w:rPr>
        <w:t>CERTIFICATION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4D8ABE"/>
        </w:rPr>
        <w:t>I, Michael J. Van Handel, Executive Vice President and Chief Financial Officer of Manpower Inc., certify that:</w:t>
      </w:r>
    </w:p>
    <w:p>
      <w:pPr>
        <w:spacing w:after="0" w:line="198" w:lineRule="exact"/>
        <w:rPr>
          <w:sz w:val="20"/>
          <w:szCs w:val="20"/>
          <w:color w:val="auto"/>
        </w:rPr>
      </w:pPr>
    </w:p>
    <w:p>
      <w:pPr>
        <w:ind w:left="920" w:hanging="480"/>
        <w:spacing w:after="0"/>
        <w:tabs>
          <w:tab w:leader="none" w:pos="9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Manpower Inc.;</w:t>
      </w:r>
    </w:p>
    <w:p>
      <w:pPr>
        <w:spacing w:after="0" w:line="198" w:lineRule="exact"/>
        <w:rPr>
          <w:rFonts w:ascii="Arial" w:cs="Arial" w:eastAsia="Arial" w:hAnsi="Arial"/>
          <w:sz w:val="18"/>
          <w:szCs w:val="18"/>
          <w:color w:val="auto"/>
        </w:rPr>
      </w:pPr>
    </w:p>
    <w:p>
      <w:pPr>
        <w:jc w:val="both"/>
        <w:ind w:left="920" w:right="20" w:hanging="480"/>
        <w:spacing w:after="0" w:line="248" w:lineRule="auto"/>
        <w:tabs>
          <w:tab w:leader="none" w:pos="9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8" w:lineRule="exact"/>
        <w:rPr>
          <w:rFonts w:ascii="Arial" w:cs="Arial" w:eastAsia="Arial" w:hAnsi="Arial"/>
          <w:sz w:val="18"/>
          <w:szCs w:val="18"/>
          <w:color w:val="auto"/>
        </w:rPr>
      </w:pPr>
    </w:p>
    <w:p>
      <w:pPr>
        <w:ind w:left="920" w:right="260" w:hanging="480"/>
        <w:spacing w:after="0" w:line="291" w:lineRule="auto"/>
        <w:tabs>
          <w:tab w:leader="none" w:pos="920" w:val="left"/>
        </w:tabs>
        <w:numPr>
          <w:ilvl w:val="0"/>
          <w:numId w:val="6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3" w:lineRule="exact"/>
        <w:rPr>
          <w:rFonts w:ascii="Arial" w:cs="Arial" w:eastAsia="Arial" w:hAnsi="Arial"/>
          <w:sz w:val="17"/>
          <w:szCs w:val="17"/>
          <w:color w:val="auto"/>
        </w:rPr>
      </w:pPr>
    </w:p>
    <w:p>
      <w:pPr>
        <w:jc w:val="both"/>
        <w:ind w:left="920" w:right="20" w:hanging="480"/>
        <w:spacing w:after="0" w:line="248" w:lineRule="auto"/>
        <w:tabs>
          <w:tab w:leader="none" w:pos="9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8" w:lineRule="exact"/>
        <w:rPr>
          <w:rFonts w:ascii="Arial" w:cs="Arial" w:eastAsia="Arial" w:hAnsi="Arial"/>
          <w:sz w:val="18"/>
          <w:szCs w:val="18"/>
          <w:color w:val="auto"/>
        </w:rPr>
      </w:pPr>
    </w:p>
    <w:p>
      <w:pPr>
        <w:ind w:left="1920" w:right="100" w:hanging="480"/>
        <w:spacing w:after="0" w:line="270" w:lineRule="auto"/>
        <w:tabs>
          <w:tab w:leader="none" w:pos="1920" w:val="left"/>
        </w:tabs>
        <w:numPr>
          <w:ilvl w:val="1"/>
          <w:numId w:val="61"/>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0" w:lineRule="exact"/>
        <w:rPr>
          <w:rFonts w:ascii="Arial" w:cs="Arial" w:eastAsia="Arial" w:hAnsi="Arial"/>
          <w:sz w:val="17"/>
          <w:szCs w:val="17"/>
          <w:color w:val="auto"/>
        </w:rPr>
      </w:pPr>
    </w:p>
    <w:p>
      <w:pPr>
        <w:ind w:left="1920" w:right="420" w:hanging="480"/>
        <w:spacing w:after="0" w:line="270" w:lineRule="auto"/>
        <w:tabs>
          <w:tab w:leader="none" w:pos="1920" w:val="left"/>
        </w:tabs>
        <w:numPr>
          <w:ilvl w:val="1"/>
          <w:numId w:val="61"/>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0" w:lineRule="exact"/>
        <w:rPr>
          <w:rFonts w:ascii="Arial" w:cs="Arial" w:eastAsia="Arial" w:hAnsi="Arial"/>
          <w:sz w:val="17"/>
          <w:szCs w:val="17"/>
          <w:color w:val="auto"/>
        </w:rPr>
      </w:pPr>
    </w:p>
    <w:p>
      <w:pPr>
        <w:ind w:left="1920" w:right="60" w:hanging="480"/>
        <w:spacing w:after="0" w:line="248" w:lineRule="auto"/>
        <w:tabs>
          <w:tab w:leader="none" w:pos="1920" w:val="left"/>
        </w:tabs>
        <w:numPr>
          <w:ilvl w:val="1"/>
          <w:numId w:val="6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8" w:lineRule="exact"/>
        <w:rPr>
          <w:rFonts w:ascii="Arial" w:cs="Arial" w:eastAsia="Arial" w:hAnsi="Arial"/>
          <w:sz w:val="18"/>
          <w:szCs w:val="18"/>
          <w:color w:val="auto"/>
        </w:rPr>
      </w:pPr>
    </w:p>
    <w:p>
      <w:pPr>
        <w:ind w:left="1920" w:right="160" w:hanging="480"/>
        <w:spacing w:after="0" w:line="270" w:lineRule="auto"/>
        <w:tabs>
          <w:tab w:leader="none" w:pos="1920" w:val="left"/>
        </w:tabs>
        <w:numPr>
          <w:ilvl w:val="1"/>
          <w:numId w:val="61"/>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0" w:lineRule="exact"/>
        <w:rPr>
          <w:rFonts w:ascii="Arial" w:cs="Arial" w:eastAsia="Arial" w:hAnsi="Arial"/>
          <w:sz w:val="17"/>
          <w:szCs w:val="17"/>
          <w:color w:val="auto"/>
        </w:rPr>
      </w:pPr>
    </w:p>
    <w:p>
      <w:pPr>
        <w:ind w:left="920" w:right="180" w:hanging="480"/>
        <w:spacing w:after="0" w:line="324" w:lineRule="auto"/>
        <w:tabs>
          <w:tab w:leader="none" w:pos="920" w:val="left"/>
        </w:tabs>
        <w:numPr>
          <w:ilvl w:val="0"/>
          <w:numId w:val="6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0" w:lineRule="exact"/>
        <w:rPr>
          <w:rFonts w:ascii="Arial" w:cs="Arial" w:eastAsia="Arial" w:hAnsi="Arial"/>
          <w:sz w:val="16"/>
          <w:szCs w:val="16"/>
          <w:color w:val="auto"/>
        </w:rPr>
      </w:pPr>
    </w:p>
    <w:p>
      <w:pPr>
        <w:ind w:left="1920" w:hanging="480"/>
        <w:spacing w:after="0" w:line="324" w:lineRule="auto"/>
        <w:tabs>
          <w:tab w:leader="none" w:pos="1920" w:val="left"/>
        </w:tabs>
        <w:numPr>
          <w:ilvl w:val="1"/>
          <w:numId w:val="6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0" w:lineRule="exact"/>
        <w:rPr>
          <w:rFonts w:ascii="Arial" w:cs="Arial" w:eastAsia="Arial" w:hAnsi="Arial"/>
          <w:sz w:val="16"/>
          <w:szCs w:val="16"/>
          <w:color w:val="auto"/>
        </w:rPr>
      </w:pPr>
    </w:p>
    <w:p>
      <w:pPr>
        <w:ind w:left="1920" w:right="300" w:hanging="480"/>
        <w:spacing w:after="0" w:line="262" w:lineRule="auto"/>
        <w:tabs>
          <w:tab w:leader="none" w:pos="1920" w:val="left"/>
        </w:tabs>
        <w:numPr>
          <w:ilvl w:val="1"/>
          <w:numId w:val="6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24, 2011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Michael J. Van Handel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964055" cy="171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96405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Michael J. Van Handel</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 Chief Financial</w:t>
      </w:r>
    </w:p>
    <w:p>
      <w:pPr>
        <w:spacing w:after="0"/>
        <w:rPr>
          <w:sz w:val="20"/>
          <w:szCs w:val="20"/>
          <w:color w:val="auto"/>
        </w:rPr>
      </w:pPr>
      <w:r>
        <w:rPr>
          <w:rFonts w:ascii="Arial" w:cs="Arial" w:eastAsia="Arial" w:hAnsi="Arial"/>
          <w:sz w:val="18"/>
          <w:szCs w:val="18"/>
          <w:color w:val="auto"/>
        </w:rPr>
        <w:t>Officer</w:t>
      </w:r>
    </w:p>
    <w:p>
      <w:pPr>
        <w:sectPr>
          <w:pgSz w:w="11900" w:h="16838" w:orient="portrait"/>
          <w:cols w:equalWidth="0" w:num="1">
            <w:col w:w="11420"/>
          </w:cols>
          <w:pgMar w:left="240" w:top="121" w:right="239" w:bottom="1440" w:gutter="0" w:footer="0" w:header="0"/>
        </w:sectPr>
      </w:pPr>
    </w:p>
    <w:bookmarkStart w:id="121" w:name="page122"/>
    <w:bookmarkEnd w:id="121"/>
    <w:p>
      <w:pPr>
        <w:jc w:val="right"/>
        <w:spacing w:after="0"/>
        <w:rPr>
          <w:sz w:val="20"/>
          <w:szCs w:val="20"/>
          <w:color w:val="auto"/>
        </w:rPr>
      </w:pPr>
      <w:r>
        <w:rPr>
          <w:rFonts w:ascii="Arial" w:cs="Arial" w:eastAsia="Arial" w:hAnsi="Arial"/>
          <w:sz w:val="18"/>
          <w:szCs w:val="18"/>
          <w:b w:val="1"/>
          <w:bCs w:val="1"/>
          <w:color w:val="4D8ABE"/>
        </w:rPr>
        <w:t>Exhibit 32.1</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4D8ABE"/>
        </w:rPr>
        <w:t>STATEMENT</w:t>
      </w:r>
    </w:p>
    <w:p>
      <w:pPr>
        <w:spacing w:after="0" w:line="202"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4D8ABE"/>
        </w:rPr>
        <w:t>Pursuant to ss. 906 of the Sarbanes-Oxley Act of 2002, 18 U.S.C. ss. 1350, the undersigned officer of Manpower Inc. (the “Company”), hereby certifies that to his knowledge:</w:t>
      </w:r>
    </w:p>
    <w:p>
      <w:pPr>
        <w:spacing w:after="0" w:line="156" w:lineRule="exact"/>
        <w:rPr>
          <w:sz w:val="20"/>
          <w:szCs w:val="20"/>
          <w:color w:val="auto"/>
        </w:rPr>
      </w:pPr>
    </w:p>
    <w:p>
      <w:pPr>
        <w:ind w:left="920" w:right="320" w:hanging="480"/>
        <w:spacing w:after="0" w:line="262" w:lineRule="auto"/>
        <w:tabs>
          <w:tab w:leader="none" w:pos="9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Company’s Annual Report on Form 10-K for the year ended December 31, 2010 fully complies with the requirements of Section 13(a) or 15(d), as applicable, of the Securities Exchange Act of 1934, and</w:t>
      </w:r>
    </w:p>
    <w:p>
      <w:pPr>
        <w:spacing w:after="0" w:line="155" w:lineRule="exact"/>
        <w:rPr>
          <w:rFonts w:ascii="Arial" w:cs="Arial" w:eastAsia="Arial" w:hAnsi="Arial"/>
          <w:sz w:val="18"/>
          <w:szCs w:val="18"/>
          <w:color w:val="auto"/>
        </w:rPr>
      </w:pPr>
    </w:p>
    <w:p>
      <w:pPr>
        <w:ind w:left="920" w:hanging="480"/>
        <w:spacing w:after="0"/>
        <w:tabs>
          <w:tab w:leader="none" w:pos="920" w:val="left"/>
        </w:tabs>
        <w:numPr>
          <w:ilvl w:val="0"/>
          <w:numId w:val="6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MANPOWER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24, 2011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Jeffrey A. Joerres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032635" cy="171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203263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Jeffrey A. Joerres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Chairman, Chief Executive Officer</w:t>
      </w:r>
    </w:p>
    <w:p>
      <w:pPr>
        <w:spacing w:after="0" w:line="197"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i w:val="1"/>
          <w:iCs w:val="1"/>
          <w:color w:val="4D8ABE"/>
        </w:rPr>
        <w:t>This certification accompanies this Annual Report on Form 10-K pursuant to Section 906 of the Sarbanes-Oxley Act of 2002 and shall not be deemed filed by the Company for purposes of the Securities Exchange Act of 1934.</w:t>
      </w:r>
    </w:p>
    <w:p>
      <w:pPr>
        <w:sectPr>
          <w:pgSz w:w="11900" w:h="16838" w:orient="portrait"/>
          <w:cols w:equalWidth="0" w:num="1">
            <w:col w:w="11420"/>
          </w:cols>
          <w:pgMar w:left="240" w:top="121" w:right="239" w:bottom="1440" w:gutter="0" w:footer="0" w:header="0"/>
        </w:sectPr>
      </w:pPr>
    </w:p>
    <w:bookmarkStart w:id="122" w:name="page123"/>
    <w:bookmarkEnd w:id="122"/>
    <w:p>
      <w:pPr>
        <w:jc w:val="right"/>
        <w:spacing w:after="0"/>
        <w:rPr>
          <w:sz w:val="20"/>
          <w:szCs w:val="20"/>
          <w:color w:val="auto"/>
        </w:rPr>
      </w:pPr>
      <w:r>
        <w:rPr>
          <w:rFonts w:ascii="Arial" w:cs="Arial" w:eastAsia="Arial" w:hAnsi="Arial"/>
          <w:sz w:val="18"/>
          <w:szCs w:val="18"/>
          <w:b w:val="1"/>
          <w:bCs w:val="1"/>
          <w:color w:val="4D8ABE"/>
        </w:rPr>
        <w:t>Exhibit 32.2</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4D8ABE"/>
        </w:rPr>
        <w:t>STATEMENT</w:t>
      </w:r>
    </w:p>
    <w:p>
      <w:pPr>
        <w:spacing w:after="0" w:line="202"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4D8ABE"/>
        </w:rPr>
        <w:t>Pursuant to ss. 906 of the Sarbanes-Oxley Act of 2002, 18 U.S.C. ss. 1350, the undersigned officer of Manpower Inc. (the “Company”), hereby certifies that to his knowledge:</w:t>
      </w:r>
    </w:p>
    <w:p>
      <w:pPr>
        <w:spacing w:after="0" w:line="156" w:lineRule="exact"/>
        <w:rPr>
          <w:sz w:val="20"/>
          <w:szCs w:val="20"/>
          <w:color w:val="auto"/>
        </w:rPr>
      </w:pPr>
    </w:p>
    <w:p>
      <w:pPr>
        <w:ind w:left="920" w:right="320" w:hanging="480"/>
        <w:spacing w:after="0" w:line="262" w:lineRule="auto"/>
        <w:tabs>
          <w:tab w:leader="none" w:pos="9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Company’s Annual Report on Form 10-K for the year ended December 31, 2010 fully complies with the requirements of Section 13(a) or 15(d), as applicable, of the Securities Exchange Act of 1934, and</w:t>
      </w:r>
    </w:p>
    <w:p>
      <w:pPr>
        <w:spacing w:after="0" w:line="155" w:lineRule="exact"/>
        <w:rPr>
          <w:rFonts w:ascii="Arial" w:cs="Arial" w:eastAsia="Arial" w:hAnsi="Arial"/>
          <w:sz w:val="18"/>
          <w:szCs w:val="18"/>
          <w:color w:val="auto"/>
        </w:rPr>
      </w:pPr>
    </w:p>
    <w:p>
      <w:pPr>
        <w:ind w:left="920" w:hanging="480"/>
        <w:spacing w:after="0"/>
        <w:tabs>
          <w:tab w:leader="none" w:pos="920" w:val="left"/>
        </w:tabs>
        <w:numPr>
          <w:ilvl w:val="0"/>
          <w:numId w:val="6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MANPOWER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24, 2011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Michael J. Van Handel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178050" cy="171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217805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Michael J. Van Handel</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 Chief Financial</w:t>
      </w:r>
    </w:p>
    <w:p>
      <w:pPr>
        <w:spacing w:after="0"/>
        <w:rPr>
          <w:sz w:val="20"/>
          <w:szCs w:val="20"/>
          <w:color w:val="auto"/>
        </w:rPr>
      </w:pPr>
      <w:r>
        <w:rPr>
          <w:rFonts w:ascii="Arial" w:cs="Arial" w:eastAsia="Arial" w:hAnsi="Arial"/>
          <w:sz w:val="18"/>
          <w:szCs w:val="18"/>
          <w:color w:val="auto"/>
        </w:rPr>
        <w:t>Officer</w:t>
      </w:r>
    </w:p>
    <w:p>
      <w:pPr>
        <w:spacing w:after="0" w:line="182"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i w:val="1"/>
          <w:iCs w:val="1"/>
          <w:color w:val="4D8ABE"/>
        </w:rPr>
        <w:t>This certification accompanies this Annual Report on Form 10-K pursuant to Section 906 of the Sarbanes-Oxley Act of 2002 and shall not be deemed filed by the Company for purposes of the Securities Exchange Act of 1934.</w:t>
      </w:r>
    </w:p>
    <w:p>
      <w:pPr>
        <w:sectPr>
          <w:pgSz w:w="11900" w:h="16838" w:orient="portrait"/>
          <w:cols w:equalWidth="0" w:num="1">
            <w:col w:w="11420"/>
          </w:cols>
          <w:pgMar w:left="240" w:top="121" w:right="239" w:bottom="1440" w:gutter="0" w:footer="0" w:header="0"/>
        </w:sectPr>
      </w:pPr>
    </w:p>
    <w:bookmarkStart w:id="123" w:name="page124"/>
    <w:bookmarkEnd w:id="12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CEAF087"/>
    <w:multiLevelType w:val="hybridMultilevel"/>
    <w:lvl w:ilvl="0">
      <w:lvlJc w:val="left"/>
      <w:lvlText w:val="☐"/>
      <w:numFmt w:val="bullet"/>
      <w:start w:val="1"/>
    </w:lvl>
  </w:abstractNum>
  <w:abstractNum w:abstractNumId="1">
    <w:nsid w:val="22221A70"/>
    <w:multiLevelType w:val="hybridMultilevel"/>
    <w:lvl w:ilvl="0">
      <w:lvlJc w:val="left"/>
      <w:lvlText w:val="•"/>
      <w:numFmt w:val="bullet"/>
      <w:start w:val="1"/>
    </w:lvl>
  </w:abstractNum>
  <w:abstractNum w:abstractNumId="2">
    <w:nsid w:val="4516DDE9"/>
    <w:multiLevelType w:val="hybridMultilevel"/>
    <w:lvl w:ilvl="0">
      <w:lvlJc w:val="left"/>
      <w:lvlText w:val="\endash "/>
      <w:numFmt w:val="bullet"/>
      <w:start w:val="1"/>
    </w:lvl>
  </w:abstractNum>
  <w:abstractNum w:abstractNumId="3">
    <w:nsid w:val="3006C83E"/>
    <w:multiLevelType w:val="hybridMultilevel"/>
    <w:lvl w:ilvl="0">
      <w:lvlJc w:val="left"/>
      <w:lvlText w:val="•"/>
      <w:numFmt w:val="bullet"/>
      <w:start w:val="1"/>
    </w:lvl>
  </w:abstractNum>
  <w:abstractNum w:abstractNumId="4">
    <w:nsid w:val="614FD4A1"/>
    <w:multiLevelType w:val="hybridMultilevel"/>
    <w:lvl w:ilvl="0">
      <w:lvlJc w:val="left"/>
      <w:lvlText w:val="•"/>
      <w:numFmt w:val="bullet"/>
      <w:start w:val="1"/>
    </w:lvl>
  </w:abstractNum>
  <w:abstractNum w:abstractNumId="5">
    <w:nsid w:val="419AC241"/>
    <w:multiLevelType w:val="hybridMultilevel"/>
    <w:lvl w:ilvl="0">
      <w:lvlJc w:val="left"/>
      <w:lvlText w:val="•"/>
      <w:numFmt w:val="bullet"/>
      <w:start w:val="1"/>
    </w:lvl>
  </w:abstractNum>
  <w:abstractNum w:abstractNumId="6">
    <w:nsid w:val="5577F8E1"/>
    <w:multiLevelType w:val="hybridMultilevel"/>
    <w:lvl w:ilvl="0">
      <w:lvlJc w:val="left"/>
      <w:lvlText w:val="•"/>
      <w:numFmt w:val="bullet"/>
      <w:start w:val="1"/>
    </w:lvl>
  </w:abstractNum>
  <w:abstractNum w:abstractNumId="7">
    <w:nsid w:val="440BADFC"/>
    <w:multiLevelType w:val="hybridMultilevel"/>
    <w:lvl w:ilvl="0">
      <w:lvlJc w:val="left"/>
      <w:lvlText w:val="•"/>
      <w:numFmt w:val="bullet"/>
      <w:start w:val="1"/>
    </w:lvl>
  </w:abstractNum>
  <w:abstractNum w:abstractNumId="8">
    <w:nsid w:val="5072367"/>
    <w:multiLevelType w:val="hybridMultilevel"/>
    <w:lvl w:ilvl="0">
      <w:lvlJc w:val="left"/>
      <w:lvlText w:val="•"/>
      <w:numFmt w:val="bullet"/>
      <w:start w:val="1"/>
    </w:lvl>
  </w:abstractNum>
  <w:abstractNum w:abstractNumId="9">
    <w:nsid w:val="3804823E"/>
    <w:multiLevelType w:val="hybridMultilevel"/>
    <w:lvl w:ilvl="0">
      <w:lvlJc w:val="left"/>
      <w:lvlText w:val="•"/>
      <w:numFmt w:val="bullet"/>
      <w:start w:val="1"/>
    </w:lvl>
  </w:abstractNum>
  <w:abstractNum w:abstractNumId="10">
    <w:nsid w:val="77465F01"/>
    <w:multiLevelType w:val="hybridMultilevel"/>
    <w:lvl w:ilvl="0">
      <w:lvlJc w:val="left"/>
      <w:lvlText w:val="•"/>
      <w:numFmt w:val="bullet"/>
      <w:start w:val="1"/>
    </w:lvl>
  </w:abstractNum>
  <w:abstractNum w:abstractNumId="11">
    <w:nsid w:val="7724C67E"/>
    <w:multiLevelType w:val="hybridMultilevel"/>
    <w:lvl w:ilvl="0">
      <w:lvlJc w:val="left"/>
      <w:lvlText w:val="•"/>
      <w:numFmt w:val="bullet"/>
      <w:start w:val="1"/>
    </w:lvl>
  </w:abstractNum>
  <w:abstractNum w:abstractNumId="12">
    <w:nsid w:val="5C482A97"/>
    <w:multiLevelType w:val="hybridMultilevel"/>
    <w:lvl w:ilvl="0">
      <w:lvlJc w:val="left"/>
      <w:lvlText w:val="•"/>
      <w:numFmt w:val="bullet"/>
      <w:start w:val="1"/>
    </w:lvl>
  </w:abstractNum>
  <w:abstractNum w:abstractNumId="13">
    <w:nsid w:val="2463B9EA"/>
    <w:multiLevelType w:val="hybridMultilevel"/>
    <w:lvl w:ilvl="0">
      <w:lvlJc w:val="left"/>
      <w:lvlText w:val="(%1)"/>
      <w:numFmt w:val="lowerLetter"/>
      <w:start w:val="1"/>
    </w:lvl>
  </w:abstractNum>
  <w:abstractNum w:abstractNumId="14">
    <w:nsid w:val="5E884ADC"/>
    <w:multiLevelType w:val="hybridMultilevel"/>
    <w:lvl w:ilvl="0">
      <w:lvlJc w:val="left"/>
      <w:lvlText w:val="(%1)"/>
      <w:numFmt w:val="decimal"/>
      <w:start w:val="1"/>
    </w:lvl>
  </w:abstractNum>
  <w:abstractNum w:abstractNumId="15">
    <w:nsid w:val="51EAD36B"/>
    <w:multiLevelType w:val="hybridMultilevel"/>
    <w:lvl w:ilvl="0">
      <w:lvlJc w:val="left"/>
      <w:lvlText w:val="(%1)"/>
      <w:numFmt w:val="lowerLetter"/>
      <w:start w:val="1"/>
    </w:lvl>
  </w:abstractNum>
  <w:abstractNum w:abstractNumId="16">
    <w:nsid w:val="2D517796"/>
    <w:multiLevelType w:val="hybridMultilevel"/>
    <w:lvl w:ilvl="0">
      <w:lvlJc w:val="left"/>
      <w:lvlText w:val="%1"/>
      <w:numFmt w:val="decimal"/>
      <w:start w:val="13"/>
    </w:lvl>
  </w:abstractNum>
  <w:abstractNum w:abstractNumId="17">
    <w:nsid w:val="580BD78F"/>
    <w:multiLevelType w:val="hybridMultilevel"/>
    <w:lvl w:ilvl="0">
      <w:lvlJc w:val="left"/>
      <w:lvlText w:val="**"/>
      <w:numFmt w:val="bullet"/>
      <w:start w:val="1"/>
    </w:lvl>
  </w:abstractNum>
  <w:abstractNum w:abstractNumId="18">
    <w:nsid w:val="153EA438"/>
    <w:multiLevelType w:val="hybridMultilevel"/>
    <w:lvl w:ilvl="0">
      <w:lvlJc w:val="left"/>
      <w:lvlText w:val="*"/>
      <w:numFmt w:val="bullet"/>
      <w:start w:val="1"/>
    </w:lvl>
  </w:abstractNum>
  <w:abstractNum w:abstractNumId="19">
    <w:nsid w:val="3855585C"/>
    <w:multiLevelType w:val="hybridMultilevel"/>
    <w:lvl w:ilvl="0">
      <w:lvlJc w:val="left"/>
      <w:lvlText w:val="%1."/>
      <w:numFmt w:val="decimal"/>
      <w:start w:val="15"/>
    </w:lvl>
  </w:abstractNum>
  <w:abstractNum w:abstractNumId="20">
    <w:nsid w:val="70A64E2A"/>
    <w:multiLevelType w:val="hybridMultilevel"/>
    <w:lvl w:ilvl="0">
      <w:lvlJc w:val="left"/>
      <w:lvlText w:val="%1."/>
      <w:numFmt w:val="decimal"/>
      <w:start w:val="1"/>
    </w:lvl>
  </w:abstractNum>
  <w:abstractNum w:abstractNumId="21">
    <w:nsid w:val="6A2342EC"/>
    <w:multiLevelType w:val="hybridMultilevel"/>
    <w:lvl w:ilvl="0">
      <w:lvlJc w:val="left"/>
      <w:lvlText w:val="(%1)"/>
      <w:numFmt w:val="lowerLetter"/>
      <w:start w:val="1"/>
    </w:lvl>
  </w:abstractNum>
  <w:abstractNum w:abstractNumId="22">
    <w:nsid w:val="2A487CB0"/>
    <w:multiLevelType w:val="hybridMultilevel"/>
    <w:lvl w:ilvl="0">
      <w:lvlJc w:val="left"/>
      <w:lvlText w:val="(%1)"/>
      <w:numFmt w:val="lowerLetter"/>
      <w:start w:val="2"/>
    </w:lvl>
  </w:abstractNum>
  <w:abstractNum w:abstractNumId="23">
    <w:nsid w:val="1D4ED43B"/>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24">
    <w:nsid w:val="725A06FB"/>
    <w:multiLevelType w:val="hybridMultilevel"/>
    <w:lvl w:ilvl="0">
      <w:lvlJc w:val="left"/>
      <w:lvlText w:val="(%1)"/>
      <w:numFmt w:val="lowerLetter"/>
      <w:start w:val="2"/>
    </w:lvl>
    <w:lvl w:ilvl="1">
      <w:lvlJc w:val="left"/>
      <w:lvlText w:val="(%2)"/>
      <w:numFmt w:val="lowerRoman"/>
      <w:start w:val="1"/>
    </w:lvl>
  </w:abstractNum>
  <w:abstractNum w:abstractNumId="25">
    <w:nsid w:val="2CD89A32"/>
    <w:multiLevelType w:val="hybridMultilevel"/>
    <w:lvl w:ilvl="0">
      <w:lvlJc w:val="left"/>
      <w:lvlText w:val="(%1)"/>
      <w:numFmt w:val="lowerLetter"/>
      <w:start w:val="3"/>
    </w:lvl>
  </w:abstractNum>
  <w:abstractNum w:abstractNumId="26">
    <w:nsid w:val="57E4CCAF"/>
    <w:multiLevelType w:val="hybridMultilevel"/>
    <w:lvl w:ilvl="0">
      <w:lvlJc w:val="left"/>
      <w:lvlText w:val="%1"/>
      <w:numFmt w:val="decimal"/>
      <w:start w:val="1"/>
    </w:lvl>
    <w:lvl w:ilvl="1">
      <w:lvlJc w:val="left"/>
      <w:lvlText w:val="(%2)"/>
      <w:numFmt w:val="lowerLetter"/>
      <w:start w:val="5"/>
    </w:lvl>
    <w:lvl w:ilvl="2">
      <w:lvlJc w:val="left"/>
      <w:lvlText w:val="%3"/>
      <w:numFmt w:val="lowerRoman"/>
      <w:start w:val="1"/>
    </w:lvl>
  </w:abstractNum>
  <w:abstractNum w:abstractNumId="27">
    <w:nsid w:val="7A6D8D3C"/>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28">
    <w:nsid w:val="4B588F54"/>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lvl w:ilvl="3">
      <w:lvlJc w:val="left"/>
      <w:lvlText w:val="%4"/>
      <w:numFmt w:val="upperLetter"/>
      <w:start w:val="1"/>
    </w:lvl>
  </w:abstractNum>
  <w:abstractNum w:abstractNumId="29">
    <w:nsid w:val="542289EC"/>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30">
    <w:nsid w:val="6DE91B18"/>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31">
    <w:nsid w:val="38437FDB"/>
    <w:multiLevelType w:val="hybridMultilevel"/>
    <w:lvl w:ilvl="0">
      <w:lvlJc w:val="left"/>
      <w:lvlText w:val="%1"/>
      <w:numFmt w:val="decimal"/>
      <w:start w:val="1"/>
    </w:lvl>
    <w:lvl w:ilvl="1">
      <w:lvlJc w:val="left"/>
      <w:lvlText w:val="(%2)"/>
      <w:numFmt w:val="lowerLetter"/>
      <w:start w:val="2"/>
    </w:lvl>
  </w:abstractNum>
  <w:abstractNum w:abstractNumId="32">
    <w:nsid w:val="7644A45C"/>
    <w:multiLevelType w:val="hybridMultilevel"/>
    <w:lvl w:ilvl="0">
      <w:lvlJc w:val="left"/>
      <w:lvlText w:val="%1."/>
      <w:numFmt w:val="decimal"/>
      <w:start w:val="7"/>
    </w:lvl>
    <w:lvl w:ilvl="1">
      <w:lvlJc w:val="left"/>
      <w:lvlText w:val="(%2)"/>
      <w:numFmt w:val="lowerLetter"/>
      <w:start w:val="1"/>
    </w:lvl>
  </w:abstractNum>
  <w:abstractNum w:abstractNumId="33">
    <w:nsid w:val="32FFF902"/>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34">
    <w:nsid w:val="684A481A"/>
    <w:multiLevelType w:val="hybridMultilevel"/>
    <w:lvl w:ilvl="0">
      <w:lvlJc w:val="left"/>
      <w:lvlText w:val="(%1)"/>
      <w:numFmt w:val="lowerLetter"/>
      <w:start w:val="2"/>
    </w:lvl>
    <w:lvl w:ilvl="1">
      <w:lvlJc w:val="left"/>
      <w:lvlText w:val="(%2)"/>
      <w:numFmt w:val="lowerRoman"/>
      <w:start w:val="1"/>
    </w:lvl>
  </w:abstractNum>
  <w:abstractNum w:abstractNumId="35">
    <w:nsid w:val="579478FE"/>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36">
    <w:nsid w:val="749ABB43"/>
    <w:multiLevelType w:val="hybridMultilevel"/>
    <w:lvl w:ilvl="0">
      <w:lvlJc w:val="left"/>
      <w:lvlText w:val="(%1)"/>
      <w:numFmt w:val="lowerLetter"/>
      <w:start w:val="3"/>
    </w:lvl>
  </w:abstractNum>
  <w:abstractNum w:abstractNumId="37">
    <w:nsid w:val="3DC240FB"/>
    <w:multiLevelType w:val="hybridMultilevel"/>
    <w:lvl w:ilvl="0">
      <w:lvlJc w:val="left"/>
      <w:lvlText w:val="%1."/>
      <w:numFmt w:val="decimal"/>
      <w:start w:val="10"/>
    </w:lvl>
  </w:abstractNum>
  <w:abstractNum w:abstractNumId="38">
    <w:nsid w:val="1BA026FA"/>
    <w:multiLevelType w:val="hybridMultilevel"/>
    <w:lvl w:ilvl="0">
      <w:lvlJc w:val="left"/>
      <w:lvlText w:val="(%1)"/>
      <w:numFmt w:val="lowerLetter"/>
      <w:start w:val="1"/>
    </w:lvl>
  </w:abstractNum>
  <w:abstractNum w:abstractNumId="39">
    <w:nsid w:val="79A1DEAA"/>
    <w:multiLevelType w:val="hybridMultilevel"/>
    <w:lvl w:ilvl="0">
      <w:lvlJc w:val="left"/>
      <w:lvlText w:val="(%1)"/>
      <w:numFmt w:val="lowerLetter"/>
      <w:start w:val="4"/>
    </w:lvl>
  </w:abstractNum>
  <w:abstractNum w:abstractNumId="40">
    <w:nsid w:val="75C6C33A"/>
    <w:multiLevelType w:val="hybridMultilevel"/>
    <w:lvl w:ilvl="0">
      <w:lvlJc w:val="left"/>
      <w:lvlText w:val="(%1)"/>
      <w:numFmt w:val="lowerLetter"/>
      <w:start w:val="2"/>
    </w:lvl>
  </w:abstractNum>
  <w:abstractNum w:abstractNumId="41">
    <w:nsid w:val="12E685FB"/>
    <w:multiLevelType w:val="hybridMultilevel"/>
    <w:lvl w:ilvl="0">
      <w:lvlJc w:val="left"/>
      <w:lvlText w:val="(%1)"/>
      <w:numFmt w:val="lowerLetter"/>
      <w:start w:val="5"/>
    </w:lvl>
  </w:abstractNum>
  <w:abstractNum w:abstractNumId="42">
    <w:nsid w:val="70C6A529"/>
    <w:multiLevelType w:val="hybridMultilevel"/>
    <w:lvl w:ilvl="0">
      <w:lvlJc w:val="left"/>
      <w:lvlText w:val="%1)"/>
      <w:numFmt w:val="decimal"/>
      <w:start w:val="1"/>
    </w:lvl>
  </w:abstractNum>
  <w:abstractNum w:abstractNumId="43">
    <w:nsid w:val="520EEDD1"/>
    <w:multiLevelType w:val="hybridMultilevel"/>
    <w:lvl w:ilvl="0">
      <w:lvlJc w:val="left"/>
      <w:lvlText w:val="(%1)"/>
      <w:numFmt w:val="decimal"/>
      <w:start w:val="1"/>
    </w:lvl>
  </w:abstractNum>
  <w:abstractNum w:abstractNumId="44">
    <w:nsid w:val="374A3FE6"/>
    <w:multiLevelType w:val="hybridMultilevel"/>
    <w:lvl w:ilvl="0">
      <w:lvlJc w:val="left"/>
      <w:lvlText w:val="(%1)"/>
      <w:numFmt w:val="decimal"/>
      <w:start w:val="1"/>
    </w:lvl>
  </w:abstractNum>
  <w:abstractNum w:abstractNumId="45">
    <w:nsid w:val="4F4EF005"/>
    <w:multiLevelType w:val="hybridMultilevel"/>
    <w:lvl w:ilvl="0">
      <w:lvlJc w:val="left"/>
      <w:lvlText w:val="(%1)"/>
      <w:numFmt w:val="decimal"/>
      <w:start w:val="1"/>
    </w:lvl>
  </w:abstractNum>
  <w:abstractNum w:abstractNumId="46">
    <w:nsid w:val="23F9C13C"/>
    <w:multiLevelType w:val="hybridMultilevel"/>
    <w:lvl w:ilvl="0">
      <w:lvlJc w:val="left"/>
      <w:lvlText w:val="(%1)"/>
      <w:numFmt w:val="decimal"/>
      <w:start w:val="1"/>
    </w:lvl>
  </w:abstractNum>
  <w:abstractNum w:abstractNumId="47">
    <w:nsid w:val="649BB77C"/>
    <w:multiLevelType w:val="hybridMultilevel"/>
    <w:lvl w:ilvl="0">
      <w:lvlJc w:val="left"/>
      <w:lvlText w:val="(%1)"/>
      <w:numFmt w:val="decimal"/>
      <w:start w:val="1"/>
    </w:lvl>
  </w:abstractNum>
  <w:abstractNum w:abstractNumId="48">
    <w:nsid w:val="275AC794"/>
    <w:multiLevelType w:val="hybridMultilevel"/>
    <w:lvl w:ilvl="0">
      <w:lvlJc w:val="left"/>
      <w:lvlText w:val="%1"/>
      <w:numFmt w:val="decimal"/>
      <w:start w:val="773"/>
    </w:lvl>
  </w:abstractNum>
  <w:abstractNum w:abstractNumId="49">
    <w:nsid w:val="39386575"/>
    <w:multiLevelType w:val="hybridMultilevel"/>
    <w:lvl w:ilvl="0">
      <w:lvlJc w:val="left"/>
      <w:lvlText w:val="%1"/>
      <w:numFmt w:val="decimal"/>
      <w:start w:val="908"/>
    </w:lvl>
  </w:abstractNum>
  <w:abstractNum w:abstractNumId="50">
    <w:nsid w:val="1CF10FD8"/>
    <w:multiLevelType w:val="hybridMultilevel"/>
    <w:lvl w:ilvl="0">
      <w:lvlJc w:val="left"/>
      <w:lvlText w:val="(%1)"/>
      <w:numFmt w:val="lowerLetter"/>
      <w:start w:val="1"/>
    </w:lvl>
  </w:abstractNum>
  <w:abstractNum w:abstractNumId="51">
    <w:nsid w:val="180115BE"/>
    <w:multiLevelType w:val="hybridMultilevel"/>
    <w:lvl w:ilvl="0">
      <w:lvlJc w:val="left"/>
      <w:lvlText w:val="(%1)"/>
      <w:numFmt w:val="decimal"/>
      <w:start w:val="1"/>
    </w:lvl>
  </w:abstractNum>
  <w:abstractNum w:abstractNumId="52">
    <w:nsid w:val="235BA861"/>
    <w:multiLevelType w:val="hybridMultilevel"/>
    <w:lvl w:ilvl="0">
      <w:lvlJc w:val="left"/>
      <w:lvlText w:val="(%1)"/>
      <w:numFmt w:val="decimal"/>
      <w:start w:val="1"/>
    </w:lvl>
  </w:abstractNum>
  <w:abstractNum w:abstractNumId="53">
    <w:nsid w:val="47398C89"/>
    <w:multiLevelType w:val="hybridMultilevel"/>
    <w:lvl w:ilvl="0">
      <w:lvlJc w:val="left"/>
      <w:lvlText w:val="%1)"/>
      <w:numFmt w:val="decimal"/>
      <w:start w:val="1"/>
    </w:lvl>
  </w:abstractNum>
  <w:abstractNum w:abstractNumId="54">
    <w:nsid w:val="354FE9F9"/>
    <w:multiLevelType w:val="hybridMultilevel"/>
    <w:lvl w:ilvl="0">
      <w:lvlJc w:val="left"/>
      <w:lvlText w:val="(%1)"/>
      <w:numFmt w:val="decimal"/>
      <w:start w:val="1"/>
    </w:lvl>
  </w:abstractNum>
  <w:abstractNum w:abstractNumId="55">
    <w:nsid w:val="15B5AF5C"/>
    <w:multiLevelType w:val="hybridMultilevel"/>
    <w:lvl w:ilvl="0">
      <w:lvlJc w:val="left"/>
      <w:lvlText w:val="(%1)"/>
      <w:numFmt w:val="decimal"/>
      <w:start w:val="1"/>
    </w:lvl>
  </w:abstractNum>
  <w:abstractNum w:abstractNumId="56">
    <w:nsid w:val="741226BB"/>
    <w:multiLevelType w:val="hybridMultilevel"/>
    <w:lvl w:ilvl="0">
      <w:lvlJc w:val="left"/>
      <w:lvlText w:val="(%1)"/>
      <w:numFmt w:val="lowerLetter"/>
      <w:start w:val="3"/>
    </w:lvl>
  </w:abstractNum>
  <w:abstractNum w:abstractNumId="57">
    <w:nsid w:val="D34B6A8"/>
    <w:multiLevelType w:val="hybridMultilevel"/>
    <w:lvl w:ilvl="0">
      <w:lvlJc w:val="left"/>
      <w:lvlText w:val="(%1)"/>
      <w:numFmt w:val="lowerLetter"/>
      <w:start w:val="1"/>
    </w:lvl>
  </w:abstractNum>
  <w:abstractNum w:abstractNumId="58">
    <w:nsid w:val="10233C99"/>
    <w:multiLevelType w:val="hybridMultilevel"/>
    <w:lvl w:ilvl="0">
      <w:lvlJc w:val="left"/>
      <w:lvlText w:val="(%1)"/>
      <w:numFmt w:val="lowerLetter"/>
      <w:start w:val="1"/>
    </w:lvl>
  </w:abstractNum>
  <w:abstractNum w:abstractNumId="59">
    <w:nsid w:val="3F6AB60F"/>
    <w:multiLevelType w:val="hybridMultilevel"/>
    <w:lvl w:ilvl="0">
      <w:lvlJc w:val="left"/>
      <w:lvlText w:val="%1."/>
      <w:numFmt w:val="decimal"/>
      <w:start w:val="1"/>
    </w:lvl>
    <w:lvl w:ilvl="1">
      <w:lvlJc w:val="left"/>
      <w:lvlText w:val="(%2)"/>
      <w:numFmt w:val="lowerLetter"/>
      <w:start w:val="1"/>
    </w:lvl>
  </w:abstractNum>
  <w:abstractNum w:abstractNumId="60">
    <w:nsid w:val="61574095"/>
    <w:multiLevelType w:val="hybridMultilevel"/>
    <w:lvl w:ilvl="0">
      <w:lvlJc w:val="left"/>
      <w:lvlText w:val="%1."/>
      <w:numFmt w:val="decimal"/>
      <w:start w:val="1"/>
    </w:lvl>
    <w:lvl w:ilvl="1">
      <w:lvlJc w:val="left"/>
      <w:lvlText w:val="(%2)"/>
      <w:numFmt w:val="lowerLetter"/>
      <w:start w:val="1"/>
    </w:lvl>
  </w:abstractNum>
  <w:abstractNum w:abstractNumId="61">
    <w:nsid w:val="7E0C57B1"/>
    <w:multiLevelType w:val="hybridMultilevel"/>
    <w:lvl w:ilvl="0">
      <w:lvlJc w:val="left"/>
      <w:lvlText w:val="(%1)"/>
      <w:numFmt w:val="decimal"/>
      <w:start w:val="1"/>
    </w:lvl>
  </w:abstractNum>
  <w:abstractNum w:abstractNumId="62">
    <w:nsid w:val="77AE35E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jpeg"/><Relationship Id="rId122" Type="http://schemas.openxmlformats.org/officeDocument/2006/relationships/image" Target="media/image115.jpeg"/><Relationship Id="rId123" Type="http://schemas.openxmlformats.org/officeDocument/2006/relationships/image" Target="media/image116.png"/><Relationship Id="rId124" Type="http://schemas.openxmlformats.org/officeDocument/2006/relationships/image" Target="media/image117.jpeg"/><Relationship Id="rId125" Type="http://schemas.openxmlformats.org/officeDocument/2006/relationships/image" Target="media/image118.jpeg"/><Relationship Id="rId126" Type="http://schemas.openxmlformats.org/officeDocument/2006/relationships/image" Target="media/image119.jpeg"/><Relationship Id="rId127" Type="http://schemas.openxmlformats.org/officeDocument/2006/relationships/image" Target="media/image120.jpe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jpeg"/><Relationship Id="rId131" Type="http://schemas.openxmlformats.org/officeDocument/2006/relationships/image" Target="media/image124.jpe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jpe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jpeg"/><Relationship Id="rId148" Type="http://schemas.openxmlformats.org/officeDocument/2006/relationships/image" Target="media/image141.png"/><Relationship Id="rId149" Type="http://schemas.openxmlformats.org/officeDocument/2006/relationships/image" Target="media/image142.jpe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jpeg"/><Relationship Id="rId205" Type="http://schemas.openxmlformats.org/officeDocument/2006/relationships/image" Target="media/image198.png"/><Relationship Id="rId206" Type="http://schemas.openxmlformats.org/officeDocument/2006/relationships/image" Target="media/image199.jpe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2019-12-10T10:34:32Z</dcterms:created>
  <dcterms:modified xsi:type="dcterms:W3CDTF">2019-12-10T10:34:32Z</dcterms:modified>
</cp:coreProperties>
</file>