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Registration No. 333-_______</w:t>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May 13, 2003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MANPOWER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89" w:lineRule="exact"/>
        <w:rPr>
          <w:sz w:val="24"/>
          <w:szCs w:val="24"/>
          <w:color w:val="auto"/>
        </w:rPr>
      </w:pPr>
    </w:p>
    <w:tbl>
      <w:tblPr>
        <w:tblLayout w:type="fixed"/>
        <w:tblInd w:w="2320" w:type="dxa"/>
        <w:tblCellMar>
          <w:top w:w="0" w:type="dxa"/>
          <w:left w:w="0" w:type="dxa"/>
          <w:bottom w:w="0" w:type="dxa"/>
          <w:right w:w="0" w:type="dxa"/>
        </w:tblCellMar>
      </w:tblPr>
      <w:tr>
        <w:trPr>
          <w:trHeight w:val="281"/>
        </w:trPr>
        <w:tc>
          <w:tcPr>
            <w:tcW w:w="3540" w:type="dxa"/>
            <w:vAlign w:val="bottom"/>
          </w:tcPr>
          <w:p>
            <w:pPr>
              <w:jc w:val="center"/>
              <w:ind w:right="928"/>
              <w:spacing w:after="0"/>
              <w:rPr>
                <w:sz w:val="20"/>
                <w:szCs w:val="20"/>
                <w:color w:val="auto"/>
              </w:rPr>
            </w:pPr>
            <w:r>
              <w:rPr>
                <w:rFonts w:ascii="Arial" w:cs="Arial" w:eastAsia="Arial" w:hAnsi="Arial"/>
                <w:sz w:val="22"/>
                <w:szCs w:val="22"/>
                <w:b w:val="1"/>
                <w:bCs w:val="1"/>
                <w:color w:val="auto"/>
                <w:w w:val="87"/>
              </w:rPr>
              <w:t>Wisconsin</w:t>
            </w:r>
          </w:p>
        </w:tc>
        <w:tc>
          <w:tcPr>
            <w:tcW w:w="2960" w:type="dxa"/>
            <w:vAlign w:val="bottom"/>
          </w:tcPr>
          <w:p>
            <w:pPr>
              <w:jc w:val="right"/>
              <w:ind w:right="372"/>
              <w:spacing w:after="0"/>
              <w:rPr>
                <w:sz w:val="20"/>
                <w:szCs w:val="20"/>
                <w:color w:val="auto"/>
              </w:rPr>
            </w:pPr>
            <w:r>
              <w:rPr>
                <w:rFonts w:ascii="Arial" w:cs="Arial" w:eastAsia="Arial" w:hAnsi="Arial"/>
                <w:sz w:val="22"/>
                <w:szCs w:val="22"/>
                <w:b w:val="1"/>
                <w:bCs w:val="1"/>
                <w:color w:val="auto"/>
              </w:rPr>
              <w:t>39-1672779</w:t>
            </w:r>
          </w:p>
        </w:tc>
      </w:tr>
      <w:tr>
        <w:trPr>
          <w:trHeight w:val="179"/>
        </w:trPr>
        <w:tc>
          <w:tcPr>
            <w:tcW w:w="3540" w:type="dxa"/>
            <w:vAlign w:val="bottom"/>
          </w:tcPr>
          <w:p>
            <w:pPr>
              <w:jc w:val="center"/>
              <w:ind w:right="928"/>
              <w:spacing w:after="0"/>
              <w:rPr>
                <w:sz w:val="20"/>
                <w:szCs w:val="20"/>
                <w:color w:val="auto"/>
              </w:rPr>
            </w:pPr>
            <w:r>
              <w:rPr>
                <w:rFonts w:ascii="Arial" w:cs="Arial" w:eastAsia="Arial" w:hAnsi="Arial"/>
                <w:sz w:val="14"/>
                <w:szCs w:val="14"/>
                <w:color w:val="auto"/>
                <w:w w:val="89"/>
              </w:rPr>
              <w:t>(State of Incorporation)</w:t>
            </w:r>
          </w:p>
        </w:tc>
        <w:tc>
          <w:tcPr>
            <w:tcW w:w="2960" w:type="dxa"/>
            <w:vAlign w:val="bottom"/>
          </w:tcPr>
          <w:p>
            <w:pPr>
              <w:jc w:val="center"/>
              <w:ind w:left="912"/>
              <w:spacing w:after="0"/>
              <w:rPr>
                <w:sz w:val="20"/>
                <w:szCs w:val="20"/>
                <w:color w:val="auto"/>
              </w:rPr>
            </w:pPr>
            <w:r>
              <w:rPr>
                <w:rFonts w:ascii="Arial" w:cs="Arial" w:eastAsia="Arial" w:hAnsi="Arial"/>
                <w:sz w:val="14"/>
                <w:szCs w:val="14"/>
                <w:color w:val="auto"/>
                <w:w w:val="90"/>
              </w:rPr>
              <w:t>(I.R.S. Employer Identification No.)</w:t>
            </w:r>
          </w:p>
        </w:tc>
      </w:tr>
      <w:tr>
        <w:trPr>
          <w:trHeight w:val="527"/>
        </w:trPr>
        <w:tc>
          <w:tcPr>
            <w:tcW w:w="3540" w:type="dxa"/>
            <w:vAlign w:val="bottom"/>
          </w:tcPr>
          <w:p>
            <w:pPr>
              <w:jc w:val="center"/>
              <w:ind w:right="928"/>
              <w:spacing w:after="0"/>
              <w:rPr>
                <w:sz w:val="20"/>
                <w:szCs w:val="20"/>
                <w:color w:val="auto"/>
              </w:rPr>
            </w:pPr>
            <w:r>
              <w:rPr>
                <w:rFonts w:ascii="Arial" w:cs="Arial" w:eastAsia="Arial" w:hAnsi="Arial"/>
                <w:sz w:val="22"/>
                <w:szCs w:val="22"/>
                <w:b w:val="1"/>
                <w:bCs w:val="1"/>
                <w:color w:val="auto"/>
                <w:w w:val="90"/>
              </w:rPr>
              <w:t>5301 North Ironwood Road</w:t>
            </w:r>
          </w:p>
        </w:tc>
        <w:tc>
          <w:tcPr>
            <w:tcW w:w="2960" w:type="dxa"/>
            <w:vAlign w:val="bottom"/>
          </w:tcPr>
          <w:p>
            <w:pPr>
              <w:spacing w:after="0"/>
              <w:rPr>
                <w:sz w:val="24"/>
                <w:szCs w:val="24"/>
                <w:color w:val="auto"/>
              </w:rPr>
            </w:pPr>
          </w:p>
        </w:tc>
      </w:tr>
      <w:tr>
        <w:trPr>
          <w:trHeight w:val="281"/>
        </w:trPr>
        <w:tc>
          <w:tcPr>
            <w:tcW w:w="3540" w:type="dxa"/>
            <w:vAlign w:val="bottom"/>
          </w:tcPr>
          <w:p>
            <w:pPr>
              <w:jc w:val="center"/>
              <w:ind w:right="928"/>
              <w:spacing w:after="0"/>
              <w:rPr>
                <w:sz w:val="20"/>
                <w:szCs w:val="20"/>
                <w:color w:val="auto"/>
              </w:rPr>
            </w:pPr>
            <w:r>
              <w:rPr>
                <w:rFonts w:ascii="Arial" w:cs="Arial" w:eastAsia="Arial" w:hAnsi="Arial"/>
                <w:sz w:val="22"/>
                <w:szCs w:val="22"/>
                <w:b w:val="1"/>
                <w:bCs w:val="1"/>
                <w:color w:val="auto"/>
                <w:w w:val="89"/>
              </w:rPr>
              <w:t>Milwaukee, Wisconsin</w:t>
            </w:r>
          </w:p>
        </w:tc>
        <w:tc>
          <w:tcPr>
            <w:tcW w:w="2960" w:type="dxa"/>
            <w:vAlign w:val="bottom"/>
          </w:tcPr>
          <w:p>
            <w:pPr>
              <w:jc w:val="right"/>
              <w:ind w:right="612"/>
              <w:spacing w:after="0"/>
              <w:rPr>
                <w:sz w:val="20"/>
                <w:szCs w:val="20"/>
                <w:color w:val="auto"/>
              </w:rPr>
            </w:pPr>
            <w:r>
              <w:rPr>
                <w:rFonts w:ascii="Arial" w:cs="Arial" w:eastAsia="Arial" w:hAnsi="Arial"/>
                <w:sz w:val="22"/>
                <w:szCs w:val="22"/>
                <w:b w:val="1"/>
                <w:bCs w:val="1"/>
                <w:color w:val="auto"/>
              </w:rPr>
              <w:t>53217</w:t>
            </w:r>
          </w:p>
        </w:tc>
      </w:tr>
      <w:tr>
        <w:trPr>
          <w:trHeight w:val="179"/>
        </w:trPr>
        <w:tc>
          <w:tcPr>
            <w:tcW w:w="3540" w:type="dxa"/>
            <w:vAlign w:val="bottom"/>
          </w:tcPr>
          <w:p>
            <w:pPr>
              <w:jc w:val="center"/>
              <w:ind w:right="928"/>
              <w:spacing w:after="0"/>
              <w:rPr>
                <w:sz w:val="20"/>
                <w:szCs w:val="20"/>
                <w:color w:val="auto"/>
              </w:rPr>
            </w:pPr>
            <w:r>
              <w:rPr>
                <w:rFonts w:ascii="Arial" w:cs="Arial" w:eastAsia="Arial" w:hAnsi="Arial"/>
                <w:sz w:val="14"/>
                <w:szCs w:val="14"/>
                <w:color w:val="auto"/>
                <w:w w:val="89"/>
              </w:rPr>
              <w:t>(Address of Principal Executive Offices)</w:t>
            </w:r>
          </w:p>
        </w:tc>
        <w:tc>
          <w:tcPr>
            <w:tcW w:w="2960" w:type="dxa"/>
            <w:vAlign w:val="bottom"/>
          </w:tcPr>
          <w:p>
            <w:pPr>
              <w:jc w:val="center"/>
              <w:ind w:left="912"/>
              <w:spacing w:after="0"/>
              <w:rPr>
                <w:sz w:val="20"/>
                <w:szCs w:val="20"/>
                <w:color w:val="auto"/>
              </w:rPr>
            </w:pPr>
            <w:r>
              <w:rPr>
                <w:rFonts w:ascii="Arial" w:cs="Arial" w:eastAsia="Arial" w:hAnsi="Arial"/>
                <w:sz w:val="14"/>
                <w:szCs w:val="14"/>
                <w:color w:val="auto"/>
                <w:w w:val="90"/>
              </w:rPr>
              <w:t>(Zip Code)</w:t>
            </w:r>
          </w:p>
        </w:tc>
      </w:tr>
    </w:tbl>
    <w:p>
      <w:pPr>
        <w:spacing w:after="0" w:line="208"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2003 EQUITY INCENTIVE PLAN OF MANPOWER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 of the plan)</w:t>
      </w:r>
    </w:p>
    <w:p>
      <w:pPr>
        <w:ind w:left="5060"/>
        <w:spacing w:after="0"/>
        <w:rPr>
          <w:sz w:val="20"/>
          <w:szCs w:val="20"/>
          <w:color w:val="auto"/>
        </w:rPr>
      </w:pPr>
      <w:r>
        <w:rPr>
          <w:rFonts w:ascii="Arial" w:cs="Arial" w:eastAsia="Arial" w:hAnsi="Arial"/>
          <w:sz w:val="18"/>
          <w:szCs w:val="18"/>
          <w:color w:val="auto"/>
        </w:rPr>
        <w:t>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J. Van Handel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5301 North Ironwood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53217</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w:t>
      </w:r>
    </w:p>
    <w:p>
      <w:pPr>
        <w:jc w:val="center"/>
        <w:spacing w:after="0"/>
        <w:rPr>
          <w:sz w:val="20"/>
          <w:szCs w:val="20"/>
          <w:color w:val="auto"/>
        </w:rPr>
      </w:pPr>
      <w:r>
        <w:rPr>
          <w:rFonts w:ascii="Arial" w:cs="Arial" w:eastAsia="Arial" w:hAnsi="Arial"/>
          <w:sz w:val="18"/>
          <w:szCs w:val="18"/>
          <w:b w:val="1"/>
          <w:bCs w:val="1"/>
          <w:color w:val="auto"/>
        </w:rPr>
        <w:t>(414) 961-1000</w:t>
      </w:r>
    </w:p>
    <w:p>
      <w:pPr>
        <w:jc w:val="center"/>
        <w:spacing w:after="0" w:line="235" w:lineRule="auto"/>
        <w:rPr>
          <w:sz w:val="20"/>
          <w:szCs w:val="20"/>
          <w:color w:val="auto"/>
        </w:rPr>
      </w:pPr>
      <w:r>
        <w:rPr>
          <w:rFonts w:ascii="Arial" w:cs="Arial" w:eastAsia="Arial" w:hAnsi="Arial"/>
          <w:sz w:val="14"/>
          <w:szCs w:val="14"/>
          <w:color w:val="auto"/>
        </w:rPr>
        <w:t>(Telephone number, including area code, of agent for service)</w:t>
      </w:r>
    </w:p>
    <w:p>
      <w:pPr>
        <w:ind w:left="5060"/>
        <w:spacing w:after="0"/>
        <w:rPr>
          <w:sz w:val="20"/>
          <w:szCs w:val="20"/>
          <w:color w:val="auto"/>
        </w:rPr>
      </w:pPr>
      <w:r>
        <w:rPr>
          <w:rFonts w:ascii="Arial" w:cs="Arial" w:eastAsia="Arial" w:hAnsi="Arial"/>
          <w:sz w:val="18"/>
          <w:szCs w:val="18"/>
          <w:color w:val="auto"/>
        </w:rPr>
        <w:t>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Dennis F. Connolly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Godfrey &amp; Kahn, S.C.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North Water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53202</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273-3500</w:t>
      </w:r>
    </w:p>
    <w:p>
      <w:pPr>
        <w:spacing w:after="0" w:line="32" w:lineRule="exact"/>
        <w:rPr>
          <w:rFonts w:ascii="Arial" w:cs="Arial" w:eastAsia="Arial" w:hAnsi="Arial"/>
          <w:sz w:val="16"/>
          <w:szCs w:val="16"/>
          <w:b w:val="1"/>
          <w:bCs w:val="1"/>
          <w:color w:val="auto"/>
        </w:rPr>
      </w:pPr>
    </w:p>
    <w:p>
      <w:pPr>
        <w:ind w:left="5060"/>
        <w:spacing w:after="0"/>
        <w:rPr>
          <w:rFonts w:ascii="Arial" w:cs="Arial" w:eastAsia="Arial" w:hAnsi="Arial"/>
          <w:sz w:val="16"/>
          <w:szCs w:val="16"/>
          <w:b w:val="1"/>
          <w:bCs w:val="1"/>
          <w:color w:val="auto"/>
        </w:rPr>
      </w:pPr>
      <w:r>
        <w:rPr>
          <w:rFonts w:ascii="Arial" w:cs="Arial" w:eastAsia="Arial" w:hAnsi="Arial"/>
          <w:sz w:val="18"/>
          <w:szCs w:val="18"/>
          <w:color w:val="auto"/>
        </w:rPr>
        <w:t>_______________</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t>
      </w:r>
    </w:p>
    <w:p>
      <w:pPr>
        <w:spacing w:after="0" w:line="146"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Amount to</w:t>
            </w:r>
          </w:p>
        </w:tc>
        <w:tc>
          <w:tcPr>
            <w:tcW w:w="1900" w:type="dxa"/>
            <w:vAlign w:val="bottom"/>
            <w:gridSpan w:val="2"/>
          </w:tcPr>
          <w:p>
            <w:pPr>
              <w:jc w:val="center"/>
              <w:ind w:right="384"/>
              <w:spacing w:after="0"/>
              <w:rPr>
                <w:sz w:val="20"/>
                <w:szCs w:val="20"/>
                <w:color w:val="auto"/>
              </w:rPr>
            </w:pPr>
            <w:r>
              <w:rPr>
                <w:rFonts w:ascii="Arial" w:cs="Arial" w:eastAsia="Arial" w:hAnsi="Arial"/>
                <w:sz w:val="14"/>
                <w:szCs w:val="14"/>
                <w:color w:val="auto"/>
                <w:w w:val="88"/>
              </w:rPr>
              <w:t>Proposed Maximum</w:t>
            </w:r>
          </w:p>
        </w:tc>
        <w:tc>
          <w:tcPr>
            <w:tcW w:w="1800" w:type="dxa"/>
            <w:vAlign w:val="bottom"/>
            <w:gridSpan w:val="2"/>
          </w:tcPr>
          <w:p>
            <w:pPr>
              <w:jc w:val="center"/>
              <w:ind w:right="244"/>
              <w:spacing w:after="0"/>
              <w:rPr>
                <w:sz w:val="20"/>
                <w:szCs w:val="20"/>
                <w:color w:val="auto"/>
              </w:rPr>
            </w:pPr>
            <w:r>
              <w:rPr>
                <w:rFonts w:ascii="Arial" w:cs="Arial" w:eastAsia="Arial" w:hAnsi="Arial"/>
                <w:sz w:val="14"/>
                <w:szCs w:val="14"/>
                <w:color w:val="auto"/>
                <w:w w:val="88"/>
              </w:rPr>
              <w:t>Proposed Maximum</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Amount of</w:t>
            </w:r>
          </w:p>
        </w:tc>
        <w:tc>
          <w:tcPr>
            <w:tcW w:w="0" w:type="dxa"/>
            <w:vAlign w:val="bottom"/>
          </w:tcPr>
          <w:p>
            <w:pPr>
              <w:spacing w:after="0"/>
              <w:rPr>
                <w:sz w:val="1"/>
                <w:szCs w:val="1"/>
                <w:color w:val="auto"/>
              </w:rPr>
            </w:pPr>
          </w:p>
        </w:tc>
      </w:tr>
      <w:tr>
        <w:trPr>
          <w:trHeight w:val="151"/>
        </w:trPr>
        <w:tc>
          <w:tcPr>
            <w:tcW w:w="1880" w:type="dxa"/>
            <w:vAlign w:val="bottom"/>
            <w:gridSpan w:val="3"/>
            <w:vMerge w:val="restart"/>
          </w:tcPr>
          <w:p>
            <w:pPr>
              <w:jc w:val="center"/>
              <w:ind w:right="740"/>
              <w:spacing w:after="0"/>
              <w:rPr>
                <w:sz w:val="20"/>
                <w:szCs w:val="20"/>
                <w:color w:val="auto"/>
              </w:rPr>
            </w:pPr>
            <w:r>
              <w:rPr>
                <w:rFonts w:ascii="Arial" w:cs="Arial" w:eastAsia="Arial" w:hAnsi="Arial"/>
                <w:sz w:val="14"/>
                <w:szCs w:val="14"/>
                <w:color w:val="auto"/>
                <w:w w:val="91"/>
              </w:rPr>
              <w:t>Title of Securities</w:t>
            </w:r>
          </w:p>
        </w:tc>
        <w:tc>
          <w:tcPr>
            <w:tcW w:w="74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4"/>
                <w:szCs w:val="14"/>
                <w:color w:val="auto"/>
                <w:w w:val="84"/>
              </w:rPr>
              <w:t>be Registered</w:t>
            </w:r>
          </w:p>
        </w:tc>
        <w:tc>
          <w:tcPr>
            <w:tcW w:w="600" w:type="dxa"/>
            <w:vAlign w:val="bottom"/>
            <w:vMerge w:val="restart"/>
          </w:tcPr>
          <w:p>
            <w:pPr>
              <w:spacing w:after="0"/>
              <w:rPr>
                <w:sz w:val="13"/>
                <w:szCs w:val="13"/>
                <w:color w:val="auto"/>
              </w:rPr>
            </w:pPr>
          </w:p>
        </w:tc>
        <w:tc>
          <w:tcPr>
            <w:tcW w:w="1340" w:type="dxa"/>
            <w:vAlign w:val="bottom"/>
            <w:vMerge w:val="restart"/>
          </w:tcPr>
          <w:p>
            <w:pPr>
              <w:spacing w:after="0" w:line="158" w:lineRule="exact"/>
              <w:rPr>
                <w:sz w:val="20"/>
                <w:szCs w:val="20"/>
                <w:color w:val="auto"/>
              </w:rPr>
            </w:pPr>
            <w:r>
              <w:rPr>
                <w:rFonts w:ascii="Arial" w:cs="Arial" w:eastAsia="Arial" w:hAnsi="Arial"/>
                <w:sz w:val="14"/>
                <w:szCs w:val="14"/>
                <w:color w:val="auto"/>
                <w:w w:val="86"/>
              </w:rPr>
              <w:t>Offering Price Per Share</w:t>
            </w:r>
          </w:p>
        </w:tc>
        <w:tc>
          <w:tcPr>
            <w:tcW w:w="560" w:type="dxa"/>
            <w:vAlign w:val="bottom"/>
            <w:vMerge w:val="restart"/>
          </w:tcPr>
          <w:p>
            <w:pPr>
              <w:jc w:val="right"/>
              <w:ind w:right="384"/>
              <w:spacing w:after="0"/>
              <w:rPr>
                <w:sz w:val="20"/>
                <w:szCs w:val="20"/>
                <w:color w:val="auto"/>
              </w:rPr>
            </w:pPr>
            <w:r>
              <w:rPr>
                <w:rFonts w:ascii="Arial" w:cs="Arial" w:eastAsia="Arial" w:hAnsi="Arial"/>
                <w:sz w:val="11"/>
                <w:szCs w:val="11"/>
                <w:color w:val="auto"/>
                <w:w w:val="74"/>
              </w:rPr>
              <w:t>(1)</w:t>
            </w:r>
          </w:p>
        </w:tc>
        <w:tc>
          <w:tcPr>
            <w:tcW w:w="1380" w:type="dxa"/>
            <w:vAlign w:val="bottom"/>
            <w:vMerge w:val="restart"/>
          </w:tcPr>
          <w:p>
            <w:pPr>
              <w:spacing w:after="0" w:line="158" w:lineRule="exact"/>
              <w:rPr>
                <w:sz w:val="20"/>
                <w:szCs w:val="20"/>
                <w:color w:val="auto"/>
              </w:rPr>
            </w:pPr>
            <w:r>
              <w:rPr>
                <w:rFonts w:ascii="Arial" w:cs="Arial" w:eastAsia="Arial" w:hAnsi="Arial"/>
                <w:sz w:val="14"/>
                <w:szCs w:val="14"/>
                <w:color w:val="auto"/>
                <w:w w:val="88"/>
              </w:rPr>
              <w:t>Aggregate Offering Price</w:t>
            </w:r>
          </w:p>
        </w:tc>
        <w:tc>
          <w:tcPr>
            <w:tcW w:w="420" w:type="dxa"/>
            <w:vAlign w:val="bottom"/>
            <w:vMerge w:val="restart"/>
          </w:tcPr>
          <w:p>
            <w:pPr>
              <w:jc w:val="right"/>
              <w:ind w:right="244"/>
              <w:spacing w:after="0"/>
              <w:rPr>
                <w:sz w:val="20"/>
                <w:szCs w:val="20"/>
                <w:color w:val="auto"/>
              </w:rPr>
            </w:pPr>
            <w:r>
              <w:rPr>
                <w:rFonts w:ascii="Arial" w:cs="Arial" w:eastAsia="Arial" w:hAnsi="Arial"/>
                <w:sz w:val="11"/>
                <w:szCs w:val="11"/>
                <w:color w:val="auto"/>
                <w:w w:val="74"/>
              </w:rPr>
              <w:t>(1)</w:t>
            </w:r>
          </w:p>
        </w:tc>
        <w:tc>
          <w:tcPr>
            <w:tcW w:w="300" w:type="dxa"/>
            <w:vAlign w:val="bottom"/>
            <w:vMerge w:val="restart"/>
          </w:tcPr>
          <w:p>
            <w:pPr>
              <w:spacing w:after="0"/>
              <w:rPr>
                <w:sz w:val="13"/>
                <w:szCs w:val="13"/>
                <w:color w:val="auto"/>
              </w:rPr>
            </w:pPr>
          </w:p>
        </w:tc>
        <w:tc>
          <w:tcPr>
            <w:tcW w:w="92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Registration Fee</w:t>
            </w:r>
          </w:p>
        </w:tc>
        <w:tc>
          <w:tcPr>
            <w:tcW w:w="0" w:type="dxa"/>
            <w:vAlign w:val="bottom"/>
          </w:tcPr>
          <w:p>
            <w:pPr>
              <w:spacing w:after="0"/>
              <w:rPr>
                <w:sz w:val="1"/>
                <w:szCs w:val="1"/>
                <w:color w:val="auto"/>
              </w:rPr>
            </w:pPr>
          </w:p>
        </w:tc>
      </w:tr>
      <w:tr>
        <w:trPr>
          <w:trHeight w:val="35"/>
        </w:trPr>
        <w:tc>
          <w:tcPr>
            <w:tcW w:w="1880" w:type="dxa"/>
            <w:vAlign w:val="bottom"/>
            <w:gridSpan w:val="3"/>
            <w:vMerge w:val="continue"/>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340" w:type="dxa"/>
            <w:vAlign w:val="bottom"/>
            <w:tcBorders>
              <w:bottom w:val="single" w:sz="8" w:color="auto"/>
            </w:tcBorders>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1380" w:type="dxa"/>
            <w:vAlign w:val="bottom"/>
            <w:tcBorders>
              <w:bottom w:val="single" w:sz="8" w:color="auto"/>
            </w:tcBorders>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740" w:type="dxa"/>
            <w:vAlign w:val="bottom"/>
            <w:gridSpan w:val="2"/>
          </w:tcPr>
          <w:p>
            <w:pPr>
              <w:jc w:val="center"/>
              <w:ind w:right="880"/>
              <w:spacing w:after="0" w:line="146" w:lineRule="exact"/>
              <w:rPr>
                <w:sz w:val="20"/>
                <w:szCs w:val="20"/>
                <w:color w:val="auto"/>
              </w:rPr>
            </w:pPr>
            <w:r>
              <w:rPr>
                <w:rFonts w:ascii="Arial" w:cs="Arial" w:eastAsia="Arial" w:hAnsi="Arial"/>
                <w:sz w:val="14"/>
                <w:szCs w:val="14"/>
                <w:color w:val="auto"/>
                <w:w w:val="83"/>
              </w:rPr>
              <w:t>to be Registered</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880" w:type="dxa"/>
            <w:vAlign w:val="bottom"/>
            <w:gridSpan w:val="3"/>
          </w:tcPr>
          <w:p>
            <w:pPr>
              <w:jc w:val="center"/>
              <w:ind w:right="740"/>
              <w:spacing w:after="0"/>
              <w:rPr>
                <w:sz w:val="20"/>
                <w:szCs w:val="20"/>
                <w:color w:val="auto"/>
              </w:rPr>
            </w:pPr>
            <w:r>
              <w:rPr>
                <w:rFonts w:ascii="Arial" w:cs="Arial" w:eastAsia="Arial" w:hAnsi="Arial"/>
                <w:sz w:val="18"/>
                <w:szCs w:val="18"/>
                <w:color w:val="auto"/>
                <w:w w:val="88"/>
              </w:rPr>
              <w:t>Common Stock,</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80" w:type="dxa"/>
            <w:vAlign w:val="bottom"/>
            <w:gridSpan w:val="3"/>
          </w:tcPr>
          <w:p>
            <w:pPr>
              <w:jc w:val="center"/>
              <w:ind w:right="760"/>
              <w:spacing w:after="0"/>
              <w:rPr>
                <w:sz w:val="20"/>
                <w:szCs w:val="20"/>
                <w:color w:val="auto"/>
              </w:rPr>
            </w:pPr>
            <w:r>
              <w:rPr>
                <w:rFonts w:ascii="Arial" w:cs="Arial" w:eastAsia="Arial" w:hAnsi="Arial"/>
                <w:sz w:val="18"/>
                <w:szCs w:val="18"/>
                <w:color w:val="auto"/>
                <w:w w:val="87"/>
              </w:rPr>
              <w:t>$.01 par value</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4,500,000</w:t>
            </w:r>
          </w:p>
        </w:tc>
        <w:tc>
          <w:tcPr>
            <w:tcW w:w="600" w:type="dxa"/>
            <w:vAlign w:val="bottom"/>
          </w:tcPr>
          <w:p>
            <w:pPr>
              <w:spacing w:after="0"/>
              <w:rPr>
                <w:sz w:val="19"/>
                <w:szCs w:val="19"/>
                <w:color w:val="auto"/>
              </w:rPr>
            </w:pPr>
          </w:p>
        </w:tc>
        <w:tc>
          <w:tcPr>
            <w:tcW w:w="1900" w:type="dxa"/>
            <w:vAlign w:val="bottom"/>
            <w:gridSpan w:val="2"/>
          </w:tcPr>
          <w:p>
            <w:pPr>
              <w:jc w:val="center"/>
              <w:ind w:right="384"/>
              <w:spacing w:after="0"/>
              <w:rPr>
                <w:sz w:val="20"/>
                <w:szCs w:val="20"/>
                <w:color w:val="auto"/>
              </w:rPr>
            </w:pPr>
            <w:r>
              <w:rPr>
                <w:rFonts w:ascii="Arial" w:cs="Arial" w:eastAsia="Arial" w:hAnsi="Arial"/>
                <w:sz w:val="18"/>
                <w:szCs w:val="18"/>
                <w:color w:val="auto"/>
                <w:w w:val="99"/>
              </w:rPr>
              <w:t>N/A</w:t>
            </w:r>
          </w:p>
        </w:tc>
        <w:tc>
          <w:tcPr>
            <w:tcW w:w="1380" w:type="dxa"/>
            <w:vAlign w:val="bottom"/>
          </w:tcPr>
          <w:p>
            <w:pPr>
              <w:jc w:val="right"/>
              <w:ind w:right="66"/>
              <w:spacing w:after="0"/>
              <w:rPr>
                <w:sz w:val="20"/>
                <w:szCs w:val="20"/>
                <w:color w:val="auto"/>
              </w:rPr>
            </w:pPr>
            <w:r>
              <w:rPr>
                <w:rFonts w:ascii="Arial" w:cs="Arial" w:eastAsia="Arial" w:hAnsi="Arial"/>
                <w:sz w:val="18"/>
                <w:szCs w:val="18"/>
                <w:color w:val="auto"/>
              </w:rPr>
              <w:t>$150,165,000</w:t>
            </w:r>
          </w:p>
        </w:tc>
        <w:tc>
          <w:tcPr>
            <w:tcW w:w="420" w:type="dxa"/>
            <w:vAlign w:val="bottom"/>
          </w:tcPr>
          <w:p>
            <w:pPr>
              <w:spacing w:after="0"/>
              <w:rPr>
                <w:sz w:val="19"/>
                <w:szCs w:val="19"/>
                <w:color w:val="auto"/>
              </w:rPr>
            </w:pPr>
          </w:p>
        </w:tc>
        <w:tc>
          <w:tcPr>
            <w:tcW w:w="122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$12,148.35</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ind w:left="1880" w:right="1480" w:hanging="1"/>
        <w:spacing w:after="0" w:line="259" w:lineRule="auto"/>
        <w:tabs>
          <w:tab w:leader="none" w:pos="2071" w:val="left"/>
        </w:tabs>
        <w:numPr>
          <w:ilvl w:val="0"/>
          <w:numId w:val="2"/>
        </w:numPr>
        <w:rPr>
          <w:rFonts w:ascii="Arial" w:cs="Arial" w:eastAsia="Arial" w:hAnsi="Arial"/>
          <w:sz w:val="14"/>
          <w:szCs w:val="14"/>
          <w:color w:val="auto"/>
        </w:rPr>
      </w:pPr>
      <w:r>
        <w:rPr>
          <w:rFonts w:ascii="Arial" w:cs="Arial" w:eastAsia="Arial" w:hAnsi="Arial"/>
          <w:sz w:val="18"/>
          <w:szCs w:val="18"/>
          <w:color w:val="auto"/>
        </w:rPr>
        <w:t>The registration fee was calculated pursuant to Rule 457(c) under the Securities Act of 1933, as amended, based on the average of the high and low price per share of the common stock of Manpower Inc. on the New York Stock Exchange on May 8, 2003 ($33.37).</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Incorporation of Documents by Reference</w:t>
      </w:r>
    </w:p>
    <w:p>
      <w:pPr>
        <w:spacing w:after="0" w:line="23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following documents are incorporated by reference in this Registration Statement:</w:t>
      </w:r>
    </w:p>
    <w:p>
      <w:pPr>
        <w:spacing w:after="0" w:line="225" w:lineRule="exact"/>
        <w:rPr>
          <w:sz w:val="24"/>
          <w:szCs w:val="24"/>
          <w:color w:val="auto"/>
        </w:rPr>
      </w:pPr>
    </w:p>
    <w:p>
      <w:pPr>
        <w:ind w:left="1640" w:hanging="552"/>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Registrant's Annual Report on Form 10-K for the fiscal year ended December 31, 2002;</w:t>
      </w:r>
    </w:p>
    <w:p>
      <w:pPr>
        <w:spacing w:after="0" w:line="184" w:lineRule="exact"/>
        <w:rPr>
          <w:rFonts w:ascii="Arial" w:cs="Arial" w:eastAsia="Arial" w:hAnsi="Arial"/>
          <w:sz w:val="18"/>
          <w:szCs w:val="18"/>
          <w:color w:val="auto"/>
        </w:rPr>
      </w:pPr>
    </w:p>
    <w:p>
      <w:pPr>
        <w:ind w:left="1640" w:hanging="552"/>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Registrant's Quarterly Report on Form 10-Q for the quarter ended March 31, 2003;</w:t>
      </w:r>
    </w:p>
    <w:p>
      <w:pPr>
        <w:sectPr>
          <w:pgSz w:w="11900" w:h="16838" w:orient="portrait"/>
          <w:cols w:equalWidth="0" w:num="1">
            <w:col w:w="11420"/>
          </w:cols>
          <w:pgMar w:left="240" w:top="239" w:right="239" w:bottom="0" w:gutter="0" w:footer="0" w:header="0"/>
        </w:sectPr>
      </w:pPr>
    </w:p>
    <w:bookmarkStart w:id="1" w:name="page2"/>
    <w:bookmarkEnd w:id="1"/>
    <w:p>
      <w:pPr>
        <w:ind w:left="1640" w:hanging="552"/>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Registrant's Current Report on Form 8-K dated January 29, 2003; and</w:t>
      </w:r>
    </w:p>
    <w:p>
      <w:pPr>
        <w:spacing w:after="0" w:line="184" w:lineRule="exact"/>
        <w:rPr>
          <w:rFonts w:ascii="Arial" w:cs="Arial" w:eastAsia="Arial" w:hAnsi="Arial"/>
          <w:sz w:val="18"/>
          <w:szCs w:val="18"/>
          <w:color w:val="auto"/>
        </w:rPr>
      </w:pPr>
    </w:p>
    <w:p>
      <w:pPr>
        <w:jc w:val="both"/>
        <w:ind w:left="1080" w:firstLine="8"/>
        <w:spacing w:after="0" w:line="259" w:lineRule="auto"/>
        <w:tabs>
          <w:tab w:leader="none" w:pos="17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pursuant to Section 12 of the Securities Exchange Act of 1934, as amended (the "Exchange Act"), including any amendment or report filed for the purpose of updating such subscription.</w:t>
      </w:r>
    </w:p>
    <w:p>
      <w:pPr>
        <w:spacing w:after="0" w:line="154" w:lineRule="exact"/>
        <w:rPr>
          <w:sz w:val="20"/>
          <w:szCs w:val="20"/>
          <w:color w:val="auto"/>
        </w:rPr>
      </w:pPr>
    </w:p>
    <w:p>
      <w:pPr>
        <w:jc w:val="both"/>
        <w:ind w:firstLine="688"/>
        <w:spacing w:after="0" w:line="306"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20" w:lineRule="exact"/>
        <w:rPr>
          <w:sz w:val="20"/>
          <w:szCs w:val="20"/>
          <w:color w:val="auto"/>
        </w:rPr>
      </w:pPr>
    </w:p>
    <w:p>
      <w:pPr>
        <w:jc w:val="both"/>
        <w:ind w:firstLine="612"/>
        <w:spacing w:after="0" w:line="286" w:lineRule="auto"/>
        <w:rPr>
          <w:sz w:val="20"/>
          <w:szCs w:val="20"/>
          <w:color w:val="auto"/>
        </w:rPr>
      </w:pPr>
      <w:r>
        <w:rPr>
          <w:rFonts w:ascii="Arial" w:cs="Arial" w:eastAsia="Arial" w:hAnsi="Arial"/>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 On April 10, 2002, the Registrant announced that it had appointed PricewaterhouseCoopers LLP to replace Arthur Andersen LLP as its independent accountants. Prior to the date of this registration statement, the Arthur Andersen LLP partners who reviewed the Registrant's audited financial statements have resigned from Arthur Andersen LLP. As a result, the Registrant has been unable to obtain Arthur Andersen LLP's written consent to the incorporation by reference into this registration statement of its audit reports with respect to the Registrant's financial statements. Arthur Andersen LLP's reports on the financial statements of the Registrant incorporated by reference in this registration statement are copies of such reports and have not been reissued by Arthur Andersen LLP. Under these circumstances, Rule 437a under the Securities Act permits the Registrant to file this registration statement without a written consent from Arthur Andersen LLP. Accordingly, Arthur Andersen LLP will not be liable to you under Section 11(a) of the Securities Act bec ause it has not consented to being named as an expert in the registration statement.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Indemnification of Directors and Officers</w:t>
      </w:r>
    </w:p>
    <w:p>
      <w:pPr>
        <w:spacing w:after="0" w:line="191" w:lineRule="exact"/>
        <w:rPr>
          <w:sz w:val="20"/>
          <w:szCs w:val="20"/>
          <w:color w:val="auto"/>
        </w:rPr>
      </w:pPr>
    </w:p>
    <w:p>
      <w:pPr>
        <w:jc w:val="both"/>
        <w:ind w:firstLine="698"/>
        <w:spacing w:after="0" w:line="288" w:lineRule="auto"/>
        <w:rPr>
          <w:sz w:val="20"/>
          <w:szCs w:val="20"/>
          <w:color w:val="auto"/>
        </w:rPr>
      </w:pPr>
      <w:r>
        <w:rPr>
          <w:rFonts w:ascii="Arial" w:cs="Arial" w:eastAsia="Arial" w:hAnsi="Arial"/>
          <w:sz w:val="16"/>
          <w:szCs w:val="16"/>
          <w:color w:val="auto"/>
        </w:rPr>
        <w:t>Sections 180.0850 to 180.0859 of the Wisconsin Statutes require a corporation to indemnify any director or officer who is a party to any threatened, pending or completed civil, criminal, administrative or investigative action, suit, arbitration or other proceeding, whether formal or informal, which involves foreign, federal, state or local law and which is brought by or in the right of the corporation or by any other person. A corporation's obligation to indemnify any such person includes the obligation to pay any judgment, settlement, penalty, assessment, forfeiture or fine, including any excise tax assessed with respect to an employee benefit plan, and all reasonable expenses including fees, costs, charges, disbursements, attorney's and other expenses except in those cases in which liability was incurred as a result of the breach or failure to perform a duty which the director or officer owes to the corporation and the breach or failure to perform constitutes: (i) a willful failure to deal fairly with the corporation or its shareholders in connection with a matter in which the director or officer has a material conflict of interest; (ii) a violation of criminal law, unless the person has reasonable cause to believe his conduct was lawful or had no reasonable cause to believe his conduct was unlawful; (iii) a transaction from which the person derived an improper personal profit; or (iv) willful misconduct.</w:t>
      </w:r>
    </w:p>
    <w:p>
      <w:pPr>
        <w:spacing w:after="0" w:line="133" w:lineRule="exact"/>
        <w:rPr>
          <w:sz w:val="20"/>
          <w:szCs w:val="20"/>
          <w:color w:val="auto"/>
        </w:rPr>
      </w:pPr>
    </w:p>
    <w:p>
      <w:pPr>
        <w:jc w:val="both"/>
        <w:ind w:firstLine="551"/>
        <w:spacing w:after="0" w:line="294" w:lineRule="auto"/>
        <w:rPr>
          <w:sz w:val="20"/>
          <w:szCs w:val="20"/>
          <w:color w:val="auto"/>
        </w:rPr>
      </w:pPr>
      <w:r>
        <w:rPr>
          <w:rFonts w:ascii="Arial" w:cs="Arial" w:eastAsia="Arial" w:hAnsi="Arial"/>
          <w:sz w:val="16"/>
          <w:szCs w:val="16"/>
          <w:color w:val="auto"/>
        </w:rPr>
        <w:t>Unless otherwise provided in a corporation's articles of incorporation or by-laws or by written agreement, an officer or director seeking indemnification is entitled to indemnification if approved in any of the following manners: (i) by majority vote of a disinterested quorum of the board of directors, or if such quorum of disinterested directors cannot be obtained, by a majority vote of a committee of two or more disinterested directors; (ii) by independent legal counsel; (iii) by a panel of three arbitrators; (iv) by affirmative vote of shareholders; (v) by a court; or (vi) with respect to any additional right to indemnification granted, by any other method permitted in Section 180.0858 of the Wisconsin Statutes.</w:t>
      </w:r>
    </w:p>
    <w:p>
      <w:pPr>
        <w:spacing w:after="0" w:line="129" w:lineRule="exact"/>
        <w:rPr>
          <w:sz w:val="20"/>
          <w:szCs w:val="20"/>
          <w:color w:val="auto"/>
        </w:rPr>
      </w:pPr>
    </w:p>
    <w:p>
      <w:pPr>
        <w:jc w:val="both"/>
        <w:ind w:firstLine="610"/>
        <w:spacing w:after="0" w:line="259" w:lineRule="auto"/>
        <w:rPr>
          <w:sz w:val="20"/>
          <w:szCs w:val="20"/>
          <w:color w:val="auto"/>
        </w:rPr>
      </w:pPr>
      <w:r>
        <w:rPr>
          <w:rFonts w:ascii="Arial" w:cs="Arial" w:eastAsia="Arial" w:hAnsi="Arial"/>
          <w:sz w:val="18"/>
          <w:szCs w:val="18"/>
          <w:color w:val="auto"/>
        </w:rPr>
        <w:t>Reasonable expenses incurred by a director or officer who is a party to a proceeding may be reimbursed by a corporation at such time as the director or officer furnishes to the corporation written affirmation of his good faith belief that he has not breached or failed to perform his duties and a written undertaking to repay any amounts advanced if it is determined that indemnification by the corporation is not required.</w:t>
      </w:r>
    </w:p>
    <w:p>
      <w:pPr>
        <w:spacing w:after="0" w:line="154" w:lineRule="exact"/>
        <w:rPr>
          <w:sz w:val="20"/>
          <w:szCs w:val="20"/>
          <w:color w:val="auto"/>
        </w:rPr>
      </w:pPr>
    </w:p>
    <w:p>
      <w:pPr>
        <w:jc w:val="both"/>
        <w:ind w:firstLine="827"/>
        <w:spacing w:after="0" w:line="306" w:lineRule="auto"/>
        <w:rPr>
          <w:sz w:val="20"/>
          <w:szCs w:val="20"/>
          <w:color w:val="auto"/>
        </w:rPr>
      </w:pPr>
      <w:r>
        <w:rPr>
          <w:rFonts w:ascii="Arial" w:cs="Arial" w:eastAsia="Arial" w:hAnsi="Arial"/>
          <w:sz w:val="16"/>
          <w:szCs w:val="16"/>
          <w:color w:val="auto"/>
        </w:rPr>
        <w:t>The indemnification provisions of Sections 180.0850 to 180.0859 are not exclusive. A corporation may expand an officer's or director's right to indemnification (i) in its articles of incorporation or by-laws; (ii) by written agreement between the director or officer and the corporation; (iii) by resolution of its board of directors; or (iv) by resolution of a majority of all of the corporation's voting shares then issued and outstanding.</w:t>
      </w:r>
    </w:p>
    <w:p>
      <w:pPr>
        <w:spacing w:after="0" w:line="120" w:lineRule="exact"/>
        <w:rPr>
          <w:sz w:val="20"/>
          <w:szCs w:val="20"/>
          <w:color w:val="auto"/>
        </w:rPr>
      </w:pPr>
    </w:p>
    <w:p>
      <w:pPr>
        <w:jc w:val="both"/>
        <w:ind w:firstLine="554"/>
        <w:spacing w:after="0" w:line="256" w:lineRule="auto"/>
        <w:rPr>
          <w:sz w:val="20"/>
          <w:szCs w:val="20"/>
          <w:color w:val="auto"/>
        </w:rPr>
      </w:pPr>
      <w:r>
        <w:rPr>
          <w:rFonts w:ascii="Arial" w:cs="Arial" w:eastAsia="Arial" w:hAnsi="Arial"/>
          <w:sz w:val="18"/>
          <w:szCs w:val="18"/>
          <w:color w:val="auto"/>
        </w:rPr>
        <w:t>As permitted by Section 180.0858, the Company has adopted indemnification provisions in its By-Laws which closely track the statutory indemnification provisions with certain exceptions. In particular, Article VII of the Company's By-Laws provides (i) that an individual shall be indemnified unless it is proven by a final judicial adjudication that indemnification is prohibited, and (ii) payment or reimbursement of expenses, subject to certain limitations, will be mandatory rather than permissive.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Company's officers and directors currently are covered by officers' and directors' liability insurance.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p>
    <w:p>
      <w:pPr>
        <w:spacing w:after="0" w:line="245" w:lineRule="exact"/>
        <w:rPr>
          <w:sz w:val="20"/>
          <w:szCs w:val="20"/>
          <w:color w:val="auto"/>
        </w:rPr>
      </w:pPr>
    </w:p>
    <w:p>
      <w:pPr>
        <w:ind w:left="2340" w:right="1780" w:hanging="553"/>
        <w:spacing w:after="0" w:line="332" w:lineRule="auto"/>
        <w:tabs>
          <w:tab w:leader="none" w:pos="2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2003 Equity Incentive Plan of Manpower Inc., incorporated by reference to the Registrant's Proxy Statement dated February 27, 2003 relating to its 2003 Annual Meeting of Shareholders</w:t>
      </w:r>
    </w:p>
    <w:p>
      <w:pPr>
        <w:spacing w:after="0" w:line="220" w:lineRule="exact"/>
        <w:rPr>
          <w:sz w:val="20"/>
          <w:szCs w:val="20"/>
          <w:color w:val="auto"/>
        </w:rPr>
      </w:pPr>
    </w:p>
    <w:p>
      <w:pPr>
        <w:ind w:left="2340" w:right="1800" w:hanging="553"/>
        <w:spacing w:after="0" w:line="268" w:lineRule="auto"/>
        <w:tabs>
          <w:tab w:leader="none" w:pos="2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Terms and Conditions Regarding the Grant of Options in Lieu of Cash Directors Fees to Non-Employee Directors Under 2003 Equity Incentive Plan of Manpower Inc.</w:t>
      </w:r>
    </w:p>
    <w:p>
      <w:pPr>
        <w:spacing w:after="0" w:line="267" w:lineRule="exact"/>
        <w:rPr>
          <w:sz w:val="20"/>
          <w:szCs w:val="20"/>
          <w:color w:val="auto"/>
        </w:rPr>
      </w:pPr>
    </w:p>
    <w:p>
      <w:pPr>
        <w:ind w:left="2340" w:hanging="549"/>
        <w:spacing w:after="0"/>
        <w:tabs>
          <w:tab w:leader="none" w:pos="2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Opinion of Godfrey &amp; Kahn, S.C.</w:t>
      </w:r>
    </w:p>
    <w:p>
      <w:pPr>
        <w:spacing w:after="0" w:line="306" w:lineRule="exact"/>
        <w:rPr>
          <w:sz w:val="20"/>
          <w:szCs w:val="20"/>
          <w:color w:val="auto"/>
        </w:rPr>
      </w:pPr>
    </w:p>
    <w:p>
      <w:pPr>
        <w:ind w:left="1800"/>
        <w:spacing w:after="0"/>
        <w:tabs>
          <w:tab w:leader="none" w:pos="23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Godfrey &amp; Kahn, S.C. (included in Exhibit 5)</w:t>
      </w:r>
    </w:p>
    <w:p>
      <w:pPr>
        <w:spacing w:after="0" w:line="306" w:lineRule="exact"/>
        <w:rPr>
          <w:sz w:val="20"/>
          <w:szCs w:val="20"/>
          <w:color w:val="auto"/>
        </w:rPr>
      </w:pPr>
    </w:p>
    <w:p>
      <w:pPr>
        <w:ind w:left="1800"/>
        <w:spacing w:after="0"/>
        <w:tabs>
          <w:tab w:leader="none" w:pos="23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w:t>
      </w:r>
    </w:p>
    <w:p>
      <w:pPr>
        <w:spacing w:after="0" w:line="306" w:lineRule="exact"/>
        <w:rPr>
          <w:sz w:val="20"/>
          <w:szCs w:val="20"/>
          <w:color w:val="auto"/>
        </w:rPr>
      </w:pPr>
    </w:p>
    <w:p>
      <w:pPr>
        <w:ind w:left="2340" w:right="1800" w:hanging="553"/>
        <w:spacing w:after="0" w:line="268" w:lineRule="auto"/>
        <w:tabs>
          <w:tab w:leader="none" w:pos="2320" w:val="left"/>
        </w:tabs>
        <w:rPr>
          <w:sz w:val="20"/>
          <w:szCs w:val="20"/>
          <w:color w:val="auto"/>
        </w:rPr>
      </w:pPr>
      <w:r>
        <w:rPr>
          <w:rFonts w:ascii="Arial" w:cs="Arial" w:eastAsia="Arial" w:hAnsi="Arial"/>
          <w:sz w:val="18"/>
          <w:szCs w:val="18"/>
          <w:color w:val="auto"/>
        </w:rPr>
        <w:t>23.3</w:t>
        <w:tab/>
        <w:t>Consent of Arthur Andersen LLP (omitted pursuant to Rule 437a under the Securities Act of 1933, as amended)</w:t>
      </w:r>
    </w:p>
    <w:p>
      <w:pPr>
        <w:spacing w:after="0" w:line="267" w:lineRule="exact"/>
        <w:rPr>
          <w:sz w:val="20"/>
          <w:szCs w:val="20"/>
          <w:color w:val="auto"/>
        </w:rPr>
      </w:pPr>
    </w:p>
    <w:p>
      <w:pPr>
        <w:ind w:left="1800"/>
        <w:spacing w:after="0"/>
        <w:tabs>
          <w:tab w:leader="none" w:pos="2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Powers of Attorney</w:t>
      </w:r>
    </w:p>
    <w:p>
      <w:pPr>
        <w:sectPr>
          <w:pgSz w:w="11900" w:h="16838" w:orient="portrait"/>
          <w:cols w:equalWidth="0" w:num="1">
            <w:col w:w="11420"/>
          </w:cols>
          <w:pgMar w:left="240" w:top="13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Undertakings</w:t>
      </w:r>
      <w:r>
        <w:rPr>
          <w:rFonts w:ascii="Arial" w:cs="Arial" w:eastAsia="Arial" w:hAnsi="Arial"/>
          <w:sz w:val="18"/>
          <w:szCs w:val="18"/>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Registrant hereby undertakes:</w:t>
      </w:r>
    </w:p>
    <w:p>
      <w:pPr>
        <w:spacing w:after="0" w:line="185" w:lineRule="exact"/>
        <w:rPr>
          <w:sz w:val="20"/>
          <w:szCs w:val="20"/>
          <w:color w:val="auto"/>
        </w:rPr>
      </w:pPr>
    </w:p>
    <w:p>
      <w:pPr>
        <w:ind w:left="1860" w:hanging="231"/>
        <w:spacing w:after="0"/>
        <w:tabs>
          <w:tab w:leader="none" w:pos="1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 To file, during any period in which offers or sales are being made, a post-effective amendment to this Registration Statement:</w:t>
      </w:r>
    </w:p>
    <w:p>
      <w:pPr>
        <w:spacing w:after="0" w:line="261" w:lineRule="exact"/>
        <w:rPr>
          <w:rFonts w:ascii="Arial" w:cs="Arial" w:eastAsia="Arial" w:hAnsi="Arial"/>
          <w:sz w:val="16"/>
          <w:szCs w:val="16"/>
          <w:color w:val="auto"/>
        </w:rPr>
      </w:pPr>
    </w:p>
    <w:p>
      <w:pPr>
        <w:ind w:left="4620" w:hanging="668"/>
        <w:spacing w:after="0"/>
        <w:tabs>
          <w:tab w:leader="none" w:pos="4620" w:val="left"/>
        </w:tabs>
        <w:numPr>
          <w:ilvl w:val="3"/>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306" w:lineRule="exact"/>
        <w:rPr>
          <w:rFonts w:ascii="Arial" w:cs="Arial" w:eastAsia="Arial" w:hAnsi="Arial"/>
          <w:sz w:val="18"/>
          <w:szCs w:val="18"/>
          <w:color w:val="auto"/>
        </w:rPr>
      </w:pPr>
    </w:p>
    <w:p>
      <w:pPr>
        <w:ind w:left="4620" w:right="40" w:hanging="668"/>
        <w:spacing w:after="0" w:line="287" w:lineRule="auto"/>
        <w:tabs>
          <w:tab w:leader="none" w:pos="4620" w:val="left"/>
        </w:tabs>
        <w:numPr>
          <w:ilvl w:val="3"/>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57" w:lineRule="exact"/>
        <w:rPr>
          <w:rFonts w:ascii="Arial" w:cs="Arial" w:eastAsia="Arial" w:hAnsi="Arial"/>
          <w:sz w:val="16"/>
          <w:szCs w:val="16"/>
          <w:color w:val="auto"/>
        </w:rPr>
      </w:pPr>
    </w:p>
    <w:p>
      <w:pPr>
        <w:ind w:left="4620" w:right="480" w:hanging="668"/>
        <w:spacing w:after="0" w:line="259" w:lineRule="auto"/>
        <w:tabs>
          <w:tab w:leader="none" w:pos="4620" w:val="left"/>
        </w:tabs>
        <w:numPr>
          <w:ilvl w:val="3"/>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75" w:lineRule="exact"/>
        <w:rPr>
          <w:rFonts w:ascii="Arial" w:cs="Arial" w:eastAsia="Arial" w:hAnsi="Arial"/>
          <w:sz w:val="18"/>
          <w:szCs w:val="18"/>
          <w:color w:val="auto"/>
        </w:rPr>
      </w:pPr>
    </w:p>
    <w:p>
      <w:pPr>
        <w:jc w:val="both"/>
        <w:ind w:left="4620" w:right="20"/>
        <w:spacing w:after="0" w:line="255" w:lineRule="auto"/>
        <w:rPr>
          <w:rFonts w:ascii="Arial" w:cs="Arial" w:eastAsia="Arial" w:hAnsi="Arial"/>
          <w:sz w:val="18"/>
          <w:szCs w:val="18"/>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210" w:lineRule="exact"/>
        <w:rPr>
          <w:rFonts w:ascii="Arial" w:cs="Arial" w:eastAsia="Arial" w:hAnsi="Arial"/>
          <w:sz w:val="18"/>
          <w:szCs w:val="18"/>
          <w:color w:val="auto"/>
        </w:rPr>
      </w:pPr>
    </w:p>
    <w:p>
      <w:pPr>
        <w:jc w:val="both"/>
        <w:ind w:left="1620" w:firstLine="484"/>
        <w:spacing w:after="0" w:line="259" w:lineRule="auto"/>
        <w:tabs>
          <w:tab w:leader="none" w:pos="2348" w:val="left"/>
        </w:tabs>
        <w:numPr>
          <w:ilvl w:val="2"/>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3" w:lineRule="exact"/>
        <w:rPr>
          <w:rFonts w:ascii="Arial" w:cs="Arial" w:eastAsia="Arial" w:hAnsi="Arial"/>
          <w:sz w:val="18"/>
          <w:szCs w:val="18"/>
          <w:color w:val="auto"/>
        </w:rPr>
      </w:pPr>
    </w:p>
    <w:p>
      <w:pPr>
        <w:ind w:left="1620" w:firstLine="472"/>
        <w:spacing w:after="0" w:line="268" w:lineRule="auto"/>
        <w:tabs>
          <w:tab w:leader="none" w:pos="2335"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145" w:lineRule="exact"/>
        <w:rPr>
          <w:rFonts w:ascii="Arial" w:cs="Arial" w:eastAsia="Arial" w:hAnsi="Arial"/>
          <w:sz w:val="18"/>
          <w:szCs w:val="18"/>
          <w:color w:val="auto"/>
        </w:rPr>
      </w:pPr>
    </w:p>
    <w:p>
      <w:pPr>
        <w:jc w:val="both"/>
        <w:ind w:left="1620" w:firstLine="9"/>
        <w:spacing w:after="0" w:line="298" w:lineRule="auto"/>
        <w:tabs>
          <w:tab w:leader="none" w:pos="188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for the purposes of determining any liability under the Securities Act, each filing of the Registrant's annual report pursuant to section 13(a) or section 15(d) of the Exchange Act (and each filing of the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6" w:lineRule="exact"/>
        <w:rPr>
          <w:sz w:val="20"/>
          <w:szCs w:val="20"/>
          <w:color w:val="auto"/>
        </w:rPr>
      </w:pPr>
    </w:p>
    <w:p>
      <w:pPr>
        <w:jc w:val="both"/>
        <w:ind w:left="1620" w:firstLine="9"/>
        <w:spacing w:after="0" w:line="288" w:lineRule="auto"/>
        <w:tabs>
          <w:tab w:leader="none" w:pos="1872" w:val="left"/>
        </w:tabs>
        <w:numPr>
          <w:ilvl w:val="1"/>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5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Paragraphs correspond to Item 512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836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jc w:val="both"/>
        <w:ind w:firstLine="527"/>
        <w:spacing w:after="0" w:line="262" w:lineRule="auto"/>
        <w:rPr>
          <w:sz w:val="20"/>
          <w:szCs w:val="20"/>
          <w:color w:val="auto"/>
        </w:rPr>
      </w:pPr>
      <w:r>
        <w:rPr>
          <w:rFonts w:ascii="Arial" w:cs="Arial" w:eastAsia="Arial" w:hAnsi="Arial"/>
          <w:sz w:val="18"/>
          <w:szCs w:val="18"/>
          <w:b w:val="1"/>
          <w:bCs w:val="1"/>
          <w:color w:val="auto"/>
        </w:rPr>
        <w:t>Pursuant to the requirements of the Securities Act of 1933, the Registrant certifies that it has reasonable grounds to believe that it meets all of the requirements for filing Form S-8 and has duly caused this Registration Statement to be signed on its behalf by the undersigned, thereunto duly authorized, in the City of Milwaukee, State of Wisconsin, on May 13, 2003.</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-13970</wp:posOffset>
            </wp:positionV>
            <wp:extent cx="1924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4050" cy="8890"/>
                    </a:xfrm>
                    <a:prstGeom prst="rect">
                      <a:avLst/>
                    </a:prstGeom>
                    <a:noFill/>
                  </pic:spPr>
                </pic:pic>
              </a:graphicData>
            </a:graphic>
          </wp:anchor>
        </w:drawing>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Jeffrey A. Joerres</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5" w:right="239" w:bottom="485" w:gutter="0" w:footer="0" w:header="0"/>
        </w:sectPr>
      </w:pPr>
    </w:p>
    <w:bookmarkStart w:id="3" w:name="page4"/>
    <w:bookmarkEnd w:id="3"/>
    <w:p>
      <w:pPr>
        <w:ind w:firstLine="594"/>
        <w:spacing w:after="0" w:line="275" w:lineRule="auto"/>
        <w:rPr>
          <w:sz w:val="20"/>
          <w:szCs w:val="20"/>
          <w:color w:val="auto"/>
        </w:rPr>
      </w:pPr>
      <w:r>
        <w:rPr>
          <w:rFonts w:ascii="Arial" w:cs="Arial" w:eastAsia="Arial" w:hAnsi="Arial"/>
          <w:sz w:val="18"/>
          <w:szCs w:val="18"/>
          <w:b w:val="1"/>
          <w:bCs w:val="1"/>
          <w:color w:val="auto"/>
        </w:rPr>
        <w:t>Pursuant to the requirements of the Securities Act of 1933, the registration statement has been signed by the following persons in the capacities and on the date indicated:</w:t>
      </w:r>
    </w:p>
    <w:p>
      <w:pPr>
        <w:spacing w:after="0" w:line="170"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Signature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320" w:type="dxa"/>
            <w:vAlign w:val="bottom"/>
          </w:tcPr>
          <w:p>
            <w:pPr>
              <w:spacing w:after="0"/>
              <w:rPr>
                <w:sz w:val="17"/>
                <w:szCs w:val="17"/>
                <w:color w:val="auto"/>
              </w:rPr>
            </w:pPr>
          </w:p>
        </w:tc>
      </w:tr>
      <w:tr>
        <w:trPr>
          <w:trHeight w:val="763"/>
        </w:trPr>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 Jeffrey A. Joerres</w:t>
            </w:r>
          </w:p>
        </w:tc>
        <w:tc>
          <w:tcPr>
            <w:tcW w:w="120" w:type="dxa"/>
            <w:vAlign w:val="bottom"/>
          </w:tcPr>
          <w:p>
            <w:pPr>
              <w:spacing w:after="0"/>
              <w:rPr>
                <w:sz w:val="24"/>
                <w:szCs w:val="24"/>
                <w:color w:val="auto"/>
              </w:rPr>
            </w:pPr>
          </w:p>
        </w:tc>
        <w:tc>
          <w:tcPr>
            <w:tcW w:w="3340" w:type="dxa"/>
            <w:vAlign w:val="bottom"/>
            <w:gridSpan w:val="3"/>
          </w:tcPr>
          <w:p>
            <w:pPr>
              <w:ind w:left="540"/>
              <w:spacing w:after="0"/>
              <w:rPr>
                <w:sz w:val="20"/>
                <w:szCs w:val="20"/>
                <w:color w:val="auto"/>
              </w:rPr>
            </w:pPr>
            <w:r>
              <w:rPr>
                <w:rFonts w:ascii="Arial" w:cs="Arial" w:eastAsia="Arial" w:hAnsi="Arial"/>
                <w:sz w:val="18"/>
                <w:szCs w:val="18"/>
                <w:color w:val="auto"/>
              </w:rPr>
              <w:t>Chairman, President, Chief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13, 2003</w:t>
            </w:r>
          </w:p>
        </w:tc>
      </w:tr>
      <w:tr>
        <w:trPr>
          <w:trHeight w:val="262"/>
        </w:trPr>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Jeffrey A. Joerres</w:t>
            </w:r>
          </w:p>
        </w:tc>
        <w:tc>
          <w:tcPr>
            <w:tcW w:w="120" w:type="dxa"/>
            <w:vAlign w:val="bottom"/>
          </w:tcPr>
          <w:p>
            <w:pPr>
              <w:spacing w:after="0"/>
              <w:rPr>
                <w:sz w:val="22"/>
                <w:szCs w:val="22"/>
                <w:color w:val="auto"/>
              </w:rPr>
            </w:pPr>
          </w:p>
        </w:tc>
        <w:tc>
          <w:tcPr>
            <w:tcW w:w="3340" w:type="dxa"/>
            <w:vAlign w:val="bottom"/>
            <w:gridSpan w:val="3"/>
          </w:tcPr>
          <w:p>
            <w:pPr>
              <w:ind w:left="540"/>
              <w:spacing w:after="0"/>
              <w:rPr>
                <w:sz w:val="20"/>
                <w:szCs w:val="20"/>
                <w:color w:val="auto"/>
              </w:rPr>
            </w:pPr>
            <w:r>
              <w:rPr>
                <w:rFonts w:ascii="Arial" w:cs="Arial" w:eastAsia="Arial" w:hAnsi="Arial"/>
                <w:sz w:val="18"/>
                <w:szCs w:val="18"/>
                <w:color w:val="auto"/>
              </w:rPr>
              <w:t>Executive Officer and a Director</w:t>
            </w: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40" w:type="dxa"/>
            <w:vAlign w:val="bottom"/>
            <w:gridSpan w:val="3"/>
          </w:tcPr>
          <w:p>
            <w:pPr>
              <w:ind w:left="54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502"/>
        </w:trPr>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/s/ Michael J. Van Handel</w:t>
            </w:r>
          </w:p>
        </w:tc>
        <w:tc>
          <w:tcPr>
            <w:tcW w:w="120" w:type="dxa"/>
            <w:vAlign w:val="bottom"/>
            <w:tcBorders>
              <w:bottom w:val="single" w:sz="8" w:color="auto"/>
            </w:tcBorders>
          </w:tcPr>
          <w:p>
            <w:pPr>
              <w:spacing w:after="0"/>
              <w:rPr>
                <w:sz w:val="24"/>
                <w:szCs w:val="24"/>
                <w:color w:val="auto"/>
              </w:rPr>
            </w:pPr>
          </w:p>
        </w:tc>
        <w:tc>
          <w:tcPr>
            <w:tcW w:w="3340" w:type="dxa"/>
            <w:vAlign w:val="bottom"/>
            <w:gridSpan w:val="3"/>
          </w:tcPr>
          <w:p>
            <w:pPr>
              <w:ind w:left="540"/>
              <w:spacing w:after="0"/>
              <w:rPr>
                <w:sz w:val="20"/>
                <w:szCs w:val="20"/>
                <w:color w:val="auto"/>
              </w:rPr>
            </w:pPr>
            <w:r>
              <w:rPr>
                <w:rFonts w:ascii="Arial" w:cs="Arial" w:eastAsia="Arial" w:hAnsi="Arial"/>
                <w:sz w:val="18"/>
                <w:szCs w:val="18"/>
                <w:color w:val="auto"/>
              </w:rPr>
              <w:t>Executive Vice President, Chief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13, 2003</w:t>
            </w:r>
          </w:p>
        </w:tc>
      </w:tr>
      <w:tr>
        <w:trPr>
          <w:trHeight w:val="262"/>
        </w:trPr>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Michael J. Van Handel</w:t>
            </w:r>
          </w:p>
        </w:tc>
        <w:tc>
          <w:tcPr>
            <w:tcW w:w="120" w:type="dxa"/>
            <w:vAlign w:val="bottom"/>
          </w:tcPr>
          <w:p>
            <w:pPr>
              <w:spacing w:after="0"/>
              <w:rPr>
                <w:sz w:val="22"/>
                <w:szCs w:val="22"/>
                <w:color w:val="auto"/>
              </w:rPr>
            </w:pPr>
          </w:p>
        </w:tc>
        <w:tc>
          <w:tcPr>
            <w:tcW w:w="3340" w:type="dxa"/>
            <w:vAlign w:val="bottom"/>
            <w:gridSpan w:val="3"/>
          </w:tcPr>
          <w:p>
            <w:pPr>
              <w:ind w:left="540"/>
              <w:spacing w:after="0"/>
              <w:rPr>
                <w:sz w:val="20"/>
                <w:szCs w:val="20"/>
                <w:color w:val="auto"/>
              </w:rPr>
            </w:pPr>
            <w:r>
              <w:rPr>
                <w:rFonts w:ascii="Arial" w:cs="Arial" w:eastAsia="Arial" w:hAnsi="Arial"/>
                <w:sz w:val="18"/>
                <w:szCs w:val="18"/>
                <w:color w:val="auto"/>
              </w:rPr>
              <w:t>Financial Officer and Secretary</w:t>
            </w: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40" w:type="dxa"/>
            <w:vAlign w:val="bottom"/>
            <w:gridSpan w:val="3"/>
          </w:tcPr>
          <w:p>
            <w:pPr>
              <w:ind w:left="540"/>
              <w:spacing w:after="0"/>
              <w:rPr>
                <w:sz w:val="20"/>
                <w:szCs w:val="20"/>
                <w:color w:val="auto"/>
              </w:rPr>
            </w:pPr>
            <w:r>
              <w:rPr>
                <w:rFonts w:ascii="Arial" w:cs="Arial" w:eastAsia="Arial" w:hAnsi="Arial"/>
                <w:sz w:val="18"/>
                <w:szCs w:val="18"/>
                <w:color w:val="auto"/>
              </w:rPr>
              <w:t>(Principal Financial Officer and</w:t>
            </w: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40" w:type="dxa"/>
            <w:vAlign w:val="bottom"/>
            <w:gridSpan w:val="3"/>
          </w:tcPr>
          <w:p>
            <w:pPr>
              <w:ind w:left="54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Directors: J. Thomas Bouchard, Willie D. Davis, Terry A. Hueneke, Rozanne L. Ridgway, Dennis Stevenson, John R. Walter and Edward J. Zore.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-10160</wp:posOffset>
            </wp:positionV>
            <wp:extent cx="1386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Michael J. Van Handel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900"/>
        <w:spacing w:after="0"/>
        <w:rPr>
          <w:sz w:val="20"/>
          <w:szCs w:val="20"/>
          <w:color w:val="auto"/>
        </w:rPr>
      </w:pPr>
      <w:r>
        <w:rPr>
          <w:rFonts w:ascii="Arial" w:cs="Arial" w:eastAsia="Arial" w:hAnsi="Arial"/>
          <w:sz w:val="18"/>
          <w:szCs w:val="18"/>
          <w:u w:val="single" w:color="auto"/>
          <w:color w:val="auto"/>
        </w:rPr>
        <w:t>Exhibits</w:t>
      </w:r>
    </w:p>
    <w:p>
      <w:pPr>
        <w:spacing w:after="0" w:line="306" w:lineRule="exact"/>
        <w:rPr>
          <w:sz w:val="20"/>
          <w:szCs w:val="20"/>
          <w:color w:val="auto"/>
        </w:rPr>
      </w:pPr>
    </w:p>
    <w:p>
      <w:pPr>
        <w:ind w:left="3500" w:right="20" w:hanging="607"/>
        <w:spacing w:after="0" w:line="268" w:lineRule="auto"/>
        <w:tabs>
          <w:tab w:leader="none" w:pos="3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2003 Equity Incentive Plan of Manpower Inc., incorporated by reference to the Registrant's Proxy Statement dated February 27, 2003 relating to its 2003 Annual Meeting of Shareholders</w:t>
      </w:r>
    </w:p>
    <w:p>
      <w:pPr>
        <w:spacing w:after="0" w:line="267" w:lineRule="exact"/>
        <w:rPr>
          <w:sz w:val="20"/>
          <w:szCs w:val="20"/>
          <w:color w:val="auto"/>
        </w:rPr>
      </w:pPr>
    </w:p>
    <w:p>
      <w:pPr>
        <w:ind w:left="3500" w:right="20" w:hanging="607"/>
        <w:spacing w:after="0" w:line="268" w:lineRule="auto"/>
        <w:tabs>
          <w:tab w:leader="none" w:pos="3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Terms and Conditions Regarding the Grant of Options in Lieu of Cash Directors Fees to Non-Employee Directors Under 2003 Equity Incentive Plan of Manpower Inc.</w:t>
      </w:r>
    </w:p>
    <w:p>
      <w:pPr>
        <w:spacing w:after="0" w:line="267" w:lineRule="exact"/>
        <w:rPr>
          <w:sz w:val="20"/>
          <w:szCs w:val="20"/>
          <w:color w:val="auto"/>
        </w:rPr>
      </w:pPr>
    </w:p>
    <w:p>
      <w:pPr>
        <w:ind w:left="3500" w:hanging="602"/>
        <w:spacing w:after="0"/>
        <w:tabs>
          <w:tab w:leader="none" w:pos="3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of Godfrey &amp; Kahn, S.C.</w:t>
      </w:r>
    </w:p>
    <w:p>
      <w:pPr>
        <w:spacing w:after="0" w:line="306"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Godfrey &amp; Kahn, S.C. (included in Exhibit 5)</w:t>
      </w:r>
    </w:p>
    <w:p>
      <w:pPr>
        <w:spacing w:after="0" w:line="306"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w:t>
      </w:r>
    </w:p>
    <w:p>
      <w:pPr>
        <w:spacing w:after="0" w:line="306"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 of Arthur Andersen LLP (omitted pursuant to Rule 437a under the Securities Act of 1933, as amended)</w:t>
      </w:r>
    </w:p>
    <w:p>
      <w:pPr>
        <w:spacing w:after="0" w:line="306" w:lineRule="exact"/>
        <w:rPr>
          <w:sz w:val="20"/>
          <w:szCs w:val="20"/>
          <w:color w:val="auto"/>
        </w:rPr>
      </w:pPr>
    </w:p>
    <w:p>
      <w:pPr>
        <w:ind w:left="2900"/>
        <w:spacing w:after="0"/>
        <w:tabs>
          <w:tab w:leader="none" w:pos="34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Powers of Attorney</w:t>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4.2</w:t>
      </w:r>
    </w:p>
    <w:p>
      <w:pPr>
        <w:spacing w:after="0" w:line="200" w:lineRule="exact"/>
        <w:rPr>
          <w:sz w:val="20"/>
          <w:szCs w:val="20"/>
          <w:color w:val="auto"/>
        </w:rPr>
      </w:pPr>
    </w:p>
    <w:p>
      <w:pPr>
        <w:spacing w:after="0" w:line="23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Terms and Conditions Regarding the Grant of Options in Lieu</w:t>
      </w:r>
    </w:p>
    <w:p>
      <w:pPr>
        <w:jc w:val="center"/>
        <w:ind w:left="660"/>
        <w:spacing w:after="0" w:line="205" w:lineRule="auto"/>
        <w:rPr>
          <w:sz w:val="20"/>
          <w:szCs w:val="20"/>
          <w:color w:val="auto"/>
        </w:rPr>
      </w:pPr>
      <w:r>
        <w:rPr>
          <w:rFonts w:ascii="Arial" w:cs="Arial" w:eastAsia="Arial" w:hAnsi="Arial"/>
          <w:sz w:val="22"/>
          <w:szCs w:val="22"/>
          <w:b w:val="1"/>
          <w:bCs w:val="1"/>
          <w:color w:val="auto"/>
        </w:rPr>
        <w:t>of Cash Directors Fees to Non-Employee Directors</w:t>
      </w:r>
    </w:p>
    <w:p>
      <w:pPr>
        <w:jc w:val="center"/>
        <w:ind w:left="660"/>
        <w:spacing w:after="0" w:line="205" w:lineRule="auto"/>
        <w:rPr>
          <w:sz w:val="20"/>
          <w:szCs w:val="20"/>
          <w:color w:val="auto"/>
        </w:rPr>
      </w:pPr>
      <w:r>
        <w:rPr>
          <w:rFonts w:ascii="Arial" w:cs="Arial" w:eastAsia="Arial" w:hAnsi="Arial"/>
          <w:sz w:val="22"/>
          <w:szCs w:val="22"/>
          <w:b w:val="1"/>
          <w:bCs w:val="1"/>
          <w:color w:val="auto"/>
        </w:rPr>
        <w:t>Under</w:t>
      </w:r>
    </w:p>
    <w:p>
      <w:pPr>
        <w:jc w:val="center"/>
        <w:ind w:left="660"/>
        <w:spacing w:after="0" w:line="205" w:lineRule="auto"/>
        <w:rPr>
          <w:sz w:val="20"/>
          <w:szCs w:val="20"/>
          <w:color w:val="auto"/>
        </w:rPr>
      </w:pPr>
      <w:r>
        <w:rPr>
          <w:rFonts w:ascii="Arial" w:cs="Arial" w:eastAsia="Arial" w:hAnsi="Arial"/>
          <w:sz w:val="22"/>
          <w:szCs w:val="22"/>
          <w:b w:val="1"/>
          <w:bCs w:val="1"/>
          <w:color w:val="auto"/>
        </w:rPr>
        <w:t>2003 Equity Incentive Plan</w:t>
      </w:r>
    </w:p>
    <w:p>
      <w:pPr>
        <w:jc w:val="center"/>
        <w:ind w:left="660"/>
        <w:spacing w:after="0" w:line="205" w:lineRule="auto"/>
        <w:rPr>
          <w:sz w:val="20"/>
          <w:szCs w:val="20"/>
          <w:color w:val="auto"/>
        </w:rPr>
      </w:pPr>
      <w:r>
        <w:rPr>
          <w:rFonts w:ascii="Arial" w:cs="Arial" w:eastAsia="Arial" w:hAnsi="Arial"/>
          <w:sz w:val="22"/>
          <w:szCs w:val="22"/>
          <w:b w:val="1"/>
          <w:bCs w:val="1"/>
          <w:color w:val="auto"/>
        </w:rPr>
        <w:t>of</w:t>
      </w:r>
    </w:p>
    <w:p>
      <w:pPr>
        <w:jc w:val="center"/>
        <w:ind w:left="660"/>
        <w:spacing w:after="0"/>
        <w:rPr>
          <w:sz w:val="20"/>
          <w:szCs w:val="20"/>
          <w:color w:val="auto"/>
        </w:rPr>
      </w:pPr>
      <w:r>
        <w:rPr>
          <w:rFonts w:ascii="Arial" w:cs="Arial" w:eastAsia="Arial" w:hAnsi="Arial"/>
          <w:sz w:val="22"/>
          <w:szCs w:val="22"/>
          <w:b w:val="1"/>
          <w:bCs w:val="1"/>
          <w:color w:val="auto"/>
        </w:rPr>
        <w:t>Manpower Inc.</w:t>
      </w:r>
    </w:p>
    <w:p>
      <w:pPr>
        <w:spacing w:after="0" w:line="18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February 18, 2003</w:t>
      </w:r>
    </w:p>
    <w:p>
      <w:pPr>
        <w:spacing w:after="0" w:line="20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Definitions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 the following terms shall have the meanings set forth below:</w:t>
      </w:r>
    </w:p>
    <w:p>
      <w:pPr>
        <w:spacing w:after="0" w:line="206" w:lineRule="exact"/>
        <w:rPr>
          <w:sz w:val="20"/>
          <w:szCs w:val="20"/>
          <w:color w:val="auto"/>
        </w:rPr>
      </w:pPr>
    </w:p>
    <w:p>
      <w:pPr>
        <w:ind w:left="1300" w:right="80" w:hanging="644"/>
        <w:spacing w:after="0" w:line="232"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An “Election Date” shall mean the date of the Director’s initial appointment to the Board of Directors and thereafter November 5 of any year.</w:t>
      </w:r>
    </w:p>
    <w:p>
      <w:pPr>
        <w:spacing w:after="0" w:line="159" w:lineRule="exact"/>
        <w:rPr>
          <w:rFonts w:ascii="Arial" w:cs="Arial" w:eastAsia="Arial" w:hAnsi="Arial"/>
          <w:sz w:val="22"/>
          <w:szCs w:val="22"/>
          <w:color w:val="auto"/>
        </w:rPr>
      </w:pPr>
    </w:p>
    <w:p>
      <w:pPr>
        <w:ind w:left="1300" w:right="600" w:hanging="644"/>
        <w:spacing w:after="0" w:line="298" w:lineRule="auto"/>
        <w:tabs>
          <w:tab w:leader="none" w:pos="13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 “Election Period” shall mean the period beginning November 5, 2001, and ending November 4, 2006, or a subsequent period of five years beginning on the day following the end of the prior Election Period.</w:t>
      </w:r>
    </w:p>
    <w:p>
      <w:pPr>
        <w:spacing w:after="0" w:line="105" w:lineRule="exact"/>
        <w:rPr>
          <w:rFonts w:ascii="Arial" w:cs="Arial" w:eastAsia="Arial" w:hAnsi="Arial"/>
          <w:sz w:val="19"/>
          <w:szCs w:val="19"/>
          <w:color w:val="auto"/>
        </w:rPr>
      </w:pPr>
    </w:p>
    <w:p>
      <w:pPr>
        <w:ind w:left="1300" w:hanging="644"/>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“Option” shall mean a Nonstatutory Stock Option granted under the Equity Plan.</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“Equity Plan” shall mean the 2003 Equity Incentive Plan of the Company.</w:t>
      </w:r>
    </w:p>
    <w:p>
      <w:pPr>
        <w:spacing w:after="0" w:line="179" w:lineRule="exact"/>
        <w:rPr>
          <w:rFonts w:ascii="Arial" w:cs="Arial" w:eastAsia="Arial" w:hAnsi="Arial"/>
          <w:sz w:val="22"/>
          <w:szCs w:val="22"/>
          <w:color w:val="auto"/>
        </w:rPr>
      </w:pPr>
    </w:p>
    <w:p>
      <w:pPr>
        <w:ind w:left="1300" w:right="40" w:hanging="644"/>
        <w:spacing w:after="0" w:line="223"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“Retirement” shall mean a Director’s termination of membership on the Board of Directors at a time when (1) the Director is age 60 or older and has served at least five years on the Board of Directors, or (2) the Director has served at least ten years on the Board of Directors.</w:t>
      </w:r>
    </w:p>
    <w:p>
      <w:pPr>
        <w:spacing w:after="0" w:line="159"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Any capitalized terms used below which are not otherwise defined above will have the meanings assigned to them in the Equity Plan.</w:t>
      </w:r>
    </w:p>
    <w:p>
      <w:pPr>
        <w:spacing w:after="0" w:line="180" w:lineRule="exact"/>
        <w:rPr>
          <w:sz w:val="20"/>
          <w:szCs w:val="20"/>
          <w:color w:val="auto"/>
        </w:rPr>
      </w:pPr>
    </w:p>
    <w:p>
      <w:pPr>
        <w:ind w:left="1040" w:hanging="384"/>
        <w:spacing w:after="0"/>
        <w:tabs>
          <w:tab w:leader="none" w:pos="1040" w:val="left"/>
        </w:tabs>
        <w:numPr>
          <w:ilvl w:val="1"/>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Right to Elect Options.</w:t>
      </w:r>
    </w:p>
    <w:p>
      <w:pPr>
        <w:spacing w:after="0" w:line="185" w:lineRule="exact"/>
        <w:rPr>
          <w:rFonts w:ascii="Arial" w:cs="Arial" w:eastAsia="Arial" w:hAnsi="Arial"/>
          <w:sz w:val="22"/>
          <w:szCs w:val="22"/>
          <w:b w:val="1"/>
          <w:bCs w:val="1"/>
          <w:color w:val="auto"/>
        </w:rPr>
      </w:pPr>
    </w:p>
    <w:p>
      <w:pPr>
        <w:ind w:firstLine="440"/>
        <w:spacing w:after="0" w:line="241" w:lineRule="auto"/>
        <w:tabs>
          <w:tab w:leader="none" w:pos="888"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Elective Options. </w:t>
      </w:r>
      <w:r>
        <w:rPr>
          <w:rFonts w:ascii="Arial" w:cs="Arial" w:eastAsia="Arial" w:hAnsi="Arial"/>
          <w:sz w:val="19"/>
          <w:szCs w:val="19"/>
          <w:color w:val="auto"/>
        </w:rPr>
        <w:t>A Director may elect to receive, in lieu of all cash compensation to which he or she would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be entitled as a Director (other than reimbursement for expenses), an Option granted in accordance with the following. The election shall cover a period of whole years (except as provided below) determined by the Director at the time of election beginning on any Election Date as of which no prior election is in effect under these Terms and Conditions (or similar election under the Procedures Governing the Grant of Options to Non-Employee Directors Under the 1994 Executive Stock Option and Restricted Stock Plan of the Company or under the Deferred Stock Plan of the Company), and ending no later than the expiration of the then current Election Period. &amp;nb sp;If the Election Date is other than November 5 of any year, the first year covered by an election shall be a partial year beginning on the Election Date and ending on the next succeeding November 4, and the number of shares covered by the Option for this first partial year shall be prorated (rounded to the nearest whole share) based on the ratio of the number of days in such partial year to 365. The election to receive an Option in lieu of cash compensation must be made on or before the commencement of the period covered by the election, except that for an election made by a Director in connection with his or her initial appointment to the Board of Directors, the election may be made within the first 10 days following the date of such appointment. Notwithstanding the foregoing, no Director who is a resident of the United Kingdom shall be eligible to make an election hereunder but rather shall be required to receive an Option in lieu of cash compensation and, as such, treated as i f he or she had made an election covering a period of five years effective beginning on each Election Date as of which no prior election is in effect. The Option will be for the following number of shares, subject to adjustment pursuant to Paragraph 2(b), below:</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3120" w:type="dxa"/>
            <w:vAlign w:val="bottom"/>
            <w:gridSpan w:val="2"/>
          </w:tcPr>
          <w:p>
            <w:pPr>
              <w:jc w:val="center"/>
              <w:ind w:right="1160"/>
              <w:spacing w:after="0"/>
              <w:rPr>
                <w:sz w:val="20"/>
                <w:szCs w:val="20"/>
                <w:color w:val="auto"/>
              </w:rPr>
            </w:pPr>
            <w:r>
              <w:rPr>
                <w:rFonts w:ascii="Arial" w:cs="Arial" w:eastAsia="Arial" w:hAnsi="Arial"/>
                <w:sz w:val="22"/>
                <w:szCs w:val="22"/>
                <w:color w:val="auto"/>
                <w:w w:val="86"/>
              </w:rPr>
              <w:t>Years of Cash</w:t>
            </w:r>
          </w:p>
        </w:tc>
        <w:tc>
          <w:tcPr>
            <w:tcW w:w="2520" w:type="dxa"/>
            <w:vAlign w:val="bottom"/>
            <w:gridSpan w:val="3"/>
          </w:tcPr>
          <w:p>
            <w:pPr>
              <w:ind w:left="1160"/>
              <w:spacing w:after="0"/>
              <w:rPr>
                <w:sz w:val="20"/>
                <w:szCs w:val="20"/>
                <w:color w:val="auto"/>
              </w:rPr>
            </w:pPr>
            <w:r>
              <w:rPr>
                <w:rFonts w:ascii="Arial" w:cs="Arial" w:eastAsia="Arial" w:hAnsi="Arial"/>
                <w:sz w:val="22"/>
                <w:szCs w:val="22"/>
                <w:color w:val="auto"/>
                <w:w w:val="84"/>
              </w:rPr>
              <w:t>Shares Covered</w:t>
            </w:r>
          </w:p>
        </w:tc>
      </w:tr>
      <w:tr>
        <w:trPr>
          <w:trHeight w:val="224"/>
        </w:trPr>
        <w:tc>
          <w:tcPr>
            <w:tcW w:w="1960" w:type="dxa"/>
            <w:vAlign w:val="bottom"/>
          </w:tcPr>
          <w:p>
            <w:pPr>
              <w:jc w:val="center"/>
              <w:spacing w:after="0" w:line="224" w:lineRule="exact"/>
              <w:rPr>
                <w:sz w:val="20"/>
                <w:szCs w:val="20"/>
                <w:color w:val="auto"/>
              </w:rPr>
            </w:pPr>
            <w:r>
              <w:rPr>
                <w:rFonts w:ascii="Arial" w:cs="Arial" w:eastAsia="Arial" w:hAnsi="Arial"/>
                <w:sz w:val="22"/>
                <w:szCs w:val="22"/>
                <w:color w:val="auto"/>
                <w:w w:val="88"/>
              </w:rPr>
              <w:t>Compensation Waived</w:t>
            </w:r>
          </w:p>
        </w:tc>
        <w:tc>
          <w:tcPr>
            <w:tcW w:w="1160" w:type="dxa"/>
            <w:vAlign w:val="bottom"/>
          </w:tcPr>
          <w:p>
            <w:pPr>
              <w:spacing w:after="0"/>
              <w:rPr>
                <w:sz w:val="19"/>
                <w:szCs w:val="19"/>
                <w:color w:val="auto"/>
              </w:rPr>
            </w:pPr>
          </w:p>
        </w:tc>
        <w:tc>
          <w:tcPr>
            <w:tcW w:w="2520" w:type="dxa"/>
            <w:vAlign w:val="bottom"/>
            <w:gridSpan w:val="3"/>
          </w:tcPr>
          <w:p>
            <w:pPr>
              <w:ind w:left="1400"/>
              <w:spacing w:after="0" w:line="224" w:lineRule="exact"/>
              <w:rPr>
                <w:sz w:val="20"/>
                <w:szCs w:val="20"/>
                <w:color w:val="auto"/>
              </w:rPr>
            </w:pPr>
            <w:r>
              <w:rPr>
                <w:rFonts w:ascii="Arial" w:cs="Arial" w:eastAsia="Arial" w:hAnsi="Arial"/>
                <w:sz w:val="22"/>
                <w:szCs w:val="22"/>
                <w:color w:val="auto"/>
              </w:rPr>
              <w:t>by Option</w:t>
            </w:r>
          </w:p>
        </w:tc>
      </w:tr>
      <w:tr>
        <w:trPr>
          <w:trHeight w:val="20"/>
        </w:trPr>
        <w:tc>
          <w:tcPr>
            <w:tcW w:w="1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2"/>
        </w:trPr>
        <w:tc>
          <w:tcPr>
            <w:tcW w:w="1960" w:type="dxa"/>
            <w:vAlign w:val="bottom"/>
          </w:tcPr>
          <w:p>
            <w:pPr>
              <w:jc w:val="center"/>
              <w:spacing w:after="0" w:line="242" w:lineRule="exact"/>
              <w:rPr>
                <w:sz w:val="20"/>
                <w:szCs w:val="20"/>
                <w:color w:val="auto"/>
              </w:rPr>
            </w:pPr>
            <w:r>
              <w:rPr>
                <w:rFonts w:ascii="Arial" w:cs="Arial" w:eastAsia="Arial" w:hAnsi="Arial"/>
                <w:sz w:val="22"/>
                <w:szCs w:val="22"/>
                <w:color w:val="auto"/>
                <w:w w:val="81"/>
              </w:rPr>
              <w:t>5</w:t>
            </w:r>
          </w:p>
        </w:tc>
        <w:tc>
          <w:tcPr>
            <w:tcW w:w="1160" w:type="dxa"/>
            <w:vAlign w:val="bottom"/>
          </w:tcPr>
          <w:p>
            <w:pPr>
              <w:spacing w:after="0"/>
              <w:rPr>
                <w:sz w:val="21"/>
                <w:szCs w:val="21"/>
                <w:color w:val="auto"/>
              </w:rPr>
            </w:pPr>
          </w:p>
        </w:tc>
        <w:tc>
          <w:tcPr>
            <w:tcW w:w="2260" w:type="dxa"/>
            <w:vAlign w:val="bottom"/>
            <w:gridSpan w:val="2"/>
          </w:tcPr>
          <w:p>
            <w:pPr>
              <w:ind w:left="1400"/>
              <w:spacing w:after="0" w:line="242" w:lineRule="exact"/>
              <w:rPr>
                <w:sz w:val="20"/>
                <w:szCs w:val="20"/>
                <w:color w:val="auto"/>
              </w:rPr>
            </w:pPr>
            <w:r>
              <w:rPr>
                <w:rFonts w:ascii="Arial" w:cs="Arial" w:eastAsia="Arial" w:hAnsi="Arial"/>
                <w:sz w:val="22"/>
                <w:szCs w:val="22"/>
                <w:color w:val="auto"/>
              </w:rPr>
              <w:t>50,000</w:t>
            </w:r>
          </w:p>
        </w:tc>
        <w:tc>
          <w:tcPr>
            <w:tcW w:w="260" w:type="dxa"/>
            <w:vAlign w:val="bottom"/>
          </w:tcPr>
          <w:p>
            <w:pPr>
              <w:spacing w:after="0"/>
              <w:rPr>
                <w:sz w:val="21"/>
                <w:szCs w:val="21"/>
                <w:color w:val="auto"/>
              </w:rPr>
            </w:pPr>
          </w:p>
        </w:tc>
      </w:tr>
      <w:tr>
        <w:trPr>
          <w:trHeight w:val="243"/>
        </w:trPr>
        <w:tc>
          <w:tcPr>
            <w:tcW w:w="1960" w:type="dxa"/>
            <w:vAlign w:val="bottom"/>
          </w:tcPr>
          <w:p>
            <w:pPr>
              <w:jc w:val="center"/>
              <w:spacing w:after="0" w:line="243" w:lineRule="exact"/>
              <w:rPr>
                <w:sz w:val="20"/>
                <w:szCs w:val="20"/>
                <w:color w:val="auto"/>
              </w:rPr>
            </w:pPr>
            <w:r>
              <w:rPr>
                <w:rFonts w:ascii="Arial" w:cs="Arial" w:eastAsia="Arial" w:hAnsi="Arial"/>
                <w:sz w:val="22"/>
                <w:szCs w:val="22"/>
                <w:color w:val="auto"/>
                <w:w w:val="81"/>
              </w:rPr>
              <w:t>4</w:t>
            </w:r>
          </w:p>
        </w:tc>
        <w:tc>
          <w:tcPr>
            <w:tcW w:w="1160" w:type="dxa"/>
            <w:vAlign w:val="bottom"/>
          </w:tcPr>
          <w:p>
            <w:pPr>
              <w:spacing w:after="0"/>
              <w:rPr>
                <w:sz w:val="21"/>
                <w:szCs w:val="21"/>
                <w:color w:val="auto"/>
              </w:rPr>
            </w:pPr>
          </w:p>
        </w:tc>
        <w:tc>
          <w:tcPr>
            <w:tcW w:w="2260" w:type="dxa"/>
            <w:vAlign w:val="bottom"/>
            <w:gridSpan w:val="2"/>
          </w:tcPr>
          <w:p>
            <w:pPr>
              <w:ind w:left="1400"/>
              <w:spacing w:after="0" w:line="243" w:lineRule="exact"/>
              <w:rPr>
                <w:sz w:val="20"/>
                <w:szCs w:val="20"/>
                <w:color w:val="auto"/>
              </w:rPr>
            </w:pPr>
            <w:r>
              <w:rPr>
                <w:rFonts w:ascii="Arial" w:cs="Arial" w:eastAsia="Arial" w:hAnsi="Arial"/>
                <w:sz w:val="22"/>
                <w:szCs w:val="22"/>
                <w:color w:val="auto"/>
              </w:rPr>
              <w:t>40,000</w:t>
            </w:r>
          </w:p>
        </w:tc>
        <w:tc>
          <w:tcPr>
            <w:tcW w:w="260" w:type="dxa"/>
            <w:vAlign w:val="bottom"/>
          </w:tcPr>
          <w:p>
            <w:pPr>
              <w:spacing w:after="0"/>
              <w:rPr>
                <w:sz w:val="21"/>
                <w:szCs w:val="21"/>
                <w:color w:val="auto"/>
              </w:rPr>
            </w:pPr>
          </w:p>
        </w:tc>
      </w:tr>
      <w:tr>
        <w:trPr>
          <w:trHeight w:val="243"/>
        </w:trPr>
        <w:tc>
          <w:tcPr>
            <w:tcW w:w="1960" w:type="dxa"/>
            <w:vAlign w:val="bottom"/>
          </w:tcPr>
          <w:p>
            <w:pPr>
              <w:jc w:val="center"/>
              <w:spacing w:after="0" w:line="243" w:lineRule="exact"/>
              <w:rPr>
                <w:sz w:val="20"/>
                <w:szCs w:val="20"/>
                <w:color w:val="auto"/>
              </w:rPr>
            </w:pPr>
            <w:r>
              <w:rPr>
                <w:rFonts w:ascii="Arial" w:cs="Arial" w:eastAsia="Arial" w:hAnsi="Arial"/>
                <w:sz w:val="22"/>
                <w:szCs w:val="22"/>
                <w:color w:val="auto"/>
                <w:w w:val="81"/>
              </w:rPr>
              <w:t>3</w:t>
            </w:r>
          </w:p>
        </w:tc>
        <w:tc>
          <w:tcPr>
            <w:tcW w:w="1160" w:type="dxa"/>
            <w:vAlign w:val="bottom"/>
          </w:tcPr>
          <w:p>
            <w:pPr>
              <w:spacing w:after="0"/>
              <w:rPr>
                <w:sz w:val="21"/>
                <w:szCs w:val="21"/>
                <w:color w:val="auto"/>
              </w:rPr>
            </w:pPr>
          </w:p>
        </w:tc>
        <w:tc>
          <w:tcPr>
            <w:tcW w:w="2260" w:type="dxa"/>
            <w:vAlign w:val="bottom"/>
            <w:gridSpan w:val="2"/>
          </w:tcPr>
          <w:p>
            <w:pPr>
              <w:ind w:left="1400"/>
              <w:spacing w:after="0" w:line="243" w:lineRule="exact"/>
              <w:rPr>
                <w:sz w:val="20"/>
                <w:szCs w:val="20"/>
                <w:color w:val="auto"/>
              </w:rPr>
            </w:pPr>
            <w:r>
              <w:rPr>
                <w:rFonts w:ascii="Arial" w:cs="Arial" w:eastAsia="Arial" w:hAnsi="Arial"/>
                <w:sz w:val="22"/>
                <w:szCs w:val="22"/>
                <w:color w:val="auto"/>
              </w:rPr>
              <w:t>30,000</w:t>
            </w:r>
          </w:p>
        </w:tc>
        <w:tc>
          <w:tcPr>
            <w:tcW w:w="260" w:type="dxa"/>
            <w:vAlign w:val="bottom"/>
          </w:tcPr>
          <w:p>
            <w:pPr>
              <w:spacing w:after="0"/>
              <w:rPr>
                <w:sz w:val="21"/>
                <w:szCs w:val="21"/>
                <w:color w:val="auto"/>
              </w:rPr>
            </w:pPr>
          </w:p>
        </w:tc>
      </w:tr>
      <w:tr>
        <w:trPr>
          <w:trHeight w:val="243"/>
        </w:trPr>
        <w:tc>
          <w:tcPr>
            <w:tcW w:w="1960" w:type="dxa"/>
            <w:vAlign w:val="bottom"/>
          </w:tcPr>
          <w:p>
            <w:pPr>
              <w:jc w:val="center"/>
              <w:spacing w:after="0" w:line="243" w:lineRule="exact"/>
              <w:rPr>
                <w:sz w:val="20"/>
                <w:szCs w:val="20"/>
                <w:color w:val="auto"/>
              </w:rPr>
            </w:pPr>
            <w:r>
              <w:rPr>
                <w:rFonts w:ascii="Arial" w:cs="Arial" w:eastAsia="Arial" w:hAnsi="Arial"/>
                <w:sz w:val="22"/>
                <w:szCs w:val="22"/>
                <w:color w:val="auto"/>
                <w:w w:val="81"/>
              </w:rPr>
              <w:t>2</w:t>
            </w:r>
          </w:p>
        </w:tc>
        <w:tc>
          <w:tcPr>
            <w:tcW w:w="1160" w:type="dxa"/>
            <w:vAlign w:val="bottom"/>
          </w:tcPr>
          <w:p>
            <w:pPr>
              <w:spacing w:after="0"/>
              <w:rPr>
                <w:sz w:val="21"/>
                <w:szCs w:val="21"/>
                <w:color w:val="auto"/>
              </w:rPr>
            </w:pPr>
          </w:p>
        </w:tc>
        <w:tc>
          <w:tcPr>
            <w:tcW w:w="2260" w:type="dxa"/>
            <w:vAlign w:val="bottom"/>
            <w:gridSpan w:val="2"/>
          </w:tcPr>
          <w:p>
            <w:pPr>
              <w:ind w:left="1400"/>
              <w:spacing w:after="0" w:line="243" w:lineRule="exact"/>
              <w:rPr>
                <w:sz w:val="20"/>
                <w:szCs w:val="20"/>
                <w:color w:val="auto"/>
              </w:rPr>
            </w:pPr>
            <w:r>
              <w:rPr>
                <w:rFonts w:ascii="Arial" w:cs="Arial" w:eastAsia="Arial" w:hAnsi="Arial"/>
                <w:sz w:val="22"/>
                <w:szCs w:val="22"/>
                <w:color w:val="auto"/>
              </w:rPr>
              <w:t>20,000</w:t>
            </w:r>
          </w:p>
        </w:tc>
        <w:tc>
          <w:tcPr>
            <w:tcW w:w="260" w:type="dxa"/>
            <w:vAlign w:val="bottom"/>
          </w:tcPr>
          <w:p>
            <w:pPr>
              <w:spacing w:after="0"/>
              <w:rPr>
                <w:sz w:val="21"/>
                <w:szCs w:val="21"/>
                <w:color w:val="auto"/>
              </w:rPr>
            </w:pPr>
          </w:p>
        </w:tc>
      </w:tr>
      <w:tr>
        <w:trPr>
          <w:trHeight w:val="275"/>
        </w:trPr>
        <w:tc>
          <w:tcPr>
            <w:tcW w:w="1960" w:type="dxa"/>
            <w:vAlign w:val="bottom"/>
          </w:tcPr>
          <w:p>
            <w:pPr>
              <w:jc w:val="center"/>
              <w:spacing w:after="0"/>
              <w:rPr>
                <w:sz w:val="20"/>
                <w:szCs w:val="20"/>
                <w:color w:val="auto"/>
              </w:rPr>
            </w:pPr>
            <w:r>
              <w:rPr>
                <w:rFonts w:ascii="Arial" w:cs="Arial" w:eastAsia="Arial" w:hAnsi="Arial"/>
                <w:sz w:val="22"/>
                <w:szCs w:val="22"/>
                <w:color w:val="auto"/>
                <w:w w:val="81"/>
              </w:rPr>
              <w:t>1</w:t>
            </w:r>
          </w:p>
        </w:tc>
        <w:tc>
          <w:tcPr>
            <w:tcW w:w="1160" w:type="dxa"/>
            <w:vAlign w:val="bottom"/>
          </w:tcPr>
          <w:p>
            <w:pPr>
              <w:spacing w:after="0"/>
              <w:rPr>
                <w:sz w:val="23"/>
                <w:szCs w:val="23"/>
                <w:color w:val="auto"/>
              </w:rPr>
            </w:pPr>
          </w:p>
        </w:tc>
        <w:tc>
          <w:tcPr>
            <w:tcW w:w="2260" w:type="dxa"/>
            <w:vAlign w:val="bottom"/>
            <w:gridSpan w:val="2"/>
          </w:tcPr>
          <w:p>
            <w:pPr>
              <w:ind w:left="1400"/>
              <w:spacing w:after="0"/>
              <w:rPr>
                <w:sz w:val="20"/>
                <w:szCs w:val="20"/>
                <w:color w:val="auto"/>
              </w:rPr>
            </w:pPr>
            <w:r>
              <w:rPr>
                <w:rFonts w:ascii="Arial" w:cs="Arial" w:eastAsia="Arial" w:hAnsi="Arial"/>
                <w:sz w:val="22"/>
                <w:szCs w:val="22"/>
                <w:color w:val="auto"/>
              </w:rPr>
              <w:t>10,000</w:t>
            </w:r>
          </w:p>
        </w:tc>
        <w:tc>
          <w:tcPr>
            <w:tcW w:w="260" w:type="dxa"/>
            <w:vAlign w:val="bottom"/>
          </w:tcPr>
          <w:p>
            <w:pPr>
              <w:spacing w:after="0"/>
              <w:rPr>
                <w:sz w:val="23"/>
                <w:szCs w:val="23"/>
                <w:color w:val="auto"/>
              </w:rPr>
            </w:pPr>
          </w:p>
        </w:tc>
      </w:tr>
    </w:tbl>
    <w:p>
      <w:pPr>
        <w:spacing w:after="0" w:line="212" w:lineRule="exact"/>
        <w:rPr>
          <w:sz w:val="20"/>
          <w:szCs w:val="20"/>
          <w:color w:val="auto"/>
        </w:rPr>
      </w:pPr>
    </w:p>
    <w:p>
      <w:pPr>
        <w:ind w:right="40"/>
        <w:spacing w:after="0" w:line="214" w:lineRule="auto"/>
        <w:rPr>
          <w:sz w:val="20"/>
          <w:szCs w:val="20"/>
          <w:color w:val="auto"/>
        </w:rPr>
      </w:pPr>
      <w:r>
        <w:rPr>
          <w:rFonts w:ascii="Arial" w:cs="Arial" w:eastAsia="Arial" w:hAnsi="Arial"/>
          <w:sz w:val="22"/>
          <w:szCs w:val="22"/>
          <w:color w:val="auto"/>
        </w:rPr>
        <w:t>Said election shall be in writing and delivered to the Secretary of the Company. The date of grant of the Option shall be the date on which the period covered by the election begins. The Company shall effect the granting of Options under these Terms and Conditions by the execution of Option Agreements. Instead of electing to receive an Option in lieu of all cash compensation as provided above, a Director may make such election for only 75 percent or 50 percent of such cash compensation. In such event, the Option will be for 75 percent or 50 percent, respectively, of the number of shares otherwise provided above, again subject to adjustment pursuant to Paragraph 2(b), below.</w:t>
      </w:r>
    </w:p>
    <w:p>
      <w:pPr>
        <w:spacing w:after="0" w:line="186" w:lineRule="exact"/>
        <w:rPr>
          <w:sz w:val="20"/>
          <w:szCs w:val="20"/>
          <w:color w:val="auto"/>
        </w:rPr>
      </w:pPr>
    </w:p>
    <w:p>
      <w:pPr>
        <w:ind w:right="300" w:firstLine="440"/>
        <w:spacing w:after="0" w:line="234" w:lineRule="auto"/>
        <w:tabs>
          <w:tab w:leader="none" w:pos="896"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 xml:space="preserve">Adjustment Based on Changes in the Market Price of Shares. </w:t>
      </w:r>
      <w:r>
        <w:rPr>
          <w:rFonts w:ascii="Arial" w:cs="Arial" w:eastAsia="Arial" w:hAnsi="Arial"/>
          <w:sz w:val="21"/>
          <w:szCs w:val="21"/>
          <w:color w:val="auto"/>
        </w:rPr>
        <w:t>For any Option granted pursuant to Paragraph 2(a) after</w:t>
      </w:r>
      <w:r>
        <w:rPr>
          <w:rFonts w:ascii="Arial" w:cs="Arial" w:eastAsia="Arial" w:hAnsi="Arial"/>
          <w:sz w:val="21"/>
          <w:szCs w:val="21"/>
          <w:i w:val="1"/>
          <w:iCs w:val="1"/>
          <w:color w:val="auto"/>
        </w:rPr>
        <w:t xml:space="preserve"> </w:t>
      </w:r>
      <w:r>
        <w:rPr>
          <w:rFonts w:ascii="Arial" w:cs="Arial" w:eastAsia="Arial" w:hAnsi="Arial"/>
          <w:sz w:val="21"/>
          <w:szCs w:val="21"/>
          <w:color w:val="auto"/>
        </w:rPr>
        <w:t>November 5, 2001, each of the numbers in the schedule in Paragraph 2(a), above, under “Shares Covered by Option” shall be adjusted, in accordance with the following formula, to equal the value of X, where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u w:val="single" w:color="auto"/>
          <w:color w:val="auto"/>
        </w:rPr>
        <w:t>Number shown in schedule x $28.38</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Market Price on the business day immediately proceeding the date of grant</w:t>
      </w:r>
    </w:p>
    <w:p>
      <w:pPr>
        <w:sectPr>
          <w:pgSz w:w="11900" w:h="16838" w:orient="portrait"/>
          <w:cols w:equalWidth="0" w:num="1">
            <w:col w:w="11420"/>
          </w:cols>
          <w:pgMar w:left="240" w:top="104" w:right="239" w:bottom="0" w:gutter="0" w:footer="0" w:header="0"/>
        </w:sectPr>
      </w:pPr>
    </w:p>
    <w:bookmarkStart w:id="5" w:name="page6"/>
    <w:bookmarkEnd w:id="5"/>
    <w:p>
      <w:pPr>
        <w:ind w:left="1040" w:hanging="384"/>
        <w:spacing w:after="0"/>
        <w:tabs>
          <w:tab w:leader="none" w:pos="1040" w:val="left"/>
        </w:tabs>
        <w:numPr>
          <w:ilvl w:val="1"/>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Options: General Provisions</w:t>
      </w:r>
    </w:p>
    <w:p>
      <w:pPr>
        <w:spacing w:after="0" w:line="186" w:lineRule="exact"/>
        <w:rPr>
          <w:rFonts w:ascii="Arial" w:cs="Arial" w:eastAsia="Arial" w:hAnsi="Arial"/>
          <w:sz w:val="22"/>
          <w:szCs w:val="22"/>
          <w:b w:val="1"/>
          <w:bCs w:val="1"/>
          <w:color w:val="auto"/>
        </w:rPr>
      </w:pPr>
    </w:p>
    <w:p>
      <w:pPr>
        <w:ind w:firstLine="440"/>
        <w:spacing w:after="0" w:line="218" w:lineRule="auto"/>
        <w:tabs>
          <w:tab w:leader="none" w:pos="888" w:val="left"/>
        </w:tabs>
        <w:numPr>
          <w:ilvl w:val="0"/>
          <w:numId w:val="14"/>
        </w:numPr>
        <w:rPr>
          <w:rFonts w:ascii="Arial" w:cs="Arial" w:eastAsia="Arial" w:hAnsi="Arial"/>
          <w:sz w:val="22"/>
          <w:szCs w:val="22"/>
          <w:color w:val="auto"/>
        </w:rPr>
      </w:pPr>
      <w:r>
        <w:rPr>
          <w:rFonts w:ascii="Arial" w:cs="Arial" w:eastAsia="Arial" w:hAnsi="Arial"/>
          <w:sz w:val="22"/>
          <w:szCs w:val="22"/>
          <w:i w:val="1"/>
          <w:iCs w:val="1"/>
          <w:color w:val="auto"/>
        </w:rPr>
        <w:t xml:space="preserve">Option Exercise Price. </w:t>
      </w:r>
      <w:r>
        <w:rPr>
          <w:rFonts w:ascii="Arial" w:cs="Arial" w:eastAsia="Arial" w:hAnsi="Arial"/>
          <w:sz w:val="22"/>
          <w:szCs w:val="22"/>
          <w:color w:val="auto"/>
        </w:rPr>
        <w:t>The per share purchase price of the Shares under each Option granted pursuant to these Terms</w:t>
      </w:r>
      <w:r>
        <w:rPr>
          <w:rFonts w:ascii="Arial" w:cs="Arial" w:eastAsia="Arial" w:hAnsi="Arial"/>
          <w:sz w:val="22"/>
          <w:szCs w:val="22"/>
          <w:i w:val="1"/>
          <w:iCs w:val="1"/>
          <w:color w:val="auto"/>
        </w:rPr>
        <w:t xml:space="preserve"> </w:t>
      </w:r>
      <w:r>
        <w:rPr>
          <w:rFonts w:ascii="Arial" w:cs="Arial" w:eastAsia="Arial" w:hAnsi="Arial"/>
          <w:sz w:val="22"/>
          <w:szCs w:val="22"/>
          <w:color w:val="auto"/>
        </w:rPr>
        <w:t>and Conditions shall be equal to one hundred percent (100%) of the fair market value per Share on the date of grant of such Option. The fair market value per Share on the date of grant shall be the Market Price for the business day immediately preceding the date of grant of such Option.</w:t>
      </w:r>
    </w:p>
    <w:p>
      <w:pPr>
        <w:spacing w:after="0" w:line="161" w:lineRule="exact"/>
        <w:rPr>
          <w:rFonts w:ascii="Arial" w:cs="Arial" w:eastAsia="Arial" w:hAnsi="Arial"/>
          <w:sz w:val="22"/>
          <w:szCs w:val="22"/>
          <w:color w:val="auto"/>
        </w:rPr>
      </w:pPr>
    </w:p>
    <w:p>
      <w:pPr>
        <w:ind w:left="900" w:hanging="460"/>
        <w:spacing w:after="0"/>
        <w:tabs>
          <w:tab w:leader="none" w:pos="900" w:val="left"/>
        </w:tabs>
        <w:numPr>
          <w:ilvl w:val="0"/>
          <w:numId w:val="14"/>
        </w:numPr>
        <w:rPr>
          <w:rFonts w:ascii="Arial" w:cs="Arial" w:eastAsia="Arial" w:hAnsi="Arial"/>
          <w:sz w:val="22"/>
          <w:szCs w:val="22"/>
          <w:color w:val="auto"/>
        </w:rPr>
      </w:pPr>
      <w:r>
        <w:rPr>
          <w:rFonts w:ascii="Arial" w:cs="Arial" w:eastAsia="Arial" w:hAnsi="Arial"/>
          <w:sz w:val="22"/>
          <w:szCs w:val="22"/>
          <w:i w:val="1"/>
          <w:iCs w:val="1"/>
          <w:color w:val="auto"/>
        </w:rPr>
        <w:t>Exercise Period</w:t>
      </w:r>
      <w:r>
        <w:rPr>
          <w:rFonts w:ascii="Arial" w:cs="Arial" w:eastAsia="Arial" w:hAnsi="Arial"/>
          <w:sz w:val="22"/>
          <w:szCs w:val="22"/>
          <w:color w:val="auto"/>
        </w:rPr>
        <w:t>. The following shall apply for Options granted pursuant to these Terms and Conditions:</w:t>
      </w:r>
    </w:p>
    <w:p>
      <w:pPr>
        <w:spacing w:after="0" w:line="179" w:lineRule="exact"/>
        <w:rPr>
          <w:rFonts w:ascii="Arial" w:cs="Arial" w:eastAsia="Arial" w:hAnsi="Arial"/>
          <w:sz w:val="22"/>
          <w:szCs w:val="22"/>
          <w:color w:val="auto"/>
        </w:rPr>
      </w:pPr>
    </w:p>
    <w:p>
      <w:pPr>
        <w:ind w:left="660" w:firstLine="645"/>
        <w:spacing w:after="0" w:line="224" w:lineRule="auto"/>
        <w:tabs>
          <w:tab w:leader="none" w:pos="1656" w:val="left"/>
        </w:tabs>
        <w:numPr>
          <w:ilvl w:val="2"/>
          <w:numId w:val="14"/>
        </w:numPr>
        <w:rPr>
          <w:rFonts w:ascii="Arial" w:cs="Arial" w:eastAsia="Arial" w:hAnsi="Arial"/>
          <w:sz w:val="21"/>
          <w:szCs w:val="21"/>
          <w:color w:val="auto"/>
        </w:rPr>
      </w:pPr>
      <w:r>
        <w:rPr>
          <w:rFonts w:ascii="Arial" w:cs="Arial" w:eastAsia="Arial" w:hAnsi="Arial"/>
          <w:sz w:val="21"/>
          <w:szCs w:val="21"/>
          <w:color w:val="auto"/>
        </w:rPr>
        <w:t>An Option shall not initially be exercisable. On November 5 of each year following the date of grant of an Option, the Option shall become exercisable as to a number of shares equal to that number attributable to a period of one year under the Option. Notwithstanding the foregoing sentence, if an election covers a partial year as provided in Paragraph 2(a), above, then with respect to the number of shares attributable to that partial year the Option shall become exercisable on the later of the November 5 following the date of grant or the day that is six months after the date of grant, and thereafter the foregoing sentence shall apply to the Option.</w:t>
      </w:r>
    </w:p>
    <w:p>
      <w:pPr>
        <w:spacing w:after="0" w:line="187" w:lineRule="exact"/>
        <w:rPr>
          <w:rFonts w:ascii="Arial" w:cs="Arial" w:eastAsia="Arial" w:hAnsi="Arial"/>
          <w:sz w:val="21"/>
          <w:szCs w:val="21"/>
          <w:color w:val="auto"/>
        </w:rPr>
      </w:pPr>
    </w:p>
    <w:p>
      <w:pPr>
        <w:ind w:left="660" w:right="920" w:firstLine="645"/>
        <w:spacing w:after="0" w:line="232" w:lineRule="auto"/>
        <w:tabs>
          <w:tab w:leader="none" w:pos="1668" w:val="left"/>
        </w:tabs>
        <w:numPr>
          <w:ilvl w:val="2"/>
          <w:numId w:val="14"/>
        </w:numPr>
        <w:rPr>
          <w:rFonts w:ascii="Arial" w:cs="Arial" w:eastAsia="Arial" w:hAnsi="Arial"/>
          <w:sz w:val="22"/>
          <w:szCs w:val="22"/>
          <w:color w:val="auto"/>
        </w:rPr>
      </w:pPr>
      <w:r>
        <w:rPr>
          <w:rFonts w:ascii="Arial" w:cs="Arial" w:eastAsia="Arial" w:hAnsi="Arial"/>
          <w:sz w:val="22"/>
          <w:szCs w:val="22"/>
          <w:color w:val="auto"/>
        </w:rPr>
        <w:t>Upon termination of a Director’s tenure as a Director, any portion of an Option which has not become exercisable shall lapse except as follows:</w:t>
      </w:r>
    </w:p>
    <w:p>
      <w:pPr>
        <w:spacing w:after="0" w:line="186" w:lineRule="exact"/>
        <w:rPr>
          <w:rFonts w:ascii="Arial" w:cs="Arial" w:eastAsia="Arial" w:hAnsi="Arial"/>
          <w:sz w:val="22"/>
          <w:szCs w:val="22"/>
          <w:color w:val="auto"/>
        </w:rPr>
      </w:pPr>
    </w:p>
    <w:p>
      <w:pPr>
        <w:ind w:left="1300" w:right="40" w:firstLine="653"/>
        <w:spacing w:after="0" w:line="252" w:lineRule="auto"/>
        <w:tabs>
          <w:tab w:leader="none" w:pos="2352" w:val="left"/>
        </w:tabs>
        <w:numPr>
          <w:ilvl w:val="3"/>
          <w:numId w:val="14"/>
        </w:numPr>
        <w:rPr>
          <w:rFonts w:ascii="Arial" w:cs="Arial" w:eastAsia="Arial" w:hAnsi="Arial"/>
          <w:sz w:val="19"/>
          <w:szCs w:val="19"/>
          <w:color w:val="auto"/>
        </w:rPr>
      </w:pPr>
      <w:r>
        <w:rPr>
          <w:rFonts w:ascii="Arial" w:cs="Arial" w:eastAsia="Arial" w:hAnsi="Arial"/>
          <w:sz w:val="19"/>
          <w:szCs w:val="19"/>
          <w:color w:val="auto"/>
        </w:rPr>
        <w:t>The Option shall become immediately exercisable as to a prorated number of Shares based on the time served during the one-year period (or partial-year period, if applicable) indicated in Paragraph 3(b)(1), above, in which termination occurs; provided, however, that for this purpose, any Director whose term expires in any year who does not stand for election at the Annual Meeting of Shareholders that year but continues to serve until the date of such meeting will be treated as if he or she had served through November 4 of such year.</w:t>
      </w:r>
    </w:p>
    <w:p>
      <w:pPr>
        <w:spacing w:after="0" w:line="176" w:lineRule="exact"/>
        <w:rPr>
          <w:rFonts w:ascii="Arial" w:cs="Arial" w:eastAsia="Arial" w:hAnsi="Arial"/>
          <w:sz w:val="19"/>
          <w:szCs w:val="19"/>
          <w:color w:val="auto"/>
        </w:rPr>
      </w:pPr>
    </w:p>
    <w:p>
      <w:pPr>
        <w:ind w:left="1300" w:right="500" w:firstLine="653"/>
        <w:spacing w:after="0" w:line="232" w:lineRule="auto"/>
        <w:tabs>
          <w:tab w:leader="none" w:pos="2344" w:val="left"/>
        </w:tabs>
        <w:numPr>
          <w:ilvl w:val="3"/>
          <w:numId w:val="14"/>
        </w:numPr>
        <w:rPr>
          <w:rFonts w:ascii="Arial" w:cs="Arial" w:eastAsia="Arial" w:hAnsi="Arial"/>
          <w:sz w:val="22"/>
          <w:szCs w:val="22"/>
          <w:color w:val="auto"/>
        </w:rPr>
      </w:pPr>
      <w:r>
        <w:rPr>
          <w:rFonts w:ascii="Arial" w:cs="Arial" w:eastAsia="Arial" w:hAnsi="Arial"/>
          <w:sz w:val="22"/>
          <w:szCs w:val="22"/>
          <w:color w:val="auto"/>
        </w:rPr>
        <w:t>Upon the death or Disability of a Director, each Option of such Director shall become immediately exercisable as to 100% of the Shares covered thereby.</w:t>
      </w:r>
    </w:p>
    <w:p>
      <w:pPr>
        <w:spacing w:after="0" w:line="186" w:lineRule="exact"/>
        <w:rPr>
          <w:rFonts w:ascii="Arial" w:cs="Arial" w:eastAsia="Arial" w:hAnsi="Arial"/>
          <w:sz w:val="22"/>
          <w:szCs w:val="22"/>
          <w:color w:val="auto"/>
        </w:rPr>
      </w:pPr>
    </w:p>
    <w:p>
      <w:pPr>
        <w:ind w:left="660" w:right="340" w:firstLine="645"/>
        <w:spacing w:after="0" w:line="232" w:lineRule="auto"/>
        <w:tabs>
          <w:tab w:leader="none" w:pos="1668" w:val="left"/>
        </w:tabs>
        <w:numPr>
          <w:ilvl w:val="2"/>
          <w:numId w:val="14"/>
        </w:numPr>
        <w:rPr>
          <w:rFonts w:ascii="Arial" w:cs="Arial" w:eastAsia="Arial" w:hAnsi="Arial"/>
          <w:sz w:val="22"/>
          <w:szCs w:val="22"/>
          <w:color w:val="auto"/>
        </w:rPr>
      </w:pPr>
      <w:r>
        <w:rPr>
          <w:rFonts w:ascii="Arial" w:cs="Arial" w:eastAsia="Arial" w:hAnsi="Arial"/>
          <w:sz w:val="22"/>
          <w:szCs w:val="22"/>
          <w:color w:val="auto"/>
        </w:rPr>
        <w:t>Upon the occurrence of a Triggering Event, each Option outstanding under these Terms and Conditions shall become immediately exercisable as to 100% of the Shares covered thereby.</w:t>
      </w:r>
    </w:p>
    <w:p>
      <w:pPr>
        <w:spacing w:after="0" w:line="186" w:lineRule="exact"/>
        <w:rPr>
          <w:rFonts w:ascii="Arial" w:cs="Arial" w:eastAsia="Arial" w:hAnsi="Arial"/>
          <w:sz w:val="22"/>
          <w:szCs w:val="22"/>
          <w:color w:val="auto"/>
        </w:rPr>
      </w:pPr>
    </w:p>
    <w:p>
      <w:pPr>
        <w:ind w:left="660" w:right="100" w:firstLine="645"/>
        <w:spacing w:after="0" w:line="218" w:lineRule="auto"/>
        <w:tabs>
          <w:tab w:leader="none" w:pos="1668" w:val="left"/>
        </w:tabs>
        <w:numPr>
          <w:ilvl w:val="2"/>
          <w:numId w:val="14"/>
        </w:numPr>
        <w:rPr>
          <w:rFonts w:ascii="Arial" w:cs="Arial" w:eastAsia="Arial" w:hAnsi="Arial"/>
          <w:sz w:val="22"/>
          <w:szCs w:val="22"/>
          <w:color w:val="auto"/>
        </w:rPr>
      </w:pPr>
      <w:r>
        <w:rPr>
          <w:rFonts w:ascii="Arial" w:cs="Arial" w:eastAsia="Arial" w:hAnsi="Arial"/>
          <w:sz w:val="22"/>
          <w:szCs w:val="22"/>
          <w:color w:val="auto"/>
        </w:rPr>
        <w:t>Once any portion of an Option becomes exercisable, it shall remain exercisable until the earlier of (A) ten years after the date of grant or (B) three years after the date the Director’s membership on the Board of Directors terminates because of death or upon the Disability or Retirement of the Director, or three months after the date the Director’s membership on the Board of Directors terminates in any other circumstances.</w:t>
      </w:r>
    </w:p>
    <w:p>
      <w:pPr>
        <w:spacing w:after="0" w:line="182" w:lineRule="exact"/>
        <w:rPr>
          <w:rFonts w:ascii="Arial" w:cs="Arial" w:eastAsia="Arial" w:hAnsi="Arial"/>
          <w:sz w:val="22"/>
          <w:szCs w:val="22"/>
          <w:color w:val="auto"/>
        </w:rPr>
      </w:pPr>
    </w:p>
    <w:p>
      <w:pPr>
        <w:ind w:left="960" w:hanging="304"/>
        <w:spacing w:after="0"/>
        <w:tabs>
          <w:tab w:leader="none" w:pos="960" w:val="left"/>
        </w:tabs>
        <w:numPr>
          <w:ilvl w:val="1"/>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Application of Plan.</w:t>
      </w:r>
    </w:p>
    <w:p>
      <w:pPr>
        <w:spacing w:after="0" w:line="185"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Except as otherwise provided in these Terms and Conditions, the Equity Plan shall apply to any Options granted pursuant to these Terms and Conditions.</w:t>
      </w:r>
    </w:p>
    <w:p>
      <w:pPr>
        <w:sectPr>
          <w:pgSz w:w="11900" w:h="16838" w:orient="portrait"/>
          <w:cols w:equalWidth="0" w:num="1">
            <w:col w:w="11400"/>
          </w:cols>
          <w:pgMar w:left="240" w:top="98"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GODFREY &amp; KAHN, S.C.</w:t>
      </w:r>
    </w:p>
    <w:p>
      <w:pPr>
        <w:jc w:val="center"/>
        <w:spacing w:after="0" w:line="205" w:lineRule="auto"/>
        <w:rPr>
          <w:sz w:val="20"/>
          <w:szCs w:val="20"/>
          <w:color w:val="auto"/>
        </w:rPr>
      </w:pPr>
      <w:r>
        <w:rPr>
          <w:rFonts w:ascii="Arial" w:cs="Arial" w:eastAsia="Arial" w:hAnsi="Arial"/>
          <w:sz w:val="22"/>
          <w:szCs w:val="22"/>
          <w:color w:val="auto"/>
        </w:rPr>
        <w:t>ATTORNEYS AT LAW</w:t>
      </w:r>
    </w:p>
    <w:p>
      <w:pPr>
        <w:jc w:val="center"/>
        <w:spacing w:after="0" w:line="205" w:lineRule="auto"/>
        <w:rPr>
          <w:sz w:val="20"/>
          <w:szCs w:val="20"/>
          <w:color w:val="auto"/>
        </w:rPr>
      </w:pPr>
      <w:r>
        <w:rPr>
          <w:rFonts w:ascii="Arial" w:cs="Arial" w:eastAsia="Arial" w:hAnsi="Arial"/>
          <w:sz w:val="22"/>
          <w:szCs w:val="22"/>
          <w:color w:val="auto"/>
        </w:rPr>
        <w:t>780 North Water Street</w:t>
      </w:r>
    </w:p>
    <w:p>
      <w:pPr>
        <w:jc w:val="center"/>
        <w:spacing w:after="0" w:line="205" w:lineRule="auto"/>
        <w:rPr>
          <w:sz w:val="20"/>
          <w:szCs w:val="20"/>
          <w:color w:val="auto"/>
        </w:rPr>
      </w:pPr>
      <w:r>
        <w:rPr>
          <w:rFonts w:ascii="Arial" w:cs="Arial" w:eastAsia="Arial" w:hAnsi="Arial"/>
          <w:sz w:val="22"/>
          <w:szCs w:val="22"/>
          <w:color w:val="auto"/>
        </w:rPr>
        <w:t>Milwaukee, Wisconsin 53202</w:t>
      </w:r>
    </w:p>
    <w:p>
      <w:pPr>
        <w:jc w:val="center"/>
        <w:spacing w:after="0"/>
        <w:rPr>
          <w:sz w:val="20"/>
          <w:szCs w:val="20"/>
          <w:color w:val="auto"/>
        </w:rPr>
      </w:pPr>
      <w:r>
        <w:rPr>
          <w:rFonts w:ascii="Arial" w:cs="Arial" w:eastAsia="Arial" w:hAnsi="Arial"/>
          <w:sz w:val="22"/>
          <w:szCs w:val="22"/>
          <w:color w:val="auto"/>
        </w:rPr>
        <w:t>Phone: (414) 273-3500 Fax: (414) 273-5198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13, 2003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Manpower Inc.</w:t>
      </w:r>
    </w:p>
    <w:p>
      <w:pPr>
        <w:spacing w:after="0" w:line="197" w:lineRule="auto"/>
        <w:rPr>
          <w:sz w:val="20"/>
          <w:szCs w:val="20"/>
          <w:color w:val="auto"/>
        </w:rPr>
      </w:pPr>
      <w:r>
        <w:rPr>
          <w:rFonts w:ascii="Arial" w:cs="Arial" w:eastAsia="Arial" w:hAnsi="Arial"/>
          <w:sz w:val="20"/>
          <w:szCs w:val="20"/>
          <w:color w:val="auto"/>
        </w:rPr>
        <w:t>5301 North Ironwood Road</w:t>
      </w:r>
    </w:p>
    <w:p>
      <w:pPr>
        <w:spacing w:after="0"/>
        <w:rPr>
          <w:sz w:val="20"/>
          <w:szCs w:val="20"/>
          <w:color w:val="auto"/>
        </w:rPr>
      </w:pPr>
      <w:r>
        <w:rPr>
          <w:rFonts w:ascii="Arial" w:cs="Arial" w:eastAsia="Arial" w:hAnsi="Arial"/>
          <w:sz w:val="20"/>
          <w:szCs w:val="20"/>
          <w:color w:val="auto"/>
        </w:rPr>
        <w:t>Milwaukee, Wisconsin 53217</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89" w:lineRule="exact"/>
        <w:rPr>
          <w:sz w:val="20"/>
          <w:szCs w:val="20"/>
          <w:color w:val="auto"/>
        </w:rPr>
      </w:pPr>
    </w:p>
    <w:p>
      <w:pPr>
        <w:ind w:right="80" w:firstLine="648"/>
        <w:spacing w:after="0" w:line="210" w:lineRule="auto"/>
        <w:rPr>
          <w:sz w:val="20"/>
          <w:szCs w:val="20"/>
          <w:color w:val="auto"/>
        </w:rPr>
      </w:pPr>
      <w:r>
        <w:rPr>
          <w:rFonts w:ascii="Arial" w:cs="Arial" w:eastAsia="Arial" w:hAnsi="Arial"/>
          <w:sz w:val="20"/>
          <w:szCs w:val="20"/>
          <w:color w:val="auto"/>
        </w:rPr>
        <w:t>We have acted as your counsel in connection with the offer by Manpower Inc., a Wisconsin corporation (the “Company”), of up to 4,500,000 shares of common stock, $0.01 par value (the “Shares”). The Shares are to be issued pursuant to the Company’s 2003 Equity Incentive Plan (the “Plan”), as described in the Plan’s prospectus (the “Prospectus”), including all amendments and supplements thereto, which relates to the Company’s Registration Statement on Form S-8, to be filed with the Securities and Exchange Commission on or about May 13, 2003 (the “Registration Statement”).</w:t>
      </w:r>
    </w:p>
    <w:p>
      <w:pPr>
        <w:spacing w:after="0" w:line="142" w:lineRule="exact"/>
        <w:rPr>
          <w:sz w:val="20"/>
          <w:szCs w:val="20"/>
          <w:color w:val="auto"/>
        </w:rPr>
      </w:pPr>
    </w:p>
    <w:p>
      <w:pPr>
        <w:jc w:val="both"/>
        <w:ind w:right="120" w:firstLine="648"/>
        <w:spacing w:after="0" w:line="244" w:lineRule="auto"/>
        <w:rPr>
          <w:sz w:val="20"/>
          <w:szCs w:val="20"/>
          <w:color w:val="auto"/>
        </w:rPr>
      </w:pPr>
      <w:r>
        <w:rPr>
          <w:rFonts w:ascii="Arial" w:cs="Arial" w:eastAsia="Arial" w:hAnsi="Arial"/>
          <w:sz w:val="18"/>
          <w:szCs w:val="18"/>
          <w:color w:val="auto"/>
        </w:rPr>
        <w:t>We have examined: (a) the Plan, the Prospectus and the Registration Statement, (b) the Company’s Amended and Restated Articles of Incorporation and Amended and Restated By-Laws, each as amended to date, (c) certain resolutions of the Company’s Board of Directors, and (d) such other proceedings, documents and records as we have deemed necessary to enable us to render this opinion.</w:t>
      </w:r>
    </w:p>
    <w:p>
      <w:pPr>
        <w:spacing w:after="0" w:line="125" w:lineRule="exact"/>
        <w:rPr>
          <w:sz w:val="20"/>
          <w:szCs w:val="20"/>
          <w:color w:val="auto"/>
        </w:rPr>
      </w:pPr>
    </w:p>
    <w:p>
      <w:pPr>
        <w:ind w:right="80" w:firstLine="648"/>
        <w:spacing w:after="0" w:line="207" w:lineRule="auto"/>
        <w:rPr>
          <w:sz w:val="20"/>
          <w:szCs w:val="20"/>
          <w:color w:val="auto"/>
        </w:rPr>
      </w:pPr>
      <w:r>
        <w:rPr>
          <w:rFonts w:ascii="Arial" w:cs="Arial" w:eastAsia="Arial" w:hAnsi="Arial"/>
          <w:sz w:val="20"/>
          <w:szCs w:val="20"/>
          <w:color w:val="auto"/>
        </w:rPr>
        <w:t>Based on the foregoing, we are of the opinion that the Shares are duly authorized and, upon issuance in accordance with the terms of the Plan, will be validly issued, fully paid and nonassessable, subject to Section 180.0622(2)(b) of the Wisconsin Statutes, or any successor provision. Section 180.0622(2)(b) of the Wisconsin Statutes provides that shareholders of a corporation may be assessed up to the par value of their shares to satisfy the obligations of such corporation to its employees for services rendered, but not exceeding six months service in the case of any individual employee. Certain Wisconsin courts have interpreted “par value” to mean the full amount paid by the purchaser of shares upon issuance thereof.</w:t>
      </w:r>
    </w:p>
    <w:p>
      <w:pPr>
        <w:spacing w:after="0" w:line="147" w:lineRule="exact"/>
        <w:rPr>
          <w:sz w:val="20"/>
          <w:szCs w:val="20"/>
          <w:color w:val="auto"/>
        </w:rPr>
      </w:pPr>
    </w:p>
    <w:p>
      <w:pPr>
        <w:jc w:val="both"/>
        <w:ind w:right="80" w:firstLine="648"/>
        <w:spacing w:after="0" w:line="218" w:lineRule="auto"/>
        <w:rPr>
          <w:sz w:val="20"/>
          <w:szCs w:val="20"/>
          <w:color w:val="auto"/>
        </w:rPr>
      </w:pPr>
      <w:r>
        <w:rPr>
          <w:rFonts w:ascii="Arial" w:cs="Arial" w:eastAsia="Arial" w:hAnsi="Arial"/>
          <w:sz w:val="20"/>
          <w:szCs w:val="20"/>
          <w:color w:val="auto"/>
        </w:rPr>
        <w:t>We consent to the use of this opinion as an exhibit to the Registration Statement. In giving this consent, however, we do not admit that we are “experts” within the meaning of Section 11 of the Securities Act of 1933, as amended, or within the category of persons whose consent is required by Section 7 of said Act.</w:t>
      </w:r>
    </w:p>
    <w:p>
      <w:pPr>
        <w:spacing w:after="0" w:line="1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 Godfrey &amp; Kahn, S.C.</w:t>
      </w:r>
    </w:p>
    <w:p>
      <w:pPr>
        <w:spacing w:after="0" w:line="18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GODFREY &amp; KAHN, S.C.</w:t>
      </w:r>
    </w:p>
    <w:p>
      <w:pPr>
        <w:sectPr>
          <w:pgSz w:w="11900" w:h="16838" w:orient="portrait"/>
          <w:cols w:equalWidth="0" w:num="1">
            <w:col w:w="11420"/>
          </w:cols>
          <w:pgMar w:left="240" w:top="1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ACCOUNTANTS</w:t>
      </w:r>
    </w:p>
    <w:p>
      <w:pPr>
        <w:spacing w:after="0" w:line="200" w:lineRule="exact"/>
        <w:rPr>
          <w:sz w:val="20"/>
          <w:szCs w:val="20"/>
          <w:color w:val="auto"/>
        </w:rPr>
      </w:pPr>
    </w:p>
    <w:p>
      <w:pPr>
        <w:spacing w:after="0" w:line="249" w:lineRule="exact"/>
        <w:rPr>
          <w:sz w:val="20"/>
          <w:szCs w:val="20"/>
          <w:color w:val="auto"/>
        </w:rPr>
      </w:pPr>
    </w:p>
    <w:p>
      <w:pPr>
        <w:ind w:right="260"/>
        <w:spacing w:after="0" w:line="226" w:lineRule="auto"/>
        <w:rPr>
          <w:sz w:val="20"/>
          <w:szCs w:val="20"/>
          <w:color w:val="auto"/>
        </w:rPr>
      </w:pPr>
      <w:r>
        <w:rPr>
          <w:rFonts w:ascii="Arial" w:cs="Arial" w:eastAsia="Arial" w:hAnsi="Arial"/>
          <w:sz w:val="21"/>
          <w:szCs w:val="21"/>
          <w:color w:val="auto"/>
        </w:rPr>
        <w:t>We hereby consent to the incorporation by reference in this Registration Statement on Form S-8 of our report dated January 28, 2003 relating to the financial statements, which appears in the 2002 Annual Report to Shareholders of Manpower Inc., which is incorporated by reference in Manpower Inc.'s Annual Report on Form 10-K for the year ended December 31, 2002. We also consent to the incorporation by reference of our report dated January 28, 2003 relating to the financial statement schedule, which appears in such Annual Report on Form 10-K.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Milwaukee, Wisconsin</w:t>
      </w:r>
    </w:p>
    <w:p>
      <w:pPr>
        <w:spacing w:after="0"/>
        <w:rPr>
          <w:sz w:val="20"/>
          <w:szCs w:val="20"/>
          <w:color w:val="auto"/>
        </w:rPr>
      </w:pPr>
      <w:r>
        <w:rPr>
          <w:rFonts w:ascii="Arial" w:cs="Arial" w:eastAsia="Arial" w:hAnsi="Arial"/>
          <w:sz w:val="22"/>
          <w:szCs w:val="22"/>
          <w:color w:val="auto"/>
        </w:rPr>
        <w:t>May 13, 2003</w:t>
      </w:r>
    </w:p>
    <w:p>
      <w:pPr>
        <w:sectPr>
          <w:pgSz w:w="11900" w:h="16838" w:orient="portrait"/>
          <w:cols w:equalWidth="0" w:num="1">
            <w:col w:w="11420"/>
          </w:cols>
          <w:pgMar w:left="240" w:top="1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 Thomas Bouchard</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 Thomas Bouchard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Willie D. Davis</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Willie D. Davis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Terry A. Hueneke</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Terry A. Hueneke</w:t>
      </w:r>
    </w:p>
    <w:p>
      <w:pPr>
        <w:sectPr>
          <w:pgSz w:w="11900" w:h="16838" w:orient="portrait"/>
          <w:cols w:equalWidth="0" w:num="1">
            <w:col w:w="11420"/>
          </w:cols>
          <w:pgMar w:left="240" w:top="834"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Dennis Stevenson</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Dennis Stevenson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John R. Walter</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R. Walter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Edward J. Zore</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Edward J. Zore</w:t>
      </w:r>
    </w:p>
    <w:p>
      <w:pPr>
        <w:sectPr>
          <w:pgSz w:w="11900" w:h="16838" w:orient="portrait"/>
          <w:cols w:equalWidth="0" w:num="1">
            <w:col w:w="11420"/>
          </w:cols>
          <w:pgMar w:left="240" w:top="1219" w:right="23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Rozanne L. Ridgway</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Rozanne L. Ridgway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12"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The undersigned director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S-8 relating to the Company’s 2003 Equity Incentive Plan and any and all amendments (including post-effective amendments) and/or supplements thereto, and to file the same, with all exhibits thereto, other documents in connection therewith, and any amendments to any of the foregoing, with the Securities and Exchange Commission and any other regulato 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as of this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January, 2003.</w:t>
      </w: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Jeffrey A. Joerres</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Jeffrey A. Joerres</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41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3"/>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lvl w:ilvl="3">
      <w:lvlJc w:val="left"/>
      <w:lvlText w:val="(%4)"/>
      <w:numFmt w:val="lowerRoman"/>
      <w:start w:val="1"/>
    </w:lvl>
  </w:abstractNum>
  <w:abstractNum w:abstractNumId="6">
    <w:nsid w:val="216231B"/>
    <w:multiLevelType w:val="hybridMultilevel"/>
    <w:lvl w:ilvl="0">
      <w:lvlJc w:val="left"/>
      <w:lvlText w:val="*"/>
      <w:numFmt w:val="bullet"/>
      <w:start w:val="1"/>
    </w:lvl>
    <w:lvl w:ilvl="1">
      <w:lvlJc w:val="left"/>
      <w:lvlText w:val="(%2)"/>
      <w:numFmt w:val="lowerLetter"/>
      <w:start w:val="8"/>
    </w:lvl>
  </w:abstractNum>
  <w:abstractNum w:abstractNumId="7">
    <w:nsid w:val="1F16E9E8"/>
    <w:multiLevelType w:val="hybridMultilevel"/>
    <w:lvl w:ilvl="0">
      <w:lvlJc w:val="left"/>
      <w:lvlText w:val="5"/>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lvl w:ilvl="1">
      <w:lvlJc w:val="left"/>
      <w:lvlText w:val="%2."/>
      <w:numFmt w:val="decimal"/>
      <w:start w:val="2"/>
    </w:lvl>
  </w:abstractNum>
  <w:abstractNum w:abstractNumId="10">
    <w:nsid w:val="140E0F76"/>
    <w:multiLevelType w:val="hybridMultilevel"/>
    <w:lvl w:ilvl="0">
      <w:lvlJc w:val="left"/>
      <w:lvlText w:val="(%1)"/>
      <w:numFmt w:val="lowerLetter"/>
      <w:start w:val="1"/>
    </w:lvl>
    <w:lvl w:ilvl="1">
      <w:lvlJc w:val="left"/>
      <w:lvlText w:val="%2"/>
      <w:numFmt w:val="decimal"/>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lvl w:ilvl="3">
      <w:lvlJc w:val="left"/>
      <w:lvlText w:val="%4"/>
      <w:numFmt w:val="upperLetter"/>
      <w:start w:val="1"/>
    </w:lvl>
  </w:abstractNum>
  <w:abstractNum w:abstractNumId="13">
    <w:nsid w:val="DED7263"/>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lvl w:ilvl="3">
      <w:lvlJc w:val="left"/>
      <w:lvlText w:val="(%4)"/>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2019-12-19T23:38:51Z</dcterms:created>
  <dcterms:modified xsi:type="dcterms:W3CDTF">2019-12-19T23:38:51Z</dcterms:modified>
</cp:coreProperties>
</file>