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18668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PINOLA RICHARD J</w:t>
        </w:r>
      </w:hyperlink>
    </w:p>
    <w:p>
      <w:pPr>
        <w:spacing w:after="0" w:line="318"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1818 MARKET STREET</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MANPOWER INC /WI/</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MAN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09/02/2004</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tbl>
      <w:tblPr>
        <w:tblLayout w:type="fixed"/>
        <w:tblInd w:w="199"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79"/>
        <w:spacing w:after="0"/>
        <w:rPr>
          <w:sz w:val="20"/>
          <w:szCs w:val="20"/>
          <w:color w:val="auto"/>
        </w:rPr>
      </w:pPr>
      <w:r>
        <w:rPr>
          <w:rFonts w:ascii="Arial" w:cs="Arial" w:eastAsia="Arial" w:hAnsi="Arial"/>
          <w:sz w:val="17"/>
          <w:szCs w:val="17"/>
          <w:color w:val="0000FF"/>
        </w:rPr>
        <w:t>CEO Right Management Consult.</w:t>
      </w:r>
    </w:p>
    <w:p>
      <w:pPr>
        <w:spacing w:after="0" w:line="398" w:lineRule="exact"/>
        <w:rPr>
          <w:sz w:val="24"/>
          <w:szCs w:val="24"/>
          <w:color w:val="auto"/>
        </w:rPr>
      </w:pPr>
    </w:p>
    <w:p>
      <w:pPr>
        <w:sectPr>
          <w:pgSz w:w="11900" w:h="16838" w:orient="portrait"/>
          <w:cols w:equalWidth="0" w:num="3">
            <w:col w:w="3340" w:space="720"/>
            <w:col w:w="3261" w:space="720"/>
            <w:col w:w="3479"/>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880" w:type="dxa"/>
            <w:vAlign w:val="bottom"/>
            <w:gridSpan w:val="6"/>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PHILADELPHIA PA</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19103</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00" w:type="dxa"/>
            <w:vAlign w:val="bottom"/>
            <w:gridSpan w:val="2"/>
            <w:vMerge w:val="restart"/>
          </w:tcPr>
          <w:p>
            <w:pPr>
              <w:ind w:left="68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74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3"/>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20" w:type="dxa"/>
            <w:vAlign w:val="bottom"/>
            <w:gridSpan w:val="3"/>
          </w:tcPr>
          <w:p>
            <w:pPr>
              <w:ind w:left="960"/>
              <w:spacing w:after="0"/>
              <w:rPr>
                <w:sz w:val="20"/>
                <w:szCs w:val="20"/>
                <w:color w:val="auto"/>
              </w:rPr>
            </w:pPr>
            <w:r>
              <w:rPr>
                <w:rFonts w:ascii="Arial" w:cs="Arial" w:eastAsia="Arial" w:hAnsi="Arial"/>
                <w:sz w:val="17"/>
                <w:szCs w:val="17"/>
                <w:color w:val="0000FF"/>
              </w:rPr>
              <w:t>09/02/2004</w:t>
            </w: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ind w:left="200"/>
              <w:spacing w:after="0"/>
              <w:rPr>
                <w:sz w:val="20"/>
                <w:szCs w:val="20"/>
                <w:color w:val="auto"/>
              </w:rPr>
            </w:pPr>
            <w:r>
              <w:rPr>
                <w:rFonts w:ascii="Arial" w:cs="Arial" w:eastAsia="Arial" w:hAnsi="Arial"/>
                <w:sz w:val="13"/>
                <w:szCs w:val="13"/>
                <w:color w:val="0000FF"/>
              </w:rPr>
              <w:t>J</w:t>
            </w:r>
          </w:p>
        </w:tc>
        <w:tc>
          <w:tcPr>
            <w:tcW w:w="720" w:type="dxa"/>
            <w:vAlign w:val="bottom"/>
          </w:tcPr>
          <w:p>
            <w:pPr>
              <w:ind w:left="220"/>
              <w:spacing w:after="0"/>
              <w:rPr>
                <w:sz w:val="20"/>
                <w:szCs w:val="20"/>
                <w:color w:val="auto"/>
              </w:rPr>
            </w:pPr>
            <w:r>
              <w:rPr>
                <w:rFonts w:ascii="Arial" w:cs="Arial" w:eastAsia="Arial" w:hAnsi="Arial"/>
                <w:sz w:val="17"/>
                <w:szCs w:val="17"/>
                <w:color w:val="0000FF"/>
                <w:w w:val="92"/>
              </w:rPr>
              <w:t>23,109</w:t>
            </w:r>
          </w:p>
        </w:tc>
        <w:tc>
          <w:tcPr>
            <w:tcW w:w="660" w:type="dxa"/>
            <w:vAlign w:val="bottom"/>
          </w:tcPr>
          <w:p>
            <w:pPr>
              <w:ind w:left="360"/>
              <w:spacing w:after="0"/>
              <w:rPr>
                <w:sz w:val="20"/>
                <w:szCs w:val="20"/>
                <w:color w:val="auto"/>
              </w:rPr>
            </w:pPr>
            <w:r>
              <w:rPr>
                <w:rFonts w:ascii="Arial" w:cs="Arial" w:eastAsia="Arial" w:hAnsi="Arial"/>
                <w:sz w:val="17"/>
                <w:szCs w:val="17"/>
                <w:color w:val="0000FF"/>
              </w:rPr>
              <w:t>D</w:t>
            </w:r>
          </w:p>
        </w:tc>
        <w:tc>
          <w:tcPr>
            <w:tcW w:w="560" w:type="dxa"/>
            <w:vAlign w:val="bottom"/>
          </w:tcPr>
          <w:p>
            <w:pPr>
              <w:ind w:left="280"/>
              <w:spacing w:after="0"/>
              <w:rPr>
                <w:sz w:val="20"/>
                <w:szCs w:val="20"/>
                <w:color w:val="auto"/>
              </w:rPr>
            </w:pPr>
            <w:r>
              <w:rPr>
                <w:rFonts w:ascii="Arial" w:cs="Arial" w:eastAsia="Arial" w:hAnsi="Arial"/>
                <w:sz w:val="11"/>
                <w:szCs w:val="11"/>
                <w:color w:val="008000"/>
              </w:rPr>
              <w:t>(1)</w:t>
            </w:r>
          </w:p>
        </w:tc>
        <w:tc>
          <w:tcPr>
            <w:tcW w:w="20" w:type="dxa"/>
            <w:vAlign w:val="bottom"/>
          </w:tcPr>
          <w:p>
            <w:pPr>
              <w:spacing w:after="0"/>
              <w:rPr>
                <w:sz w:val="22"/>
                <w:szCs w:val="22"/>
                <w:color w:val="auto"/>
              </w:rPr>
            </w:pPr>
          </w:p>
        </w:tc>
        <w:tc>
          <w:tcPr>
            <w:tcW w:w="1340" w:type="dxa"/>
            <w:vAlign w:val="bottom"/>
            <w:gridSpan w:val="3"/>
          </w:tcPr>
          <w:p>
            <w:pPr>
              <w:jc w:val="right"/>
              <w:ind w:right="320"/>
              <w:spacing w:after="0"/>
              <w:rPr>
                <w:sz w:val="20"/>
                <w:szCs w:val="20"/>
                <w:color w:val="auto"/>
              </w:rPr>
            </w:pPr>
            <w:r>
              <w:rPr>
                <w:rFonts w:ascii="Arial" w:cs="Arial" w:eastAsia="Arial" w:hAnsi="Arial"/>
                <w:sz w:val="17"/>
                <w:szCs w:val="17"/>
                <w:color w:val="0000FF"/>
              </w:rPr>
              <w:t>173,199</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gridSpan w:val="3"/>
            <w:vMerge w:val="restart"/>
          </w:tcPr>
          <w:p>
            <w:pPr>
              <w:jc w:val="right"/>
              <w:ind w:right="420"/>
              <w:spacing w:after="0"/>
              <w:rPr>
                <w:sz w:val="20"/>
                <w:szCs w:val="20"/>
                <w:color w:val="auto"/>
              </w:rPr>
            </w:pPr>
            <w:r>
              <w:rPr>
                <w:rFonts w:ascii="Arial" w:cs="Arial" w:eastAsia="Arial" w:hAnsi="Arial"/>
                <w:sz w:val="17"/>
                <w:szCs w:val="17"/>
                <w:color w:val="0000FF"/>
              </w:rPr>
              <w:t>2,614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Held in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40" w:type="dxa"/>
            <w:vAlign w:val="bottom"/>
            <w:gridSpan w:val="10"/>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tcPr>
          <w:p>
            <w:pPr>
              <w:ind w:left="12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0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04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Variable</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vMerge w:val="restart"/>
          </w:tcPr>
          <w:p>
            <w:pPr>
              <w:ind w:left="440"/>
              <w:spacing w:after="0"/>
              <w:rPr>
                <w:sz w:val="20"/>
                <w:szCs w:val="20"/>
                <w:color w:val="auto"/>
              </w:rPr>
            </w:pPr>
            <w:r>
              <w:rPr>
                <w:rFonts w:ascii="Arial" w:cs="Arial" w:eastAsia="Arial" w:hAnsi="Arial"/>
                <w:sz w:val="13"/>
                <w:szCs w:val="13"/>
                <w:color w:val="0000FF"/>
              </w:rPr>
              <w:t>23,109</w:t>
            </w:r>
            <w:r>
              <w:rPr>
                <w:rFonts w:ascii="Arial" w:cs="Arial" w:eastAsia="Arial" w:hAnsi="Arial"/>
                <w:sz w:val="22"/>
                <w:szCs w:val="22"/>
                <w:color w:val="008000"/>
                <w:vertAlign w:val="superscript"/>
              </w:rPr>
              <w:t>(1)</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720" w:type="dxa"/>
            <w:vAlign w:val="bottom"/>
          </w:tcPr>
          <w:p>
            <w:pPr>
              <w:spacing w:after="0"/>
              <w:rPr>
                <w:sz w:val="16"/>
                <w:szCs w:val="16"/>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w w:val="99"/>
              </w:rPr>
              <w:t>23,109</w:t>
            </w:r>
          </w:p>
        </w:tc>
        <w:tc>
          <w:tcPr>
            <w:tcW w:w="20" w:type="dxa"/>
            <w:vAlign w:val="bottom"/>
          </w:tcPr>
          <w:p>
            <w:pPr>
              <w:spacing w:after="0"/>
              <w:rPr>
                <w:sz w:val="16"/>
                <w:szCs w:val="16"/>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1"/>
                <w:szCs w:val="11"/>
                <w:color w:val="008000"/>
              </w:rPr>
              <w:t>(1)</w:t>
            </w:r>
          </w:p>
        </w:tc>
        <w:tc>
          <w:tcPr>
            <w:tcW w:w="900" w:type="dxa"/>
            <w:vAlign w:val="bottom"/>
            <w:gridSpan w:val="2"/>
            <w:vMerge w:val="restart"/>
          </w:tcPr>
          <w:p>
            <w:pPr>
              <w:ind w:left="180"/>
              <w:spacing w:after="0"/>
              <w:rPr>
                <w:sz w:val="20"/>
                <w:szCs w:val="20"/>
                <w:color w:val="auto"/>
              </w:rPr>
            </w:pPr>
            <w:r>
              <w:rPr>
                <w:rFonts w:ascii="Arial" w:cs="Arial" w:eastAsia="Arial" w:hAnsi="Arial"/>
                <w:sz w:val="13"/>
                <w:szCs w:val="13"/>
                <w:color w:val="0000FF"/>
              </w:rPr>
              <w:t>40,702</w:t>
            </w:r>
            <w:r>
              <w:rPr>
                <w:rFonts w:ascii="Arial" w:cs="Arial" w:eastAsia="Arial" w:hAnsi="Arial"/>
                <w:sz w:val="22"/>
                <w:szCs w:val="22"/>
                <w:color w:val="008000"/>
                <w:vertAlign w:val="superscript"/>
              </w:rPr>
              <w:t>(1)</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Forward</w:t>
            </w:r>
          </w:p>
        </w:tc>
        <w:tc>
          <w:tcPr>
            <w:tcW w:w="800" w:type="dxa"/>
            <w:vAlign w:val="bottom"/>
            <w:vMerge w:val="continue"/>
          </w:tcPr>
          <w:p>
            <w:pPr>
              <w:spacing w:after="0"/>
              <w:rPr>
                <w:sz w:val="12"/>
                <w:szCs w:val="12"/>
                <w:color w:val="auto"/>
              </w:rPr>
            </w:pPr>
          </w:p>
        </w:tc>
        <w:tc>
          <w:tcPr>
            <w:tcW w:w="1100" w:type="dxa"/>
            <w:vAlign w:val="bottom"/>
          </w:tcPr>
          <w:p>
            <w:pPr>
              <w:ind w:left="260"/>
              <w:spacing w:after="0" w:line="141" w:lineRule="exact"/>
              <w:rPr>
                <w:sz w:val="20"/>
                <w:szCs w:val="20"/>
                <w:color w:val="auto"/>
              </w:rPr>
            </w:pPr>
            <w:r>
              <w:rPr>
                <w:rFonts w:ascii="Arial" w:cs="Arial" w:eastAsia="Arial" w:hAnsi="Arial"/>
                <w:sz w:val="13"/>
                <w:szCs w:val="13"/>
                <w:color w:val="0000FF"/>
              </w:rPr>
              <w:t>09/02/2004</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ind w:left="60"/>
              <w:spacing w:after="0" w:line="141" w:lineRule="exact"/>
              <w:rPr>
                <w:sz w:val="20"/>
                <w:szCs w:val="20"/>
                <w:color w:val="auto"/>
              </w:rPr>
            </w:pPr>
            <w:r>
              <w:rPr>
                <w:rFonts w:ascii="Arial" w:cs="Arial" w:eastAsia="Arial" w:hAnsi="Arial"/>
                <w:sz w:val="13"/>
                <w:szCs w:val="13"/>
                <w:color w:val="0000FF"/>
              </w:rPr>
              <w:t>J</w:t>
            </w:r>
          </w:p>
        </w:tc>
        <w:tc>
          <w:tcPr>
            <w:tcW w:w="104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20" w:type="dxa"/>
            <w:vAlign w:val="bottom"/>
          </w:tcPr>
          <w:p>
            <w:pPr>
              <w:ind w:left="20"/>
              <w:spacing w:after="0" w:line="141" w:lineRule="exact"/>
              <w:rPr>
                <w:sz w:val="20"/>
                <w:szCs w:val="20"/>
                <w:color w:val="auto"/>
              </w:rPr>
            </w:pPr>
            <w:r>
              <w:rPr>
                <w:rFonts w:ascii="Arial" w:cs="Arial" w:eastAsia="Arial" w:hAnsi="Arial"/>
                <w:sz w:val="13"/>
                <w:szCs w:val="13"/>
                <w:color w:val="0000FF"/>
              </w:rPr>
              <w:t>10/05/2004</w:t>
            </w:r>
          </w:p>
        </w:tc>
        <w:tc>
          <w:tcPr>
            <w:tcW w:w="66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8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Sale</w:t>
            </w: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140"/>
              <w:spacing w:after="0" w:line="133"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00" w:firstLine="6"/>
        <w:spacing w:after="0" w:line="24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August 2001, the Reporting Person entered into a pre-paid variable forward contract (the "Contract") with respect to shares of Right Management Consultants, Inc. ("Right"). As a result of the Issuer's acquisition of Right in January 2004, 87,165 shares of common stock of the Issuer became subject to the Contract. Pursuant to the terms of the Contract, on September 2, 2004, the Reporting Person delivered 23,109 shares of Issuer common stock to the counterparty at the second of three contractually mandated settlement dates. The remaining shares of Issuer common stock remain subject to the counterparty's security interest under the Contract.</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gridSpan w:val="2"/>
          </w:tcPr>
          <w:p>
            <w:pPr>
              <w:spacing w:after="0"/>
              <w:rPr>
                <w:sz w:val="20"/>
                <w:szCs w:val="20"/>
                <w:color w:val="auto"/>
              </w:rPr>
            </w:pPr>
            <w:r>
              <w:rPr>
                <w:rFonts w:ascii="Arial" w:cs="Arial" w:eastAsia="Arial" w:hAnsi="Arial"/>
                <w:sz w:val="17"/>
                <w:szCs w:val="17"/>
                <w:color w:val="0000FF"/>
              </w:rPr>
              <w:t>Richard J. Pinola</w:t>
            </w:r>
          </w:p>
        </w:tc>
        <w:tc>
          <w:tcPr>
            <w:tcW w:w="980" w:type="dxa"/>
            <w:vAlign w:val="bottom"/>
            <w:gridSpan w:val="2"/>
          </w:tcPr>
          <w:p>
            <w:pPr>
              <w:ind w:left="200"/>
              <w:spacing w:after="0"/>
              <w:rPr>
                <w:sz w:val="20"/>
                <w:szCs w:val="20"/>
                <w:color w:val="auto"/>
              </w:rPr>
            </w:pPr>
            <w:r>
              <w:rPr>
                <w:rFonts w:ascii="Arial" w:cs="Arial" w:eastAsia="Arial" w:hAnsi="Arial"/>
                <w:sz w:val="17"/>
                <w:szCs w:val="17"/>
                <w:color w:val="0000FF"/>
                <w:w w:val="89"/>
              </w:rPr>
              <w:t>09/02/2004</w:t>
            </w:r>
          </w:p>
        </w:tc>
      </w:tr>
      <w:tr>
        <w:trPr>
          <w:trHeight w:val="20"/>
        </w:trPr>
        <w:tc>
          <w:tcPr>
            <w:tcW w:w="11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2"/>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2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99662"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2019-12-16T07:37:16Z</dcterms:created>
  <dcterms:modified xsi:type="dcterms:W3CDTF">2019-12-16T07:37:16Z</dcterms:modified>
</cp:coreProperties>
</file>