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2007</w:t>
      </w:r>
    </w:p>
    <w:p>
      <w:pPr>
        <w:spacing w:after="0" w:line="200" w:lineRule="exact"/>
        <w:rPr>
          <w:rFonts w:ascii="MS PGothic" w:cs="MS PGothic" w:eastAsia="MS PGothic" w:hAnsi="MS PGothic"/>
          <w:sz w:val="16"/>
          <w:szCs w:val="16"/>
          <w:color w:val="auto"/>
          <w:highlight w:val="black"/>
        </w:rPr>
      </w:pPr>
    </w:p>
    <w:p>
      <w:pPr>
        <w:ind w:left="5640"/>
        <w:spacing w:after="0"/>
        <w:rPr>
          <w:rFonts w:ascii="MS PGothic" w:cs="MS PGothic" w:eastAsia="MS PGothic" w:hAnsi="MS PGothic"/>
          <w:sz w:val="16"/>
          <w:szCs w:val="16"/>
          <w:color w:val="auto"/>
          <w:highlight w:val="black"/>
        </w:rPr>
      </w:pPr>
      <w:r>
        <w:rPr>
          <w:rFonts w:ascii="Arial" w:cs="Arial" w:eastAsia="Arial" w:hAnsi="Arial"/>
          <w:sz w:val="18"/>
          <w:szCs w:val="18"/>
          <w:color w:val="auto"/>
        </w:rPr>
        <w:t>or</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860" w:type="dxa"/>
            <w:vAlign w:val="bottom"/>
            <w:gridSpan w:val="2"/>
          </w:tcPr>
          <w:p>
            <w:pPr>
              <w:ind w:left="160"/>
              <w:spacing w:after="0"/>
              <w:rPr>
                <w:sz w:val="20"/>
                <w:szCs w:val="20"/>
                <w:color w:val="auto"/>
              </w:rPr>
            </w:pPr>
            <w:r>
              <w:rPr>
                <w:rFonts w:ascii="Arial" w:cs="Arial" w:eastAsia="Arial" w:hAnsi="Arial"/>
                <w:sz w:val="18"/>
                <w:szCs w:val="18"/>
                <w:b w:val="1"/>
                <w:bCs w:val="1"/>
                <w:color w:val="auto"/>
                <w:w w:val="95"/>
              </w:rPr>
              <w:t>Transition Report pursuant to Section 13 or 15(d) of the Securities Exchange Act of 1934 for the transition period from:</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397"/>
        </w:trPr>
        <w:tc>
          <w:tcPr>
            <w:tcW w:w="300" w:type="dxa"/>
            <w:vAlign w:val="bottom"/>
          </w:tcPr>
          <w:p>
            <w:pPr>
              <w:spacing w:after="0"/>
              <w:rPr>
                <w:sz w:val="24"/>
                <w:szCs w:val="24"/>
                <w:color w:val="auto"/>
              </w:rPr>
            </w:pPr>
          </w:p>
        </w:tc>
        <w:tc>
          <w:tcPr>
            <w:tcW w:w="9100" w:type="dxa"/>
            <w:vAlign w:val="bottom"/>
          </w:tcPr>
          <w:p>
            <w:pPr>
              <w:ind w:left="4200"/>
              <w:spacing w:after="0"/>
              <w:rPr>
                <w:sz w:val="20"/>
                <w:szCs w:val="20"/>
                <w:color w:val="auto"/>
              </w:rPr>
            </w:pPr>
            <w:r>
              <w:rPr>
                <w:rFonts w:ascii="Arial" w:cs="Arial" w:eastAsia="Arial" w:hAnsi="Arial"/>
                <w:sz w:val="18"/>
                <w:szCs w:val="18"/>
                <w:color w:val="auto"/>
              </w:rPr>
              <w:t>Commission file number: 1-10686</w:t>
            </w: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pacing w:after="0" w:line="121" w:lineRule="exact"/>
        <w:rPr>
          <w:sz w:val="24"/>
          <w:szCs w:val="24"/>
          <w:color w:val="auto"/>
        </w:rPr>
      </w:pPr>
    </w:p>
    <w:tbl>
      <w:tblPr>
        <w:tblLayout w:type="fixed"/>
        <w:tblInd w:w="1740" w:type="dxa"/>
        <w:tblCellMar>
          <w:top w:w="0" w:type="dxa"/>
          <w:left w:w="0" w:type="dxa"/>
          <w:bottom w:w="0" w:type="dxa"/>
          <w:right w:w="0" w:type="dxa"/>
        </w:tblCellMar>
      </w:tblPr>
      <w:tr>
        <w:trPr>
          <w:trHeight w:val="529"/>
        </w:trPr>
        <w:tc>
          <w:tcPr>
            <w:tcW w:w="6400" w:type="dxa"/>
            <w:vAlign w:val="bottom"/>
          </w:tcPr>
          <w:p>
            <w:pPr>
              <w:jc w:val="center"/>
              <w:ind w:left="1465"/>
              <w:spacing w:after="0"/>
              <w:rPr>
                <w:sz w:val="20"/>
                <w:szCs w:val="20"/>
                <w:color w:val="auto"/>
              </w:rPr>
            </w:pPr>
            <w:r>
              <w:rPr>
                <w:rFonts w:ascii="Arial" w:cs="Arial" w:eastAsia="Arial" w:hAnsi="Arial"/>
                <w:sz w:val="43"/>
                <w:szCs w:val="43"/>
                <w:b w:val="1"/>
                <w:bCs w:val="1"/>
                <w:color w:val="auto"/>
              </w:rPr>
              <w:t>MANPOWER INC.</w:t>
            </w:r>
          </w:p>
        </w:tc>
        <w:tc>
          <w:tcPr>
            <w:tcW w:w="1080" w:type="dxa"/>
            <w:vAlign w:val="bottom"/>
          </w:tcPr>
          <w:p>
            <w:pPr>
              <w:spacing w:after="0"/>
              <w:rPr>
                <w:sz w:val="24"/>
                <w:szCs w:val="24"/>
                <w:color w:val="auto"/>
              </w:rPr>
            </w:pPr>
          </w:p>
        </w:tc>
      </w:tr>
      <w:tr>
        <w:trPr>
          <w:trHeight w:val="228"/>
        </w:trPr>
        <w:tc>
          <w:tcPr>
            <w:tcW w:w="6400" w:type="dxa"/>
            <w:vAlign w:val="bottom"/>
          </w:tcPr>
          <w:p>
            <w:pPr>
              <w:jc w:val="center"/>
              <w:ind w:left="1465"/>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080" w:type="dxa"/>
            <w:vAlign w:val="bottom"/>
          </w:tcPr>
          <w:p>
            <w:pPr>
              <w:spacing w:after="0"/>
              <w:rPr>
                <w:sz w:val="19"/>
                <w:szCs w:val="19"/>
                <w:color w:val="auto"/>
              </w:rPr>
            </w:pPr>
          </w:p>
        </w:tc>
      </w:tr>
      <w:tr>
        <w:trPr>
          <w:trHeight w:val="408"/>
        </w:trPr>
        <w:tc>
          <w:tcPr>
            <w:tcW w:w="6400" w:type="dxa"/>
            <w:vAlign w:val="bottom"/>
          </w:tcPr>
          <w:p>
            <w:pPr>
              <w:jc w:val="center"/>
              <w:ind w:right="4065"/>
              <w:spacing w:after="0"/>
              <w:rPr>
                <w:sz w:val="20"/>
                <w:szCs w:val="20"/>
                <w:color w:val="auto"/>
              </w:rPr>
            </w:pPr>
            <w:r>
              <w:rPr>
                <w:rFonts w:ascii="Arial" w:cs="Arial" w:eastAsia="Arial" w:hAnsi="Arial"/>
                <w:sz w:val="18"/>
                <w:szCs w:val="18"/>
                <w:b w:val="1"/>
                <w:bCs w:val="1"/>
                <w:color w:val="auto"/>
                <w:w w:val="84"/>
              </w:rPr>
              <w:t>Wisconsin</w:t>
            </w:r>
          </w:p>
        </w:tc>
        <w:tc>
          <w:tcPr>
            <w:tcW w:w="1080" w:type="dxa"/>
            <w:vAlign w:val="bottom"/>
          </w:tcPr>
          <w:p>
            <w:pPr>
              <w:jc w:val="right"/>
              <w:ind w:right="44"/>
              <w:spacing w:after="0"/>
              <w:rPr>
                <w:sz w:val="20"/>
                <w:szCs w:val="20"/>
                <w:color w:val="auto"/>
              </w:rPr>
            </w:pPr>
            <w:r>
              <w:rPr>
                <w:rFonts w:ascii="Arial" w:cs="Arial" w:eastAsia="Arial" w:hAnsi="Arial"/>
                <w:sz w:val="18"/>
                <w:szCs w:val="18"/>
                <w:b w:val="1"/>
                <w:bCs w:val="1"/>
                <w:color w:val="auto"/>
                <w:w w:val="97"/>
              </w:rPr>
              <w:t>39-1672779</w:t>
            </w:r>
          </w:p>
        </w:tc>
      </w:tr>
      <w:tr>
        <w:trPr>
          <w:trHeight w:val="149"/>
        </w:trPr>
        <w:tc>
          <w:tcPr>
            <w:tcW w:w="6400" w:type="dxa"/>
            <w:vAlign w:val="bottom"/>
          </w:tcPr>
          <w:p>
            <w:pPr>
              <w:jc w:val="center"/>
              <w:ind w:right="4045"/>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00" w:type="dxa"/>
            <w:vAlign w:val="bottom"/>
          </w:tcPr>
          <w:p>
            <w:pPr>
              <w:jc w:val="center"/>
              <w:ind w:right="4045"/>
              <w:spacing w:after="0"/>
              <w:rPr>
                <w:sz w:val="20"/>
                <w:szCs w:val="20"/>
                <w:color w:val="auto"/>
              </w:rPr>
            </w:pPr>
            <w:r>
              <w:rPr>
                <w:rFonts w:ascii="Arial" w:cs="Arial" w:eastAsia="Arial" w:hAnsi="Arial"/>
                <w:sz w:val="14"/>
                <w:szCs w:val="14"/>
                <w:b w:val="1"/>
                <w:bCs w:val="1"/>
                <w:color w:val="auto"/>
                <w:w w:val="87"/>
              </w:rPr>
              <w:t>of incorporation)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00" w:type="dxa"/>
            <w:vAlign w:val="bottom"/>
          </w:tcPr>
          <w:p>
            <w:pPr>
              <w:jc w:val="center"/>
              <w:ind w:right="4065"/>
              <w:spacing w:after="0"/>
              <w:rPr>
                <w:sz w:val="20"/>
                <w:szCs w:val="20"/>
                <w:color w:val="auto"/>
              </w:rPr>
            </w:pPr>
            <w:r>
              <w:rPr>
                <w:rFonts w:ascii="Arial" w:cs="Arial" w:eastAsia="Arial" w:hAnsi="Arial"/>
                <w:sz w:val="18"/>
                <w:szCs w:val="18"/>
                <w:b w:val="1"/>
                <w:bCs w:val="1"/>
                <w:color w:val="auto"/>
                <w:w w:val="88"/>
              </w:rPr>
              <w:t>100 Manpower Place</w:t>
            </w:r>
          </w:p>
        </w:tc>
        <w:tc>
          <w:tcPr>
            <w:tcW w:w="1080" w:type="dxa"/>
            <w:vAlign w:val="bottom"/>
          </w:tcPr>
          <w:p>
            <w:pPr>
              <w:spacing w:after="0"/>
              <w:rPr>
                <w:sz w:val="24"/>
                <w:szCs w:val="24"/>
                <w:color w:val="auto"/>
              </w:rPr>
            </w:pPr>
          </w:p>
        </w:tc>
      </w:tr>
      <w:tr>
        <w:trPr>
          <w:trHeight w:val="231"/>
        </w:trPr>
        <w:tc>
          <w:tcPr>
            <w:tcW w:w="6400" w:type="dxa"/>
            <w:vAlign w:val="bottom"/>
          </w:tcPr>
          <w:p>
            <w:pPr>
              <w:jc w:val="center"/>
              <w:ind w:right="4065"/>
              <w:spacing w:after="0"/>
              <w:rPr>
                <w:sz w:val="20"/>
                <w:szCs w:val="20"/>
                <w:color w:val="auto"/>
              </w:rPr>
            </w:pPr>
            <w:r>
              <w:rPr>
                <w:rFonts w:ascii="Arial" w:cs="Arial" w:eastAsia="Arial" w:hAnsi="Arial"/>
                <w:sz w:val="18"/>
                <w:szCs w:val="18"/>
                <w:b w:val="1"/>
                <w:bCs w:val="1"/>
                <w:color w:val="auto"/>
                <w:w w:val="88"/>
              </w:rPr>
              <w:t>Milwaukee, Wisconsin</w:t>
            </w:r>
          </w:p>
        </w:tc>
        <w:tc>
          <w:tcPr>
            <w:tcW w:w="1080" w:type="dxa"/>
            <w:vAlign w:val="bottom"/>
          </w:tcPr>
          <w:p>
            <w:pPr>
              <w:jc w:val="right"/>
              <w:ind w:right="244"/>
              <w:spacing w:after="0"/>
              <w:rPr>
                <w:sz w:val="20"/>
                <w:szCs w:val="20"/>
                <w:color w:val="auto"/>
              </w:rPr>
            </w:pPr>
            <w:r>
              <w:rPr>
                <w:rFonts w:ascii="Arial" w:cs="Arial" w:eastAsia="Arial" w:hAnsi="Arial"/>
                <w:sz w:val="18"/>
                <w:szCs w:val="18"/>
                <w:b w:val="1"/>
                <w:bCs w:val="1"/>
                <w:color w:val="auto"/>
              </w:rPr>
              <w:t>53212</w:t>
            </w:r>
          </w:p>
        </w:tc>
      </w:tr>
      <w:tr>
        <w:trPr>
          <w:trHeight w:val="174"/>
        </w:trPr>
        <w:tc>
          <w:tcPr>
            <w:tcW w:w="6400" w:type="dxa"/>
            <w:vAlign w:val="bottom"/>
          </w:tcPr>
          <w:p>
            <w:pPr>
              <w:jc w:val="center"/>
              <w:ind w:right="406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6400" w:type="dxa"/>
            <w:vAlign w:val="bottom"/>
          </w:tcPr>
          <w:p>
            <w:pPr>
              <w:jc w:val="center"/>
              <w:ind w:left="1445"/>
              <w:spacing w:after="0"/>
              <w:rPr>
                <w:sz w:val="20"/>
                <w:szCs w:val="20"/>
                <w:color w:val="auto"/>
              </w:rPr>
            </w:pPr>
            <w:r>
              <w:rPr>
                <w:rFonts w:ascii="Arial" w:cs="Arial" w:eastAsia="Arial" w:hAnsi="Arial"/>
                <w:sz w:val="18"/>
                <w:szCs w:val="18"/>
                <w:color w:val="auto"/>
                <w:w w:val="87"/>
              </w:rPr>
              <w:t>Registrant’s telephone number, including area code: (414) 961-1000</w:t>
            </w:r>
          </w:p>
        </w:tc>
        <w:tc>
          <w:tcPr>
            <w:tcW w:w="1080" w:type="dxa"/>
            <w:vAlign w:val="bottom"/>
          </w:tcPr>
          <w:p>
            <w:pPr>
              <w:spacing w:after="0"/>
              <w:rPr>
                <w:sz w:val="24"/>
                <w:szCs w:val="24"/>
                <w:color w:val="auto"/>
              </w:rPr>
            </w:pPr>
          </w:p>
        </w:tc>
      </w:tr>
    </w:tbl>
    <w:p>
      <w:pPr>
        <w:spacing w:after="0" w:line="156"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1440" w:gutter="0" w:footer="0" w:header="0"/>
        </w:sectPr>
      </w:pPr>
    </w:p>
    <w:p>
      <w:pPr>
        <w:spacing w:after="0" w:line="132" w:lineRule="exact"/>
        <w:rPr>
          <w:sz w:val="24"/>
          <w:szCs w:val="24"/>
          <w:color w:val="auto"/>
        </w:rPr>
      </w:pPr>
    </w:p>
    <w:p>
      <w:pPr>
        <w:ind w:left="25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100" w:space="80"/>
            <w:col w:w="160" w:space="700"/>
            <w:col w:w="1180" w:space="80"/>
            <w:col w:w="160" w:space="700"/>
            <w:col w:w="1500" w:space="80"/>
            <w:col w:w="268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360" w:space="100"/>
            <w:col w:w="160" w:space="180"/>
            <w:col w:w="2620"/>
          </w:cols>
          <w:pgMar w:left="240" w:top="230"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Outstanding at November 6, 2007</w:t>
            </w:r>
          </w:p>
        </w:tc>
      </w:tr>
      <w:tr>
        <w:trPr>
          <w:trHeight w:val="209"/>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88"/>
              </w:rPr>
              <w:t>Common Stock, $.01 par value</w:t>
            </w:r>
          </w:p>
        </w:tc>
        <w:tc>
          <w:tcPr>
            <w:tcW w:w="240" w:type="dxa"/>
            <w:vAlign w:val="bottom"/>
          </w:tcPr>
          <w:p>
            <w:pPr>
              <w:spacing w:after="0"/>
              <w:rPr>
                <w:sz w:val="18"/>
                <w:szCs w:val="18"/>
                <w:color w:val="auto"/>
              </w:rPr>
            </w:pPr>
          </w:p>
        </w:tc>
        <w:tc>
          <w:tcPr>
            <w:tcW w:w="5460" w:type="dxa"/>
            <w:vAlign w:val="bottom"/>
          </w:tcPr>
          <w:p>
            <w:pPr>
              <w:jc w:val="right"/>
              <w:ind w:right="2262"/>
              <w:spacing w:after="0"/>
              <w:rPr>
                <w:sz w:val="20"/>
                <w:szCs w:val="20"/>
                <w:color w:val="auto"/>
              </w:rPr>
            </w:pPr>
            <w:r>
              <w:rPr>
                <w:rFonts w:ascii="Arial" w:cs="Arial" w:eastAsia="Arial" w:hAnsi="Arial"/>
                <w:sz w:val="18"/>
                <w:szCs w:val="18"/>
                <w:color w:val="auto"/>
              </w:rPr>
              <w:t>81,019,476</w:t>
            </w:r>
          </w:p>
        </w:tc>
      </w:tr>
      <w:tr>
        <w:trPr>
          <w:trHeight w:val="490"/>
        </w:trPr>
        <w:tc>
          <w:tcPr>
            <w:tcW w:w="5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4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7"/>
              </w:rPr>
              <w:t>MANPOWER INC. AND SUBSIDIARIES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jc w:val="center"/>
              <w:ind w:right="1052"/>
              <w:spacing w:after="0"/>
              <w:rPr>
                <w:sz w:val="20"/>
                <w:szCs w:val="20"/>
                <w:color w:val="auto"/>
              </w:rPr>
            </w:pPr>
            <w:r>
              <w:rPr>
                <w:rFonts w:ascii="Arial" w:cs="Arial" w:eastAsia="Arial" w:hAnsi="Arial"/>
                <w:sz w:val="18"/>
                <w:szCs w:val="18"/>
                <w:b w:val="1"/>
                <w:bCs w:val="1"/>
                <w:color w:val="auto"/>
              </w:rPr>
              <w:t>INDEX</w:t>
            </w:r>
          </w:p>
        </w:tc>
        <w:tc>
          <w:tcPr>
            <w:tcW w:w="3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208"/>
        </w:trPr>
        <w:tc>
          <w:tcPr>
            <w:tcW w:w="1020" w:type="dxa"/>
            <w:vAlign w:val="bottom"/>
            <w:vMerge w:val="continue"/>
          </w:tcPr>
          <w:p>
            <w:pPr>
              <w:spacing w:after="0"/>
              <w:rPr>
                <w:sz w:val="18"/>
                <w:szCs w:val="18"/>
                <w:color w:val="auto"/>
              </w:rPr>
            </w:pPr>
          </w:p>
        </w:tc>
        <w:tc>
          <w:tcPr>
            <w:tcW w:w="9920" w:type="dxa"/>
            <w:vAlign w:val="bottom"/>
            <w:gridSpan w:val="16"/>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9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74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w:t>
              </w:r>
            </w:hyperlink>
          </w:p>
        </w:tc>
        <w:tc>
          <w:tcPr>
            <w:tcW w:w="674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66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92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w w:val="99"/>
              </w:rPr>
              <w:t>15-26</w:t>
            </w:r>
          </w:p>
        </w:tc>
        <w:tc>
          <w:tcPr>
            <w:tcW w:w="0" w:type="dxa"/>
            <w:vAlign w:val="bottom"/>
          </w:tcPr>
          <w:p>
            <w:pPr>
              <w:spacing w:after="0"/>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72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20" w:type="dxa"/>
            <w:vAlign w:val="bottom"/>
          </w:tcPr>
          <w:p>
            <w:pPr>
              <w:ind w:left="180"/>
              <w:spacing w:after="0"/>
              <w:rPr>
                <w:sz w:val="20"/>
                <w:szCs w:val="20"/>
                <w:color w:val="auto"/>
              </w:rPr>
            </w:pPr>
            <w:r>
              <w:rPr>
                <w:rFonts w:ascii="Arial" w:cs="Arial" w:eastAsia="Arial" w:hAnsi="Arial"/>
                <w:sz w:val="18"/>
                <w:szCs w:val="18"/>
                <w:color w:val="auto"/>
              </w:rPr>
              <w:t>Item 1A</w:t>
            </w:r>
          </w:p>
        </w:tc>
        <w:tc>
          <w:tcPr>
            <w:tcW w:w="99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9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5</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56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20" w:type="dxa"/>
            <w:vAlign w:val="bottom"/>
          </w:tcPr>
          <w:p>
            <w:pPr>
              <w:ind w:left="18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64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34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SIGNATURES</w:t>
              </w:r>
            </w:hyperlink>
          </w:p>
        </w:tc>
        <w:tc>
          <w:tcPr>
            <w:tcW w:w="980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094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10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gridSpan w:val="2"/>
          </w:tcPr>
          <w:p>
            <w:pPr>
              <w:spacing w:after="0"/>
              <w:rPr>
                <w:sz w:val="24"/>
                <w:szCs w:val="24"/>
                <w:color w:val="auto"/>
              </w:rPr>
            </w:pPr>
          </w:p>
        </w:tc>
        <w:tc>
          <w:tcPr>
            <w:tcW w:w="5960" w:type="dxa"/>
            <w:vAlign w:val="bottom"/>
            <w:gridSpan w:val="13"/>
          </w:tcPr>
          <w:p>
            <w:pPr>
              <w:jc w:val="center"/>
              <w:ind w:left="2672"/>
              <w:spacing w:after="0"/>
              <w:rPr>
                <w:sz w:val="20"/>
                <w:szCs w:val="20"/>
                <w:color w:val="auto"/>
              </w:rPr>
            </w:pPr>
            <w:r>
              <w:rPr>
                <w:rFonts w:ascii="Arial" w:cs="Arial" w:eastAsia="Arial" w:hAnsi="Arial"/>
                <w:sz w:val="18"/>
                <w:szCs w:val="18"/>
                <w:color w:val="auto"/>
                <w:w w:val="79"/>
              </w:rPr>
              <w:t>2</w:t>
            </w:r>
          </w:p>
        </w:tc>
        <w:tc>
          <w:tcPr>
            <w:tcW w:w="3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2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538.8</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687.9</w:t>
            </w:r>
          </w:p>
        </w:tc>
        <w:tc>
          <w:tcPr>
            <w:tcW w:w="20" w:type="dxa"/>
            <w:vAlign w:val="bottom"/>
          </w:tcPr>
          <w:p>
            <w:pPr>
              <w:spacing w:after="0"/>
              <w:rPr>
                <w:sz w:val="18"/>
                <w:szCs w:val="18"/>
                <w:color w:val="auto"/>
              </w:rPr>
            </w:pPr>
          </w:p>
        </w:tc>
      </w:tr>
      <w:tr>
        <w:trPr>
          <w:trHeight w:val="208"/>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doubtful accounts of $122.7 and $109.9, respectively</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4,537.3</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3,837.2</w:t>
            </w:r>
          </w:p>
        </w:tc>
        <w:tc>
          <w:tcPr>
            <w:tcW w:w="20" w:type="dxa"/>
            <w:vAlign w:val="bottom"/>
          </w:tcPr>
          <w:p>
            <w:pPr>
              <w:spacing w:after="0"/>
              <w:rPr>
                <w:sz w:val="20"/>
                <w:szCs w:val="20"/>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r>
      <w:tr>
        <w:trPr>
          <w:trHeight w:val="221"/>
        </w:trPr>
        <w:tc>
          <w:tcPr>
            <w:tcW w:w="92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5,295.6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4,682.0</w:t>
            </w:r>
          </w:p>
        </w:tc>
      </w:tr>
      <w:tr>
        <w:trPr>
          <w:trHeight w:val="218"/>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972.6</w:t>
            </w:r>
          </w:p>
        </w:tc>
        <w:tc>
          <w:tcPr>
            <w:tcW w:w="2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less accumulated amortization of $52.2 and $41.6,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9"/>
                <w:szCs w:val="19"/>
                <w:color w:val="auto"/>
              </w:rPr>
            </w:pPr>
          </w:p>
        </w:tc>
      </w:tr>
      <w:tr>
        <w:trPr>
          <w:trHeight w:val="216"/>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1,630.0</w:t>
            </w:r>
          </w:p>
        </w:tc>
        <w:tc>
          <w:tcPr>
            <w:tcW w:w="20" w:type="dxa"/>
            <w:vAlign w:val="bottom"/>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20" w:type="dxa"/>
            <w:vAlign w:val="bottom"/>
          </w:tcPr>
          <w:p>
            <w:pPr>
              <w:spacing w:after="0"/>
              <w:rPr>
                <w:sz w:val="18"/>
                <w:szCs w:val="18"/>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20" w:type="dxa"/>
            <w:vAlign w:val="bottom"/>
          </w:tcPr>
          <w:p>
            <w:pPr>
              <w:spacing w:after="0"/>
              <w:rPr>
                <w:sz w:val="19"/>
                <w:szCs w:val="19"/>
                <w:color w:val="auto"/>
              </w:rPr>
            </w:pPr>
          </w:p>
        </w:tc>
      </w:tr>
      <w:tr>
        <w:trPr>
          <w:trHeight w:val="216"/>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r>
      <w:tr>
        <w:trPr>
          <w:trHeight w:val="222"/>
        </w:trPr>
        <w:tc>
          <w:tcPr>
            <w:tcW w:w="92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7,295.2</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6,514.1</w:t>
            </w:r>
          </w:p>
        </w:tc>
      </w:tr>
      <w:tr>
        <w:trPr>
          <w:trHeight w:val="20"/>
        </w:trPr>
        <w:tc>
          <w:tcPr>
            <w:tcW w:w="9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1,011.3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889.9</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562.1</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517.0</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21"/>
        </w:trPr>
        <w:tc>
          <w:tcPr>
            <w:tcW w:w="88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3,371.5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2,881.6</w:t>
            </w:r>
          </w:p>
        </w:tc>
        <w:tc>
          <w:tcPr>
            <w:tcW w:w="60" w:type="dxa"/>
            <w:vAlign w:val="bottom"/>
          </w:tcPr>
          <w:p>
            <w:pPr>
              <w:spacing w:after="0"/>
              <w:rPr>
                <w:sz w:val="19"/>
                <w:szCs w:val="19"/>
                <w:color w:val="auto"/>
              </w:rPr>
            </w:pPr>
          </w:p>
        </w:tc>
      </w:tr>
      <w:tr>
        <w:trPr>
          <w:trHeight w:val="218"/>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791.2</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60" w:type="dxa"/>
            <w:vAlign w:val="bottom"/>
            <w:shd w:val="clear" w:color="auto" w:fill="CCEEFF"/>
          </w:tcPr>
          <w:p>
            <w:pPr>
              <w:spacing w:after="0"/>
              <w:rPr>
                <w:sz w:val="18"/>
                <w:szCs w:val="18"/>
                <w:color w:val="auto"/>
              </w:rPr>
            </w:pPr>
          </w:p>
        </w:tc>
      </w:tr>
      <w:tr>
        <w:trPr>
          <w:trHeight w:val="221"/>
        </w:trPr>
        <w:tc>
          <w:tcPr>
            <w:tcW w:w="8800" w:type="dxa"/>
            <w:vAlign w:val="bottom"/>
          </w:tcPr>
          <w:p>
            <w:pPr>
              <w:ind w:left="440"/>
              <w:spacing w:after="0"/>
              <w:rPr>
                <w:sz w:val="20"/>
                <w:szCs w:val="20"/>
                <w:color w:val="auto"/>
              </w:rPr>
            </w:pPr>
            <w:r>
              <w:rPr>
                <w:rFonts w:ascii="Arial" w:cs="Arial" w:eastAsia="Arial" w:hAnsi="Arial"/>
                <w:sz w:val="18"/>
                <w:szCs w:val="18"/>
                <w:color w:val="auto"/>
              </w:rPr>
              <w:t>Total other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1,311.5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1,158.3</w:t>
            </w:r>
          </w:p>
        </w:tc>
        <w:tc>
          <w:tcPr>
            <w:tcW w:w="60" w:type="dxa"/>
            <w:vAlign w:val="bottom"/>
          </w:tcPr>
          <w:p>
            <w:pPr>
              <w:spacing w:after="0"/>
              <w:rPr>
                <w:sz w:val="19"/>
                <w:szCs w:val="19"/>
                <w:color w:val="auto"/>
              </w:rPr>
            </w:pPr>
          </w:p>
        </w:tc>
      </w:tr>
      <w:tr>
        <w:trPr>
          <w:trHeight w:val="218"/>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125,000,000 shares, issued 103,383,037 and 102,606,425 shares,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2,472.9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2,420.7</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22,339,379 and 17,536,421 shares,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(1,040.3)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(685.1)</w:t>
            </w:r>
          </w:p>
        </w:tc>
      </w:tr>
      <w:tr>
        <w:trPr>
          <w:trHeight w:val="230"/>
        </w:trPr>
        <w:tc>
          <w:tcPr>
            <w:tcW w:w="880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2,474.2</w:t>
            </w:r>
          </w:p>
        </w:tc>
        <w:tc>
          <w:tcPr>
            <w:tcW w:w="60" w:type="dxa"/>
            <w:vAlign w:val="bottom"/>
          </w:tcPr>
          <w:p>
            <w:pPr>
              <w:spacing w:after="0"/>
              <w:rPr>
                <w:sz w:val="20"/>
                <w:szCs w:val="20"/>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6,514.1</w:t>
            </w:r>
          </w:p>
        </w:tc>
        <w:tc>
          <w:tcPr>
            <w:tcW w:w="60" w:type="dxa"/>
            <w:vAlign w:val="bottom"/>
            <w:shd w:val="clear" w:color="auto" w:fill="CCEEFF"/>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3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5,295.4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Cost of services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4,321.0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3,785.8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12,066.9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10,571.6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2,196.3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before income taxes and discontinued operations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 from continuing operations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earnings per share – diluted</w:t>
            </w: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p>
      <w:pPr>
        <w:ind w:left="10120"/>
        <w:spacing w:after="0"/>
        <w:rPr>
          <w:sz w:val="20"/>
          <w:szCs w:val="20"/>
          <w:color w:val="auto"/>
        </w:rPr>
      </w:pPr>
      <w:r>
        <w:rPr>
          <w:rFonts w:ascii="Arial" w:cs="Arial" w:eastAsia="Arial" w:hAnsi="Arial"/>
          <w:sz w:val="14"/>
          <w:szCs w:val="14"/>
          <w:b w:val="1"/>
          <w:bCs w:val="1"/>
          <w:color w:val="auto"/>
        </w:rPr>
        <w:t>9 Months Ended</w:t>
      </w:r>
    </w:p>
    <w:p>
      <w:pPr>
        <w:spacing w:after="0" w:line="1"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w w:val="96"/>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Gain on sale of business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Share-based compensation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on exercise of stock options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(430.1)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720"/>
              <w:spacing w:after="0"/>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318.2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299.2</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(100.2)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Proceeds from sale of business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an equity interest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(162.3)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short-term borrowings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Proceeds from long-term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long-term debt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on exercise of stock options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(359.5)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Cash used by financing activities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(331.3)</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8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(149.1)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687.9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538.8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2007 and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5" w:lineRule="exact"/>
        <w:rPr>
          <w:sz w:val="20"/>
          <w:szCs w:val="20"/>
          <w:color w:val="auto"/>
        </w:rPr>
      </w:pPr>
    </w:p>
    <w:p>
      <w:pPr>
        <w:ind w:right="7920" w:firstLine="8"/>
        <w:spacing w:after="0" w:line="344"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Basis of Presentation and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2006 Annual Report to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Employment-Related Items</w:t>
      </w:r>
    </w:p>
    <w:p>
      <w:pPr>
        <w:spacing w:after="0" w:line="9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On July 26, 2007 the French Senate passed an amendment to this social security legislation, which eliminates the payroll tax benefit resulting from the modification effective October 1, 2007. Beginning with the fourth quarter, our earnings will no longer be favorably impacted by the lower payroll tax calculation.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Included in the third quarter is $27.0 ($16.1 after tax, or $0.19 per diluted share) of net benefit related to this modification, including an increase to Gross Profit of $30.4 and an increase to Selling and Administrative Expenses of $3.4. Included in the second quarter is $99.3 ($57.2 after tax, or $0.66 per diluted share) of net benefit related to this modification, including an increase to Gross Profit of $113.9 and an increase to Selling and Administrative Expenses of $14.6. Of the cumulative Net Earnings benefit recorded in the second quarter, $38.4 ($0.45 per diluted share) relates to the reduction of payroll taxes for 2006, $8.9 ($0.10 per diluted share) relates to the reduction of payroll taxes for the first quarter of 2007 and $9.9 ($0.11 per diluted share) relates to the reduction of payroll taxes for the second quarter of 2007. The proceeds related to this modification for 2007 have been received. The proceeds for 2006 are expected to be received during 2007 or early 2008.</w:t>
      </w:r>
    </w:p>
    <w:p>
      <w:pPr>
        <w:spacing w:after="0" w:line="228"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July 2006, the Financial Accounting Standards Board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We adopted FIN 48 as of January 1, 2007. See Note 5 to the consolidated financial statements for further information.</w:t>
      </w:r>
    </w:p>
    <w:p>
      <w:pPr>
        <w:spacing w:after="0" w:line="14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Subsequently, in February 2007, the FASB issued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Both SFAS 157 and SFAS 159 are effective for us in 2008. We are currently assessing the impact of the adoption of these statements.</w:t>
      </w:r>
    </w:p>
    <w:p>
      <w:pPr>
        <w:spacing w:after="0" w:line="224"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nine months ended September 30, 2007 and 2006, we recognized expense of approximately $18.8 and $15.9, respectively, in share-based compensation expense related to grants of stock options, deferred stock, restricted stock and performance share units, and anticipated issuances of stock related to our employee stock purchase plan. Cash received from stock option exercises was $34.1 and $45.2 for the nine months ended September 30, 2007 and 2006, respectively. We recognize compensation expense on grants of share-based compensation awards on a straight-line basis over the vesting period of each award in Selling and Administrative Expenses.</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Our annual grant of share-based compensation generally takes place during the first quarter of each fiscal year. The number of shares underlying grants to all employees and the weighted-average fair value per share of each grant during the nine months ended September 30 are presented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5"/>
              </w:rPr>
              <w:t>9 Months Ended September 30,</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620" w:type="dxa"/>
            <w:vAlign w:val="bottom"/>
          </w:tcPr>
          <w:p>
            <w:pPr>
              <w:spacing w:after="0"/>
              <w:rPr>
                <w:sz w:val="11"/>
                <w:szCs w:val="11"/>
                <w:color w:val="auto"/>
              </w:rPr>
            </w:pPr>
          </w:p>
        </w:tc>
        <w:tc>
          <w:tcPr>
            <w:tcW w:w="9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Granted</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Wtd.-Avg.</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Granted</w:t>
            </w:r>
          </w:p>
        </w:tc>
        <w:tc>
          <w:tcPr>
            <w:tcW w:w="4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Wtd.-Avg.</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40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(thousands)</w:t>
            </w:r>
          </w:p>
        </w:tc>
        <w:tc>
          <w:tcPr>
            <w:tcW w:w="4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22.40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Deferred Stock Units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75.11</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78.09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Granted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6540" w:firstLine="8"/>
        <w:spacing w:after="0" w:line="34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 xml:space="preserve">Acquisitions, Discontinued Operations, and Reorganization Costs </w:t>
      </w:r>
      <w:r>
        <w:rPr>
          <w:rFonts w:ascii="Arial" w:cs="Arial" w:eastAsia="Arial" w:hAnsi="Arial"/>
          <w:sz w:val="18"/>
          <w:szCs w:val="18"/>
          <w:i w:val="1"/>
          <w:iCs w:val="1"/>
          <w:color w:val="auto"/>
        </w:rPr>
        <w:t>Acquisitions</w:t>
      </w:r>
    </w:p>
    <w:p>
      <w:pPr>
        <w:spacing w:after="0" w:line="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nine months ended September 30, 2007 was $100.2, primarily related to franchise acquisitions in the U.S. and by Right Management, compared to $7.8 in the nine months ended September 30, 2006.</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acquisition of Right Management in 2004, we established reserves totaling $24.5 for severance and other office lease closure costs related to streamlining Right Management’s worldwide operations. As of September 30, 2007, $23.2 has been paid from these reserves, of which $1.2 was paid during the first nine months of 2007. The remaining $1.3, which primarily represents future operating lease costs, is expected to be paid by the end of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2006, we sold a non-core payroll processing business in Sweden, and in December 2006, we sold a non-core facilities management services business in the Nordics and disposed of one of our Right Management subsidiaries. We have recorded the results of these operations as discontinued operations. Summarized financial information for the discontinued operations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6"/>
              </w:rPr>
              <w:t>3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9 Months Ended</w:t>
            </w:r>
          </w:p>
        </w:tc>
      </w:tr>
      <w:tr>
        <w:trPr>
          <w:trHeight w:val="175"/>
        </w:trPr>
        <w:tc>
          <w:tcPr>
            <w:tcW w:w="720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September 30, 2006</w:t>
            </w:r>
          </w:p>
        </w:tc>
        <w:tc>
          <w:tcPr>
            <w:tcW w:w="1040" w:type="dxa"/>
            <w:vAlign w:val="bottom"/>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2006</w:t>
            </w:r>
          </w:p>
        </w:tc>
        <w:tc>
          <w:tcPr>
            <w:tcW w:w="20" w:type="dxa"/>
            <w:vAlign w:val="bottom"/>
          </w:tcPr>
          <w:p>
            <w:pPr>
              <w:spacing w:after="0"/>
              <w:rPr>
                <w:sz w:val="15"/>
                <w:szCs w:val="15"/>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of services and Selling and administrative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 of business, net of income taxes of $5.6</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140" w:type="dxa"/>
            <w:vAlign w:val="bottom"/>
            <w:gridSpan w:val="2"/>
          </w:tcPr>
          <w:p>
            <w:pPr>
              <w:ind w:left="10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0"/>
        </w:trPr>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quarter of 2006, we recorded expenses totaling $9.5 in the U.K. for severance and other office closure costs related to reorganizations. Of this amount in the U.K., $6.8 has been paid as of September 30, 2007, of which $1.4 was paid during the nine months ended September 30, 2007. We expect a majority of the remaining $2.7 will be paid in 2007. In the fourth quarter of 2006, we recorded expenses totaling $6.9 at Right Management for severance costs. As of September 30, 2007, $4.3 has been paid, of which $4.0 was paid during the nine months ended September 30, 2007. In the third quarter of 2007, we reversed $1.5 of this reserve as fewer than expected former employees have claimed the severance. We expect a majority of the remaining $1.1 will be paid in 2007.</w:t>
      </w:r>
    </w:p>
    <w:p>
      <w:pPr>
        <w:spacing w:after="0" w:line="1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In 2005, we recorded total expenses of $15.3 in France for severance costs related to a reorganization. As of September 30, 2007, $13.0 has been paid from the France reserve, of which $4.4 was paid during the nine months ended September 30, 2007. We expect a majority of the remaining $2.3 will be paid in 2007.</w:t>
      </w:r>
    </w:p>
    <w:p>
      <w:pPr>
        <w:spacing w:after="0" w:line="14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adopted the provisions of FIN 48 as of January 1, 2007. As a result, we recognized a $4.3 increase in the net liability for unrecognized tax benefits, which was accounted for as an adjustment to retained earnings at January 1, 2007. As of the date of adoption, we had gross unrecognized tax benefits of $67.0 on our consolidated balance sheet and related tax benefits of $24.5. The net amount of $42.5 would favorably affect the effective tax rate if recognized. We do not anticipate that the net amount of unrecognized tax benefits will change significantly during the next twelve months.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 business globally in 73 countries and territories. Accordingly, we are routinely audited by the various tax jurisdictions in which we operate. Generally, the tax years that remain subject to tax examination are 2002 through 2006 for our major operations in the U.S., France, U.K., Italy and Japan. As of January 1, 2007, we were subject to tax audits in France and the U.K., and as of September 30, 2007, we were subject to tax audits in France, U.K., U.S., Spain and Germany. There was no significant change in the total unrecognized tax benefits due to the settlement of audits, the expiration of the statute of limitations, or for other items during the nine months ended September 30, 2007.</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The combined amount of accrued interest and penalties as of January 1, 2007 was $6.2 and is included in the net unrecognized tax benefit. We accrued approximately $2.0 of additional interest and penalties during the nine months ended September 30, 2007.</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provided for income taxes from continuing operations at a rate of 38.9% for the first nine months of 2007 and at a rate of 38.1% for the third quarter of 2007, compared to a rate of 36.8% for the first nine months of 2006 and a rate of 36.7% for the third quarter of 2006. The rate for the third quarter of 2007 is higher than the 2006 rate primarily due to changes in the mix of income from countries with relatively higher tax rates. The rate for the first nine months of 2007 is higher than the 2006 rate primarily due to the impact of certain discrete items recorded in the second quarter of 2007. These discrete items include the income tax cost associated with additional anticipated cash repatriation as a result of the modification to the payroll tax calculation in France, additional valuation allowance recorded for non-U.S. operating losses, and a reduction of the estimated benefit related to foreign tax credits.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current estimate of the 2007 annual effective tax rate is 38.3%, which is higher than the U.S. Federal statutory rate of 35% due primarily to higher foreign income tax rates on foreign earnings, and the impact of U.S. state income taxes, other permanent items and the discrete tax items noted above. This rate is higher than the annual effective tax rate of 36.6% for 2006 due to the incremental cost of the discrete items recorded in the second quarter of 2007, and the lower tax cost of the reorganization charges and the costs related to our global cost reduction initiative in 2006.</w:t>
      </w:r>
    </w:p>
    <w:p>
      <w:pPr>
        <w:spacing w:after="0" w:line="19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90"/>
              </w:rPr>
              <w:t>3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9 Months Ended</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6"/>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3"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3"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 available to common shareholders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continuing operations – basic</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earnings per share from discontinued operations – basic</w:t>
            </w:r>
          </w:p>
        </w:tc>
        <w:tc>
          <w:tcPr>
            <w:tcW w:w="3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860" w:type="dxa"/>
            <w:vAlign w:val="bottom"/>
            <w:vMerge w:val="restart"/>
          </w:tcPr>
          <w:p>
            <w:pPr>
              <w:jc w:val="right"/>
              <w:ind w:right="2892"/>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Diluted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0"/>
              </w:rPr>
              <w:t>3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9 Months Ended</w:t>
            </w:r>
          </w:p>
        </w:tc>
        <w:tc>
          <w:tcPr>
            <w:tcW w:w="0" w:type="dxa"/>
            <w:vAlign w:val="bottom"/>
          </w:tcPr>
          <w:p>
            <w:pPr>
              <w:spacing w:after="0"/>
              <w:rPr>
                <w:sz w:val="1"/>
                <w:szCs w:val="1"/>
                <w:color w:val="auto"/>
              </w:rPr>
            </w:pPr>
          </w:p>
        </w:tc>
      </w:t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 available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stock grants (in millions)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earnings per share from continuing operations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discontinued operations – diluted</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calculation of Net Earnings Per Share – Diluted does not include certain option grants because the exercise price for these options is greater than the average market price of the common shares during the three month period ended September 30, 2007. There were 1,085,500 and 42,500 options excluded from the calculation for the three and nine months ended September 30, 2007, respectively. There were no such options excluded for the three and nine month periods ended September 30, 2006.</w:t>
      </w:r>
    </w:p>
    <w:p>
      <w:pPr>
        <w:spacing w:after="0" w:line="22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July 2007, we amended our $200.0 Receivables Facility to extend its maturity to July 2008. All other terms remain substantially unchanged. There were no borrowings outstanding under this facility as of September 30, 2007 or December 31,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8"/>
              </w:rPr>
              <w:t>Defined Benefit Pension Plans</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7"/>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3 Months Ended</w:t>
            </w:r>
          </w:p>
        </w:tc>
        <w:tc>
          <w:tcPr>
            <w:tcW w:w="120" w:type="dxa"/>
            <w:vAlign w:val="bottom"/>
          </w:tcPr>
          <w:p>
            <w:pPr>
              <w:spacing w:after="0"/>
              <w:rPr>
                <w:sz w:val="11"/>
                <w:szCs w:val="11"/>
                <w:color w:val="auto"/>
              </w:rPr>
            </w:pPr>
          </w:p>
        </w:tc>
        <w:tc>
          <w:tcPr>
            <w:tcW w:w="1120" w:type="dxa"/>
            <w:vAlign w:val="bottom"/>
            <w:gridSpan w:val="6"/>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15.5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89"/>
              </w:rPr>
              <w:t>Retiree Health Care Plan</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7"/>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3 Months Ended</w:t>
            </w:r>
          </w:p>
        </w:tc>
        <w:tc>
          <w:tcPr>
            <w:tcW w:w="120" w:type="dxa"/>
            <w:vAlign w:val="bottom"/>
          </w:tcPr>
          <w:p>
            <w:pPr>
              <w:spacing w:after="0"/>
              <w:rPr>
                <w:sz w:val="11"/>
                <w:szCs w:val="11"/>
                <w:color w:val="auto"/>
              </w:rPr>
            </w:pPr>
          </w:p>
        </w:tc>
        <w:tc>
          <w:tcPr>
            <w:tcW w:w="1120" w:type="dxa"/>
            <w:vAlign w:val="bottom"/>
            <w:gridSpan w:val="6"/>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440"/>
              <w:spacing w:after="0"/>
              <w:rPr>
                <w:sz w:val="20"/>
                <w:szCs w:val="20"/>
                <w:color w:val="auto"/>
              </w:rPr>
            </w:pPr>
            <w:r>
              <w:rPr>
                <w:rFonts w:ascii="Arial" w:cs="Arial" w:eastAsia="Arial" w:hAnsi="Arial"/>
                <w:sz w:val="18"/>
                <w:szCs w:val="18"/>
                <w:color w:val="auto"/>
              </w:rPr>
              <w:t>Total benefit cost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three and nine months ended September 30, 2007, contributions made to our pension plans were $6.5 and $15.4, respectively, and contributions made to our retiree health care plan were $0.4 and $1.1, respectively. We expect to make total contributions of $19.1 to our pension plans and $1.5 to our retiree health care plan during 2007.</w:t>
      </w:r>
    </w:p>
    <w:p>
      <w:pPr>
        <w:spacing w:after="0" w:line="22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net of tax,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gridSpan w:val="5"/>
          </w:tcPr>
          <w:p>
            <w:pPr>
              <w:ind w:left="160"/>
              <w:spacing w:after="0"/>
              <w:rPr>
                <w:sz w:val="20"/>
                <w:szCs w:val="20"/>
                <w:color w:val="auto"/>
              </w:rPr>
            </w:pPr>
            <w:r>
              <w:rPr>
                <w:rFonts w:ascii="Arial" w:cs="Arial" w:eastAsia="Arial" w:hAnsi="Arial"/>
                <w:sz w:val="14"/>
                <w:szCs w:val="14"/>
                <w:b w:val="1"/>
                <w:bCs w:val="1"/>
                <w:color w:val="auto"/>
              </w:rPr>
              <w:t>3 Months Ended</w:t>
            </w:r>
          </w:p>
        </w:tc>
        <w:tc>
          <w:tcPr>
            <w:tcW w:w="10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9 Months Ended</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gain (loss)</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(22.3)</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Unrealized gain on investments</w:t>
            </w:r>
          </w:p>
        </w:tc>
        <w:tc>
          <w:tcPr>
            <w:tcW w:w="42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 gain on derivatives</w:t>
            </w:r>
          </w:p>
        </w:tc>
        <w:tc>
          <w:tcPr>
            <w:tcW w:w="5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Defined benefit pension plans</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Retiree health care plan</w:t>
            </w:r>
          </w:p>
        </w:tc>
        <w:tc>
          <w:tcPr>
            <w:tcW w:w="4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880"/>
              <w:spacing w:after="0"/>
              <w:rPr>
                <w:sz w:val="20"/>
                <w:szCs w:val="20"/>
                <w:color w:val="auto"/>
              </w:rPr>
            </w:pPr>
            <w:r>
              <w:rPr>
                <w:rFonts w:ascii="Arial" w:cs="Arial" w:eastAsia="Arial" w:hAnsi="Arial"/>
                <w:sz w:val="18"/>
                <w:szCs w:val="18"/>
                <w:color w:val="auto"/>
              </w:rPr>
              <w:t>Comprehensive income</w:t>
            </w:r>
          </w:p>
        </w:tc>
        <w:tc>
          <w:tcPr>
            <w:tcW w:w="4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50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472.4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20" w:type="dxa"/>
            <w:vAlign w:val="bottom"/>
            <w:vMerge w:val="restart"/>
          </w:tcPr>
          <w:p>
            <w:pPr>
              <w:jc w:val="right"/>
              <w:ind w:right="2752"/>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net of tax,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7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Defined benefit pension plans</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Retiree health care plan</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22"/>
        </w:trPr>
        <w:tc>
          <w:tcPr>
            <w:tcW w:w="79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241.4</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u w:val="single" w:color="auto"/>
                <w:color w:val="auto"/>
              </w:rPr>
              <w:t>6</w:t>
            </w:r>
          </w:p>
        </w:tc>
        <w:tc>
          <w:tcPr>
            <w:tcW w:w="6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three and nine months ended September 30, 2007, we repurchased a total of 3,729,400 and 4,944,200 common shares at a total cost of $270.5 and $359.5, respectively. In 2007, a total of 4,405,500 shares, at a total cost of $325.0, have been repurchased under our 2006 authorization, completing the repurchases allowed under the authorization.</w:t>
      </w:r>
    </w:p>
    <w:p>
      <w:pPr>
        <w:spacing w:after="0" w:line="14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August 2007, the Board of Directors authorized the repurchase of additional 5.0 million shares of our common shares, not to exceed a total purchase price of $400.0.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September 30, 2007, we have repurchased a total of 538,700 shares at a total cost of $34.5 under our 2007 authorization.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On May 2, 2007, the Board of Directors declared a cash dividend of $0.32 per share, which was paid on June 14, 2007 to shareholders of record on June 5, 2007.</w:t>
      </w:r>
    </w:p>
    <w:p>
      <w:pPr>
        <w:spacing w:after="0" w:line="2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October 23, 2007, the Board of Directors declared a cash dividend of $0.37 per share, which is payable on December 14, 2007 to shareholders of record on December 5, 2007.</w:t>
      </w:r>
    </w:p>
    <w:p>
      <w:pPr>
        <w:spacing w:after="0" w:line="21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consists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3 Months Ended</w:t>
            </w:r>
          </w:p>
        </w:tc>
        <w:tc>
          <w:tcPr>
            <w:tcW w:w="100" w:type="dxa"/>
            <w:vAlign w:val="bottom"/>
          </w:tcPr>
          <w:p>
            <w:pPr>
              <w:spacing w:after="0"/>
              <w:rPr>
                <w:sz w:val="14"/>
                <w:szCs w:val="14"/>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9 Months Ended</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$ 14.4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46.5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(8.7)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(24.3)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(0.1)</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Miscellaneous expenses, net</w:t>
            </w:r>
          </w:p>
        </w:tc>
        <w:tc>
          <w:tcPr>
            <w:tcW w:w="4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$ 10.6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760" w:type="dxa"/>
            <w:vAlign w:val="bottom"/>
            <w:vMerge w:val="restart"/>
          </w:tcPr>
          <w:p>
            <w:pPr>
              <w:jc w:val="right"/>
              <w:ind w:right="285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Segment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3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United States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1,474.4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Other EMEA (b)</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1,740.3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1,353.4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4,798.7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3,760.7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Italy (b)</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Jefferson Wells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Right Management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440"/>
              <w:spacing w:after="0"/>
              <w:rPr>
                <w:sz w:val="20"/>
                <w:szCs w:val="20"/>
                <w:color w:val="auto"/>
              </w:rPr>
            </w:pPr>
            <w:r>
              <w:rPr>
                <w:rFonts w:ascii="Arial" w:cs="Arial" w:eastAsia="Arial" w:hAnsi="Arial"/>
                <w:sz w:val="18"/>
                <w:szCs w:val="18"/>
                <w:color w:val="auto"/>
              </w:rPr>
              <w:t>Other Operations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1,901.0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Consolidated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Operating Unit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France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EMEA (b)</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Italy (b)</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Jefferson Wells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Right Management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tcPr>
          <w:p>
            <w:pPr>
              <w:ind w:left="88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880"/>
              <w:spacing w:after="0"/>
              <w:rPr>
                <w:sz w:val="20"/>
                <w:szCs w:val="20"/>
                <w:color w:val="auto"/>
              </w:rPr>
            </w:pPr>
            <w:r>
              <w:rPr>
                <w:rFonts w:ascii="Arial" w:cs="Arial" w:eastAsia="Arial" w:hAnsi="Arial"/>
                <w:sz w:val="18"/>
                <w:szCs w:val="18"/>
                <w:color w:val="auto"/>
              </w:rPr>
              <w:t>Earnings before income taxes and discontinued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212.8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575.</w:t>
            </w:r>
            <w:r>
              <w:rPr>
                <w:rFonts w:ascii="Arial" w:cs="Arial" w:eastAsia="Arial" w:hAnsi="Arial"/>
                <w:sz w:val="18"/>
                <w:szCs w:val="18"/>
                <w:u w:val="single" w:color="auto"/>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20" w:hanging="452"/>
        <w:spacing w:after="0" w:line="323"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United States, where a majority of our franchises operate, Revenues from Services include fees received from the related franchise offices of $6.5 and $6.6 for the three months ended September 30, 2007 and 2006, respectively, and $18.3 and $17.9 for the nine months ended September 30, 2007 and 2006, respectively. These fees are primarily based on revenues generated by the franchise offices, which were $270.7 and $285.9 for the three months ended September 30, 2007 and 2006, respectively, and $818.3 and $860.1 for the nine months ended September 30, 2007 and 2006, respectively.</w:t>
      </w:r>
    </w:p>
    <w:p>
      <w:pPr>
        <w:spacing w:after="0" w:line="16" w:lineRule="exact"/>
        <w:rPr>
          <w:rFonts w:ascii="Arial" w:cs="Arial" w:eastAsia="Arial" w:hAnsi="Arial"/>
          <w:sz w:val="15"/>
          <w:szCs w:val="15"/>
          <w:color w:val="auto"/>
        </w:rPr>
      </w:pPr>
    </w:p>
    <w:p>
      <w:pPr>
        <w:ind w:left="460" w:right="40"/>
        <w:spacing w:after="0" w:line="298" w:lineRule="auto"/>
        <w:rPr>
          <w:rFonts w:ascii="Arial" w:cs="Arial" w:eastAsia="Arial" w:hAnsi="Arial"/>
          <w:sz w:val="15"/>
          <w:szCs w:val="15"/>
          <w:color w:val="auto"/>
        </w:rPr>
      </w:pPr>
      <w:r>
        <w:rPr>
          <w:rFonts w:ascii="Arial" w:cs="Arial" w:eastAsia="Arial" w:hAnsi="Arial"/>
          <w:sz w:val="16"/>
          <w:szCs w:val="16"/>
          <w:color w:val="auto"/>
        </w:rPr>
        <w:t>Our consolidated Revenues from Services include fees received from our franchise offices of $9.4 and $9.6 for the three months ended September 30, 2007 and 2006, respectively, and $26.8 and $26.4 for the nine months ended September 30, 2007 and 2006, respectively. These fees are primarily based on revenues generated by the franchise offices, which were $387.4 and $392.3 for the three months ended September 30, 2007 and 2006, respectively, and $1,111.6 and $1,143.8 for the nine months ended September 30, 2007 and 2006, respectively.</w:t>
      </w:r>
    </w:p>
    <w:p>
      <w:pPr>
        <w:spacing w:after="0" w:line="31" w:lineRule="exact"/>
        <w:rPr>
          <w:rFonts w:ascii="Arial" w:cs="Arial" w:eastAsia="Arial" w:hAnsi="Arial"/>
          <w:sz w:val="15"/>
          <w:szCs w:val="15"/>
          <w:color w:val="auto"/>
        </w:rPr>
      </w:pPr>
    </w:p>
    <w:p>
      <w:pPr>
        <w:ind w:left="460" w:right="3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Italy and Other EMEA were combined as the EMEA segment in previous years. All previous years’ results have been revised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21 and 22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2007 and 2006</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Revenues from Services increased 15.4% to $5,295.4 million for the third quarter of 2007 from the same period in 2006. Revenues were positively impacted by changes in foreign currency exchange rates during the period due to the weakening of the U.S. Dollar relative to the currencies in most of our non-U.S. markets. Revenue growth in the third quarter of 2007 was also favorably impacted by acquisitions, primarily due to franchise acquisitions. In constant currency, revenues increased 8.5%. Revenues increased 15.0% excluding acquisitions, or 8.1% on an organic constant currency basis. This growth rate is a result of increased demand for our services in most of our markets, including France, Other EMEA, Italy, Right Management and Other Operations, where revenues increased 4.8%, 19.1%, 12.0%, 4.6% and 10.7%, respectively, on a constant currency basis. We also saw solid growth in revenue from our permanent recruitment business which increased 47.5% on a consolidated basis.</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Gross Profit increased 21.2% to $974.4 million for the third quarter of 2007. In constant currency, Gross Profit increased 14.2%. Gross Profit Margin was 18.4%, an increase of 0.9% from the third quarter of 2006. Included in the third quarter 2007 Gross Profit is the impact of a modification to the calculation of payroll taxes in France, which reduced the amount of payroll taxes for the period (see Note 1 to the consolidated financial statements for further information). The impact of this modification was an increase in Gross Profit of $30.4 million for the three months ended September 30, 2007. This amount represents a 57 basis point</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(0.57%) impact on third quarter 2007 Gross Profit Margin. The remaining increase in Gross Profit Margin is primarily the result of an increase in our temporary recruitment business margin (+0.25%) and an increase in our permanent recruitment business (+0.36%), offset by a change in the mix of services provided (-0.30%) primarily due to a relatively lesser amount of revenues coming from Jefferson Wells and Right Management where the gross profit margin is generally higher than the company average.</w:t>
      </w:r>
    </w:p>
    <w:p>
      <w:pPr>
        <w:spacing w:after="0" w:line="1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Selling and Administrative Expenses increased 17.5% from the third quarter of 2006 to $752.5 million in the third quarter of 2007. These expenses increased 11.2% in constant currency. As a percent of revenues, Selling and Administrative Expenses were 14.2% in the third quarter of 2007 compared to 13.9% in the third quarter of 2006. Included in the third quarter 2007 Selling and Administrative Expenses are costs related to the modification to the payroll tax calculation in France and costs associated with the move of our corporate headquarters. The impact of the French payroll tax modification and the move costs was an increase in Selling and Administrative Expenses of $3.4 million and $3.9 million, respectively for the three months ended September 30, 2007. These amounts represent a 14 basis point (0.14%) impact on third quarter 2007 Selling and Administrative Expenses as a percent of revenues. The remaining 16 basis point (0.16%) increase in Selling and Administrative Expenses as a percent of revenue reflects the increased personnel costs and continued investments in certain markets, offset by the favorable impact of cost control efforts and productivity gains.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Profit increased 35.3% for the third quarter of 2007 compared to 2006, with an Operating Profit Margin of 4.2% in 2007 compared to 3.6% in 2006. On a constant currency basis, Operating Profit increased 26.0%. Acquisitions had a minimal impact on Operating Profit for the quarter. Included in the third quarter 2007 Operating Profit is the impact of the modification to the payroll tax calculation in France. The impact of this modification was an increase to Operating Profit of $27.0 million for the three months ended September 30, 2007. This represents a 16.5% increase in Operating Profit and a 50 basis point (0.50%) impact on third quarter 2007 Operating Profit Margin, respectively. The remaining 10 basis point (0.10%) increase in Operating Profit Margin reflects the favorable impact of cost control efforts and productivity gains and the increase in Gross Profit Margin.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Interest and Other Expenses were $9.1 million in the third quarter of 2007 compared to $10.6 million for the same period in 2006. Net Interest Expense decreased $1.7 million in the quarter to $8.3 million due primarily to higher interest income as a result of our higher average cash levels over the period. Translation gains in the third quarter of 2007 were $0.1 million compared to a loss of $0.3 million in the third quarter of 2006. Miscellaneous Expenses, net, which consists of bank fees and other non-operating income and expenses, were $0.9 million in the third quarter of 2007 compared to $0.3 million in the third quarter of 2006.</w:t>
      </w:r>
    </w:p>
    <w:p>
      <w:pPr>
        <w:spacing w:after="0" w:line="9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provided for income taxes from continuing operations at a rate of 38.1% for the third quarter of 2007 compared to a rate of 36.7% for the third quarter of 2006. The rate for the third quarter 2007 is higher than the 2006 rate primarily due to changes in the mix of income from countries with relatively higher tax rates.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Earnings Per Share – Diluted increased 40.2% to $1.57 in the third quarter of 2007 compared to $1.16 in the third quarter of 2006. Net Earnings Per Share From Continuing Operations – Diluted was $1.57 in 2007 compared to $1.12 in 2006. The impact of the payroll tax modification in France was an increase in Net Earnings of $16.1 million ($0.19 Net Earnings Per Share – Diluted) for the three months ended September 30, 2007. Higher foreign currency exchange rates positively impacted Net Earnings Per Share – Diluted by approximately $0.08 in the third quarter of 2007 compared to 2006. Weighted-Average Shares – Diluted were 84.1 million in the third quarter of 2007, a decline of 3.0% from the third quarter of 2006. This decline is primarily a result of share repurchases in late 2006 and the first nine months of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2007 and 2006</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from Services increased 15.7% to $14,865.4 million for the first nine months of 2007 from the same period in 2006. Revenues were positively impacted by changes in foreign currency exchange rates during the period due to the weakening of the U.S. Dollar relative to the currencies in most of our non-U.S. markets. In constant currency, revenues increased 8.9%. Revenue growth in the first nine months of 2007 was also favorably impacted by acquisitions, primarily due to franchise acquisitions. Revenues increased 15.5% excluding acquisitions, or 8.7% on an organic constant currency basis. This growth rate is a result of increased demand for our services in most of our markets, including France, Other EMEA, Italy and Other Operations, where revenues increased 7.7%, 17.8%, 13.5% and 10.7%, respectively, on a constant currency basis. We also saw solid growth in our permanent recruitment business, which increased 45.1% on a consolidated basis.</w:t>
      </w:r>
    </w:p>
    <w:p>
      <w:pPr>
        <w:spacing w:after="0" w:line="14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Gross Profit increased 22.7% to $2,798.5 million for the first nine months of 2007. In constant currency, Gross Profit increased 16.0%. Gross Profit Margin was 18.8%, an increase of 1.1% from the first nine months of 2006. Included in Gross Profit for the first nine months of 2007 is the impact of the modification to the calculation of payroll taxes in France, which reduced the amount of payroll taxes retroactive to January 1, 2006. The impact of this modification was an increase in Gross Profit of $76.4 million related to 2006 and $68.0 million for the nine months ended September 30, 2007. These amounts represent a 51 basis point (0.51%) and a 46 basis point (0.46%) impact on Gross Profit Margin for the first nine months of 2007, respectively. The remaining increase in Gross Profit Margin is primarily due to an increase in our temporary recruitment business margin (+0.12%) and an increase in our permanent recruitment business (+0.33%), offset by a change in the mix of services provided (-0.34%) primarily due to a lesser amount of revenues coming from Jefferson Wells and Right Management where the gross profit margin is generally higher than the company average.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Selling and Administrative Expenses increased 14.5% from the first nine months of 2006, to $2,196.3 million in the first nine months of 2007. These expenses increased 8.5% in constant currency. As a percent of revenues, Selling and Administrative Expenses were 14.8% in the first nine months of 2007 compared to 14.9% in the first nine months of 2006. Included in Selling and Administrative Expenses for the first nine months of 2007 are costs related to the retroactive modification to the payroll tax calculation in France as well as costs associated with the move of our corporate headquarters. These amounts resulted in a 15 basis point (0.15%) increase in Selling and Administrative Expenses as a percent of revenue. Included in Selling and Administrative Expenses for the first nine months of 2006 were $18.2 million of reorganization charges and global cost reduction project costs, which resulted in a 14 basis point (0.14%) increase in Selling and Administrative Expenses as a percent of revenue for the first nine months of 2006. The remaining period-over-period decrease of 11 basis points (0.11%) is due to a favorable impact of cost control efforts and productivity gains offset by continued investments in certain markets.</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Operating Profit increased 66.2% for the first nine months of 2007 compared to 2006, with an Operating Profit Margin of 4.1% in 2007 compared to 2.8% in 2006. On a constant currency basis, Operating Profit increased 55.3%. Acquisitions had a minimal impact on Operating Profit for the first nine months of 2007. Included in Operating Profit for the first nine months of 2007 is the impact of the retroactive modification to the payroll tax calculation in France. This modification resulted in an increase in Operating Profit of $66.6 million related to 2006 and $59.7 million for the nine months ended September 30, 2007. These amounts represent an 18.4% and a 16.5% increase in Operating Profit, respectively, and a 50 basis point (0.50%) and a 40 basis point (0.40%) impact on Operating Profit Margin, respectively. In the first nine months of 2006, we had reorganization charges and global cost reduction project costs of $18.2 million, representing a 14 basis point (0.14%) reduction in Operating Profit Margin for the first nine months of 2006. The remaining 26 basis points (0.26%) of margin improvement reflects the favorable impact of cost control efforts and productivity gains.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and Other Expenses were $26.4 million in the first nine months of 2007 compared to $36.1 million for the same period in 2006. Net Interest Expense decreased $5.4 million to $22.2 million in the first nine months of 2007, as increases in interest expense were offset by higher interest income as a result of our higher cash levels. Translation losses in the first nine months of 2007 were $0.1 million compared to $2.5 million in the first nine months of 2006. Miscellaneous Expenses, net, which consist of bank fees and other non-operating income and expenses, were $4.1 million in the first nine months of 2007 compared to $6.0 million in the first nine months of 2006.</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provided for income taxes from continuing operations at a rate of 38.9% for the first nine months of 2007 compared to a rate of 36.8% for the first nine months of 2006. The rate for the first nine months of 2007 is higher than the 2006 rate primarily due to the impact of certain discrete items recorded in the second quarter of 2007. These discrete items include the income tax cost associated with additional anticipated cash repatriation as a result of the modification to the payroll tax calculation in France, additional valuation allowance recorded for non-U.S. operating losses, and a reduction of the estimated benefit related to foreign tax credits. Our current estimate of the 2007 annual effective tax rate is 38.3%, which is higher than the U.S. Federal statutory rate of 35% due primarily to higher foreign income tax rates on foreign earnings, and the impact of U.S. state income taxes, other permanent items and the discrete tax items noted above. This rate is higher than the annual effective tax rate of 36.6% for 2006 due to the incremental cost of the discrete items recorded in the second quarter of 2007, and the lower tax cost of the reorganization charges and the costs related to our global cost reduction initiative in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Earnings Per Share – Diluted increased 54.7% to $4.10 in the first nine months of 2007 compared to $2.65 in the first nine months of 2006. Net Earnings Per Share From Continuing Operations – Diluted was $4.10 in 2007 compared to $2.34 in 2006. Included in Net Earnings is the impact of the retroactive modification to the payroll tax calculation in France. The impact of this modification was an increase to Net Earnings of $38.4 million related to 2006 and $34.9 million for the nine months ended September 30, 2007. These amounts represent a $0.44 and $0.41 impact on Net Earnings Per Share—Diluted, respectively. The higher foreign currency exchange rates favorably impacted Net Earnings Per Share – Diluted by approximately $0.19 in the first nine months of 2007 compared to 2006.</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Weighted-Average Shares – Diluted were 85.7 million in the first nine months of 2007, a decline of 2.7% from the first nine months of 2006. This decline is primarily a result of share repurchases in late 2006 and the first nine months of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the United States, revenues decreased 7.4% for the third quarter of 2007 compared to the third quarter of 2006. Excluding acquisitions, revenues decreased 9.8% for the third quarter of 2007 compared to the third quarter of 2006. This decrease is due primarily to a decrease in staffing volume, as demand for our staffing services declined, partially offset by a 33.4% increase in revenue from our permanent recruitment business. We continue to experience slight year-over-year growth in our professional business and revenue declines in our office and industrial business.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Gross Profit Margin increased during the third quarter of 2007 compared to the third quarter of 2006, primarily due to an increase in the permanent recruitment business. Acquisitions did not have an impact on Gross Profit Margin during the third quarter of 2007.</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Selling and Administrative Expenses increased during the third quarter of 2007 compared to 2006, primarily due to increased advertising expense, but decreased for the first nine months of 2007 compared to the same period of 2006. Excluding acquisitions, Selling and Administrative Expenses decreased for the three and nine months ended September 30, 2007.</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Unit Profit (“OUP”) Margin in the United States was 4.8% and 5.3% for the third quarter of 2007 and 2006, respectively. This decrease is due to the de-leveraging effect of the revenue decline as revenues have declined more than expenses, partially offset by the increase in Gross Profit Margin. For the first nine months of 2007, OUP Margin was 4.2% in 2007 compared to 3.8% in 2006. Acquisitions had a minimal impact on OUP Margin for the three and nine months ended September 30,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France, revenues increased 13.1% (4.8% in constant currency) during the third quarter of 2007 compared to 2006. This constant currency growth rate is lower than that experienced in the first two quarters of 2007 due to a decline in the demand for our services as a result of a softening in the manufacturing and construction industry, which is a large portion of the staffing industry in France.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Margin increased in the third quarter of 2007 compared to the third quarter of 2006 due primarily to the impact of the modification to the calculation of payroll taxes. The impact of this modification was an increase in Gross Profit Margin of 160 basis points (1.60%) for the third quarter of 2007. Gross Profit Margin also increased in the quarter as a result of increased permanent recruitment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Selling and Administrative Expenses increased during the third quarter of 2007 compared to the third quarter of 2006 due to costs related to the modification to the payroll tax calculation, as well as investments in the permanent recruitment business. The costs related to the modification to the payroll tax calculation represent a 20 basis point (0.20%) impact on third quarter 2007 Selling and Administrative Expenses as a percent of revenue. Selling and Administrative Expenses as a percent of revenue for the third quarter of 2007 is the same as the third quarter of 2006.</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third quarter of 2007 and 2006, OUP Margin in France was 5.4% and 3.7%, respectively. Included in the third quarter 2007 OUP is the impact of the retroactive modification to the payroll tax calculation. The impact of this modification was $27.0 million for the three months ended September 30, 2007. This amount represents a 43.6% increase in OUP, and a 150 basis point (1.50%) impact on third quarter 2007 OUP Margin. The remaining 20 basis point (0.20%) increase reflects the leveraging of our expense base as we were able to support the increased staffing revenues without a similar increase in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EMEA</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previous years, the results of Other EMEA and Italy were combined as the EMEA segment. Italy is now a separate reportable segment and all previous years’ results have been revised to conform to the current year presentation.</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Other EMEA, which represents operations throughout Europe, the Middle East and Africa (excluding France and Italy), revenues increased 28.6% (19.1% in constant currency) in the third quarter of 2007 compared to the third quarter of 2006, an improvement from the revenue growth reported in the first two quarters of 2007. Local currency revenue growth was experienced in most major markets with the highest growth rates reported by the Nordics, Germany, the Netherlands and Elan. Permanent recruitment revenues increased 45.5% during the quarter as a result of our continued investments in this business.</w:t>
      </w:r>
    </w:p>
    <w:p>
      <w:pPr>
        <w:spacing w:after="0" w:line="11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Gross Profit Margin increased in the third quarter of 2007 compared to the third quarter of 2006 and also increased in the first nine months of 2007 compared to the first nine months of 2006 primarily due to the increase in permanent recruitment revenues, improved pricing in certain markets and the change in the mix of business, as geographies with relatively higher gross margins are growing faster than those with lower gross margins.</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Selling and Administrative Expenses increased in the third quarter of 2007 compared to the third quarter of 2006 due to the need to support the increased volumes. Expenses as a percent of revenue in the third quarter increased slightly from the third quarter of 2006 but improved for the first nine months of 2007 compared to the first nine months of 2006.</w:t>
      </w:r>
    </w:p>
    <w:p>
      <w:pPr>
        <w:spacing w:after="0" w:line="14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OUP Margin for Other EMEA was 4.3% and 3.6% for the third quarter of 2007 and 2006, respectively. This margin improvement was the result of the increased Gross Profit Margin level. OUP Margin was 3.5% and 2.5% for the first nine months of 2007 and 2006,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Italy, revenues increased 21.1% (12.0% in constant currency) in the third quarter of 2007 compared to the third quarter of 2006, as demand for our services in Italy slowed slightly from earlier in the year but remained strong. Permanent recruitment revenues increased 83.5% during the third quarter of 2007 compared to the third quarter of 2006. Revenues in the first nine months of 2007 increased 22.5% (13.5% in constant currency) from the prior year.</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Gross Profit Margin in the third quarter of 2007 increased compared to the third quarter of 2006 due to the increase in permanent recruitment revenues and improved pricing discipline in the market.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Selling and Administrative Expenses increased during the third quarter of 2007 compared to the third quarter of 2006 primarily due to increases in personnel and communication costs. However, expenses as a percent of revenue decreased in the third quarter and the first nine months of 2007 compared to the third quarter and first nine months of 2006 as we were able to leverage the existing cost base to support the increased revenues without a similar increase in expenses.</w:t>
      </w:r>
    </w:p>
    <w:p>
      <w:pPr>
        <w:spacing w:after="0" w:line="8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OUP Margin for Italy was 7.3% and 6.1% for the third quarter of 2007 and 2006, respectively. This margin improvement was primarily the result of leveraging our expense base with increased revenues. OUP Margin for Italy was 7.1% and 5.8% for the first nine months of 2007 and 2006,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Revenues for Jefferson Wells decreased 8.9% in the third quarter of 2007 compared to the third quarter of 2006 due primarily to the decline in Sarbanes-Oxley related control services and the completion of two large projects that positively impacted 2006 revenue levels. Revenues for the first nine months of 2007 decreased 13.0% from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Gross Profit Margin in the third quarter of 2007 declined compared to the third quarter of 2006 due to lower utilization of our professional staff.</w:t>
      </w:r>
    </w:p>
    <w:p>
      <w:pPr>
        <w:spacing w:after="0" w:line="194"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Selling and Administrative Expenses increased 21.1% during the third quarter compared to the third quarter of 2006 due to $3.0 of expenses related to the move of Jefferson Wells to the new corporate headquarters and our continued investment in new offices, both domestically and internationally. As a percentage of revenue, expenses have increased compared to the third quarter of 2006. Expenses for the first nine months of 2007 increased 7.4% from the prior year.</w:t>
      </w:r>
    </w:p>
    <w:p>
      <w:pPr>
        <w:spacing w:after="0" w:line="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OUP Margin for Jefferson Wells in the third quarter of 2007 was -2.0% compared to 10.6% in the third quarter of 2006. This decreased margin is primarily the result of lower utilization of professional staff, investment in new offices and the costs associated with the move to the new corporate headquarters. OUP Margin for Jefferson Wells was 0.2% and 8.9% for the first nine months of 2007 and 2006,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Revenues for Right Management in the third quarter of 2007 increased 9.0% (4.6% in constant currency) compared to the third quarter of 2006. Excluding acquisitions, revenues increased 5.0% or 0.7% in constant currency. This increase in constant currency is the result of improving demand for Right’s organizational consulting services and represents an improvement from the growth seen in the first and second quarter of 2007. Revenues for the first nine months of 2007 were 3.5% higher than the prior year (a decrease of 0.5% in constant currency or 3.2% in organic constant currency).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in the third quarter of 2007 stayed relatively flat compared to the third quarter of 2006.</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Selling and Administrative Expenses decreased in the third quarter of 2007 compared to the third quarter of 2006 in constant currency, and decreased as a percentage of revenues. Selling and Administrative Expenses as a percentage of revenues for the first nine months of 2007 decreased from the first nine months of 2006, due to reduced personnel and office expenses including the $1.2 million reorganization charge recorded in the first quarter of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OUP Margin for Right Management was 5.8% in the third quarter of 2007 compared to 2.4% in the third quarter of 2006 due to the lower Selling and Administrative Expenses and the leveraging of the existing cost base to support the increased revenues without a similar increase in expense. OUP Margin for the first nine months of 2007 was 7.7% compared to 6.2% in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Other Operations increased 14.4% (10.7% in constant currency) during the third quarter of 2007 compared to 2006. Revenue increases for the third quarter, in constant currency, were experienced in most major markets in this segment, including Argentina, Mexico and Japan which experienced revenue growth rates of 35.1%, 9.3% and 8.5%, respectively. India and China also continue to show strong revenue growth. Permanent recruitment revenues increased 45.1% as a result of investments in this business. For the first nine months of 2007, revenues for this segment have increased 12.7% from the prior year (10.7% in constant currency).</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Gross Profit Margin increased slightly in the third quarter of 2007 compared to 2006 primarily due to a shift in the mix of business toward those countries and services with higher gross profit margins, offset by the decreased Gross Profit Margin in Japan.</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and Administrative Expenses increased 15.4% in the third quarter of 2007 compared to the third quarter of 2006 to support the increased revenue levels, investments in office openings and the permanent recruitment business in certain markets. Expenses as a percent of revenue were in line for the both the third quarter and first nine months of 2007 compared to the same periods in 2006.</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OUP Margin for Other Operations declined in the third quarter to 2.8% in 2007, from 2.9% in 2006. OUP Margin was 2.4% and 2.9% for the first nine months of 2007 and 2006, respectively, due in part to a major advertising campaign in Japan in the first quarter of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our revenues and operating profits include the impact of changes in foreign currency exchange rates. We provide “constant currency” and “organic constant currency” calculations, which are non-GAAP measures, in this quarterly report to remove the impact of these items. We typically express year-over-year variances that are calculated in constant currency and organic constant currency as a percentage.</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to investors, indicating the actual growth of our operations. We utilize constant currency results in our analysis of subsidiary or segment performance. We also use constant currency when analyzing our performance against that of our competitors.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September 30, 2007 Compared to 2006</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Impact of</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Variance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Acquisitions/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9"/>
              </w:rPr>
              <w:t>in</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4"/>
              </w:rPr>
              <w:t>Reported</w:t>
            </w: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9"/>
              </w:rPr>
              <w:t>Impact of</w:t>
            </w:r>
          </w:p>
        </w:tc>
        <w:tc>
          <w:tcPr>
            <w:tcW w:w="10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Constant</w:t>
            </w:r>
          </w:p>
        </w:tc>
        <w:tc>
          <w:tcPr>
            <w:tcW w:w="12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(In Constant</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66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89"/>
              </w:rPr>
              <w:t xml:space="preserve">Amount </w:t>
            </w:r>
            <w:r>
              <w:rPr>
                <w:rFonts w:ascii="Arial" w:cs="Arial" w:eastAsia="Arial" w:hAnsi="Arial"/>
                <w:sz w:val="20"/>
                <w:szCs w:val="20"/>
                <w:b w:val="1"/>
                <w:bCs w:val="1"/>
                <w:color w:val="auto"/>
                <w:w w:val="89"/>
                <w:vertAlign w:val="superscript"/>
              </w:rPr>
              <w:t>(a)</w:t>
            </w:r>
          </w:p>
        </w:tc>
        <w:tc>
          <w:tcPr>
            <w:tcW w:w="32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Variance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Currency</w:t>
            </w: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Currency</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Currency)</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502.2</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(7.4)%</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1,871.3</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EMEA</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1,740.3</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28.6</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19.1</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85.5</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Management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14.4</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5,295.4</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21.2</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line="20" w:lineRule="exact"/>
              <w:rPr>
                <w:sz w:val="1"/>
                <w:szCs w:val="1"/>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14.2</w:t>
            </w:r>
          </w:p>
        </w:tc>
        <w:tc>
          <w:tcPr>
            <w:tcW w:w="1220" w:type="dxa"/>
            <w:vAlign w:val="bottom"/>
            <w:gridSpan w:val="2"/>
            <w:vMerge w:val="restart"/>
          </w:tcPr>
          <w:p>
            <w:pPr>
              <w:ind w:left="540"/>
              <w:spacing w:after="0"/>
              <w:rPr>
                <w:sz w:val="20"/>
                <w:szCs w:val="20"/>
                <w:color w:val="auto"/>
              </w:rPr>
            </w:pPr>
            <w:r>
              <w:rPr>
                <w:rFonts w:ascii="Arial" w:cs="Arial" w:eastAsia="Arial" w:hAnsi="Arial"/>
                <w:sz w:val="18"/>
                <w:szCs w:val="18"/>
                <w:color w:val="auto"/>
              </w:rPr>
              <w:t>0.6</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974.4</w:t>
            </w:r>
          </w:p>
        </w:tc>
        <w:tc>
          <w:tcPr>
            <w:tcW w:w="138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221.9</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35.3</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26.0</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1.3</w:t>
            </w: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2007 Compared to 2006</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Impact of</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Variance</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Acquisitions/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4"/>
              </w:rPr>
              <w:t>Reported</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in</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Dispositions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4"/>
              </w:rPr>
              <w:t>Reported</w:t>
            </w:r>
          </w:p>
        </w:tc>
        <w:tc>
          <w:tcPr>
            <w:tcW w:w="10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Impact of</w:t>
            </w:r>
          </w:p>
        </w:tc>
        <w:tc>
          <w:tcPr>
            <w:tcW w:w="11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5"/>
              </w:rPr>
              <w:t>Constant</w:t>
            </w:r>
          </w:p>
        </w:tc>
        <w:tc>
          <w:tcPr>
            <w:tcW w:w="12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(In Constant</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40" w:type="dxa"/>
            <w:vAlign w:val="bottom"/>
            <w:gridSpan w:val="3"/>
          </w:tcPr>
          <w:p>
            <w:pPr>
              <w:jc w:val="right"/>
              <w:ind w:right="360"/>
              <w:spacing w:after="0" w:line="176" w:lineRule="exact"/>
              <w:rPr>
                <w:sz w:val="20"/>
                <w:szCs w:val="20"/>
                <w:color w:val="auto"/>
              </w:rPr>
            </w:pPr>
            <w:r>
              <w:rPr>
                <w:rFonts w:ascii="Arial" w:cs="Arial" w:eastAsia="Arial" w:hAnsi="Arial"/>
                <w:sz w:val="13"/>
                <w:szCs w:val="13"/>
                <w:b w:val="1"/>
                <w:bCs w:val="1"/>
                <w:color w:val="auto"/>
                <w:w w:val="95"/>
              </w:rPr>
              <w:t xml:space="preserve">Amount </w:t>
            </w:r>
            <w:r>
              <w:rPr>
                <w:rFonts w:ascii="Arial" w:cs="Arial" w:eastAsia="Arial" w:hAnsi="Arial"/>
                <w:sz w:val="20"/>
                <w:szCs w:val="20"/>
                <w:b w:val="1"/>
                <w:bCs w:val="1"/>
                <w:color w:val="auto"/>
                <w:w w:val="95"/>
                <w:vertAlign w:val="superscript"/>
              </w:rPr>
              <w:t>(a)</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Variance</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Currency</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Currency)</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1,474.4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5,149.2</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EMEA</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4,798.7</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27.6</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17.8</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993.1</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250.6</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Management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298.4</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1,901.0</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10.7</w:t>
            </w: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14,865.4</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0.2</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22.7</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6.7</w:t>
            </w: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16.0</w:t>
            </w:r>
          </w:p>
        </w:tc>
        <w:tc>
          <w:tcPr>
            <w:tcW w:w="760" w:type="dxa"/>
            <w:vAlign w:val="bottom"/>
            <w:vMerge w:val="restart"/>
          </w:tcPr>
          <w:p>
            <w:pPr>
              <w:ind w:left="540"/>
              <w:spacing w:after="0"/>
              <w:rPr>
                <w:sz w:val="20"/>
                <w:szCs w:val="20"/>
                <w:color w:val="auto"/>
              </w:rPr>
            </w:pPr>
            <w:r>
              <w:rPr>
                <w:rFonts w:ascii="Arial" w:cs="Arial" w:eastAsia="Arial" w:hAnsi="Arial"/>
                <w:sz w:val="18"/>
                <w:szCs w:val="18"/>
                <w:color w:val="auto"/>
                <w:w w:val="79"/>
              </w:rPr>
              <w:t>0.4</w:t>
            </w:r>
          </w:p>
        </w:tc>
        <w:tc>
          <w:tcPr>
            <w:tcW w:w="4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2,798.5</w:t>
            </w:r>
          </w:p>
        </w:tc>
        <w:tc>
          <w:tcPr>
            <w:tcW w:w="10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2,196.3</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0.2</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602.2</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66.2</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55.3</w:t>
            </w:r>
          </w:p>
        </w:tc>
        <w:tc>
          <w:tcPr>
            <w:tcW w:w="760" w:type="dxa"/>
            <w:vAlign w:val="bottom"/>
          </w:tcPr>
          <w:p>
            <w:pPr>
              <w:ind w:left="540"/>
              <w:spacing w:after="0"/>
              <w:rPr>
                <w:sz w:val="20"/>
                <w:szCs w:val="20"/>
                <w:color w:val="auto"/>
              </w:rPr>
            </w:pPr>
            <w:r>
              <w:rPr>
                <w:rFonts w:ascii="Arial" w:cs="Arial" w:eastAsia="Arial" w:hAnsi="Arial"/>
                <w:sz w:val="18"/>
                <w:szCs w:val="18"/>
                <w:color w:val="auto"/>
                <w:w w:val="79"/>
              </w:rPr>
              <w:t>0.8</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 millions for the nine months ended September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provided by operating activities was $299.2 million in the first nine months of 2007 compared to $226.1 million for the first nine months of 2006. This increase is primarily due to the increased operating earnings, offset by increased working capital needs. Cash provided by operating activities before changes in working capital requirements increased to $436.8 million in the first nine months of 2007 compared to $275.4 million in the first nine months of 2006 due primarily to the increase in earnings. Working capital needs increased to $137.6 million in the first nine months of 2007 compared to $49.3 million in the first nine months of 2006.</w:t>
      </w:r>
    </w:p>
    <w:p>
      <w:pPr>
        <w:spacing w:after="0" w:line="14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Accounts receivable increased to $4,537.3 million as of September 30, 2007 from $3,837.2 million as of December 31, 2006. This increase is due to higher business volumes in the third quarter of 2007 compared to the fourth quarter of 2006, changes in foreign currency exchange rates, and an incremental $44.9 million as a result of the payroll tax modification in France. At December 31, 2006 exchange rates, the September 30, 2007 balance would have been approximately $266.5 million lower than reported.</w:t>
      </w:r>
    </w:p>
    <w:p>
      <w:pPr>
        <w:spacing w:after="0" w:line="14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Capital expenditures were $65.8 million in the first nine months of 2007 compared to $47.3 million during the first nine months of 2006. These expenditures are primarily comprised of leasehold improvements, purchases of computer equipment, office furniture and other costs related to office openings and refurbishments.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nine months of 2007 was $100.2 million, primarily due to franchise acquisitions in the U.S. and by Right Management, compared to $7.8 million in the first nine months of 2006.</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January 2006, we sold a non-core payroll processing business in Sweden. The cash proceeds from this sale of $29.6 million were received in 2006. In December of 2005, we sold one of our available-for-sale investments for a gain of $2.6 million. Proceeds from this transaction of $8.8 million were received in the first half of 2006.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Net debt borrowings in the first nine months of 2007 were $15.7 million compared to repayments of $0.6 million in the first nine months of 2006.</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July 2007, we amended our $200.0 million Receivables Facility to extend its maturity to July 2008. All other terms remain substantially unchanged. There were no borrowings outstanding under this facility as of September 30, 2007 or December 31, 2006.</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of September 30, 2007, we had borrowings of $142.7 million and letters of credit of $3.7 million outstanding under our $625.0 million revolving credit agreement. There were no borrowings outstanding under our commercial paper program.</w:t>
      </w:r>
    </w:p>
    <w:p>
      <w:pPr>
        <w:spacing w:after="0" w:line="13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Our $625.0 million revolving credit agreement requires, among other things, that we comply with a Debt-to-EBITDA ratio of less than 3.25 to 1 and a fixed charge ratio of greater than 2.00 to 1. As defined in the agreement, we had a Debt-to-EBITDA ratio of 1.05 to 1 and a fixed charge ratio of 3.76 to 1 as of September 30, 2007. Based upon current forecasts, we expect to be in compliance with these covenants for the remainder of 2007.</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addition to the previously mentioned facilities, we maintain separate bank facilities with financial institutions to meet working capital needs of our subsidiary operations. As of September 30, 2007, such facilities totaled $328.7 million, of which $276.7 million was unused. Of the unused amount, $248.0 million was unused due to limitations on subsidiary borrowings. Under the $625.0 million revolving credit agreement, total subsidiary borrowings cannot exceed $150.0 million in the first, second and fourth quarters, and $300.0 million in the third quarter of each year.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October 2006, the Board of Directors authorized the repurchase of 5.0 million shares of our common stock, not to exceed a total price of $325.0 million. During the first nine months of 2007, we repurchased 4,405,500 shares at a total cost of $325.0 million, completing the repurchases allowed under the authorization.</w:t>
      </w:r>
    </w:p>
    <w:p>
      <w:pPr>
        <w:spacing w:after="0" w:line="14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August 2007, the Board of Directors authorized the repurchase of 5.0 million shares of our common stock, not to exceed a total price of $400.0 million. During the third quarter of 2007, we repurchased a total of 538,700 shares at a total cost of $34.5 million. There are 4.5 million shares remaining available for repurchase under the 2007 authorization, not to exceed a total price of $365.5 million. During the first nine months of 2006, we repurchased 4.0 million shares at a total cost of $235.9 million under the 2005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On May 2, 2007, the Board of Directors declared a cash dividend of $0.32 per share, which was paid on June 14, 2007 to shareholders of record on June 5, 2007.</w:t>
      </w: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October 23, 2007, the Board of Directors declared a cash dividend of $0.37 per share, which is payable on December 14, 2007 to shareholders of record on December 5, 2007.</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aggregate commitments related to debt repayments, operating leases, severances and office closure costs, and certain other commitments of $1,807.0 million as of September 30, 2007 compared to $1,855.3 million as of December 31, 2006.</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first quarter of 2006, we recorded expenses totaling $9.5 million in the U.K. for severance and other office closure costs related to reorganizations. Of this amount, $6.8 million has been paid as of September 30, 2007, of which $1.4 million was paid during the nine months ended September 30, 2007. We expect a majority of the remaining $2.7 million will be paid in 2007.</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fourth quarter of 2006, we recorded expenses totaling $6.9 million at Right Management for severance costs. As of September 30, 2007, $4.3 million has been paid, of which $4.0 million was paid during the nine months ended September 30, 2007. In the third quarter of 2007, we reversed $1.5 million of this reserve as fewer than expected former employees have claimed the severance. We expect a majority of the remaining $1.1 million will be paid in 2007.</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2005, we recorded total expenses of $15.3 million in France for severance costs related to a reorganization. As of September 30, 2007, $13.0 million has been paid from the France reserve, of which $4.4 million was paid during the nine months ended September 30, 2007. We expect a majority of the remaining $2.3 million will be paid in 2007.</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acquisition of Right Management in 2004, we established reserves totaling $24.5 million for severance and other office lease closure costs related to streamlining Right Management’s worldwide operations. As of September 30, 2007, $23.2 million has been paid from these reserves, of which $1.2 million was paid during the first nine months of 2007. The remaining $1.3 million, which primarily represents future operating lease costs, is expected to be paid by the end of 2008.</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$133.0 million and $136.5 million as of September 30, 2007 and December 31, 2006, respectively, consisting of $71.5 million and $61.6 million for guarantees, respectively, and $61.5 million and $74.9 million for stand-by letters of credit, respectively. Guarantees primarily relate to bank accounts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Employment-Related Items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On July 26, 2007 the French Senate passed an amendment to this social security legislation, which eliminates the payroll tax benefit resulting from the modification effective October 1, 2007. Beginning with the fourth quarter, our earnings will no longer be favorably impacted by the lower payroll tax calculation.</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Included in the third quarter is $27.0 million ($16.1 million after tax, or $0.19 per diluted share) of net benefit related to this modification, including an increase to Gross Profit of $30.4 and an increase to Selling and Administrative Expenses of $3.4 million. Included in the second quarter is $99.3 million ($57.2 million after tax, or $0.66 per diluted share) of net benefit related to this modification, including an increase to Gross Profit of $113.9 million and an increase to Selling and Administrative Expenses of $14.6 million. Of the cumulative Net Earnings benefit recorded in the second quarter, $38.4 million ($0.45 per diluted share) relates to the reduction of payroll taxes for 2006, $8.9 million ($0.10 per diluted share) relates to the reduction of payroll taxes for the first quarter of 2007 and $9.9 million ($0.11 per diluted share) relates to the reduction of payroll taxes for the second quarter of 2007. The proceeds related to this modification for 2007 have been received. The proceeds for 2006 are expected to be received during 2007 or early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 Asset Impairment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 value-based approach. The majority of our goodwill and indefinite-lived intangible assets result from our acquisitions of Right Management, Elan, and Jefferson Wells.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OUP margins, and working capital levels; a discount rate; and a terminal value multiple.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completed our annual impairment review for 2007 and determined there to be no impairment of either goodwill or indefinite-lived intangible assets. We plan to perform our next annual impairment review during the third quarter of 2008.</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certain reporting units. In addition, changes to other assumptions could significantly impact our estimate of the fair value of our reporting units. Such a change may result in a goodwill impairment charge, which could have a significant impact on the reportable segments that include the related reporting units and our consolidated financial statements.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July 2006, the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We adopted FIN 48 as of January 1, 2007. See Note 5 to the consolidated financial statements for further information.</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Subsequently, in February 2007, the FASB issued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Both SFAS 157 and SFAS 159 are effective for us in 2008. We are currently assessing the impact of the adoption of these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2006 Annual Report on Form 10-K contains certain disclosures about market risks affecting us. There have been no material changes to the information provided which would require additional disclosures as of the date of this filing.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“Item 1A. Risk Factors” in our annual report on Form 10-K for the year ended December 31, 2006,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Some or all of the factors identified in our annual report on Form 10-K and the above statement may be beyond our control. We caution that any forward-looking statement reflects only our belief at the time the statement is made. We undertake no obligation to update any forward-looking statements to reflect subsequent events or circumstances except as required under federal securities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identified various risk factors in our annual report on Form 10-K for the year ended December 31, 2006. In addition to those, as of September 30, 2007, we have outsourced certain aspects of our business to third party vendors that subject us to risks, including disruptions in our business and increased costs. For example, we have engaged a third party to host and manage certain aspects of our data center information and technology infrastructure. Accordingly, we are subject to the risks associated with the vendor’s ability to provide information technology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hosting and managing certain aspects of our data center information technology structure is more than expected, or if the vendor or we are unable to adequately protect our data and information is lost or our ability to deliver our services is interrupted, then our business and results of operations may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2007 and October 2006, the Board of Directors authorized the repurchase of 5.0 million shares of our common stock, not to exceed a total purchase price of $400.0 million and $325.0 million, respectively. The plans were announced on August 27, 2007 and October 31, 2006,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Total number of</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Maximum</w:t>
            </w:r>
          </w:p>
        </w:tc>
      </w:tr>
      <w:tr>
        <w:trPr>
          <w:trHeight w:val="149"/>
        </w:trPr>
        <w:tc>
          <w:tcPr>
            <w:tcW w:w="7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r>
      <w:tr>
        <w:trPr>
          <w:trHeight w:val="149"/>
        </w:trPr>
        <w:tc>
          <w:tcPr>
            <w:tcW w:w="7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as part of</w:t>
            </w:r>
          </w:p>
        </w:tc>
        <w:tc>
          <w:tcPr>
            <w:tcW w:w="16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shares that</w:t>
            </w:r>
          </w:p>
        </w:tc>
      </w:tr>
      <w:tr>
        <w:trPr>
          <w:trHeight w:val="149"/>
        </w:trPr>
        <w:tc>
          <w:tcPr>
            <w:tcW w:w="7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3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 paid</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publicly</w:t>
            </w:r>
          </w:p>
        </w:tc>
        <w:tc>
          <w:tcPr>
            <w:tcW w:w="16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may yet be</w:t>
            </w:r>
          </w:p>
        </w:tc>
      </w:tr>
      <w:tr>
        <w:trPr>
          <w:trHeight w:val="161"/>
        </w:trPr>
        <w:tc>
          <w:tcPr>
            <w:tcW w:w="7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3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purchased</w:t>
            </w:r>
          </w:p>
        </w:tc>
        <w:tc>
          <w:tcPr>
            <w:tcW w:w="14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July 1- 31,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$ 83.94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284,000</w:t>
            </w:r>
          </w:p>
        </w:tc>
        <w:tc>
          <w:tcPr>
            <w:tcW w:w="1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3,501,200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August 1 - 31, 2007</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2,946,700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72.92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2,946,700</w:t>
            </w: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87"/>
              </w:rPr>
              <w:t>4,960,000</w:t>
            </w:r>
            <w:r>
              <w:rPr>
                <w:rFonts w:ascii="Arial" w:cs="Arial" w:eastAsia="Arial" w:hAnsi="Arial"/>
                <w:sz w:val="11"/>
                <w:szCs w:val="11"/>
                <w:color w:val="auto"/>
                <w:w w:val="87"/>
              </w:rPr>
              <w:t>(1)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63.65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498,700</w:t>
            </w:r>
          </w:p>
        </w:tc>
        <w:tc>
          <w:tcPr>
            <w:tcW w:w="1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4,461,300</w:t>
            </w:r>
            <w:r>
              <w:rPr>
                <w:rFonts w:ascii="Arial" w:cs="Arial" w:eastAsia="Arial" w:hAnsi="Arial"/>
                <w:sz w:val="11"/>
                <w:szCs w:val="11"/>
                <w:color w:val="auto"/>
                <w:w w:val="87"/>
              </w:rPr>
              <w:t>(1)</w:t>
            </w:r>
          </w:p>
        </w:tc>
      </w:tr>
    </w:tbl>
    <w:p>
      <w:pPr>
        <w:spacing w:after="0" w:line="73" w:lineRule="exact"/>
        <w:rPr>
          <w:sz w:val="20"/>
          <w:szCs w:val="20"/>
          <w:color w:val="auto"/>
        </w:rPr>
      </w:pPr>
    </w:p>
    <w:p>
      <w:pPr>
        <w:ind w:left="460" w:right="24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August 24, 2007, the total purchase price for the shares repurchased under the 2006 authorization was $325.0 million, completing the repurchases allowed under the authorization. Starting August 30, shares have been repurchased under the 2007 authorization which allows repurchases of 5.0 million shares of our common shares, not to exceed a total purchase price of $400.0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2007:</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consultation regarding appropriate handling of items on tax returns, required disclosures, elections and filing positions available to us;</w:t>
      </w:r>
    </w:p>
    <w:p>
      <w:pPr>
        <w:spacing w:after="0" w:line="113" w:lineRule="exact"/>
        <w:rPr>
          <w:rFonts w:ascii="Arial" w:cs="Arial" w:eastAsia="Arial" w:hAnsi="Arial"/>
          <w:sz w:val="16"/>
          <w:szCs w:val="16"/>
          <w:color w:val="auto"/>
        </w:rPr>
      </w:pPr>
    </w:p>
    <w:p>
      <w:pPr>
        <w:jc w:val="both"/>
        <w:ind w:left="900" w:right="2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9"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of the our quarterly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consultation regarding current, proposed and newly adopted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on U.S. GAAP topics for a foreign subsidiary;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of a foreign employee pension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advice and assistance related to data privacy;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assessment of the risks and opportunities related to providing sole supplier services for a specific client business for a foreign subsidiary;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due diligence work on a potential acquisition;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auditor reports required as part of an internal restructuring and related to a government grant.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Exhibits</w:t>
      </w:r>
    </w:p>
    <w:p>
      <w:pPr>
        <w:spacing w:after="0" w:line="19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Change of Control Severance Agreement dated August 1, 2007 between Manpower Inc. and Darryl Green, incorporated by reference to the Company’s Current Report on Form 8-K dated August 1, 2007.</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11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ss.1350.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MANPOWER INC.</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2360"/>
              <w:spacing w:after="0"/>
              <w:rPr>
                <w:sz w:val="20"/>
                <w:szCs w:val="20"/>
                <w:color w:val="auto"/>
              </w:rPr>
            </w:pPr>
            <w:r>
              <w:rPr>
                <w:rFonts w:ascii="Arial" w:cs="Arial" w:eastAsia="Arial" w:hAnsi="Arial"/>
                <w:sz w:val="18"/>
                <w:szCs w:val="18"/>
                <w:color w:val="auto"/>
              </w:rPr>
              <w:t>(Registrant)</w:t>
            </w:r>
          </w:p>
        </w:tc>
      </w:tr>
      <w:tr>
        <w:trPr>
          <w:trHeight w:val="573"/>
        </w:trPr>
        <w:tc>
          <w:tcPr>
            <w:tcW w:w="3680" w:type="dxa"/>
            <w:vAlign w:val="bottom"/>
          </w:tcPr>
          <w:p>
            <w:pPr>
              <w:spacing w:after="0"/>
              <w:rPr>
                <w:sz w:val="20"/>
                <w:szCs w:val="20"/>
                <w:color w:val="auto"/>
              </w:rPr>
            </w:pPr>
            <w:r>
              <w:rPr>
                <w:rFonts w:ascii="Arial" w:cs="Arial" w:eastAsia="Arial" w:hAnsi="Arial"/>
                <w:sz w:val="18"/>
                <w:szCs w:val="18"/>
                <w:color w:val="auto"/>
              </w:rPr>
              <w:t>Date: November 8, 2007</w:t>
            </w:r>
          </w:p>
        </w:tc>
        <w:tc>
          <w:tcPr>
            <w:tcW w:w="22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J. Van Handel</w:t>
            </w:r>
          </w:p>
        </w:tc>
      </w:tr>
      <w:tr>
        <w:trPr>
          <w:trHeight w:val="202"/>
        </w:trPr>
        <w:tc>
          <w:tcPr>
            <w:tcW w:w="3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J. Van Handel</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2"/>
              </w:rPr>
              <w:t>Executive Vice President, Chief Financial Officer, and Secretary (Signing</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8"/>
              </w:rPr>
              <w:t>on behalf of the Registrant and as the Principal Financial Officer and</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680" w:type="dxa"/>
            <w:vAlign w:val="bottom"/>
          </w:tcPr>
          <w:p>
            <w:pPr>
              <w:spacing w:after="0"/>
              <w:rPr>
                <w:sz w:val="24"/>
                <w:szCs w:val="24"/>
                <w:color w:val="auto"/>
              </w:rPr>
            </w:pPr>
          </w:p>
        </w:tc>
        <w:tc>
          <w:tcPr>
            <w:tcW w:w="228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jc w:val="center"/>
              <w:ind w:right="994"/>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24"/>
                <w:szCs w:val="24"/>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17"/>
                <w:szCs w:val="17"/>
                <w:color w:val="auto"/>
              </w:rPr>
            </w:pPr>
          </w:p>
        </w:tc>
        <w:tc>
          <w:tcPr>
            <w:tcW w:w="10320" w:type="dxa"/>
            <w:vAlign w:val="bottom"/>
          </w:tcPr>
          <w:p>
            <w:pPr>
              <w:spacing w:after="0" w:line="201" w:lineRule="exact"/>
              <w:rPr>
                <w:sz w:val="20"/>
                <w:szCs w:val="20"/>
                <w:color w:val="auto"/>
              </w:rPr>
            </w:pPr>
            <w:r>
              <w:rPr>
                <w:rFonts w:ascii="Arial" w:cs="Arial" w:eastAsia="Arial" w:hAnsi="Arial"/>
                <w:sz w:val="18"/>
                <w:szCs w:val="18"/>
                <w:color w:val="auto"/>
                <w:w w:val="92"/>
              </w:rPr>
              <w:t>Change of Control Severance Agreement dated August 1, 2007 between Manpower Inc. and Darryl Green, incorporated by reference to the</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Company’s Current Report on Form 8-K dated August 1, 2007.</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Certification of Jeffrey A. Joerres, Chairman and Chief Executive Officer, pursuant to Section 13a-14(a) of the Securities Exchange Act of 1934.</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Certification of Michael J. Van Handel, Executive Vice President and Chief Financial Officer, pursuant to Section 13a-14(a) of the Securities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Exchange Act of 1934.</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4"/>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6"/>
              </w:rPr>
              <w:t>9 Months Ended</w:t>
            </w:r>
          </w:p>
        </w:tc>
      </w:tr>
      <w:tr>
        <w:trPr>
          <w:trHeight w:val="161"/>
        </w:trPr>
        <w:tc>
          <w:tcPr>
            <w:tcW w:w="84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2007</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Earnings before income taxes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575.8</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Earnings before income taxes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223.3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186.2</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644.7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540.2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524.6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347.7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302.7</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124.4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116.5</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00" w:hanging="579"/>
        <w:spacing w:after="0" w:line="268" w:lineRule="auto"/>
        <w:tabs>
          <w:tab w:leader="none" w:pos="5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2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2007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2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2007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2019-12-11T21:31:05Z</dcterms:created>
  <dcterms:modified xsi:type="dcterms:W3CDTF">2019-12-11T21:31:05Z</dcterms:modified>
</cp:coreProperties>
</file>