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63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63905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LEENTJES HANS</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MANPOWERGROUP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DIEMERHOF 16-18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ManpowerGroup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MAN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04/23/2015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66"/>
        <w:spacing w:after="0"/>
        <w:rPr>
          <w:sz w:val="20"/>
          <w:szCs w:val="20"/>
          <w:color w:val="auto"/>
        </w:rPr>
      </w:pPr>
      <w:r>
        <w:rPr>
          <w:rFonts w:ascii="Arial" w:cs="Arial" w:eastAsia="Arial" w:hAnsi="Arial"/>
          <w:sz w:val="17"/>
          <w:szCs w:val="17"/>
          <w:color w:val="0000FF"/>
        </w:rPr>
        <w:t>EVP/Northern Europe</w:t>
      </w:r>
    </w:p>
    <w:p>
      <w:pPr>
        <w:spacing w:after="0" w:line="408"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680" w:type="dxa"/>
            <w:vAlign w:val="bottom"/>
            <w:gridSpan w:val="6"/>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920" w:type="dxa"/>
            <w:vAlign w:val="bottom"/>
            <w:gridSpan w:val="10"/>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gridSpan w:val="3"/>
          </w:tcPr>
          <w:p>
            <w:pPr>
              <w:ind w:left="4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XN DIEMEN</w:t>
            </w:r>
          </w:p>
        </w:tc>
        <w:tc>
          <w:tcPr>
            <w:tcW w:w="200" w:type="dxa"/>
            <w:vAlign w:val="bottom"/>
            <w:vMerge w:val="restart"/>
          </w:tcPr>
          <w:p>
            <w:pPr>
              <w:spacing w:after="0"/>
              <w:rPr>
                <w:sz w:val="20"/>
                <w:szCs w:val="20"/>
                <w:color w:val="auto"/>
              </w:rPr>
            </w:pPr>
            <w:r>
              <w:rPr>
                <w:rFonts w:ascii="Arial" w:cs="Arial" w:eastAsia="Arial" w:hAnsi="Arial"/>
                <w:sz w:val="17"/>
                <w:szCs w:val="17"/>
                <w:color w:val="0000FF"/>
                <w:w w:val="86"/>
              </w:rPr>
              <w:t>P7</w:t>
            </w:r>
          </w:p>
        </w:tc>
        <w:tc>
          <w:tcPr>
            <w:tcW w:w="1020" w:type="dxa"/>
            <w:vAlign w:val="bottom"/>
          </w:tcPr>
          <w:p>
            <w:pPr>
              <w:spacing w:after="0"/>
              <w:rPr>
                <w:sz w:val="11"/>
                <w:szCs w:val="11"/>
                <w:color w:val="auto"/>
              </w:rPr>
            </w:pP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1112</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gridSpan w:val="3"/>
          </w:tcPr>
          <w:p>
            <w:pPr>
              <w:spacing w:after="0"/>
              <w:rPr>
                <w:sz w:val="11"/>
                <w:szCs w:val="11"/>
                <w:color w:val="auto"/>
              </w:rPr>
            </w:pPr>
          </w:p>
        </w:tc>
        <w:tc>
          <w:tcPr>
            <w:tcW w:w="4380" w:type="dxa"/>
            <w:vAlign w:val="bottom"/>
            <w:tcBorders>
              <w:bottom w:val="single" w:sz="8" w:color="2C2C2C"/>
            </w:tcBorders>
            <w:gridSpan w:val="8"/>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3"/>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6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40" w:type="dxa"/>
            <w:vAlign w:val="bottom"/>
            <w:gridSpan w:val="3"/>
          </w:tcPr>
          <w:p>
            <w:pPr>
              <w:jc w:val="center"/>
              <w:ind w:left="485"/>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40" w:type="dxa"/>
            <w:vAlign w:val="bottom"/>
            <w:gridSpan w:val="3"/>
          </w:tcPr>
          <w:p>
            <w:pPr>
              <w:jc w:val="center"/>
              <w:ind w:left="485"/>
              <w:spacing w:after="0"/>
              <w:rPr>
                <w:sz w:val="20"/>
                <w:szCs w:val="20"/>
                <w:color w:val="auto"/>
              </w:rPr>
            </w:pPr>
            <w:r>
              <w:rPr>
                <w:rFonts w:ascii="Arial" w:cs="Arial" w:eastAsia="Arial" w:hAnsi="Arial"/>
                <w:sz w:val="17"/>
                <w:szCs w:val="17"/>
                <w:color w:val="0000FF"/>
                <w:w w:val="93"/>
              </w:rPr>
              <w:t>04/23/2015</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9"/>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1"/>
              </w:rPr>
              <w:t>100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84"/>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67.12</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89"/>
              </w:rPr>
              <w:t>2,802</w:t>
            </w:r>
          </w:p>
        </w:tc>
        <w:tc>
          <w:tcPr>
            <w:tcW w:w="280" w:type="dxa"/>
            <w:vAlign w:val="bottom"/>
          </w:tcPr>
          <w:p>
            <w:pPr>
              <w:spacing w:after="0"/>
              <w:rPr>
                <w:sz w:val="23"/>
                <w:szCs w:val="23"/>
                <w:color w:val="auto"/>
              </w:rPr>
            </w:pPr>
          </w:p>
        </w:tc>
        <w:tc>
          <w:tcPr>
            <w:tcW w:w="700" w:type="dxa"/>
            <w:vAlign w:val="bottom"/>
          </w:tcPr>
          <w:p>
            <w:pPr>
              <w:jc w:val="center"/>
              <w:ind w:right="308"/>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40" w:type="dxa"/>
            <w:vAlign w:val="bottom"/>
            <w:gridSpan w:val="3"/>
          </w:tcPr>
          <w:p>
            <w:pPr>
              <w:jc w:val="center"/>
              <w:ind w:left="485"/>
              <w:spacing w:after="0"/>
              <w:rPr>
                <w:sz w:val="20"/>
                <w:szCs w:val="20"/>
                <w:color w:val="auto"/>
              </w:rPr>
            </w:pPr>
            <w:r>
              <w:rPr>
                <w:rFonts w:ascii="Arial" w:cs="Arial" w:eastAsia="Arial" w:hAnsi="Arial"/>
                <w:sz w:val="17"/>
                <w:szCs w:val="17"/>
                <w:color w:val="0000FF"/>
                <w:w w:val="93"/>
              </w:rPr>
              <w:t>04/23/2015</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9"/>
              <w:spacing w:after="0"/>
              <w:rPr>
                <w:sz w:val="20"/>
                <w:szCs w:val="20"/>
                <w:color w:val="auto"/>
              </w:rPr>
            </w:pPr>
            <w:r>
              <w:rPr>
                <w:rFonts w:ascii="Arial" w:cs="Arial" w:eastAsia="Arial" w:hAnsi="Arial"/>
                <w:sz w:val="13"/>
                <w:szCs w:val="13"/>
                <w:color w:val="0000FF"/>
                <w:w w:val="91"/>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1"/>
              </w:rPr>
              <w:t>100</w:t>
            </w:r>
          </w:p>
        </w:tc>
        <w:tc>
          <w:tcPr>
            <w:tcW w:w="560" w:type="dxa"/>
            <w:vAlign w:val="bottom"/>
          </w:tcPr>
          <w:p>
            <w:pPr>
              <w:ind w:left="200"/>
              <w:spacing w:after="0"/>
              <w:rPr>
                <w:sz w:val="20"/>
                <w:szCs w:val="20"/>
                <w:color w:val="auto"/>
              </w:rPr>
            </w:pPr>
            <w:r>
              <w:rPr>
                <w:rFonts w:ascii="Arial" w:cs="Arial" w:eastAsia="Arial" w:hAnsi="Arial"/>
                <w:sz w:val="17"/>
                <w:szCs w:val="17"/>
                <w:color w:val="0000FF"/>
              </w:rPr>
              <w:t>D</w:t>
            </w:r>
          </w:p>
        </w:tc>
        <w:tc>
          <w:tcPr>
            <w:tcW w:w="660" w:type="dxa"/>
            <w:vAlign w:val="bottom"/>
          </w:tcPr>
          <w:p>
            <w:pPr>
              <w:jc w:val="center"/>
              <w:ind w:left="84"/>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84.01</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89"/>
              </w:rPr>
              <w:t>2,702</w:t>
            </w:r>
          </w:p>
        </w:tc>
        <w:tc>
          <w:tcPr>
            <w:tcW w:w="280" w:type="dxa"/>
            <w:vAlign w:val="bottom"/>
          </w:tcPr>
          <w:p>
            <w:pPr>
              <w:spacing w:after="0"/>
              <w:rPr>
                <w:sz w:val="23"/>
                <w:szCs w:val="23"/>
                <w:color w:val="auto"/>
              </w:rPr>
            </w:pPr>
          </w:p>
        </w:tc>
        <w:tc>
          <w:tcPr>
            <w:tcW w:w="700" w:type="dxa"/>
            <w:vAlign w:val="bottom"/>
          </w:tcPr>
          <w:p>
            <w:pPr>
              <w:jc w:val="center"/>
              <w:ind w:right="308"/>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40" w:type="dxa"/>
            <w:vAlign w:val="bottom"/>
            <w:gridSpan w:val="3"/>
          </w:tcPr>
          <w:p>
            <w:pPr>
              <w:jc w:val="center"/>
              <w:ind w:left="485"/>
              <w:spacing w:after="0"/>
              <w:rPr>
                <w:sz w:val="20"/>
                <w:szCs w:val="20"/>
                <w:color w:val="auto"/>
              </w:rPr>
            </w:pPr>
            <w:r>
              <w:rPr>
                <w:rFonts w:ascii="Arial" w:cs="Arial" w:eastAsia="Arial" w:hAnsi="Arial"/>
                <w:sz w:val="17"/>
                <w:szCs w:val="17"/>
                <w:color w:val="0000FF"/>
                <w:w w:val="93"/>
              </w:rPr>
              <w:t>04/24/2015</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9"/>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89"/>
              </w:rPr>
              <w:t>7,848</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84"/>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67.12</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10,550</w:t>
            </w:r>
          </w:p>
        </w:tc>
        <w:tc>
          <w:tcPr>
            <w:tcW w:w="280" w:type="dxa"/>
            <w:vAlign w:val="bottom"/>
          </w:tcPr>
          <w:p>
            <w:pPr>
              <w:spacing w:after="0"/>
              <w:rPr>
                <w:sz w:val="23"/>
                <w:szCs w:val="23"/>
                <w:color w:val="auto"/>
              </w:rPr>
            </w:pPr>
          </w:p>
        </w:tc>
        <w:tc>
          <w:tcPr>
            <w:tcW w:w="700" w:type="dxa"/>
            <w:vAlign w:val="bottom"/>
          </w:tcPr>
          <w:p>
            <w:pPr>
              <w:jc w:val="center"/>
              <w:ind w:right="308"/>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40" w:type="dxa"/>
            <w:vAlign w:val="bottom"/>
            <w:gridSpan w:val="3"/>
          </w:tcPr>
          <w:p>
            <w:pPr>
              <w:jc w:val="center"/>
              <w:ind w:left="485"/>
              <w:spacing w:after="0"/>
              <w:rPr>
                <w:sz w:val="20"/>
                <w:szCs w:val="20"/>
                <w:color w:val="auto"/>
              </w:rPr>
            </w:pPr>
            <w:r>
              <w:rPr>
                <w:rFonts w:ascii="Arial" w:cs="Arial" w:eastAsia="Arial" w:hAnsi="Arial"/>
                <w:sz w:val="17"/>
                <w:szCs w:val="17"/>
                <w:color w:val="0000FF"/>
                <w:w w:val="93"/>
              </w:rPr>
              <w:t>04/24/2015</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9"/>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88"/>
              </w:rPr>
              <w:t>11,462</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84"/>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44.81</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22,012</w:t>
            </w:r>
          </w:p>
        </w:tc>
        <w:tc>
          <w:tcPr>
            <w:tcW w:w="280" w:type="dxa"/>
            <w:vAlign w:val="bottom"/>
          </w:tcPr>
          <w:p>
            <w:pPr>
              <w:spacing w:after="0"/>
              <w:rPr>
                <w:sz w:val="23"/>
                <w:szCs w:val="23"/>
                <w:color w:val="auto"/>
              </w:rPr>
            </w:pPr>
          </w:p>
        </w:tc>
        <w:tc>
          <w:tcPr>
            <w:tcW w:w="700" w:type="dxa"/>
            <w:vAlign w:val="bottom"/>
          </w:tcPr>
          <w:p>
            <w:pPr>
              <w:jc w:val="center"/>
              <w:ind w:right="308"/>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40" w:type="dxa"/>
            <w:vAlign w:val="bottom"/>
            <w:gridSpan w:val="3"/>
          </w:tcPr>
          <w:p>
            <w:pPr>
              <w:jc w:val="center"/>
              <w:ind w:left="485"/>
              <w:spacing w:after="0"/>
              <w:rPr>
                <w:sz w:val="20"/>
                <w:szCs w:val="20"/>
                <w:color w:val="auto"/>
              </w:rPr>
            </w:pPr>
            <w:r>
              <w:rPr>
                <w:rFonts w:ascii="Arial" w:cs="Arial" w:eastAsia="Arial" w:hAnsi="Arial"/>
                <w:sz w:val="17"/>
                <w:szCs w:val="17"/>
                <w:color w:val="0000FF"/>
                <w:w w:val="93"/>
              </w:rPr>
              <w:t>04/24/2015</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9"/>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89"/>
              </w:rPr>
              <w:t>6,635</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84"/>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52.55</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28,647</w:t>
            </w:r>
          </w:p>
        </w:tc>
        <w:tc>
          <w:tcPr>
            <w:tcW w:w="280" w:type="dxa"/>
            <w:vAlign w:val="bottom"/>
          </w:tcPr>
          <w:p>
            <w:pPr>
              <w:spacing w:after="0"/>
              <w:rPr>
                <w:sz w:val="23"/>
                <w:szCs w:val="23"/>
                <w:color w:val="auto"/>
              </w:rPr>
            </w:pPr>
          </w:p>
        </w:tc>
        <w:tc>
          <w:tcPr>
            <w:tcW w:w="700" w:type="dxa"/>
            <w:vAlign w:val="bottom"/>
          </w:tcPr>
          <w:p>
            <w:pPr>
              <w:jc w:val="center"/>
              <w:ind w:right="308"/>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center"/>
              <w:ind w:left="485"/>
              <w:spacing w:after="0"/>
              <w:rPr>
                <w:sz w:val="20"/>
                <w:szCs w:val="20"/>
                <w:color w:val="auto"/>
              </w:rPr>
            </w:pPr>
            <w:r>
              <w:rPr>
                <w:rFonts w:ascii="Arial" w:cs="Arial" w:eastAsia="Arial" w:hAnsi="Arial"/>
                <w:sz w:val="17"/>
                <w:szCs w:val="17"/>
                <w:color w:val="0000FF"/>
                <w:w w:val="93"/>
              </w:rPr>
              <w:t>04/24/2015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91"/>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25,945</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84.2181</w:t>
            </w:r>
            <w:r>
              <w:rPr>
                <w:rFonts w:ascii="Arial" w:cs="Arial" w:eastAsia="Arial" w:hAnsi="Arial"/>
                <w:sz w:val="22"/>
                <w:szCs w:val="22"/>
                <w:color w:val="008000"/>
                <w:w w:val="90"/>
                <w:vertAlign w:val="superscript"/>
              </w:rPr>
              <w:t>(1)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2,702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9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40" w:type="dxa"/>
            <w:vAlign w:val="bottom"/>
            <w:gridSpan w:val="9"/>
          </w:tcPr>
          <w:p>
            <w:pPr>
              <w:jc w:val="center"/>
              <w:ind w:left="58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gridSpan w:val="2"/>
          </w:tcPr>
          <w:p>
            <w:pPr>
              <w:jc w:val="center"/>
              <w:ind w:right="1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08"/>
              <w:spacing w:after="0"/>
              <w:rPr>
                <w:sz w:val="20"/>
                <w:szCs w:val="20"/>
                <w:color w:val="auto"/>
              </w:rPr>
            </w:pPr>
            <w:r>
              <w:rPr>
                <w:rFonts w:ascii="Arial" w:cs="Arial" w:eastAsia="Arial" w:hAnsi="Arial"/>
                <w:sz w:val="12"/>
                <w:szCs w:val="12"/>
                <w:b w:val="1"/>
                <w:bCs w:val="1"/>
                <w:color w:val="auto"/>
                <w:w w:val="95"/>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gridSpan w:val="2"/>
          </w:tcPr>
          <w:p>
            <w:pPr>
              <w:jc w:val="center"/>
              <w:ind w:right="1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 (</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67.12</w:t>
            </w:r>
          </w:p>
        </w:tc>
        <w:tc>
          <w:tcPr>
            <w:tcW w:w="2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color w:val="0000FF"/>
                <w:w w:val="95"/>
              </w:rPr>
              <w:t>04/23/2015</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vMerge w:val="restart"/>
          </w:tcPr>
          <w:p>
            <w:pPr>
              <w:ind w:left="4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2"/>
                <w:szCs w:val="12"/>
                <w:color w:val="auto"/>
              </w:rPr>
            </w:pPr>
          </w:p>
        </w:tc>
        <w:tc>
          <w:tcPr>
            <w:tcW w:w="720" w:type="dxa"/>
            <w:vAlign w:val="bottom"/>
            <w:vMerge w:val="restart"/>
          </w:tcPr>
          <w:p>
            <w:pPr>
              <w:jc w:val="center"/>
              <w:ind w:left="258"/>
              <w:spacing w:after="0"/>
              <w:rPr>
                <w:sz w:val="20"/>
                <w:szCs w:val="20"/>
                <w:color w:val="auto"/>
              </w:rPr>
            </w:pPr>
            <w:r>
              <w:rPr>
                <w:rFonts w:ascii="Arial" w:cs="Arial" w:eastAsia="Arial" w:hAnsi="Arial"/>
                <w:sz w:val="13"/>
                <w:szCs w:val="13"/>
                <w:color w:val="0000FF"/>
                <w:w w:val="92"/>
              </w:rPr>
              <w:t>100</w:t>
            </w: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ind w:left="120"/>
              <w:spacing w:after="0"/>
              <w:rPr>
                <w:sz w:val="20"/>
                <w:szCs w:val="20"/>
                <w:color w:val="auto"/>
              </w:rPr>
            </w:pPr>
            <w:r>
              <w:rPr>
                <w:rFonts w:ascii="Arial" w:cs="Arial" w:eastAsia="Arial" w:hAnsi="Arial"/>
                <w:sz w:val="13"/>
                <w:szCs w:val="13"/>
                <w:color w:val="0000FF"/>
              </w:rPr>
              <w:t>02/16/2021</w:t>
            </w:r>
          </w:p>
        </w:tc>
        <w:tc>
          <w:tcPr>
            <w:tcW w:w="560" w:type="dxa"/>
            <w:vAlign w:val="bottom"/>
          </w:tcPr>
          <w:p>
            <w:pPr>
              <w:ind w:left="60"/>
              <w:spacing w:after="0" w:line="148" w:lineRule="exact"/>
              <w:rPr>
                <w:sz w:val="20"/>
                <w:szCs w:val="20"/>
                <w:color w:val="auto"/>
              </w:rPr>
            </w:pPr>
            <w:r>
              <w:rPr>
                <w:rFonts w:ascii="Arial" w:cs="Arial" w:eastAsia="Arial" w:hAnsi="Arial"/>
                <w:sz w:val="13"/>
                <w:szCs w:val="13"/>
                <w:color w:val="0000FF"/>
                <w:w w:val="90"/>
              </w:rPr>
              <w:t>Common</w:t>
            </w:r>
          </w:p>
        </w:tc>
        <w:tc>
          <w:tcPr>
            <w:tcW w:w="660" w:type="dxa"/>
            <w:vAlign w:val="bottom"/>
            <w:vMerge w:val="restart"/>
          </w:tcPr>
          <w:p>
            <w:pPr>
              <w:jc w:val="center"/>
              <w:ind w:left="44"/>
              <w:spacing w:after="0"/>
              <w:rPr>
                <w:sz w:val="20"/>
                <w:szCs w:val="20"/>
                <w:color w:val="auto"/>
              </w:rPr>
            </w:pPr>
            <w:r>
              <w:rPr>
                <w:rFonts w:ascii="Arial" w:cs="Arial" w:eastAsia="Arial" w:hAnsi="Arial"/>
                <w:sz w:val="17"/>
                <w:szCs w:val="17"/>
                <w:color w:val="0000FF"/>
                <w:w w:val="91"/>
              </w:rPr>
              <w:t>100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center"/>
              <w:ind w:right="19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20" w:type="dxa"/>
            <w:vAlign w:val="bottom"/>
            <w:vMerge w:val="restart"/>
          </w:tcPr>
          <w:p>
            <w:pPr>
              <w:jc w:val="center"/>
              <w:ind w:left="178"/>
              <w:spacing w:after="0"/>
              <w:rPr>
                <w:sz w:val="20"/>
                <w:szCs w:val="20"/>
                <w:color w:val="auto"/>
              </w:rPr>
            </w:pPr>
            <w:r>
              <w:rPr>
                <w:rFonts w:ascii="Arial" w:cs="Arial" w:eastAsia="Arial" w:hAnsi="Arial"/>
                <w:sz w:val="13"/>
                <w:szCs w:val="13"/>
                <w:color w:val="0000FF"/>
                <w:w w:val="92"/>
              </w:rPr>
              <w:t>7,848</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6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 (</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67.12</w:t>
            </w:r>
          </w:p>
        </w:tc>
        <w:tc>
          <w:tcPr>
            <w:tcW w:w="2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color w:val="0000FF"/>
                <w:w w:val="95"/>
              </w:rPr>
              <w:t>04/24/2015</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vMerge w:val="restart"/>
          </w:tcPr>
          <w:p>
            <w:pPr>
              <w:ind w:left="4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2"/>
                <w:szCs w:val="12"/>
                <w:color w:val="auto"/>
              </w:rPr>
            </w:pPr>
          </w:p>
        </w:tc>
        <w:tc>
          <w:tcPr>
            <w:tcW w:w="720" w:type="dxa"/>
            <w:vAlign w:val="bottom"/>
            <w:vMerge w:val="restart"/>
          </w:tcPr>
          <w:p>
            <w:pPr>
              <w:jc w:val="center"/>
              <w:ind w:left="238"/>
              <w:spacing w:after="0"/>
              <w:rPr>
                <w:sz w:val="20"/>
                <w:szCs w:val="20"/>
                <w:color w:val="auto"/>
              </w:rPr>
            </w:pPr>
            <w:r>
              <w:rPr>
                <w:rFonts w:ascii="Arial" w:cs="Arial" w:eastAsia="Arial" w:hAnsi="Arial"/>
                <w:sz w:val="13"/>
                <w:szCs w:val="13"/>
                <w:color w:val="0000FF"/>
                <w:w w:val="92"/>
              </w:rPr>
              <w:t>7,848</w:t>
            </w: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ind w:left="120"/>
              <w:spacing w:after="0"/>
              <w:rPr>
                <w:sz w:val="20"/>
                <w:szCs w:val="20"/>
                <w:color w:val="auto"/>
              </w:rPr>
            </w:pPr>
            <w:r>
              <w:rPr>
                <w:rFonts w:ascii="Arial" w:cs="Arial" w:eastAsia="Arial" w:hAnsi="Arial"/>
                <w:sz w:val="13"/>
                <w:szCs w:val="13"/>
                <w:color w:val="0000FF"/>
              </w:rPr>
              <w:t>02/16/2021</w:t>
            </w:r>
          </w:p>
        </w:tc>
        <w:tc>
          <w:tcPr>
            <w:tcW w:w="560" w:type="dxa"/>
            <w:vAlign w:val="bottom"/>
          </w:tcPr>
          <w:p>
            <w:pPr>
              <w:ind w:left="60"/>
              <w:spacing w:after="0" w:line="148" w:lineRule="exact"/>
              <w:rPr>
                <w:sz w:val="20"/>
                <w:szCs w:val="20"/>
                <w:color w:val="auto"/>
              </w:rPr>
            </w:pPr>
            <w:r>
              <w:rPr>
                <w:rFonts w:ascii="Arial" w:cs="Arial" w:eastAsia="Arial" w:hAnsi="Arial"/>
                <w:sz w:val="13"/>
                <w:szCs w:val="13"/>
                <w:color w:val="0000FF"/>
                <w:w w:val="90"/>
              </w:rPr>
              <w:t>Common</w:t>
            </w:r>
          </w:p>
        </w:tc>
        <w:tc>
          <w:tcPr>
            <w:tcW w:w="660" w:type="dxa"/>
            <w:vAlign w:val="bottom"/>
            <w:vMerge w:val="restart"/>
          </w:tcPr>
          <w:p>
            <w:pPr>
              <w:jc w:val="center"/>
              <w:ind w:left="44"/>
              <w:spacing w:after="0"/>
              <w:rPr>
                <w:sz w:val="20"/>
                <w:szCs w:val="20"/>
                <w:color w:val="auto"/>
              </w:rPr>
            </w:pPr>
            <w:r>
              <w:rPr>
                <w:rFonts w:ascii="Arial" w:cs="Arial" w:eastAsia="Arial" w:hAnsi="Arial"/>
                <w:sz w:val="17"/>
                <w:szCs w:val="17"/>
                <w:color w:val="0000FF"/>
                <w:w w:val="89"/>
              </w:rPr>
              <w:t>7,848</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center"/>
              <w:ind w:right="19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20" w:type="dxa"/>
            <w:vAlign w:val="bottom"/>
            <w:vMerge w:val="restart"/>
          </w:tcPr>
          <w:p>
            <w:pPr>
              <w:jc w:val="center"/>
              <w:ind w:left="158"/>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6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 (</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44.81</w:t>
            </w:r>
          </w:p>
        </w:tc>
        <w:tc>
          <w:tcPr>
            <w:tcW w:w="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0000FF"/>
                <w:w w:val="95"/>
              </w:rPr>
              <w:t>04/24/2015</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8"/>
                <w:szCs w:val="18"/>
                <w:color w:val="auto"/>
              </w:rPr>
            </w:pPr>
          </w:p>
        </w:tc>
        <w:tc>
          <w:tcPr>
            <w:tcW w:w="720" w:type="dxa"/>
            <w:vAlign w:val="bottom"/>
          </w:tcPr>
          <w:p>
            <w:pPr>
              <w:jc w:val="center"/>
              <w:ind w:left="238"/>
              <w:spacing w:after="0"/>
              <w:rPr>
                <w:sz w:val="20"/>
                <w:szCs w:val="20"/>
                <w:color w:val="auto"/>
              </w:rPr>
            </w:pPr>
            <w:r>
              <w:rPr>
                <w:rFonts w:ascii="Arial" w:cs="Arial" w:eastAsia="Arial" w:hAnsi="Arial"/>
                <w:sz w:val="13"/>
                <w:szCs w:val="13"/>
                <w:color w:val="0000FF"/>
                <w:w w:val="95"/>
              </w:rPr>
              <w:t>11,462</w:t>
            </w:r>
          </w:p>
        </w:tc>
        <w:tc>
          <w:tcPr>
            <w:tcW w:w="820" w:type="dxa"/>
            <w:vAlign w:val="bottom"/>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ind w:left="120"/>
              <w:spacing w:after="0"/>
              <w:rPr>
                <w:sz w:val="20"/>
                <w:szCs w:val="20"/>
                <w:color w:val="auto"/>
              </w:rPr>
            </w:pPr>
            <w:r>
              <w:rPr>
                <w:rFonts w:ascii="Arial" w:cs="Arial" w:eastAsia="Arial" w:hAnsi="Arial"/>
                <w:sz w:val="13"/>
                <w:szCs w:val="13"/>
                <w:color w:val="0000FF"/>
              </w:rPr>
              <w:t>02/15/2022</w:t>
            </w: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660" w:type="dxa"/>
            <w:vAlign w:val="bottom"/>
          </w:tcPr>
          <w:p>
            <w:pPr>
              <w:jc w:val="center"/>
              <w:ind w:left="44"/>
              <w:spacing w:after="0"/>
              <w:rPr>
                <w:sz w:val="20"/>
                <w:szCs w:val="20"/>
                <w:color w:val="auto"/>
              </w:rPr>
            </w:pPr>
            <w:r>
              <w:rPr>
                <w:rFonts w:ascii="Arial" w:cs="Arial" w:eastAsia="Arial" w:hAnsi="Arial"/>
                <w:sz w:val="17"/>
                <w:szCs w:val="17"/>
                <w:color w:val="0000FF"/>
                <w:w w:val="88"/>
              </w:rPr>
              <w:t>11,462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center"/>
              <w:ind w:right="19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20" w:type="dxa"/>
            <w:vAlign w:val="bottom"/>
          </w:tcPr>
          <w:p>
            <w:pPr>
              <w:jc w:val="center"/>
              <w:ind w:left="178"/>
              <w:spacing w:after="0"/>
              <w:rPr>
                <w:sz w:val="20"/>
                <w:szCs w:val="20"/>
                <w:color w:val="auto"/>
              </w:rPr>
            </w:pPr>
            <w:r>
              <w:rPr>
                <w:rFonts w:ascii="Arial" w:cs="Arial" w:eastAsia="Arial" w:hAnsi="Arial"/>
                <w:sz w:val="13"/>
                <w:szCs w:val="13"/>
                <w:color w:val="0000FF"/>
                <w:w w:val="92"/>
              </w:rPr>
              <w:t>3,821</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gridSpan w:val="2"/>
          </w:tcPr>
          <w:p>
            <w:pPr>
              <w:ind w:left="60"/>
              <w:spacing w:after="0" w:line="83" w:lineRule="exact"/>
              <w:rPr>
                <w:sz w:val="20"/>
                <w:szCs w:val="20"/>
                <w:color w:val="auto"/>
              </w:rPr>
            </w:pPr>
            <w:r>
              <w:rPr>
                <w:rFonts w:ascii="Arial" w:cs="Arial" w:eastAsia="Arial" w:hAnsi="Arial"/>
                <w:sz w:val="9"/>
                <w:szCs w:val="9"/>
                <w:color w:val="0000FF"/>
              </w:rPr>
              <w:t>Right to</w:t>
            </w: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ind w:left="160"/>
              <w:spacing w:after="0" w:line="83" w:lineRule="exact"/>
              <w:rPr>
                <w:sz w:val="20"/>
                <w:szCs w:val="20"/>
                <w:color w:val="auto"/>
              </w:rPr>
            </w:pPr>
            <w:r>
              <w:rPr>
                <w:rFonts w:ascii="Arial" w:cs="Arial" w:eastAsia="Arial" w:hAnsi="Arial"/>
                <w:sz w:val="9"/>
                <w:szCs w:val="9"/>
                <w:color w:val="0000FF"/>
              </w:rPr>
              <w:t>Stock</w:t>
            </w: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 (</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52.55</w:t>
            </w:r>
          </w:p>
        </w:tc>
        <w:tc>
          <w:tcPr>
            <w:tcW w:w="2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color w:val="0000FF"/>
                <w:w w:val="95"/>
              </w:rPr>
              <w:t>04/24/2015</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vMerge w:val="restart"/>
          </w:tcPr>
          <w:p>
            <w:pPr>
              <w:ind w:left="4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2"/>
                <w:szCs w:val="12"/>
                <w:color w:val="auto"/>
              </w:rPr>
            </w:pPr>
          </w:p>
        </w:tc>
        <w:tc>
          <w:tcPr>
            <w:tcW w:w="720" w:type="dxa"/>
            <w:vAlign w:val="bottom"/>
            <w:vMerge w:val="restart"/>
          </w:tcPr>
          <w:p>
            <w:pPr>
              <w:jc w:val="center"/>
              <w:ind w:left="238"/>
              <w:spacing w:after="0"/>
              <w:rPr>
                <w:sz w:val="20"/>
                <w:szCs w:val="20"/>
                <w:color w:val="auto"/>
              </w:rPr>
            </w:pPr>
            <w:r>
              <w:rPr>
                <w:rFonts w:ascii="Arial" w:cs="Arial" w:eastAsia="Arial" w:hAnsi="Arial"/>
                <w:sz w:val="13"/>
                <w:szCs w:val="13"/>
                <w:color w:val="0000FF"/>
                <w:w w:val="92"/>
              </w:rPr>
              <w:t>6,635</w:t>
            </w: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800" w:type="dxa"/>
            <w:vAlign w:val="bottom"/>
            <w:vMerge w:val="restart"/>
          </w:tcPr>
          <w:p>
            <w:pPr>
              <w:ind w:left="120"/>
              <w:spacing w:after="0"/>
              <w:rPr>
                <w:sz w:val="20"/>
                <w:szCs w:val="20"/>
                <w:color w:val="auto"/>
              </w:rPr>
            </w:pPr>
            <w:r>
              <w:rPr>
                <w:rFonts w:ascii="Arial" w:cs="Arial" w:eastAsia="Arial" w:hAnsi="Arial"/>
                <w:sz w:val="13"/>
                <w:szCs w:val="13"/>
                <w:color w:val="0000FF"/>
              </w:rPr>
              <w:t>02/13/2023</w:t>
            </w:r>
          </w:p>
        </w:tc>
        <w:tc>
          <w:tcPr>
            <w:tcW w:w="560" w:type="dxa"/>
            <w:vAlign w:val="bottom"/>
          </w:tcPr>
          <w:p>
            <w:pPr>
              <w:ind w:left="60"/>
              <w:spacing w:after="0" w:line="148" w:lineRule="exact"/>
              <w:rPr>
                <w:sz w:val="20"/>
                <w:szCs w:val="20"/>
                <w:color w:val="auto"/>
              </w:rPr>
            </w:pPr>
            <w:r>
              <w:rPr>
                <w:rFonts w:ascii="Arial" w:cs="Arial" w:eastAsia="Arial" w:hAnsi="Arial"/>
                <w:sz w:val="13"/>
                <w:szCs w:val="13"/>
                <w:color w:val="0000FF"/>
                <w:w w:val="90"/>
              </w:rPr>
              <w:t>Common</w:t>
            </w:r>
          </w:p>
        </w:tc>
        <w:tc>
          <w:tcPr>
            <w:tcW w:w="660" w:type="dxa"/>
            <w:vAlign w:val="bottom"/>
            <w:vMerge w:val="restart"/>
          </w:tcPr>
          <w:p>
            <w:pPr>
              <w:jc w:val="center"/>
              <w:ind w:left="44"/>
              <w:spacing w:after="0"/>
              <w:rPr>
                <w:sz w:val="20"/>
                <w:szCs w:val="20"/>
                <w:color w:val="auto"/>
              </w:rPr>
            </w:pPr>
            <w:r>
              <w:rPr>
                <w:rFonts w:ascii="Arial" w:cs="Arial" w:eastAsia="Arial" w:hAnsi="Arial"/>
                <w:sz w:val="17"/>
                <w:szCs w:val="17"/>
                <w:color w:val="0000FF"/>
                <w:w w:val="89"/>
              </w:rPr>
              <w:t>6,635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center"/>
              <w:ind w:right="19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20" w:type="dxa"/>
            <w:vAlign w:val="bottom"/>
            <w:vMerge w:val="restart"/>
          </w:tcPr>
          <w:p>
            <w:pPr>
              <w:jc w:val="center"/>
              <w:ind w:left="178"/>
              <w:spacing w:after="0"/>
              <w:rPr>
                <w:sz w:val="20"/>
                <w:szCs w:val="20"/>
                <w:color w:val="auto"/>
              </w:rPr>
            </w:pPr>
            <w:r>
              <w:rPr>
                <w:rFonts w:ascii="Arial" w:cs="Arial" w:eastAsia="Arial" w:hAnsi="Arial"/>
                <w:sz w:val="13"/>
                <w:szCs w:val="13"/>
                <w:color w:val="0000FF"/>
                <w:w w:val="92"/>
              </w:rPr>
              <w:t>6,636</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price is the weighted average price. The prices received actually ranged from $84.00 to $84.88. Upon request, the reporting person will provide to the SEC staff, the issuer, or any security holder of the issuer, full information regarding the number of shares sold at each separate price within this range.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options became exercisable on each of 2/16/2012, 2/16/2013, 2/16/2014, and 2/16/2015.</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options became exercisable on each of 2/15/2013, 2/15/2014, and 2/15/2015 and 25% will become exercisable on 2/15/2016.</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options became exercisable on each of 2/13/2014 and 2/13/2015 and 25% will become exercisable on each of 2/13/2016 and 2/13/2017.</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Richard Buchband (pursuant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405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525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to Power of Attorney</w:t>
      </w:r>
      <w:r>
        <w:rPr>
          <w:sz w:val="20"/>
          <w:szCs w:val="20"/>
          <w:color w:val="auto"/>
        </w:rPr>
        <w:tab/>
      </w:r>
      <w:r>
        <w:rPr>
          <w:rFonts w:ascii="Arial" w:cs="Arial" w:eastAsia="Arial" w:hAnsi="Arial"/>
          <w:sz w:val="15"/>
          <w:szCs w:val="15"/>
          <w:color w:val="0000FF"/>
        </w:rPr>
        <w:t>04/27/2015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9378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7895"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-11430</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previously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734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4695"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25"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10680"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2019-12-24T02:50:47Z</dcterms:created>
  <dcterms:modified xsi:type="dcterms:W3CDTF">2019-12-24T02:50:47Z</dcterms:modified>
</cp:coreProperties>
</file>