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7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PreliminaryProxy Statement</w:t>
      </w:r>
    </w:p>
    <w:p>
      <w:pPr>
        <w:spacing w:after="0" w:line="1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8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-3727450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-3195320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-2003425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-1471930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2" w:right="259" w:bottom="67"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372110</wp:posOffset>
            </wp:positionH>
            <wp:positionV relativeFrom="page">
              <wp:posOffset>226060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379730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534035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8" w:right="1440"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(d/b/a ManpowerGroup)</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May 2,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ManpowerGroup:</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2012 Annual Meeting of Shareholders of Manpower Inc. (d/b/a ManpowerGroup) will be held at the International Headquarters of ManpowerGroup, 100 Manpower Place, Milwaukee, Wisconsin, on May 2, 2012, at 10:00 a.m., local time, for the following purposes:</w:t>
      </w:r>
    </w:p>
    <w:p>
      <w:pPr>
        <w:spacing w:after="0" w:line="51"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four individuals nominated by the Board of Directors of ManpowerGroup to serve until 2015 as Class I directors;</w:t>
      </w:r>
    </w:p>
    <w:p>
      <w:pPr>
        <w:spacing w:after="0" w:line="9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proposed amendment to the Amended and Restated Articles of Incorporation of Manpower Inc. to change the name of the corporation to ManpowerGroup Inc.;</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2012;</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on approval of the compensation of our named executive officers;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Shareholders of record at the close of business on March 2, 2012 are entitled to notice of and to vote at the annual meeting and at all adjournments of the annual meeting.</w:t>
      </w:r>
    </w:p>
    <w:p>
      <w:pPr>
        <w:spacing w:after="0" w:line="12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Therefore, whether or not you expect to attend the annual meeting in person, you are urged to vote by a telephone vote, by voting electronically via the Internet or by completing and returning the accompanying proxy in the enclosed envelope. Instructions for telephonic voting and electronic voting via the Internet are contained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1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 2012</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ManpowerGroup are available at www.manpowergroup.com/annualmeeting.</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Kenneth C. Hunt,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2012</w:t>
      </w:r>
    </w:p>
    <w:p>
      <w:pPr>
        <w:sectPr>
          <w:pgSz w:w="11900" w:h="16838" w:orient="portrait"/>
          <w:cols w:equalWidth="0" w:num="1">
            <w:col w:w="11300"/>
          </w:cols>
          <w:pgMar w:left="240" w:top="490"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 INC.</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(d/b/a ManpowerGroup)</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Milwaukee, Wisconsin 53212</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16, 2012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enclosed proxy is solicited by the board of directors of Manpower Inc. (d/b/a ManpowerGroup) for use at the annual meeting of shareholders to be held at 10:00 a.m., local time, on May 2, 2012,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printing and mailing proxy material, including expenses involved in forwarding materials to beneficial owners of stock, will be paid by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solicitation other than by mail is contemplated, except that our officers or employees may solicit the return of proxies from certain shareholders by telephone.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have retained Georgeson Shareholder Communications Inc. to assist in the solicitation of proxies for a fee of approximately $9,500 plus expenses.</w:t>
      </w:r>
    </w:p>
    <w:p>
      <w:pPr>
        <w:spacing w:after="0" w:line="1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Only shareholders of record at the close of business on March 2, 2012 are entitled to notice of and to vote the shares of our common stock, $.01 par value, registered in their name at the annual meeting. As of the record date, we had outstanding 80,153,480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Class I directors, to ratify the appointment of Deloitte &amp; Touche LLP as our independent auditors for 2012, as well as the advisory vote on approval of the compensation of our named executive officers, abstentions and broker non-votes will not be counted as voting on the proposals. With respect to the proposal to approve the proposed amendment to the Amended and Restated Articles of Incorporation of Manpower Inc. to change the name of the corporation to ManpowerGroup Inc., abstentions and broker non-votes will have the effect of votes against the proposal.</w:t>
      </w:r>
    </w:p>
    <w:p>
      <w:pPr>
        <w:spacing w:after="0" w:line="123"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This proxy statement, notice of annual meeting of shareholders and the accompanying proxy card, together with our annual report to shareholders, including financial statements for our fiscal year ended December 31, 2011, are being mailed to shareholders commencing on or about March 26, 2012.</w:t>
      </w:r>
    </w:p>
    <w:p>
      <w:pPr>
        <w:spacing w:after="0" w:line="5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If the accompanying proxy card is properly signed and returned to us and not revoked, it will be voted in accordance with the instructions contained in the proxy card. Each shareholder may revoke a previously granted proxy at any time before it is exercised by advising the secretary of ManpowerGroup in writing (either by submitting a duly executed proxy bearing a later date or voting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Class I directors,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amendment to the Amended and Restated Articles of Incorporation of Manpower Inc. to change the name of the corporation to ManpowerGroup Inc.,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2012, and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w:t>
      </w:r>
    </w:p>
    <w:p>
      <w:pPr>
        <w:sectPr>
          <w:pgSz w:w="11900" w:h="16838" w:orient="portrait"/>
          <w:cols w:equalWidth="0" w:num="1">
            <w:col w:w="11400"/>
          </w:cols>
          <w:pgMar w:left="240" w:top="260" w:right="25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DOCUMENTS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Mr. Kenneth C. Hunt, Secretary, Manpower Inc., 100 Manpower Place, Milwaukee, Wisconsin 53212 and on Manpower’s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These documents include the following:</w:t>
      </w:r>
    </w:p>
    <w:p>
      <w:pPr>
        <w:spacing w:after="0" w:line="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Articles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Corrupt Practices Act Compliance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 site is not deemed to be a part of this proxy statement.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74"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lists as of the record date information as to the persons believed by us to be beneficial owners of more than 5% of our outstanding common stock:</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406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Amount and Nature of</w:t>
            </w:r>
          </w:p>
        </w:tc>
        <w:tc>
          <w:tcPr>
            <w:tcW w:w="130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Beneficial Owners</w:t>
            </w:r>
          </w:p>
        </w:tc>
        <w:tc>
          <w:tcPr>
            <w:tcW w:w="2060" w:type="dxa"/>
            <w:vAlign w:val="bottom"/>
          </w:tcPr>
          <w:p>
            <w:pPr>
              <w:spacing w:after="0"/>
              <w:rPr>
                <w:sz w:val="12"/>
                <w:szCs w:val="12"/>
                <w:color w:val="auto"/>
              </w:rPr>
            </w:pPr>
          </w:p>
        </w:tc>
        <w:tc>
          <w:tcPr>
            <w:tcW w:w="2000" w:type="dxa"/>
            <w:vAlign w:val="bottom"/>
            <w:gridSpan w:val="2"/>
          </w:tcPr>
          <w:p>
            <w:pPr>
              <w:jc w:val="right"/>
              <w:ind w:right="652"/>
              <w:spacing w:after="0" w:line="129" w:lineRule="exact"/>
              <w:rPr>
                <w:sz w:val="20"/>
                <w:szCs w:val="20"/>
                <w:color w:val="auto"/>
              </w:rPr>
            </w:pPr>
            <w:r>
              <w:rPr>
                <w:rFonts w:ascii="Arial" w:cs="Arial" w:eastAsia="Arial" w:hAnsi="Arial"/>
                <w:sz w:val="14"/>
                <w:szCs w:val="14"/>
                <w:b w:val="1"/>
                <w:bCs w:val="1"/>
                <w:color w:val="auto"/>
                <w:w w:val="87"/>
              </w:rPr>
              <w:t>Beneficial Ownership</w:t>
            </w:r>
          </w:p>
        </w:tc>
        <w:tc>
          <w:tcPr>
            <w:tcW w:w="500" w:type="dxa"/>
            <w:vAlign w:val="bottom"/>
          </w:tcPr>
          <w:p>
            <w:pPr>
              <w:spacing w:after="0"/>
              <w:rPr>
                <w:sz w:val="12"/>
                <w:szCs w:val="12"/>
                <w:color w:val="auto"/>
              </w:rPr>
            </w:pPr>
          </w:p>
        </w:tc>
        <w:tc>
          <w:tcPr>
            <w:tcW w:w="800" w:type="dxa"/>
            <w:vAlign w:val="bottom"/>
            <w:gridSpan w:val="2"/>
          </w:tcPr>
          <w:p>
            <w:pPr>
              <w:jc w:val="right"/>
              <w:ind w:right="203"/>
              <w:spacing w:after="0" w:line="129" w:lineRule="exact"/>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T. Rowe Price Associates, Inc.</w:t>
            </w:r>
          </w:p>
        </w:tc>
        <w:tc>
          <w:tcPr>
            <w:tcW w:w="20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9,980,527</w:t>
            </w:r>
          </w:p>
        </w:tc>
        <w:tc>
          <w:tcPr>
            <w:tcW w:w="700" w:type="dxa"/>
            <w:vAlign w:val="bottom"/>
            <w:shd w:val="clear" w:color="auto" w:fill="CCEEFF"/>
          </w:tcPr>
          <w:p>
            <w:pPr>
              <w:jc w:val="right"/>
              <w:ind w:right="412"/>
              <w:spacing w:after="0" w:line="175" w:lineRule="exact"/>
              <w:rPr>
                <w:sz w:val="20"/>
                <w:szCs w:val="20"/>
                <w:color w:val="auto"/>
              </w:rPr>
            </w:pPr>
            <w:r>
              <w:rPr>
                <w:rFonts w:ascii="Arial" w:cs="Arial" w:eastAsia="Arial" w:hAnsi="Arial"/>
                <w:sz w:val="18"/>
                <w:szCs w:val="18"/>
                <w:color w:val="auto"/>
                <w:w w:val="81"/>
              </w:rPr>
              <w:t>(2)</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East Pratt Street</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Baltimore, Maryland 21202</w:t>
            </w:r>
          </w:p>
        </w:tc>
        <w:tc>
          <w:tcPr>
            <w:tcW w:w="2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7,658,821(3)</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40 East 52nd Street</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6,528,972(4)</w:t>
            </w:r>
          </w:p>
        </w:tc>
        <w:tc>
          <w:tcPr>
            <w:tcW w:w="130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 Congress Street</w:t>
            </w:r>
          </w:p>
        </w:tc>
        <w:tc>
          <w:tcPr>
            <w:tcW w:w="2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02210</w:t>
            </w:r>
          </w:p>
        </w:tc>
        <w:tc>
          <w:tcPr>
            <w:tcW w:w="2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920" w:type="dxa"/>
            <w:vAlign w:val="bottom"/>
            <w:gridSpan w:val="3"/>
          </w:tcPr>
          <w:p>
            <w:pPr>
              <w:spacing w:after="0"/>
              <w:rPr>
                <w:sz w:val="20"/>
                <w:szCs w:val="20"/>
                <w:color w:val="auto"/>
              </w:rPr>
            </w:pPr>
            <w:r>
              <w:rPr>
                <w:rFonts w:ascii="Arial" w:cs="Arial" w:eastAsia="Arial" w:hAnsi="Arial"/>
                <w:sz w:val="18"/>
                <w:szCs w:val="18"/>
                <w:color w:val="auto"/>
              </w:rPr>
              <w:t>FMR LLC</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4,461,488(5)</w:t>
            </w:r>
          </w:p>
        </w:tc>
        <w:tc>
          <w:tcPr>
            <w:tcW w:w="1300" w:type="dxa"/>
            <w:vAlign w:val="bottom"/>
            <w:gridSpan w:val="3"/>
          </w:tcPr>
          <w:p>
            <w:pPr>
              <w:jc w:val="right"/>
              <w:ind w:right="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82 Devonshire Street</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Boston, Massachusetts 02109</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80,153,480 shares of common stock outstanding as of the record date.</w:t>
      </w:r>
    </w:p>
    <w:p>
      <w:pPr>
        <w:spacing w:after="0" w:line="90"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information is based on a Schedule 13G filed on February 10, 2012. According to this Schedule 13G, these securities are owned by various individual and institutional investors for which T.Rowe Price Associates, Inc. (“Price Associates”) serves as investment adviser. Price Associates has sole voting power with respect to 2,035,885 shares held and sole dispositive power with respect to 9,980,527 shares held.</w:t>
      </w:r>
    </w:p>
    <w:p>
      <w:pPr>
        <w:spacing w:after="0" w:line="25" w:lineRule="exact"/>
        <w:rPr>
          <w:rFonts w:ascii="Arial" w:cs="Arial" w:eastAsia="Arial" w:hAnsi="Arial"/>
          <w:sz w:val="16"/>
          <w:szCs w:val="16"/>
          <w:color w:val="auto"/>
        </w:rPr>
      </w:pPr>
    </w:p>
    <w:p>
      <w:pPr>
        <w:ind w:left="460" w:right="14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9, 2012, by BlackRock, Inc. on its behalf and on behalf of its following affiliates: BlackRock Advisors LLC, BlackRock Advisors (UK) Limited, BlackRock Asset Management Australia Limited, BlackRock Asset Management Canada Limited, BlackRock Japan Co. Ltd., BlackRock Capital Management, Inc. , BlackRock Financial Management, Inc., BlackRock Fund Advisors, BlackRock Institutional Trust Company, N.A., BlackRock Investment Management, LLC, BlackRock Investment Management (Australia) Limited, BlackRock Asset Management Ireland Limited, BlackRock (Luxembourg) S.A., BlackRock (Netherlands) B.V., BlackRock International Ltd, BlackRock Investment Management UK Ltd and BlackRock Fund Managers Limited. According to this Schedule 13G, these securities are owned of record by BlackRock, Inc. BlackRock, Inc. has sole voting power with respect to 7,658,821 shares held and sole dispositive power with respect to 7,658,821 shares held.</w:t>
      </w:r>
    </w:p>
    <w:p>
      <w:pPr>
        <w:spacing w:after="0" w:line="64"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2012. According to this Schedule 13G, these securities are owned of record by clients of Wellington Management Company, LLP. Wellington Management Company, LLP has shared voting power with respect to 4,860,412 shares held and shared dispositive power with respect to 6,528,972 shares held.</w:t>
      </w:r>
    </w:p>
    <w:p>
      <w:pPr>
        <w:spacing w:after="0" w:line="59" w:lineRule="exact"/>
        <w:rPr>
          <w:rFonts w:ascii="Arial" w:cs="Arial" w:eastAsia="Arial" w:hAnsi="Arial"/>
          <w:sz w:val="18"/>
          <w:szCs w:val="18"/>
          <w:color w:val="auto"/>
        </w:rPr>
      </w:pPr>
    </w:p>
    <w:p>
      <w:pPr>
        <w:jc w:val="both"/>
        <w:ind w:left="460" w:right="18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14, 2012, filed by FMR LLC (“FMR”) and Edward C. Johnson 3d, Chairman of FMR, on their behalf and on the behalf of the following affiliates of FMR: Fidelity Management &amp; Research Company’ Strategic Advisers, Inc.; and FIL Limited. FMR and Edward C. Johnson 3d have sole voting power with respect to 782,568 shares held and sole dispositive power with respect to 4,461,488 shares held.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 ELECTION OF DIRECTORS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ManpowerGroup’s directors are divided into three classes, designated as Class I, Class II and Class III, with staggered terms of three years each. The term of office of directors in Class I expires at the annual meeting. The board of directors proposes that the nominees described below, all of whom are currently serving as Class I directors, be elected as Class I directors for a new term of three years ending at the 2015 annual meeting of shareholders and until their successors are duly elected, except as otherwise provided in the Wisconsin Business Corporation Law. Mr. Joerres, Mr. Walter, Mr. Bolland and Mr. Payne are all standing for re-election.</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an incumbent director is less than the number of votes cast against the election of the director, the director is required to tender his or her resignation from the board of directors to the nominating and governance committee. Any such resignation will be effective only upon its acceptance by the board of directors. The nominating and governance committee will recommend to the board of directors whether to accept or reject the tendered 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2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40" w:type="dxa"/>
            <w:vAlign w:val="bottom"/>
            <w:gridSpan w:val="3"/>
          </w:tcPr>
          <w:p>
            <w:pPr>
              <w:jc w:val="center"/>
              <w:ind w:left="3032"/>
              <w:spacing w:after="0"/>
              <w:rPr>
                <w:sz w:val="20"/>
                <w:szCs w:val="20"/>
                <w:color w:val="auto"/>
              </w:rPr>
            </w:pPr>
            <w:r>
              <w:rPr>
                <w:rFonts w:ascii="Arial" w:cs="Arial" w:eastAsia="Arial" w:hAnsi="Arial"/>
                <w:sz w:val="14"/>
                <w:szCs w:val="14"/>
                <w:b w:val="1"/>
                <w:bCs w:val="1"/>
                <w:color w:val="auto"/>
                <w:w w:val="88"/>
              </w:rPr>
              <w:t>Principal Occupation</w:t>
            </w:r>
          </w:p>
        </w:tc>
      </w:tr>
      <w:tr>
        <w:trPr>
          <w:trHeight w:val="201"/>
        </w:trPr>
        <w:tc>
          <w:tcPr>
            <w:tcW w:w="36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Name</w:t>
            </w:r>
          </w:p>
        </w:tc>
        <w:tc>
          <w:tcPr>
            <w:tcW w:w="1960" w:type="dxa"/>
            <w:vAlign w:val="bottom"/>
          </w:tcPr>
          <w:p>
            <w:pPr>
              <w:spacing w:after="0"/>
              <w:rPr>
                <w:sz w:val="17"/>
                <w:szCs w:val="17"/>
                <w:color w:val="auto"/>
              </w:rPr>
            </w:pPr>
          </w:p>
        </w:tc>
        <w:tc>
          <w:tcPr>
            <w:tcW w:w="2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75"/>
              </w:rPr>
              <w:t>Age</w:t>
            </w:r>
          </w:p>
        </w:tc>
        <w:tc>
          <w:tcPr>
            <w:tcW w:w="31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7"/>
              </w:rPr>
              <w:t>and Directorships</w:t>
            </w:r>
          </w:p>
        </w:tc>
        <w:tc>
          <w:tcPr>
            <w:tcW w:w="60" w:type="dxa"/>
            <w:vAlign w:val="bottom"/>
          </w:tcPr>
          <w:p>
            <w:pPr>
              <w:spacing w:after="0"/>
              <w:rPr>
                <w:sz w:val="17"/>
                <w:szCs w:val="17"/>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Directors (term expiring in 2012)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Jeffrey A. Joerres</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Chairman of ManpowerGroup since May 2001, and President and Chief Executive Officer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ManpowerGroup since April 1999. Senior Vice President European Operations and Marketing</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and Major Account Development of ManpowerGroup from July 1998 to April 1999. A director</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 Johnson Controls, Inc. and the Federal Reserve Bank of Chicago. Formerly a director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Artisan Funds, Inc. from August 2001 to April 2011. A director of ManpowerGroup for more</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than five years. An employee of ManpowerGroup since July 1993.</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John R. Walter</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Retired President and Chief Operating Officer of AT&amp;T Corp. from November 1996 to July</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1997. Chairman, President and Chief Executive Officer of R.R. Donnelley &amp; Sons Company, 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print and digital information management, reproduction and distribution company, from 1989</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through 1996. Currently a director of InnerWorkings, Inc. Served as Non-Executive Chairman of</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the Board of InnerWorkings, Inc. from May 2004 to June 2010. Also a director of Vasco Data</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Securities, Inc. and Echo Global Logistics. A director of ManpowerGroup for more than five</w:t>
            </w:r>
          </w:p>
        </w:tc>
      </w:tr>
      <w:tr>
        <w:trPr>
          <w:trHeight w:val="216"/>
        </w:trPr>
        <w:tc>
          <w:tcPr>
            <w:tcW w:w="2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years. Previously, a director of Abbott Laboratories from 1997 to 2007, Deere &amp; Company from</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1991 to 2007 and SNP Corporation of Singapore from 2002 to 2009.</w:t>
            </w:r>
          </w:p>
        </w:tc>
      </w:tr>
      <w:tr>
        <w:trPr>
          <w:trHeight w:val="277"/>
        </w:trPr>
        <w:tc>
          <w:tcPr>
            <w:tcW w:w="2680" w:type="dxa"/>
            <w:vAlign w:val="bottom"/>
          </w:tcPr>
          <w:p>
            <w:pPr>
              <w:spacing w:after="0"/>
              <w:rPr>
                <w:sz w:val="20"/>
                <w:szCs w:val="20"/>
                <w:color w:val="auto"/>
              </w:rPr>
            </w:pPr>
            <w:r>
              <w:rPr>
                <w:rFonts w:ascii="Arial" w:cs="Arial" w:eastAsia="Arial" w:hAnsi="Arial"/>
                <w:sz w:val="18"/>
                <w:szCs w:val="18"/>
                <w:color w:val="auto"/>
              </w:rPr>
              <w:t>Marc J. Bolland</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Chief Executive Officer of Marks and Spencer Group plc. since May 2010. Chief Executive</w:t>
            </w:r>
          </w:p>
        </w:tc>
      </w:tr>
      <w:tr>
        <w:trPr>
          <w:trHeight w:val="222"/>
        </w:trPr>
        <w:tc>
          <w:tcPr>
            <w:tcW w:w="2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Officer of Wm Morrisons Supermarket Plc from September 2006 to April 2010. Executive</w:t>
            </w:r>
          </w:p>
        </w:tc>
      </w:tr>
    </w:tbl>
    <w:p>
      <w:pPr>
        <w:ind w:left="4620" w:right="300"/>
        <w:spacing w:after="0" w:line="255" w:lineRule="auto"/>
        <w:rPr>
          <w:sz w:val="20"/>
          <w:szCs w:val="20"/>
          <w:color w:val="auto"/>
        </w:rPr>
      </w:pPr>
      <w:r>
        <w:rPr>
          <w:rFonts w:ascii="Arial" w:cs="Arial" w:eastAsia="Arial" w:hAnsi="Arial"/>
          <w:sz w:val="18"/>
          <w:szCs w:val="18"/>
          <w:color w:val="auto"/>
        </w:rPr>
        <w:t>Board Member of Heineken N.V., a Dutch beer brewing and bottling company, from 2001 to August 2006. Previously, a Managing Director of Heineken Export Group Worldwide, a subsidiary of Heineken N.V., from 1999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to 2001, and Heineken Slovensko, Slovakia, a subsidiary of Heineken N.V., from 1995 to 1998.</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A director of ManpowerGroup for more than five years. No other public directorships in the past</w:t>
            </w:r>
          </w:p>
        </w:tc>
      </w:tr>
      <w:tr>
        <w:trPr>
          <w:trHeight w:val="222"/>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five years.</w:t>
            </w: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rPr>
              <w:t>Ulice Payne, Jr.</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President of Addison-Clifton, LLC, a provider of global trade compliance advisory services,</w:t>
            </w:r>
          </w:p>
        </w:tc>
      </w:tr>
      <w:tr>
        <w:trPr>
          <w:trHeight w:val="216"/>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from May 2004 to present. President and Chief Executive Officer of the Milwaukee Brewers</w:t>
            </w:r>
          </w:p>
        </w:tc>
      </w:tr>
      <w:tr>
        <w:trPr>
          <w:trHeight w:val="222"/>
        </w:trPr>
        <w:tc>
          <w:tcPr>
            <w:tcW w:w="2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Baseball Club from 2002 to 2003. Partner with Foley &amp; Lardner LLP, a national law firm, from</w:t>
            </w:r>
          </w:p>
        </w:tc>
      </w:tr>
    </w:tbl>
    <w:p>
      <w:pPr>
        <w:jc w:val="both"/>
        <w:ind w:left="4620"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1998 to 2002. A trustee of The Northwestern Mutual Life Insurance Company and Wisconsin Energy Corporation. A director of ManpowerGroup since October 2007. Previously, a director of Midwest Air Group, Inc. from 1998 to 2008 and Badger Meter, Inc. from 2000 to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 (term expiring in 2013)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Gina R. Boswell</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Executive Vice President, Personal Care, North America at Unilever since July 2011. President,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6"/>
              </w:rPr>
              <w:t>Global Brands, of Alberto-Culver Company from January 2008 to July 2011. Senior Vice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1"/>
              </w:rPr>
              <w:t>President and Chief Operating Officer — North America of Avon Products, Inc. from February</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2005 to May 2007. Senior Vice President — Corporate Strategy and Business Development of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Avon Products, Inc. from 2003 to February 2005. Prior thereto, an executive with Ford Motor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Company, serving in various positions from 1999 to 2003. A director of ManpowerGroup since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February 2007. Previously, a director of Applebee’s International, Inc. (now DineEquity) from</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2005 to 2007.</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William Downe</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6960" w:type="dxa"/>
            <w:vAlign w:val="bottom"/>
          </w:tcPr>
          <w:p>
            <w:pPr>
              <w:ind w:left="160"/>
              <w:spacing w:after="0"/>
              <w:rPr>
                <w:sz w:val="20"/>
                <w:szCs w:val="20"/>
                <w:color w:val="auto"/>
              </w:rPr>
            </w:pPr>
            <w:r>
              <w:rPr>
                <w:rFonts w:ascii="Arial" w:cs="Arial" w:eastAsia="Arial" w:hAnsi="Arial"/>
                <w:sz w:val="18"/>
                <w:szCs w:val="18"/>
                <w:color w:val="auto"/>
                <w:w w:val="97"/>
              </w:rPr>
              <w:t>President and Chief Executive Officer of BMO Financial Group since March 2007. Chief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Operating Officer of BMO Financial Group from 2006 to March 2007. Deputy Chair of BMO</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Financial Group and Chief Executive Officer, BMO Nesbitt Burns and Head of Investment</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9"/>
              </w:rPr>
              <w:t>Banking Group from 2001 to 2006. Vice Chair of Bank of Montreal, 1999 to 2001. Prior thereto,</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88"/>
              </w:rPr>
              <w:t>held various senior management positions at Bank of Montreal in Canada and the United States.</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A director of ManpowerGroup since May 2011. A director of BMO Financial Group. No other</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public directorships in the past five years.</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Jack M. Greenberg</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6960" w:type="dxa"/>
            <w:vAlign w:val="bottom"/>
          </w:tcPr>
          <w:p>
            <w:pPr>
              <w:ind w:left="160"/>
              <w:spacing w:after="0"/>
              <w:rPr>
                <w:sz w:val="20"/>
                <w:szCs w:val="20"/>
                <w:color w:val="auto"/>
              </w:rPr>
            </w:pPr>
            <w:r>
              <w:rPr>
                <w:rFonts w:ascii="Arial" w:cs="Arial" w:eastAsia="Arial" w:hAnsi="Arial"/>
                <w:sz w:val="18"/>
                <w:szCs w:val="18"/>
                <w:color w:val="auto"/>
                <w:w w:val="93"/>
              </w:rPr>
              <w:t>Non-Executive Chairman of The Western Union Company since 2006. Also Non-Executive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5"/>
              </w:rPr>
              <w:t>Chairman of InnerWorkings, Inc. since June 2010. Retired Chairman and Chief 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Officer of McDonald’s Corporation from May 1999 to December 2002 and Chief Executive</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Officer and President from August 1998 to May 1999. Director of The Allstate Corporation,</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InnerWorkings, Inc., Hasbro, Inc. and The Western Union Company. A director of</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2"/>
              </w:rPr>
              <w:t>ManpowerGroup for more than five years. Previously, a director of Abbott Laboratories from</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2000 to 2007 and First Data Corporation from 2003 to 2006.</w:t>
            </w:r>
          </w:p>
        </w:tc>
      </w:tr>
      <w:tr>
        <w:trPr>
          <w:trHeight w:val="277"/>
        </w:trPr>
        <w:tc>
          <w:tcPr>
            <w:tcW w:w="3060" w:type="dxa"/>
            <w:vAlign w:val="bottom"/>
          </w:tcPr>
          <w:p>
            <w:pPr>
              <w:spacing w:after="0"/>
              <w:rPr>
                <w:sz w:val="20"/>
                <w:szCs w:val="20"/>
                <w:color w:val="auto"/>
              </w:rPr>
            </w:pPr>
            <w:r>
              <w:rPr>
                <w:rFonts w:ascii="Arial" w:cs="Arial" w:eastAsia="Arial" w:hAnsi="Arial"/>
                <w:sz w:val="18"/>
                <w:szCs w:val="18"/>
                <w:color w:val="auto"/>
              </w:rPr>
              <w:t>Patricia A. Hemingway Hall</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6960" w:type="dxa"/>
            <w:vAlign w:val="bottom"/>
          </w:tcPr>
          <w:p>
            <w:pPr>
              <w:ind w:left="160"/>
              <w:spacing w:after="0"/>
              <w:rPr>
                <w:sz w:val="20"/>
                <w:szCs w:val="20"/>
                <w:color w:val="auto"/>
              </w:rPr>
            </w:pPr>
            <w:r>
              <w:rPr>
                <w:rFonts w:ascii="Arial" w:cs="Arial" w:eastAsia="Arial" w:hAnsi="Arial"/>
                <w:sz w:val="18"/>
                <w:szCs w:val="18"/>
                <w:color w:val="auto"/>
                <w:w w:val="94"/>
              </w:rPr>
              <w:t>President and Chief Executive Officer of Health Care Service Corporation since November</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2008. President and Chief Operating Officer of Health Care Service Corporation from</w:t>
            </w:r>
          </w:p>
        </w:tc>
      </w:tr>
      <w:tr>
        <w:trPr>
          <w:trHeight w:val="216"/>
        </w:trPr>
        <w:tc>
          <w:tcPr>
            <w:tcW w:w="3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0"/>
              </w:rPr>
              <w:t>November 2007 to November 2008. Executive Vice President of Internal Operations of Health</w:t>
            </w:r>
          </w:p>
        </w:tc>
      </w:tr>
      <w:tr>
        <w:trPr>
          <w:trHeight w:val="222"/>
        </w:trPr>
        <w:tc>
          <w:tcPr>
            <w:tcW w:w="3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Care Service Corporation from 2006 to 2007. Prior thereto</w:t>
            </w:r>
          </w:p>
        </w:tc>
      </w:tr>
      <w:tr>
        <w:trPr>
          <w:trHeight w:val="365"/>
        </w:trPr>
        <w:tc>
          <w:tcPr>
            <w:tcW w:w="3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960" w:type="dxa"/>
            <w:vAlign w:val="bottom"/>
          </w:tcPr>
          <w:p>
            <w:pPr>
              <w:ind w:left="12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9"/>
              </w:rPr>
              <w:t>held other senior management positions within Health Care Service Corporation since 1998.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director of ManpowerGroup since May 2011. No other public directorships in the past five</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Terry A. Hueneke</w:t>
            </w:r>
          </w:p>
        </w:tc>
        <w:tc>
          <w:tcPr>
            <w:tcW w:w="1680" w:type="dxa"/>
            <w:vAlign w:val="bottom"/>
          </w:tcPr>
          <w:p>
            <w:pPr>
              <w:ind w:left="1340"/>
              <w:spacing w:after="0"/>
              <w:rPr>
                <w:sz w:val="20"/>
                <w:szCs w:val="20"/>
                <w:color w:val="auto"/>
              </w:rPr>
            </w:pPr>
            <w:r>
              <w:rPr>
                <w:rFonts w:ascii="Arial" w:cs="Arial" w:eastAsia="Arial" w:hAnsi="Arial"/>
                <w:sz w:val="18"/>
                <w:szCs w:val="18"/>
                <w:color w:val="auto"/>
              </w:rPr>
              <w:t>69</w:t>
            </w: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Retired Executive Vice President of ManpowerGroup from 1996 until February 2002. Senior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Vice President — Group Executive of ManpowerGroup’s former principal operating subsidiary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from 1987 until 1996. A director of ManpowerGroup for more than five years.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84"/>
        </w:trPr>
        <w:tc>
          <w:tcPr>
            <w:tcW w:w="2780" w:type="dxa"/>
            <w:vAlign w:val="bottom"/>
          </w:tcPr>
          <w:p>
            <w:pPr>
              <w:spacing w:after="0"/>
              <w:rPr>
                <w:sz w:val="24"/>
                <w:szCs w:val="24"/>
                <w:color w:val="auto"/>
              </w:rPr>
            </w:pPr>
          </w:p>
        </w:tc>
        <w:tc>
          <w:tcPr>
            <w:tcW w:w="8600" w:type="dxa"/>
            <w:vAlign w:val="bottom"/>
            <w:gridSpan w:val="2"/>
          </w:tcPr>
          <w:p>
            <w:pPr>
              <w:ind w:left="1360"/>
              <w:spacing w:after="0"/>
              <w:rPr>
                <w:sz w:val="20"/>
                <w:szCs w:val="20"/>
                <w:color w:val="auto"/>
              </w:rPr>
            </w:pPr>
            <w:r>
              <w:rPr>
                <w:rFonts w:ascii="Arial" w:cs="Arial" w:eastAsia="Arial" w:hAnsi="Arial"/>
                <w:sz w:val="18"/>
                <w:szCs w:val="18"/>
                <w:b w:val="1"/>
                <w:bCs w:val="1"/>
                <w:color w:val="auto"/>
              </w:rPr>
              <w:t>Class III Directors (term expiring in 2014)</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Cari M. Dominguez</w:t>
            </w:r>
          </w:p>
        </w:tc>
        <w:tc>
          <w:tcPr>
            <w:tcW w:w="1680" w:type="dxa"/>
            <w:vAlign w:val="bottom"/>
          </w:tcPr>
          <w:p>
            <w:pPr>
              <w:ind w:left="1340"/>
              <w:spacing w:after="0"/>
              <w:rPr>
                <w:sz w:val="20"/>
                <w:szCs w:val="20"/>
                <w:color w:val="auto"/>
              </w:rPr>
            </w:pPr>
            <w:r>
              <w:rPr>
                <w:rFonts w:ascii="Arial" w:cs="Arial" w:eastAsia="Arial" w:hAnsi="Arial"/>
                <w:sz w:val="18"/>
                <w:szCs w:val="18"/>
                <w:color w:val="auto"/>
              </w:rPr>
              <w:t>62</w:t>
            </w: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Chair of the U.S. Equal Employment Opportunity Commission from 2001 to 2006. President,</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Dominguez &amp; Associates, a consulting firm, from 1999 to 2001. Partner, Heidrick &amp; Struggles,</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a consulting firm, from 1995 to 1998. Director, Spencer Stuart, a consulting firm, from 1993 to</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1995. Assistant Secretary for Employment Standards Administration and Director of the Office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9"/>
              </w:rPr>
              <w:t>of Federal Contract Compliance Programs, U.S. Department of Labor, from 1989 to 1993. Prior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thereto, held senior management positions with Bank of America. A trustee of Calvert SAGE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Funds since September 2008. A director of ManpowerGroup since May 2007.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Roberto Mendoza</w:t>
            </w:r>
          </w:p>
        </w:tc>
        <w:tc>
          <w:tcPr>
            <w:tcW w:w="1680" w:type="dxa"/>
            <w:vAlign w:val="bottom"/>
          </w:tcPr>
          <w:p>
            <w:pPr>
              <w:ind w:left="1340"/>
              <w:spacing w:after="0"/>
              <w:rPr>
                <w:sz w:val="20"/>
                <w:szCs w:val="20"/>
                <w:color w:val="auto"/>
              </w:rPr>
            </w:pPr>
            <w:r>
              <w:rPr>
                <w:rFonts w:ascii="Arial" w:cs="Arial" w:eastAsia="Arial" w:hAnsi="Arial"/>
                <w:sz w:val="18"/>
                <w:szCs w:val="18"/>
                <w:color w:val="auto"/>
              </w:rPr>
              <w:t>63</w:t>
            </w: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Senior Managing Director of Atlas Advisors LLC, an independent global investment banking</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0"/>
              </w:rPr>
              <w:t>firm, since March 2010. Partner of Deming Mendoza &amp; Co. LLC, a corporate finance advisory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2"/>
              </w:rPr>
              <w:t>firm, from January 2009 to March 2010. Non-executive Chairman of Trinsum Group, Inc., an</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4"/>
              </w:rPr>
              <w:t>international strategic and financial advisory firm, from February 2007 to November 2008.</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Chairman of Integrated Finance Limited, a financial advisory firm, from June 2001 to January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2007. Managing Director of Goldman Sachs &amp; Co. from September 2000 to March 2001.</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3"/>
              </w:rPr>
              <w:t>Director and Vice Chairman of J.P. Morgan &amp; Co. Inc., from January 1990 to June 2000.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director of ManpowerGroup since April 2009. A director of The Western Union Company,</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PartnerRe Limited, a reinsurance company and Rocco Forte &amp; Family Limited, a hotel</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management company. Also a member of the Council on Foreign Relations. Previously a</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director of Egg plc. from 2000 to 2006, Prudential plc. from 2000 to 2007 and Paris Re</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Holdings Limited from 2007 to 2009.</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Elizabeth P. Sartain</w:t>
            </w:r>
          </w:p>
        </w:tc>
        <w:tc>
          <w:tcPr>
            <w:tcW w:w="1680" w:type="dxa"/>
            <w:vAlign w:val="bottom"/>
          </w:tcPr>
          <w:p>
            <w:pPr>
              <w:ind w:left="1340"/>
              <w:spacing w:after="0"/>
              <w:rPr>
                <w:sz w:val="20"/>
                <w:szCs w:val="20"/>
                <w:color w:val="auto"/>
              </w:rPr>
            </w:pPr>
            <w:r>
              <w:rPr>
                <w:rFonts w:ascii="Arial" w:cs="Arial" w:eastAsia="Arial" w:hAnsi="Arial"/>
                <w:sz w:val="18"/>
                <w:szCs w:val="18"/>
                <w:color w:val="auto"/>
              </w:rPr>
              <w:t>57</w:t>
            </w:r>
          </w:p>
        </w:tc>
        <w:tc>
          <w:tcPr>
            <w:tcW w:w="6920" w:type="dxa"/>
            <w:vAlign w:val="bottom"/>
          </w:tcPr>
          <w:p>
            <w:pPr>
              <w:ind w:left="160"/>
              <w:spacing w:after="0"/>
              <w:rPr>
                <w:sz w:val="20"/>
                <w:szCs w:val="20"/>
                <w:color w:val="auto"/>
              </w:rPr>
            </w:pPr>
            <w:r>
              <w:rPr>
                <w:rFonts w:ascii="Arial" w:cs="Arial" w:eastAsia="Arial" w:hAnsi="Arial"/>
                <w:sz w:val="18"/>
                <w:szCs w:val="18"/>
                <w:color w:val="auto"/>
                <w:w w:val="96"/>
              </w:rPr>
              <w:t>Independent Human Resource Advisor and Consultant since April 2008. Executive Vice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8"/>
              </w:rPr>
              <w:t>President and Chief People Yahoo at Yahoo! Inc. from August 2001 to April 2008. Prior thereto,</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1"/>
              </w:rPr>
              <w:t>an executive with Southwest Airlines serving in various positions from 1988 to 2001. Director</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88"/>
              </w:rPr>
              <w:t>of Peets Tea and Coffee, Inc. A director of ManpowerGroup since August 2010. No other public</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directorships in the past five years.</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Edward J. Zore</w:t>
            </w:r>
          </w:p>
        </w:tc>
        <w:tc>
          <w:tcPr>
            <w:tcW w:w="1680" w:type="dxa"/>
            <w:vAlign w:val="bottom"/>
          </w:tcPr>
          <w:p>
            <w:pPr>
              <w:ind w:left="1340"/>
              <w:spacing w:after="0"/>
              <w:rPr>
                <w:sz w:val="20"/>
                <w:szCs w:val="20"/>
                <w:color w:val="auto"/>
              </w:rPr>
            </w:pPr>
            <w:r>
              <w:rPr>
                <w:rFonts w:ascii="Arial" w:cs="Arial" w:eastAsia="Arial" w:hAnsi="Arial"/>
                <w:sz w:val="18"/>
                <w:szCs w:val="18"/>
                <w:color w:val="auto"/>
              </w:rPr>
              <w:t>66</w:t>
            </w:r>
          </w:p>
        </w:tc>
        <w:tc>
          <w:tcPr>
            <w:tcW w:w="6920" w:type="dxa"/>
            <w:vAlign w:val="bottom"/>
          </w:tcPr>
          <w:p>
            <w:pPr>
              <w:ind w:left="160"/>
              <w:spacing w:after="0"/>
              <w:rPr>
                <w:sz w:val="20"/>
                <w:szCs w:val="20"/>
                <w:color w:val="auto"/>
              </w:rPr>
            </w:pPr>
            <w:r>
              <w:rPr>
                <w:rFonts w:ascii="Arial" w:cs="Arial" w:eastAsia="Arial" w:hAnsi="Arial"/>
                <w:sz w:val="18"/>
                <w:szCs w:val="18"/>
                <w:color w:val="auto"/>
                <w:w w:val="95"/>
              </w:rPr>
              <w:t>Retired Chairman and Chief Executive Officer of The Northwestern Mutual Life Insurance</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Company (“Northwestern Mutual”) from March 2009 to July 2010. President and Chief</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8"/>
              </w:rPr>
              <w:t>Executive Officer of Northwestern Mutual from June 2001 to March 2009. President of</w:t>
            </w:r>
          </w:p>
        </w:tc>
      </w:tr>
      <w:tr>
        <w:trPr>
          <w:trHeight w:val="216"/>
        </w:trPr>
        <w:tc>
          <w:tcPr>
            <w:tcW w:w="2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w w:val="96"/>
              </w:rPr>
              <w:t>Northwestern Mutual from March 2000 to June 2001. Executive Vice President, Life and</w:t>
            </w:r>
          </w:p>
        </w:tc>
      </w:tr>
      <w:tr>
        <w:trPr>
          <w:trHeight w:val="222"/>
        </w:trPr>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Disability Income Insurance, of</w:t>
            </w:r>
          </w:p>
        </w:tc>
      </w:tr>
      <w:tr>
        <w:trPr>
          <w:trHeight w:val="365"/>
        </w:trPr>
        <w:tc>
          <w:tcPr>
            <w:tcW w:w="2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20" w:type="dxa"/>
            <w:vAlign w:val="bottom"/>
          </w:tcPr>
          <w:p>
            <w:pPr>
              <w:ind w:left="1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280" w:right="279" w:bottom="1440" w:gutter="0" w:footer="0" w:header="0"/>
        </w:sectPr>
      </w:pPr>
    </w:p>
    <w:bookmarkStart w:id="9" w:name="page10"/>
    <w:bookmarkEnd w:id="9"/>
    <w:p>
      <w:pPr>
        <w:ind w:left="4580"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Northwestern Mutual from 1998 to 2000. Executive Vice President, Chief Financial Officer and Chief Investment Officer of Northwestern Mutual from 1995 to 1998. Prior thereto, Chief Investment Officer and Senior Vice President of Northwestern Mutual. Also a trustee of Northwestern Mutual. A director of ManpowerGroup for more than five years. A director of RenaissanceRe Holdings Ltd. since August 2010. Previously, a director of Mason Street Funds from 2000 to 2007 and a director of the Northwestern Mutual Series Fund, Inc. from 2000 to May 2010.</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2011. The board of directors held seven meetings during 2011. The board of directors did not take action by written consent during 2011.</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47"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board of directors has adopted categorical standards for relationships deemed not to impair independence of non-employee directors to assist it in making determinations of independence. The categorical standards are available on ManpowerGroup’s website at http://www.manpowergroup.com/about/corporategovernance.cfm. The board of directors has determined that twelve of thirteen of the current directors of ManpowerGroup are independent under the listing standards of the New York Stock Exchange after taking into account the categorical standards and the following:</w:t>
      </w:r>
    </w:p>
    <w:p>
      <w:pPr>
        <w:spacing w:after="0" w:line="62" w:lineRule="exact"/>
        <w:rPr>
          <w:sz w:val="20"/>
          <w:szCs w:val="20"/>
          <w:color w:val="auto"/>
        </w:rPr>
      </w:pPr>
    </w:p>
    <w:p>
      <w:pPr>
        <w:ind w:left="900" w:right="2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Walter is a director and shareholder of Echo Global Logistics, a public company that entered into an agreement to provide logistics support to ManpowerGroup.</w:t>
      </w:r>
    </w:p>
    <w:p>
      <w:pPr>
        <w:spacing w:after="0" w:line="50" w:lineRule="exact"/>
        <w:rPr>
          <w:rFonts w:ascii="Arial" w:cs="Arial" w:eastAsia="Arial" w:hAnsi="Arial"/>
          <w:sz w:val="18"/>
          <w:szCs w:val="18"/>
          <w:color w:val="auto"/>
        </w:rPr>
      </w:pPr>
    </w:p>
    <w:p>
      <w:pPr>
        <w:ind w:left="900" w:right="12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Walter and Mr. Greenberg are directors of InnerWorkings, Inc., a public company, which provides print management services to ManpowerGroup.</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Greenberg is the Non-Executive Chairman of the Western Union Company, a public company, which has engaged ManpowerGroup to provide services to the company.</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Zore and Mr. Payne are trustees of Northwestern Mutual. Northwestern Mutual and certain of its affiliates have engaged ManpowerGroup, Experis and Right Management to provide contingent staffing, accounting and other services. In addition, ManpowerGroup and certain of its affiliates have from time to time leased space from joint venture and limited liability companies in which Northwestern Mutual has an equity interest.</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Boswell is Executive Vice President, Personal Care at Unilever, which has engaged ManpowerGroup to provide services to the company.</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Ms. Hemingway Hall is President and Chief Executive Officer of Health Care Service Corporation, which has engaged ManpowerGroup to provide services to the company.</w:t>
      </w:r>
    </w:p>
    <w:p>
      <w:pPr>
        <w:spacing w:after="0" w:line="5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Downe is the President and Chief Executive Officer of BMO Financial Group, and one of its subsidiaries, BMO Harris Bank, is a party to the syndicate of banks in ManpowerGroup’s $800 million revolving credit facility, which was entered into in the ordinary course of business.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are Mr. Bolland, Ms. Boswell, Ms. Dominguez, Mr. Downe, Mr. Greenberg, Ms. Hemingway Hall, Mr. Hueneke, Mr. Mendoza, Mr. Payne, Ms. Sartain, Mr. Walter and Mr. Zore.</w:t>
      </w:r>
    </w:p>
    <w:p>
      <w:pPr>
        <w:spacing w:after="0" w:line="132"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The nominating and governance committee will evaluate eligible shareholder-nominated candidates for election to the board of directors in accordance with the procedures described in ManpowerGroup’s Amended and Restated By-Laws and in accordance with the guidelines and considerations relating to the selection of candidates for membership on the board of directors described under “Board Composition and Qualifications of Board Members” below.</w:t>
      </w:r>
    </w:p>
    <w:p>
      <w:pPr>
        <w:spacing w:after="0" w:line="8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Twelve of the thirteen directors attended the 2011 annual meeting of shareholders.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has standing audit, executive compensation and human resources, and nominating and governance committees. The board of directors has adopted written charters for the audit, executive compensation and human resources and nominating and governance committees. These charters are available on ManpowerGroup’s web site at http://www.manpowergroup.com/about/corporategovernance.cfm.</w:t>
      </w:r>
    </w:p>
    <w:p>
      <w:pPr>
        <w:spacing w:after="0" w:line="10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audit committee consists of Mr. Zore (Chairman), Ms. Boswell, Mr. Hueneke, Mr. Payne, Mr. Mendoza and Ms. Hemingway-Hall. Ms. Hemingway Hall was appointed to the audit committee on December 12, 2011. Each member of the audit committee is “independent” within the meaning of the applicable listing standards of the New York Stock Exchange. The board of directors has determined that Mr. Zore is an “audit committee financial expert” and “independent” as defined under the applicable rules of the Securities and Exchange Commission.</w:t>
      </w:r>
    </w:p>
    <w:p>
      <w:pPr>
        <w:spacing w:after="0" w:line="11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functions of the audit committee include: (i) appointing the independent auditors for the annual audit and approving the fee arrangements with the independent auditors; (ii) monitoring the independence, qualifications and performance of the independent auditors; (iii) reviewing the planned scope of the annual audit; (iv) reviewing the financial statements to be included in our quarterly reports on Form 10-Q and our annual report on Form 10-K, and our disclosures under “Management’s Discussion and Analysis of Financial Condition and Results of Operations”; (v) reviewing compliance with and reporting under Section 404 of the Sarbanes-Oxley Act of 2002; (vi) reviewing our accounting management and controls and any significant audit adjustments proposed by the independent auditors; (vii) making a recommendation to the board of directors regarding inclusion of the audited financial statements in our annual report on Form 10-K; (viii) reviewing recommendations, if any, by the independent auditors resulting from the audit to ensure that appropriate actions are taken by management; (ix) reviewing matters of disagreement, if any, between management and the independent auditors; (x) periodically reviewing our Policy Regarding the Retention of Former Employees of Independent Auditors; (xi) overseeing compliance with our Policy on Services Provided by Independent Auditors;</w:t>
      </w:r>
    </w:p>
    <w:p>
      <w:pPr>
        <w:spacing w:after="0" w:line="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meeting privately on a periodic basis with the independent auditors, internal audit staff and management to review the adequacy of our internal controls;</w:t>
      </w:r>
    </w:p>
    <w:p>
      <w:pPr>
        <w:spacing w:after="0" w:line="32" w:lineRule="exact"/>
        <w:rPr>
          <w:rFonts w:ascii="Arial" w:cs="Arial" w:eastAsia="Arial" w:hAnsi="Arial"/>
          <w:sz w:val="16"/>
          <w:szCs w:val="16"/>
          <w:color w:val="auto"/>
        </w:rPr>
      </w:pPr>
    </w:p>
    <w:p>
      <w:pPr>
        <w:ind w:right="20" w:firstLine="8"/>
        <w:spacing w:after="0" w:line="252"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our internal audit department, including our internal audit plan; (xiv) monitoring our policies and procedures regarding compliance with the Foreign Corrupt Practices Act and compliance by our employees with our code of business conduct and ethics; (xv) assisting the board of directors with its oversight of the performance of the Company’s risk management function; (xvi) reviewing current tax matters affecting us; (xvii) periodically discussing with management our risk management framework; (xviii) serving as our qualified legal compliance committee; and (xix) monitoring any litigation involving ManpowerGroup, which may have a material financial impact on ManpowerGroup or relate to matters entrusted to the audit committee. In addition, the charter of the audit committee provides that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4" w:right="23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2011. The audit committee did not take action by written consent during 2011.</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The executive compensation and human resources committee consists of Mr. Greenberg (Chairman), Mr. Bolland, Ms. Dominguez, Mr. Downe, Ms. Sartain and Mr. Walter. Mr. Downe was appointed to the committee on December 12, 2011. Each member of the executive compensation and human resources committee is “independent” within the meaning of the applicable listing standards of the New York Stock Exchange and qualifies as an “outside director” under Section 162(m) of the Internal Revenue Code. The functions of this committee are to: (i) establish the compensation of the president and chief executive officer and the chief financial officer of ManpowerGroup, subject to ratification by the board of directors; (ii) approve the compensation, based on the recommendations of the president and chief executive officer of ManpowerGroup, of certain other senior executives of ManpowerGroup and its subsidiaries;</w:t>
      </w:r>
    </w:p>
    <w:p>
      <w:pPr>
        <w:spacing w:after="0" w:line="1" w:lineRule="exact"/>
        <w:rPr>
          <w:sz w:val="20"/>
          <w:szCs w:val="20"/>
          <w:color w:val="auto"/>
        </w:rPr>
      </w:pPr>
    </w:p>
    <w:p>
      <w:pPr>
        <w:ind w:firstLine="8"/>
        <w:spacing w:after="0" w:line="290" w:lineRule="auto"/>
        <w:tabs>
          <w:tab w:leader="none" w:pos="3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determine the terms of any agreements concerning employment, compensation or employment termination, as well as monitor the application of ManpowerGroup’s retirement and other fringe benefit plans, with respect to the individuals listed in (i) and (ii); (iv) monitor the development of ManpowerGroup’s key executive officers; (v) administer ManpowerGroup’s equity incentive plans and employee stock purchase plans and oversee ManpowerGroup’s employee retirement and welfare plans; (vi) administer ManpowerGroup’s corporate senior management annual incentive plan; and (vii) act as the compensation committee of outside directors under Section 162(m) of the Internal Revenue Code. The executive compensation and human resources committee held six meetings during 2011. The executive compensation and human resources committee did not take action by written consent during 2011.</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nominating and governance committee consists of Mr. Walter (Chairman), Ms. Boswell, Mr. Greenberg, Mr. Payne, and Mr. Zore. Each member of the nominating and governance committee is “independent” within the meaning of the applicable listing standards of the New York Stock Exchange. The functions of this committee are to: (i) recommend nominees to stand for election at annual meetings of shareholders, to fill vacancies on the board of directors and to serve on committees of the board of directors; (ii) establish procedures and assist in identifying candidates for board membership; (iii) review the qualifications of candidates for board membership; (iv) periodically review the compensation arrangements in effect for the non-management members of the board of directors and recommend any changes deemed appropriate; (v) coordinate the annual self- evaluation of the performance of the board of directors and each of its committees; (vi) establish and review, for recommendation to the board of directors, guidelines and policies on the size and composition of the board, the structure, composition and functions of the board committees, and other significant corporate governance principles and procedures; (vii) oversee the content and format of our code of business conduct and ethics; (vii) monitor compliance by the non-management directors with our code of business conduct and ethics; and</w:t>
      </w:r>
    </w:p>
    <w:p>
      <w:pPr>
        <w:spacing w:after="0" w:line="4" w:lineRule="exact"/>
        <w:rPr>
          <w:sz w:val="20"/>
          <w:szCs w:val="20"/>
          <w:color w:val="auto"/>
        </w:rPr>
      </w:pPr>
    </w:p>
    <w:p>
      <w:pPr>
        <w:ind w:right="360" w:firstLine="8"/>
        <w:spacing w:after="0" w:line="255"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 The nominating and governance committee has from time to time engaged director search firms to assist it in identifying and evaluating potential board candidates. The nominating and governance committee met four times during 2011. The nominating and governance committee did not take action by written consent during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governance committee has adopted, and the board of directors has approved, guidelines for selecting board candidates that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considers when evaluating candidates for nomination as directors. The guidelines call for the following with respect to the composition of the board:</w:t>
      </w:r>
    </w:p>
    <w:p>
      <w:pPr>
        <w:spacing w:after="0" w:line="10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who will represent the best interests of the shareholders as a whole rather than special interest constituencies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independence of at least a majority of the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twelve of thirteen directors are independent under the rules of the New York Stock Exchange. The composition of the board also reflects diversity of country of origin,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the particular areas of desired experience identified above that are possessed by each director with significant or some experience is as follows:</w:t>
      </w:r>
    </w:p>
    <w:p>
      <w:pPr>
        <w:spacing w:after="0" w:line="20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M. Bolland </w:t>
      </w:r>
      <w:r>
        <w:rPr>
          <w:rFonts w:ascii="Arial" w:cs="Arial" w:eastAsia="Arial" w:hAnsi="Arial"/>
          <w:sz w:val="18"/>
          <w:szCs w:val="18"/>
          <w:color w:val="auto"/>
        </w:rPr>
        <w:t>— Active CEO/COO/Chairman,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Government Relations</w:t>
      </w:r>
    </w:p>
    <w:p>
      <w:pPr>
        <w:spacing w:after="0" w:line="12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G. Boswell </w:t>
      </w:r>
      <w:r>
        <w:rPr>
          <w:rFonts w:ascii="Arial" w:cs="Arial" w:eastAsia="Arial" w:hAnsi="Arial"/>
          <w:sz w:val="18"/>
          <w:szCs w:val="18"/>
          <w:color w:val="auto"/>
        </w:rPr>
        <w:t>— Previous Board Experience, Human Resources, Financial Oversight/Accounting, International Business, Sales, Marketing/Branding,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Governance and Technology</w:t>
      </w:r>
    </w:p>
    <w:p>
      <w:pPr>
        <w:spacing w:after="0" w:line="120" w:lineRule="exact"/>
        <w:rPr>
          <w:sz w:val="20"/>
          <w:szCs w:val="20"/>
          <w:color w:val="auto"/>
        </w:rPr>
      </w:pPr>
    </w:p>
    <w:p>
      <w:pPr>
        <w:ind w:left="460" w:right="2980"/>
        <w:spacing w:after="0" w:line="526" w:lineRule="auto"/>
        <w:rPr>
          <w:sz w:val="20"/>
          <w:szCs w:val="20"/>
          <w:color w:val="auto"/>
        </w:rPr>
      </w:pPr>
      <w:r>
        <w:rPr>
          <w:rFonts w:ascii="Arial" w:cs="Arial" w:eastAsia="Arial" w:hAnsi="Arial"/>
          <w:sz w:val="15"/>
          <w:szCs w:val="15"/>
          <w:b w:val="1"/>
          <w:bCs w:val="1"/>
          <w:color w:val="auto"/>
        </w:rPr>
        <w:t xml:space="preserve">C. Dominguez </w:t>
      </w:r>
      <w:r>
        <w:rPr>
          <w:rFonts w:ascii="Arial" w:cs="Arial" w:eastAsia="Arial" w:hAnsi="Arial"/>
          <w:sz w:val="15"/>
          <w:szCs w:val="15"/>
          <w:color w:val="auto"/>
        </w:rPr>
        <w:t>— Human Resources, International Business, Operations, Governance and Government Relations</w:t>
      </w:r>
      <w:r>
        <w:rPr>
          <w:rFonts w:ascii="Arial" w:cs="Arial" w:eastAsia="Arial" w:hAnsi="Arial"/>
          <w:sz w:val="15"/>
          <w:szCs w:val="15"/>
          <w:b w:val="1"/>
          <w:bCs w:val="1"/>
          <w:color w:val="auto"/>
        </w:rPr>
        <w:t xml:space="preserve"> W. Downe </w:t>
      </w:r>
      <w:r>
        <w:rPr>
          <w:rFonts w:ascii="Arial" w:cs="Arial" w:eastAsia="Arial" w:hAnsi="Arial"/>
          <w:sz w:val="15"/>
          <w:szCs w:val="15"/>
          <w:color w:val="auto"/>
        </w:rPr>
        <w:t>— Previous Board Experience, Active CEO/COO/Chairman, International Business, Operations</w:t>
      </w:r>
    </w:p>
    <w:p>
      <w:pPr>
        <w:ind w:right="920" w:firstLine="456"/>
        <w:spacing w:after="0" w:line="339" w:lineRule="auto"/>
        <w:rPr>
          <w:sz w:val="20"/>
          <w:szCs w:val="20"/>
          <w:color w:val="auto"/>
        </w:rPr>
      </w:pPr>
      <w:r>
        <w:rPr>
          <w:rFonts w:ascii="Arial" w:cs="Arial" w:eastAsia="Arial" w:hAnsi="Arial"/>
          <w:sz w:val="16"/>
          <w:szCs w:val="16"/>
          <w:b w:val="1"/>
          <w:bCs w:val="1"/>
          <w:color w:val="auto"/>
        </w:rPr>
        <w:t xml:space="preserve">J. Greenberg </w:t>
      </w:r>
      <w:r>
        <w:rPr>
          <w:rFonts w:ascii="Arial" w:cs="Arial" w:eastAsia="Arial" w:hAnsi="Arial"/>
          <w:sz w:val="16"/>
          <w:szCs w:val="16"/>
          <w:color w:val="auto"/>
        </w:rPr>
        <w:t>— Previous Board Experience, Active CEO/COO/Chairman, Former CEO, Human Resources, Financial Oversight/Accounting,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Business, Marketing/Branding, Operations, Governance, Government Relations and Technology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left="460" w:right="1280"/>
        <w:spacing w:after="0" w:line="4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 Hemingway Hall </w:t>
      </w:r>
      <w:r>
        <w:rPr>
          <w:rFonts w:ascii="Arial" w:cs="Arial" w:eastAsia="Arial" w:hAnsi="Arial"/>
          <w:sz w:val="16"/>
          <w:szCs w:val="16"/>
          <w:color w:val="auto"/>
        </w:rPr>
        <w:t>— Active CEO/COO/Chairman, Human Resources, Sales, Marketing/Branding, Operations, Government Relations</w:t>
      </w:r>
      <w:r>
        <w:rPr>
          <w:rFonts w:ascii="Arial" w:cs="Arial" w:eastAsia="Arial" w:hAnsi="Arial"/>
          <w:sz w:val="16"/>
          <w:szCs w:val="16"/>
          <w:b w:val="1"/>
          <w:bCs w:val="1"/>
          <w:color w:val="auto"/>
        </w:rPr>
        <w:t xml:space="preserve"> T. Hueneke </w:t>
      </w:r>
      <w:r>
        <w:rPr>
          <w:rFonts w:ascii="Arial" w:cs="Arial" w:eastAsia="Arial" w:hAnsi="Arial"/>
          <w:sz w:val="16"/>
          <w:szCs w:val="16"/>
          <w:color w:val="auto"/>
        </w:rPr>
        <w:t>— Human Resources, Financial Oversight/Accounting, International Business, Sales, Marketing/Branding and Operations</w:t>
      </w:r>
    </w:p>
    <w:p>
      <w:pPr>
        <w:ind w:right="800" w:firstLine="456"/>
        <w:spacing w:after="0" w:line="275" w:lineRule="auto"/>
        <w:rPr>
          <w:sz w:val="20"/>
          <w:szCs w:val="20"/>
          <w:color w:val="auto"/>
        </w:rPr>
      </w:pPr>
      <w:r>
        <w:rPr>
          <w:rFonts w:ascii="Arial" w:cs="Arial" w:eastAsia="Arial" w:hAnsi="Arial"/>
          <w:sz w:val="18"/>
          <w:szCs w:val="18"/>
          <w:b w:val="1"/>
          <w:bCs w:val="1"/>
          <w:color w:val="auto"/>
        </w:rPr>
        <w:t xml:space="preserve">R. Mendoza </w:t>
      </w:r>
      <w:r>
        <w:rPr>
          <w:rFonts w:ascii="Arial" w:cs="Arial" w:eastAsia="Arial" w:hAnsi="Arial"/>
          <w:sz w:val="18"/>
          <w:szCs w:val="18"/>
          <w:color w:val="auto"/>
        </w:rPr>
        <w:t>— Previous Board Experience, Human Resources, Financial Oversight/Accounting, International Business, Sales,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U. Payne </w:t>
      </w:r>
      <w:r>
        <w:rPr>
          <w:rFonts w:ascii="Arial" w:cs="Arial" w:eastAsia="Arial" w:hAnsi="Arial"/>
          <w:sz w:val="18"/>
          <w:szCs w:val="18"/>
          <w:color w:val="auto"/>
        </w:rPr>
        <w:t>— Previous Board Experience, Active CEO/COO/Chairman, Former CEO, Human Resources, Financial Oversight/Accounting,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Sales, Marketing/Branding, Operations, Governance and Government Relations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 Sartain </w:t>
      </w:r>
      <w:r>
        <w:rPr>
          <w:rFonts w:ascii="Arial" w:cs="Arial" w:eastAsia="Arial" w:hAnsi="Arial"/>
          <w:sz w:val="18"/>
          <w:szCs w:val="18"/>
          <w:color w:val="auto"/>
        </w:rPr>
        <w:t>— Previous Board Experience, Human Resources, International Business, Marketing/Branding and Operations</w:t>
      </w:r>
    </w:p>
    <w:p>
      <w:pPr>
        <w:spacing w:after="0" w:line="171" w:lineRule="exact"/>
        <w:rPr>
          <w:sz w:val="20"/>
          <w:szCs w:val="20"/>
          <w:color w:val="auto"/>
        </w:rPr>
      </w:pPr>
    </w:p>
    <w:p>
      <w:pPr>
        <w:ind w:right="1120" w:firstLine="456"/>
        <w:spacing w:after="0" w:line="275" w:lineRule="auto"/>
        <w:rPr>
          <w:sz w:val="20"/>
          <w:szCs w:val="20"/>
          <w:color w:val="auto"/>
        </w:rPr>
      </w:pPr>
      <w:r>
        <w:rPr>
          <w:rFonts w:ascii="Arial" w:cs="Arial" w:eastAsia="Arial" w:hAnsi="Arial"/>
          <w:sz w:val="18"/>
          <w:szCs w:val="18"/>
          <w:b w:val="1"/>
          <w:bCs w:val="1"/>
          <w:color w:val="auto"/>
        </w:rPr>
        <w:t xml:space="preserve">J. Walter </w:t>
      </w:r>
      <w:r>
        <w:rPr>
          <w:rFonts w:ascii="Arial" w:cs="Arial" w:eastAsia="Arial" w:hAnsi="Arial"/>
          <w:sz w:val="18"/>
          <w:szCs w:val="18"/>
          <w:color w:val="auto"/>
        </w:rPr>
        <w:t>— Previous Board Experience, Former CEO, Human Resources, Financial Oversight/Accounting, International Business, Sales,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Marketing/Branding, Operations, Governance, Government Relations and Technology</w:t>
      </w:r>
    </w:p>
    <w:p>
      <w:pPr>
        <w:spacing w:after="0" w:line="120"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E. Zore </w:t>
      </w:r>
      <w:r>
        <w:rPr>
          <w:rFonts w:ascii="Arial" w:cs="Arial" w:eastAsia="Arial" w:hAnsi="Arial"/>
          <w:sz w:val="18"/>
          <w:szCs w:val="18"/>
          <w:color w:val="auto"/>
        </w:rPr>
        <w:t>— Previous Board Experience, Former CEO, Human Resources, Financial Oversight/Accounting, Sales, Marketing/Branding,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Government Relations and Technology</w:t>
      </w:r>
    </w:p>
    <w:p>
      <w:pPr>
        <w:spacing w:after="0" w:line="12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Mr. Joerres has experience in many of these areas as well, however his position on the board is due to his position as CEO of the Company, as the board of directors has determined the CEO should also be chairman of the board of directors. For more information on how each of the board of directors meets these objectives, see their occupations and directorships disclosed previously under “Election of Directors”.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2011, ManpowerGroup’s corporate governance guidelines stated that it is the policy of the board of directors that no individual who would be age 70 or older at the time of his or her election will be eligible to stand for election to the board of directors. In 2011, the Board amended the corporate governance guidelines and has established a general retirement age of 72. An individual cannot be nominated for election to the Board of Directors after his or her 72nd birthday. A director that is standing for election who will turn age 72 during his or her normal term must submit a resignation effective as of his or her 72nd birthday as a condition to having the Board recommend the director for election. If the Board of Directors rejects the resignation for any reason, the director shall continue in office until the expiration of his or her current term.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has appointed the chief executive officer of the Company to the position of chairman of the board. Combining the roles of chairman of the board and chief executive officer (1) enhances alignment between the board of directors and management in strategic planning and execution as well as operational matters, (2) avoids the confusion over roles, responsibilities and authority that can result from separating the positions, and (3) streamlines board process in order to conserve time for the consideration of the important matters the board needs to address. At the same time, the combination of a completely independent board (except for the chairman of the board) and the lead director arrangement maintained by the board facilitate effective oversight of the performance of senior management.</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328" w:right="319" w:bottom="1440" w:gutter="0" w:footer="0" w:header="0"/>
        </w:sectPr>
      </w:pPr>
    </w:p>
    <w:bookmarkStart w:id="14" w:name="page15"/>
    <w:bookmarkEnd w:id="14"/>
    <w:p>
      <w:pPr>
        <w:jc w:val="both"/>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has established an arrangement under which the chairman of one of the principal board committees serves as lead director on a rotating basis for each calendar year in the following order: executive compensation and human resources committee, audit committee, and nominating and governance committee. The lead director’s duties as specified in the Company’s corporate governance guidelines are as follows:</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Preside at executive sessions of the non-employee directors and all other meetings of directors where the chairman of the board is not present;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what information is sent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Greenberg, the chairman of the executive compensation and human resources committee, will serve as lead director in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51" w:lineRule="exact"/>
        <w:rPr>
          <w:sz w:val="20"/>
          <w:szCs w:val="20"/>
          <w:color w:val="auto"/>
        </w:rPr>
      </w:pPr>
    </w:p>
    <w:p>
      <w:pPr>
        <w:ind w:left="900" w:right="7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policies, practices and procedures regarding risk assessment and management;</w:t>
      </w:r>
    </w:p>
    <w:p>
      <w:pPr>
        <w:spacing w:after="0" w:line="5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this oversight capacity, the committee’s role is one of informed oversight rather than direct management of risk. In addition, it is not intended that the committee be involved in the day-to-day risk management activities. Instead, the committee is expected to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the committee.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executive compensation and human resources committee directly retains Mercer (US) Inc. to advise it on executive compensation matters. Mercer reports to the chairman of the committee. On an annual basis, the Company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2011 were $142,475.</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334" w:right="359" w:bottom="1440" w:gutter="0" w:footer="0" w:header="0"/>
        </w:sectPr>
      </w:pPr>
    </w:p>
    <w:bookmarkStart w:id="15" w:name="page16"/>
    <w:bookmarkEnd w:id="15"/>
    <w:p>
      <w:pPr>
        <w:ind w:right="30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was engaged by the committee to perform the following services for the period from June 1, 2011 through May 31, 2012:</w:t>
      </w:r>
    </w:p>
    <w:p>
      <w:pPr>
        <w:spacing w:after="0" w:line="90" w:lineRule="exact"/>
        <w:rPr>
          <w:sz w:val="20"/>
          <w:szCs w:val="20"/>
          <w:color w:val="auto"/>
        </w:rPr>
      </w:pPr>
    </w:p>
    <w:p>
      <w:pPr>
        <w:ind w:left="900" w:right="2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CEO, CFO and senior management team, including base salary, annual incentive, total cash compensation, long-term incentive awards, total direct compensation, retirement benefits and total remuneration against the market;</w:t>
      </w:r>
    </w:p>
    <w:p>
      <w:pPr>
        <w:spacing w:after="0" w:line="59"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companies included in our industry peer group;</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Brief the executive compensation and human resources committee on executive compensation trends in executive compensation and benefits among large public companies and on regulatory, legislative and other developments;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the executive compensation and human resources committee on salary, target incentive opportunities and equity grants;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engagement, ManpowerGroup and Mercer have agreed on written guidelines for minimizing potential conflicts of interest. These guidelines are as follows:</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chairman;</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analyses to ensure accuracy, and consult with the CEO about the compensation of the other executives of ManpowerGroup;</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Mercer’s main contacts with management are the CFO and executive vice president, global strategy and talent;</w:t>
      </w:r>
    </w:p>
    <w:p>
      <w:pPr>
        <w:spacing w:after="0" w:line="90"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Mercer’s written reports may be distributed to committee members as part of the committee meeting mailings, except any findings and recommendation regarding the CEO are sent in a separate document directly to committee members;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5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the Mercer consultant performing any services, whether related to compensation or other consulting services, for ManpowerGroup in addition to those performed for the committee, the consultant must inform the committee chairman and obtain approval.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4" w:right="239" w:bottom="1440" w:gutter="0" w:footer="0" w:header="0"/>
        </w:sectPr>
      </w:pPr>
    </w:p>
    <w:bookmarkStart w:id="16" w:name="page17"/>
    <w:bookmarkEnd w:id="1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 total amount paid for these other services provided in 2011 was $674,719.</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 is objective and not influenced by Mercer’s or its affiliates’ relationships with us because of the procedures Mercer and the committee have in place, including the following:</w:t>
      </w:r>
    </w:p>
    <w:p>
      <w:pPr>
        <w:spacing w:after="0" w:line="4" w:lineRule="exact"/>
        <w:rPr>
          <w:sz w:val="20"/>
          <w:szCs w:val="20"/>
          <w:color w:val="auto"/>
        </w:rPr>
      </w:pPr>
    </w:p>
    <w:p>
      <w:pPr>
        <w:ind w:left="900" w:right="5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4" w:right="259" w:bottom="1440" w:gutter="0" w:footer="0" w:header="0"/>
        </w:sectPr>
      </w:pPr>
    </w:p>
    <w:bookmarkStart w:id="17" w:name="page18"/>
    <w:bookmarkEnd w:id="17"/>
    <w:p>
      <w:pPr>
        <w:jc w:val="center"/>
        <w:ind w:left="2420" w:hanging="2366"/>
        <w:spacing w:after="0" w:line="275" w:lineRule="auto"/>
        <w:tabs>
          <w:tab w:leader="none" w:pos="22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 THE PROPOSED AMENDMENT TO THE AMENDED AND RESTATED ARTICLES OF INCORPORATION OF MANPOWER INC. TO CHANGE THE NAME OF THE CORPORATION TO MANPOWERGROUP INC.</w:t>
      </w:r>
    </w:p>
    <w:p>
      <w:pPr>
        <w:spacing w:after="0" w:line="1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February 15, 2012, our Board of Directors unanimously approved and recommended that our shareholders approve an amendment to the Company’s Amended and Restated Articles of Incorporation to the change the name of the Company from “Manpower Inc.” to “ManpowerGroup Inc. “ (the “Amendment”).</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30, 2011, we began doing business as ManpowerGroup to reflect our global leadership in providing innovative workforce solutions for clients. This evolution creates a stronger, more connected family of brands and allows us to tell the world that the umbrella of solutions that we provide is much bigger than what people may have previously thought. This name change strengthens and better articulates our family of brands and suite of solutions and differentiates our organization in a way that clearly defines what each of the ManpowerGroup brands stand for individually, while also strengthening the combined assets, that makes it easier to provide clients with dynamic and flexible solutions across ManpowerGroup.</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proposal to amend our Amended and Restated Articles of Incorporation to change our name to “ManpowerGroup Inc.” is approved by our shareholders, the new name will become effective upon the filing of articles of amendment that include the Amendment and other required information with the Wisconsin Department of Financial Institutions. This Amendment will change Article I of the Amended and Restated Articles of Incorporation to read in its entirety as follows: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 of the Corporation is ManpowerGroup Inc.”</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the name change becomes effective, the rights of shareholders holding shares represented by outstanding stock certificates and the number of shares represented by those certificates will remain unchanged. The name change will not affect the validity or transferability of any currently outstanding stock certificates nor will it be necessary for shareholders with certificated shares to surrender or exchange any stock certificates they currently hold as a result of the name change.</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The board of directors recommends that you vote FOR approval of the amendment to the Company’s Amended and Restated Articles of Incorporation and your proxy will be so voted unless you specify otherwise.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Set forth in the table below, as of March 2, 2012, are the shares of ManpowerGroup common stock beneficially owned by each director and nominee, each of the executive officers named in the table under the heading “Executive and Director Compensation — Summary Compensation Table,” who we refer to as the named executive officers, and all directors and executive officers of ManpowerGroup as a group and the shares of ManpowerGroup common stock that could be acquired within 60 days of March 2, 2012 by such persons.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Right to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vMerge w:val="restart"/>
          </w:tcPr>
          <w:p>
            <w:pPr>
              <w:jc w:val="center"/>
              <w:ind w:right="3280"/>
              <w:spacing w:after="0"/>
              <w:rPr>
                <w:sz w:val="20"/>
                <w:szCs w:val="20"/>
                <w:color w:val="auto"/>
              </w:rPr>
            </w:pPr>
            <w:r>
              <w:rPr>
                <w:rFonts w:ascii="Arial" w:cs="Arial" w:eastAsia="Arial" w:hAnsi="Arial"/>
                <w:sz w:val="14"/>
                <w:szCs w:val="14"/>
                <w:b w:val="1"/>
                <w:bCs w:val="1"/>
                <w:color w:val="auto"/>
                <w:w w:val="86"/>
              </w:rPr>
              <w:t>Name of</w:t>
            </w:r>
          </w:p>
        </w:tc>
        <w:tc>
          <w:tcPr>
            <w:tcW w:w="20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Acquire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4360" w:type="dxa"/>
            <w:vAlign w:val="bottom"/>
            <w:gridSpan w:val="2"/>
            <w:vMerge w:val="continue"/>
          </w:tcPr>
          <w:p>
            <w:pPr>
              <w:spacing w:after="0"/>
              <w:rPr>
                <w:sz w:val="11"/>
                <w:szCs w:val="11"/>
                <w:color w:val="auto"/>
              </w:rPr>
            </w:pPr>
          </w:p>
        </w:tc>
        <w:tc>
          <w:tcPr>
            <w:tcW w:w="202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620" w:type="dxa"/>
            <w:vAlign w:val="bottom"/>
            <w:gridSpan w:val="2"/>
          </w:tcPr>
          <w:p>
            <w:pPr>
              <w:jc w:val="center"/>
              <w:ind w:right="860"/>
              <w:spacing w:after="0" w:line="135" w:lineRule="exact"/>
              <w:rPr>
                <w:sz w:val="20"/>
                <w:szCs w:val="20"/>
                <w:color w:val="auto"/>
              </w:rPr>
            </w:pPr>
            <w:r>
              <w:rPr>
                <w:rFonts w:ascii="Arial" w:cs="Arial" w:eastAsia="Arial" w:hAnsi="Arial"/>
                <w:sz w:val="14"/>
                <w:szCs w:val="14"/>
                <w:b w:val="1"/>
                <w:bCs w:val="1"/>
                <w:color w:val="auto"/>
                <w:w w:val="85"/>
              </w:rPr>
              <w:t>Common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360" w:type="dxa"/>
            <w:vAlign w:val="bottom"/>
            <w:gridSpan w:val="2"/>
          </w:tcPr>
          <w:p>
            <w:pPr>
              <w:jc w:val="center"/>
              <w:ind w:right="3280"/>
              <w:spacing w:after="0" w:line="129" w:lineRule="exact"/>
              <w:rPr>
                <w:sz w:val="20"/>
                <w:szCs w:val="20"/>
                <w:color w:val="auto"/>
              </w:rPr>
            </w:pPr>
            <w:r>
              <w:rPr>
                <w:rFonts w:ascii="Arial" w:cs="Arial" w:eastAsia="Arial" w:hAnsi="Arial"/>
                <w:sz w:val="14"/>
                <w:szCs w:val="14"/>
                <w:b w:val="1"/>
                <w:bCs w:val="1"/>
                <w:color w:val="auto"/>
                <w:w w:val="87"/>
              </w:rPr>
              <w:t>Beneficial Owner</w:t>
            </w:r>
          </w:p>
        </w:tc>
        <w:tc>
          <w:tcPr>
            <w:tcW w:w="202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Owned(1)</w:t>
            </w:r>
          </w:p>
        </w:tc>
        <w:tc>
          <w:tcPr>
            <w:tcW w:w="162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8"/>
              </w:rPr>
              <w:t>Stock(1)(2)</w:t>
            </w:r>
          </w:p>
        </w:tc>
        <w:tc>
          <w:tcPr>
            <w:tcW w:w="80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Jeffrey A. Joerres</w:t>
            </w:r>
          </w:p>
        </w:tc>
        <w:tc>
          <w:tcPr>
            <w:tcW w:w="202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1,251,629(4)(5)</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943,884</w:t>
            </w:r>
          </w:p>
        </w:tc>
        <w:tc>
          <w:tcPr>
            <w:tcW w:w="8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391,910(5)</w:t>
            </w:r>
          </w:p>
        </w:tc>
        <w:tc>
          <w:tcPr>
            <w:tcW w:w="760" w:type="dxa"/>
            <w:vAlign w:val="bottom"/>
          </w:tcPr>
          <w:p>
            <w:pPr>
              <w:jc w:val="right"/>
              <w:spacing w:after="0"/>
              <w:rPr>
                <w:sz w:val="20"/>
                <w:szCs w:val="20"/>
                <w:color w:val="auto"/>
              </w:rPr>
            </w:pPr>
            <w:r>
              <w:rPr>
                <w:rFonts w:ascii="Arial" w:cs="Arial" w:eastAsia="Arial" w:hAnsi="Arial"/>
                <w:sz w:val="18"/>
                <w:szCs w:val="18"/>
                <w:color w:val="auto"/>
              </w:rPr>
              <w:t>290,208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20,196(5)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Gina R. Boswell</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12,298(5)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7,176(5)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94,108</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25,126(5)</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Françoise Gri</w:t>
            </w:r>
          </w:p>
        </w:tc>
        <w:tc>
          <w:tcPr>
            <w:tcW w:w="20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116,572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25,975(5)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Hans Leentjes</w:t>
            </w:r>
          </w:p>
        </w:tc>
        <w:tc>
          <w:tcPr>
            <w:tcW w:w="880" w:type="dxa"/>
            <w:vAlign w:val="bottom"/>
          </w:tcPr>
          <w:p>
            <w:pPr>
              <w:jc w:val="right"/>
              <w:spacing w:after="0"/>
              <w:rPr>
                <w:sz w:val="20"/>
                <w:szCs w:val="20"/>
                <w:color w:val="auto"/>
              </w:rPr>
            </w:pPr>
            <w:r>
              <w:rPr>
                <w:rFonts w:ascii="Arial" w:cs="Arial" w:eastAsia="Arial" w:hAnsi="Arial"/>
                <w:sz w:val="18"/>
                <w:szCs w:val="18"/>
                <w:color w:val="auto"/>
              </w:rPr>
              <w:t>30,587</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30,587</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Ulice Payne, Jr</w:t>
            </w:r>
          </w:p>
        </w:tc>
        <w:tc>
          <w:tcPr>
            <w:tcW w:w="880" w:type="dxa"/>
            <w:vAlign w:val="bottom"/>
          </w:tcPr>
          <w:p>
            <w:pPr>
              <w:jc w:val="right"/>
              <w:spacing w:after="0"/>
              <w:rPr>
                <w:sz w:val="20"/>
                <w:szCs w:val="20"/>
                <w:color w:val="auto"/>
              </w:rPr>
            </w:pPr>
            <w:r>
              <w:rPr>
                <w:rFonts w:ascii="Arial" w:cs="Arial" w:eastAsia="Arial" w:hAnsi="Arial"/>
                <w:sz w:val="18"/>
                <w:szCs w:val="18"/>
                <w:color w:val="auto"/>
              </w:rPr>
              <w:t>7,026</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134,839(5)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880" w:type="dxa"/>
            <w:vAlign w:val="bottom"/>
          </w:tcPr>
          <w:p>
            <w:pPr>
              <w:jc w:val="right"/>
              <w:spacing w:after="0"/>
              <w:rPr>
                <w:sz w:val="20"/>
                <w:szCs w:val="20"/>
                <w:color w:val="auto"/>
              </w:rPr>
            </w:pPr>
            <w:r>
              <w:rPr>
                <w:rFonts w:ascii="Arial" w:cs="Arial" w:eastAsia="Arial" w:hAnsi="Arial"/>
                <w:sz w:val="18"/>
                <w:szCs w:val="18"/>
                <w:color w:val="auto"/>
              </w:rPr>
              <w:t>5,454</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169,492(5)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155,753</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880" w:type="dxa"/>
            <w:vAlign w:val="bottom"/>
          </w:tcPr>
          <w:p>
            <w:pPr>
              <w:jc w:val="right"/>
              <w:spacing w:after="0"/>
              <w:rPr>
                <w:sz w:val="20"/>
                <w:szCs w:val="20"/>
                <w:color w:val="auto"/>
              </w:rPr>
            </w:pPr>
            <w:r>
              <w:rPr>
                <w:rFonts w:ascii="Arial" w:cs="Arial" w:eastAsia="Arial" w:hAnsi="Arial"/>
                <w:sz w:val="18"/>
                <w:szCs w:val="18"/>
                <w:color w:val="auto"/>
              </w:rPr>
              <w:t>39,506</w:t>
            </w: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18,028</w:t>
            </w:r>
          </w:p>
        </w:tc>
        <w:tc>
          <w:tcPr>
            <w:tcW w:w="8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50,865(5)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9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(21 persons)</w:t>
            </w:r>
          </w:p>
        </w:tc>
        <w:tc>
          <w:tcPr>
            <w:tcW w:w="880" w:type="dxa"/>
            <w:vAlign w:val="bottom"/>
          </w:tcPr>
          <w:p>
            <w:pPr>
              <w:jc w:val="right"/>
              <w:spacing w:after="0"/>
              <w:rPr>
                <w:sz w:val="20"/>
                <w:szCs w:val="20"/>
                <w:color w:val="auto"/>
              </w:rPr>
            </w:pPr>
            <w:r>
              <w:rPr>
                <w:rFonts w:ascii="Arial" w:cs="Arial" w:eastAsia="Arial" w:hAnsi="Arial"/>
                <w:sz w:val="18"/>
                <w:szCs w:val="18"/>
                <w:color w:val="auto"/>
              </w:rPr>
              <w:t>2,602,042</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1,938,066</w:t>
            </w:r>
          </w:p>
        </w:tc>
        <w:tc>
          <w:tcPr>
            <w:tcW w:w="8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50"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Vested Deferred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4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4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Roberto Mendoza</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6,172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r>
      <w:tr>
        <w:trPr>
          <w:trHeight w:val="216"/>
        </w:trPr>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12,695</w:t>
            </w:r>
          </w:p>
        </w:tc>
        <w:tc>
          <w:tcPr>
            <w:tcW w:w="100" w:type="dxa"/>
            <w:vAlign w:val="bottom"/>
            <w:shd w:val="clear" w:color="auto" w:fill="CCEEFF"/>
          </w:tcPr>
          <w:p>
            <w:pPr>
              <w:spacing w:after="0"/>
              <w:rPr>
                <w:sz w:val="18"/>
                <w:szCs w:val="18"/>
                <w:color w:val="auto"/>
              </w:rPr>
            </w:pPr>
          </w:p>
        </w:tc>
      </w:tr>
      <w:tr>
        <w:trPr>
          <w:trHeight w:val="222"/>
        </w:trPr>
        <w:tc>
          <w:tcPr>
            <w:tcW w:w="342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3,308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9"/>
                <w:szCs w:val="19"/>
                <w:color w:val="auto"/>
              </w:rPr>
            </w:pPr>
          </w:p>
        </w:tc>
      </w:tr>
      <w:tr>
        <w:trPr>
          <w:trHeight w:val="356"/>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80" w:type="dxa"/>
            <w:vAlign w:val="bottom"/>
          </w:tcPr>
          <w:p>
            <w:pPr>
              <w:jc w:val="right"/>
              <w:ind w:right="2192"/>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ind w:left="452"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does not include 2,937 unvested shares of deferred stock, which will be settled in shares of ManpowerGroup common stock on a one-for-one basis, held by each of Ms. Dominguez, Mr. Downe, Ms. Hall, Mr. Mendoza and Mr. Payne that were issued under the 2011 Plan and the Terms and Conditions on January 1, 2012. These shares of deferred stock vest in equal quarterly installments during 2012.</w:t>
      </w:r>
    </w:p>
    <w:p>
      <w:pPr>
        <w:spacing w:after="0" w:line="2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table does not include unvested restricted stock units, which will be settled in shares of ManpowerGroup common stock on a one-for-one basis, held by the following executive officers that were issued under the 2003 Plan and 2011 Plan:</w:t>
      </w:r>
    </w:p>
    <w:p>
      <w:pPr>
        <w:spacing w:after="0" w:line="156"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Unvested 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820" w:type="dxa"/>
            <w:vAlign w:val="bottom"/>
          </w:tcPr>
          <w:p>
            <w:pPr>
              <w:spacing w:after="0"/>
              <w:rPr>
                <w:sz w:val="13"/>
                <w:szCs w:val="13"/>
                <w:color w:val="auto"/>
              </w:rPr>
            </w:pPr>
          </w:p>
        </w:tc>
        <w:tc>
          <w:tcPr>
            <w:tcW w:w="37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Officer</w:t>
            </w:r>
          </w:p>
        </w:tc>
        <w:tc>
          <w:tcPr>
            <w:tcW w:w="2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Stock Units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3"/>
              </w:rPr>
              <w:t>2003 Plan</w:t>
            </w:r>
          </w:p>
        </w:tc>
        <w:tc>
          <w:tcPr>
            <w:tcW w:w="1560" w:type="dxa"/>
            <w:vAlign w:val="bottom"/>
            <w:tcBorders>
              <w:top w:val="single" w:sz="8" w:color="auto"/>
            </w:tcBorders>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2011 Plan</w:t>
            </w:r>
          </w:p>
        </w:tc>
        <w:tc>
          <w:tcPr>
            <w:tcW w:w="540" w:type="dxa"/>
            <w:vAlign w:val="bottom"/>
            <w:tcBorders>
              <w:top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21,218</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31,244</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7,578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11,159</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18,737</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15,908</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8,270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13,180</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20,281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4,910</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25,191</w:t>
            </w:r>
          </w:p>
        </w:tc>
        <w:tc>
          <w:tcPr>
            <w:tcW w:w="100" w:type="dxa"/>
            <w:vAlign w:val="bottom"/>
          </w:tcPr>
          <w:p>
            <w:pPr>
              <w:spacing w:after="0"/>
              <w:rPr>
                <w:sz w:val="18"/>
                <w:szCs w:val="18"/>
                <w:color w:val="auto"/>
              </w:rPr>
            </w:pPr>
          </w:p>
        </w:tc>
      </w:tr>
      <w:tr>
        <w:trPr>
          <w:trHeight w:val="216"/>
        </w:trPr>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28,006</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6"/>
          <w:szCs w:val="16"/>
          <w:color w:val="auto"/>
        </w:rPr>
        <w:t>Of these amounts, (i) the following restricted stock units vest on February 17, 2013: Mr. Green — 5,239, Ms. Gri — 5,239 and Mr. Prising — 2,095, (ii) the</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following restricted stock units vest on February 16, 2014: Mr. Joerres — 21,218; Mr. Van Handel — 7,578; Mr. Green — 5,759; Ms. Gri — 3,031;</w:t>
      </w:r>
    </w:p>
    <w:p>
      <w:pPr>
        <w:spacing w:after="0" w:line="32" w:lineRule="exact"/>
        <w:rPr>
          <w:sz w:val="20"/>
          <w:szCs w:val="20"/>
          <w:color w:val="auto"/>
        </w:rPr>
      </w:pPr>
    </w:p>
    <w:p>
      <w:pPr>
        <w:ind w:left="452" w:right="220"/>
        <w:spacing w:after="0" w:line="281" w:lineRule="auto"/>
        <w:rPr>
          <w:sz w:val="20"/>
          <w:szCs w:val="20"/>
          <w:color w:val="auto"/>
        </w:rPr>
      </w:pPr>
      <w:r>
        <w:rPr>
          <w:rFonts w:ascii="Arial" w:cs="Arial" w:eastAsia="Arial" w:hAnsi="Arial"/>
          <w:sz w:val="16"/>
          <w:szCs w:val="16"/>
          <w:color w:val="auto"/>
        </w:rPr>
        <w:t>Mr. Leentjes — 2,425; Mr. Prising — 3,031; and Mr. Sullivan – 3,031, (iii) the following restricted stock units vest on February 15, 2015: Mr. Joerres — 31,244; Mr. Van Handel — 11,159; Mr. Green — 4,910; Ms. Gri — 4,910; Mr. Leentjes — 4,464; Mr. Prising — 4,910; and Mr. Sullivan – 4,910, and</w:t>
      </w:r>
    </w:p>
    <w:p>
      <w:pPr>
        <w:spacing w:after="0" w:line="1" w:lineRule="exact"/>
        <w:rPr>
          <w:sz w:val="20"/>
          <w:szCs w:val="20"/>
          <w:color w:val="auto"/>
        </w:rPr>
      </w:pPr>
    </w:p>
    <w:p>
      <w:pPr>
        <w:ind w:left="452" w:right="20"/>
        <w:spacing w:after="0" w:line="261" w:lineRule="auto"/>
        <w:rPr>
          <w:sz w:val="20"/>
          <w:szCs w:val="20"/>
          <w:color w:val="auto"/>
        </w:rPr>
      </w:pPr>
      <w:r>
        <w:rPr>
          <w:rFonts w:ascii="Arial" w:cs="Arial" w:eastAsia="Arial" w:hAnsi="Arial"/>
          <w:sz w:val="18"/>
          <w:szCs w:val="18"/>
          <w:color w:val="auto"/>
        </w:rPr>
        <w:t>(iv) 15,155 shares of restricted stock held by each of Mr. Prising and Mr. Sullivan will vest on February 16, 2016 , except as otherwise provided in the 2003 and 2011 Plan.</w:t>
      </w:r>
    </w:p>
    <w:p>
      <w:pPr>
        <w:spacing w:after="0" w:line="56"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13"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person named in the table, other than Mr. Joerres, beneficially owns more than 1% of the outstanding shares of common stock. The percentage is based on the column entitled Common Stock Beneficially Owned.</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following number of shares of unvested restricted stock as of the record date:</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780" w:type="dxa"/>
            <w:vAlign w:val="bottom"/>
            <w:gridSpan w:val="3"/>
          </w:tcPr>
          <w:p>
            <w:pPr>
              <w:jc w:val="center"/>
              <w:ind w:left="5334"/>
              <w:spacing w:after="0"/>
              <w:rPr>
                <w:sz w:val="20"/>
                <w:szCs w:val="20"/>
                <w:color w:val="auto"/>
              </w:rPr>
            </w:pPr>
            <w:r>
              <w:rPr>
                <w:rFonts w:ascii="Arial" w:cs="Arial" w:eastAsia="Arial" w:hAnsi="Arial"/>
                <w:sz w:val="14"/>
                <w:szCs w:val="14"/>
                <w:b w:val="1"/>
                <w:bCs w:val="1"/>
                <w:color w:val="auto"/>
                <w:w w:val="85"/>
              </w:rPr>
              <w:t>Unvested Restricted</w:t>
            </w:r>
          </w:p>
        </w:tc>
      </w:tr>
      <w:tr>
        <w:trPr>
          <w:trHeight w:val="168"/>
        </w:trPr>
        <w:tc>
          <w:tcPr>
            <w:tcW w:w="800" w:type="dxa"/>
            <w:vAlign w:val="bottom"/>
          </w:tcPr>
          <w:p>
            <w:pPr>
              <w:spacing w:after="0"/>
              <w:rPr>
                <w:sz w:val="14"/>
                <w:szCs w:val="14"/>
                <w:color w:val="auto"/>
              </w:rPr>
            </w:pPr>
          </w:p>
        </w:tc>
        <w:tc>
          <w:tcPr>
            <w:tcW w:w="11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9"/>
              </w:rPr>
              <w:t>Officer or Director</w:t>
            </w:r>
          </w:p>
        </w:tc>
        <w:tc>
          <w:tcPr>
            <w:tcW w:w="5520" w:type="dxa"/>
            <w:vAlign w:val="bottom"/>
          </w:tcPr>
          <w:p>
            <w:pPr>
              <w:spacing w:after="0"/>
              <w:rPr>
                <w:sz w:val="14"/>
                <w:szCs w:val="14"/>
                <w:color w:val="auto"/>
              </w:rPr>
            </w:pP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Stock</w:t>
            </w:r>
          </w:p>
        </w:tc>
      </w:tr>
      <w:tr>
        <w:trPr>
          <w:trHeight w:val="203"/>
        </w:trPr>
        <w:tc>
          <w:tcPr>
            <w:tcW w:w="1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55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Marc J. Bolland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Jack M. Greenberg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8"/>
                <w:szCs w:val="18"/>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center"/>
        <w:ind w:right="348"/>
        <w:spacing w:after="0" w:line="440" w:lineRule="auto"/>
        <w:rPr>
          <w:sz w:val="20"/>
          <w:szCs w:val="20"/>
          <w:color w:val="auto"/>
        </w:rPr>
      </w:pPr>
      <w:r>
        <w:rPr>
          <w:rFonts w:ascii="Arial" w:cs="Arial" w:eastAsia="Arial" w:hAnsi="Arial"/>
          <w:sz w:val="18"/>
          <w:szCs w:val="18"/>
          <w:color w:val="auto"/>
        </w:rPr>
        <w:t>The holders of the restricted stock have sole voting power with respect to all shares held and no dispositive power with respect to all shares held. 17</w:t>
      </w:r>
    </w:p>
    <w:p>
      <w:pPr>
        <w:sectPr>
          <w:pgSz w:w="11900" w:h="16838" w:orient="portrait"/>
          <w:cols w:equalWidth="0" w:num="1">
            <w:col w:w="11412"/>
          </w:cols>
          <w:pgMar w:left="248"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AND DIRECTOR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compensation discussion and analysis provides information about ManpowerGroup’s compensation policies and decisions regarding the company’s CEO, CFO and the five executive officers who are the leaders of the company’s business operating units. In the discussion below, we refer to this group of executives as the named executive officers (“NEOs”). This group includes the executive officers for whom disclosure is required under the rules of the Securities and Exchange Commission.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ManpowerGroup is the world leader in innovative workforce solutions and services with over 85% percent of its revenues coming from outside the United States. We do business in 80 countries and territories, have nearly 3,800 offices and over 31,000 staff employees globally, and placed approximately 3.5 million people in jobs in 2011. The variations in laws around the world, the variety of services offered, and the increasing multiregional and global solutions that clients need make the business increasingly complex. None of our competitors can match our global reach or breadth of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76465" cy="3794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794760"/>
                    </a:xfrm>
                    <a:prstGeom prst="rect">
                      <a:avLst/>
                    </a:prstGeom>
                    <a:noFill/>
                  </pic:spPr>
                </pic:pic>
              </a:graphicData>
            </a:graphic>
          </wp:anchor>
        </w:drawing>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2011 Financial Highlights</w:t>
      </w:r>
    </w:p>
    <w:p>
      <w:pPr>
        <w:spacing w:after="0" w:line="90" w:lineRule="exact"/>
        <w:rPr>
          <w:sz w:val="20"/>
          <w:szCs w:val="20"/>
          <w:color w:val="auto"/>
        </w:rPr>
      </w:pPr>
    </w:p>
    <w:p>
      <w:pPr>
        <w:ind w:left="20" w:right="40" w:firstLine="456"/>
        <w:spacing w:after="0" w:line="294" w:lineRule="auto"/>
        <w:rPr>
          <w:sz w:val="20"/>
          <w:szCs w:val="20"/>
          <w:color w:val="auto"/>
        </w:rPr>
      </w:pPr>
      <w:r>
        <w:rPr>
          <w:rFonts w:ascii="Arial" w:cs="Arial" w:eastAsia="Arial" w:hAnsi="Arial"/>
          <w:sz w:val="16"/>
          <w:szCs w:val="16"/>
          <w:color w:val="auto"/>
        </w:rPr>
        <w:t>ManpowerGroup’s performance in 2011 was strong. We were able to improve our operating leverage by effectively using our office network to support revenue growth with a minimal increase in expenses. Our ability to gain such operating leverage was a result of strategic cost reductions made during the economic downturn, which minimized the adverse impact of the economy on our business during the downturn, yet preserved capacity within our office network to handle the increased demand that we expected and subsequently experienced during 2011. This improvement in our markets and operating leverage allowed us to significantly improve our operating results. Highlights of our 2011 performance compared to 2010 include:</w:t>
      </w:r>
    </w:p>
    <w:p>
      <w:pPr>
        <w:spacing w:after="0" w:line="35" w:lineRule="exact"/>
        <w:rPr>
          <w:sz w:val="20"/>
          <w:szCs w:val="20"/>
          <w:color w:val="auto"/>
        </w:rPr>
      </w:pPr>
    </w:p>
    <w:p>
      <w:pPr>
        <w:ind w:left="920" w:hanging="448"/>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Revenue of $22.0 billion, an increase of 16.6%;</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Operating Profit Margin(1) of 2.49%, an increase of 36.8%,</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Diluted Earnings Per Share(1) (“EPS”) of $3.04, a 106.8% increase; and</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Economic Profit(1) (net operating profit after taxes less a capital charge, referred to as “EP”) of -$6.1 million, a 95.8% improvement.</w:t>
      </w:r>
    </w:p>
    <w:p>
      <w:pPr>
        <w:spacing w:after="0" w:line="90" w:lineRule="exact"/>
        <w:rPr>
          <w:rFonts w:ascii="Arial" w:cs="Arial" w:eastAsia="Arial" w:hAnsi="Arial"/>
          <w:sz w:val="18"/>
          <w:szCs w:val="18"/>
          <w:color w:val="auto"/>
        </w:rPr>
      </w:pPr>
    </w:p>
    <w:p>
      <w:pPr>
        <w:ind w:left="480" w:hanging="454"/>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Profit Margin, EPS and EP have been calculated for 2011 and 2010 in accordance with our compensation plans.</w:t>
      </w:r>
    </w:p>
    <w:p>
      <w:pPr>
        <w:spacing w:after="0" w:line="25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i w:val="1"/>
          <w:iCs w:val="1"/>
          <w:color w:val="auto"/>
        </w:rPr>
        <w:t>Compensation Philosophy</w:t>
      </w:r>
    </w:p>
    <w:p>
      <w:pPr>
        <w:spacing w:after="0" w:line="90"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6"/>
          <w:szCs w:val="16"/>
          <w:color w:val="auto"/>
        </w:rPr>
        <w:t>The amount of compensation earned by our executives is directly tied to our ability to deliver financial and operating performance that provides long-term</w:t>
      </w:r>
    </w:p>
    <w:p>
      <w:pPr>
        <w:spacing w:after="0" w:line="38"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increases in shareholder value. A significant component of pay is variable based on performance and our guiding principles are as follows (see page 24 for further detail regarding these principles):</w:t>
      </w:r>
    </w:p>
    <w:p>
      <w:pPr>
        <w:spacing w:after="0" w:line="57" w:lineRule="exact"/>
        <w:rPr>
          <w:sz w:val="20"/>
          <w:szCs w:val="20"/>
          <w:color w:val="auto"/>
        </w:rPr>
      </w:pPr>
    </w:p>
    <w:p>
      <w:pPr>
        <w:ind w:left="920" w:hanging="44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for results,</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pay for failure,</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 compensation with shareholder interests,</w:t>
      </w:r>
    </w:p>
    <w:p>
      <w:pPr>
        <w:spacing w:after="0" w:line="90" w:lineRule="exact"/>
        <w:rPr>
          <w:rFonts w:ascii="Arial" w:cs="Arial" w:eastAsia="Arial" w:hAnsi="Arial"/>
          <w:sz w:val="18"/>
          <w:szCs w:val="18"/>
          <w:color w:val="auto"/>
        </w:rPr>
      </w:pPr>
    </w:p>
    <w:p>
      <w:pPr>
        <w:ind w:left="920" w:hanging="448"/>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competitively,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ind w:left="900" w:hanging="448"/>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02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6202680"/>
                    </a:xfrm>
                    <a:prstGeom prst="rect">
                      <a:avLst/>
                    </a:prstGeom>
                    <a:noFill/>
                  </pic:spPr>
                </pic:pic>
              </a:graphicData>
            </a:graphic>
          </wp:anchor>
        </w:drawing>
        <w:t>Balance cash and equity,</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internal and external performance reference points,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the global and cyclical nature of our business,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executives,</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Assure total compensation is affordable, and</w:t>
      </w:r>
    </w:p>
    <w:p>
      <w:pPr>
        <w:spacing w:after="0" w:line="90" w:lineRule="exact"/>
        <w:rPr>
          <w:rFonts w:ascii="Arial" w:cs="Arial" w:eastAsia="Arial" w:hAnsi="Arial"/>
          <w:sz w:val="18"/>
          <w:szCs w:val="18"/>
          <w:color w:val="auto"/>
        </w:rPr>
      </w:pPr>
    </w:p>
    <w:p>
      <w:pPr>
        <w:ind w:left="780" w:hanging="328"/>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Clearly communicate plans so that they are understood.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Total Shareholder Return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graph for the periods ending December 31, 2006-2011 comparing the cumulative total shareholder return on our common stock with the cumulative total return of companies in the Standard &amp; Poor’s 400 Midcap Stock Index and the Standard &amp; Poor’s Supercomposite Human Resources and Employment Services Index, of which we are included. The graph assumes a $100 investment on December 31, 2006 in our common stock, the Standard &amp; Poor’s 400 Midcap Stock Index and the Standard &amp; Poor’s Supercomposite Human Resources and Employment Services Index and assumes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Total Shareholder Return (TSR) has underperformed against both the S&amp;P 400 Midcap Stock Index and the S&amp;P Supercomposite Human Resources Employment Services Index over this period. Although we took the actions necessary to minimize the adverse impact of the economy on our business during the economic downturn, it is widely recognized that the volatility in stock prices over the last part of 2011 was largely driven by global macro issues such as the European debt crisis, and not by company specific performance. Given that approximately 66% of our business is in Europe, we were disproportionately affected by these issues and as a result our stock price was negatively affected. For example, our Revenue for 2011 increased 16.6% over prior year, while EPS increased 106.8% from 2010. However, the TSR for 2011 declined 42%.</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60" w:top="293" w:right="299" w:bottom="144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53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953760"/>
                    </a:xfrm>
                    <a:prstGeom prst="rect">
                      <a:avLst/>
                    </a:prstGeom>
                    <a:noFill/>
                  </pic:spPr>
                </pic:pic>
              </a:graphicData>
            </a:graphic>
          </wp:anchor>
        </w:drawing>
        <w:t>Alignment with Shareholder Interests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Due to the cyclicality of our business, we look at pay for performance on an annual basis as well as over the long term. We pay for performance based on the Company’s financial performance, typically using EP, EPS and Operating Profit Margin, which align with long-term shareholder value. EPS keeps</w:t>
      </w:r>
    </w:p>
    <w:p>
      <w:pPr>
        <w:spacing w:after="0" w:line="288" w:lineRule="auto"/>
        <w:rPr>
          <w:sz w:val="20"/>
          <w:szCs w:val="20"/>
          <w:color w:val="auto"/>
        </w:rPr>
      </w:pPr>
      <w:r>
        <w:rPr>
          <w:rFonts w:ascii="Arial" w:cs="Arial" w:eastAsia="Arial" w:hAnsi="Arial"/>
          <w:sz w:val="16"/>
          <w:szCs w:val="16"/>
          <w:color w:val="auto"/>
        </w:rPr>
        <w:t>Mr. Joerres, as well as the other NEOs, focused on producing financial results that align with shareholders goals, while EP promotes our business strategy of producing returns in excess of our cost of capital. Operating Profit Margin is a strong measure of the long-term profitability of our company. The higher our operating profit margin, the more valuable our business becomes, which over time, provides greater value to our shareholders. Typically, when the Company experiences weak EP, EPS and Operating Profit Margin performance, Mr. Joerres’ total compensation declines. Accordingly, when the Company has strong EP, EPS and Operating Profit Margin performance, Mr. Joerres total compensation increases. The following graph demonstrates the alignment between Mr. Joerres’ change in total compensation as reported in the Summary Compensation Table and company performance, using EPS, EP and Operating Profit Margin growth over the last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decline in stock price also has an impact on the value of the CEO’s long-term compensation. For example, the value at target of the RSUs and PSUs granted to our CEO in February 2011 was $2.6 million on December 31, 2011 compared to $4.9 million on February 16, 2011, a decline of $2.3 million or 47%. Furthermore, the value realized from Mr. Joerres’ 2010 grant of PSUs was reduced by 15% as a result of the decline in stock price from the date the shares were granted to the date the shares were received.</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60" w:top="455" w:right="37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47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447665"/>
                    </a:xfrm>
                    <a:prstGeom prst="rect">
                      <a:avLst/>
                    </a:prstGeom>
                    <a:noFill/>
                  </pic:spPr>
                </pic:pic>
              </a:graphicData>
            </a:graphic>
          </wp:anchor>
        </w:drawing>
        <w:t>Actions Taken to Strengthen Compensation and Other Governance Practices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Committee reviews the Company’s executive compensation program and is continually looking to align the program within the committee’s philosophy, and with best compensation practices that are in the best interests of our shareholders. As a result, the committee implemented the following changes to the Company’s executive compensation program in 2011:</w:t>
      </w:r>
    </w:p>
    <w:p>
      <w:pPr>
        <w:spacing w:after="0" w:line="59" w:lineRule="exact"/>
        <w:rPr>
          <w:sz w:val="20"/>
          <w:szCs w:val="20"/>
          <w:color w:val="auto"/>
        </w:rPr>
      </w:pPr>
    </w:p>
    <w:p>
      <w:pPr>
        <w:ind w:left="780" w:right="140" w:hanging="328"/>
        <w:spacing w:after="0" w:line="298"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Elimination of tax gross-ups</w:t>
      </w:r>
      <w:r>
        <w:rPr>
          <w:rFonts w:ascii="Arial" w:cs="Arial" w:eastAsia="Arial" w:hAnsi="Arial"/>
          <w:sz w:val="16"/>
          <w:szCs w:val="16"/>
          <w:color w:val="auto"/>
        </w:rPr>
        <w:t>: Consistent with best governance practices within the committee’s philosophy, we entered into new severance agreements with our CEO and CFO that eliminated the right they had under their previous agreements to receive tax gross up payments for any amounts considered excess parachute payments under Section 280G of the Internal Revenue Code and subject to the 20% excise tax imposed on such payments under Section 4999 of the Internal Revenue Code. None of the other NEOs severance agreements contained this feature.</w:t>
      </w:r>
    </w:p>
    <w:p>
      <w:pPr>
        <w:spacing w:after="0" w:line="31" w:lineRule="exact"/>
        <w:rPr>
          <w:rFonts w:ascii="Arial" w:cs="Arial" w:eastAsia="Arial" w:hAnsi="Arial"/>
          <w:sz w:val="16"/>
          <w:szCs w:val="16"/>
          <w:color w:val="auto"/>
        </w:rPr>
      </w:pPr>
    </w:p>
    <w:p>
      <w:pPr>
        <w:ind w:left="780" w:hanging="328"/>
        <w:spacing w:after="0" w:line="288"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Modification to long-term equity incentive awards</w:t>
      </w:r>
      <w:r>
        <w:rPr>
          <w:rFonts w:ascii="Arial" w:cs="Arial" w:eastAsia="Arial" w:hAnsi="Arial"/>
          <w:sz w:val="16"/>
          <w:szCs w:val="16"/>
          <w:color w:val="auto"/>
        </w:rPr>
        <w:t>: The committee believes performance share units (PSUs) should represent a significant portion of the NEOs equity compensation because pay for performance is a significant component of the Company’s compensation philosophy. Under our PSU program, NEOs will receive a certain number of shares of stock at the end of a period based on achievement of a pre-established performance metric for that period, typically operating profit margin. Beginning in 2011, PSUs comprised approximately 50% of the long-term compensation grants for the NEOs, while stock options and restricted stock units comprised approximately 30% and 20%, respectively. The committee included RSUs in 2011 as part of the long-term incentive compensation grants to provide a retention incentive to NEOs that are payable in stock provided the executive remains with the Company through the vesting date. The committee believes restricted stock units directly align the economic interests of our NEOs with those of our shareholders as they provide both upside potential and downside risk in our stock price. Prior to 2011, PSUs comprised approximately 40% of the long-term equity incentive awards to the NEOs, while stock options were approximately 60%.</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following are key pay practices and policies of the Company’s executive compensation program that the committee has adopted over the past several years to align our executive compensation program with best governance practices: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 Practices</w:t>
      </w:r>
    </w:p>
    <w:p>
      <w:pPr>
        <w:spacing w:after="0" w:line="90" w:lineRule="exact"/>
        <w:rPr>
          <w:sz w:val="20"/>
          <w:szCs w:val="20"/>
          <w:color w:val="auto"/>
        </w:rPr>
      </w:pPr>
    </w:p>
    <w:p>
      <w:pPr>
        <w:ind w:left="900" w:right="220" w:hanging="448"/>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Double triggers in equity and severance agreements –– Double triggers are in place in our severance agreements and most of our equity awards. In order for NEOs to receive a number of benefits in the event of a change in control their employment generally must be terminated.</w:t>
      </w:r>
    </w:p>
    <w:p>
      <w:pPr>
        <w:spacing w:after="0" w:line="4" w:lineRule="exact"/>
        <w:rPr>
          <w:rFonts w:ascii="Arial" w:cs="Arial" w:eastAsia="Arial" w:hAnsi="Arial"/>
          <w:sz w:val="16"/>
          <w:szCs w:val="16"/>
          <w:color w:val="auto"/>
        </w:rPr>
      </w:pPr>
    </w:p>
    <w:p>
      <w:pPr>
        <w:ind w:left="900" w:hanging="448"/>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tax gross ups — In 2011 the committee eliminated any tax gross up payments for any amounts considered excess parachute payments.</w:t>
      </w:r>
    </w:p>
    <w:p>
      <w:pPr>
        <w:spacing w:after="0" w:line="113" w:lineRule="exact"/>
        <w:rPr>
          <w:rFonts w:ascii="Arial" w:cs="Arial" w:eastAsia="Arial" w:hAnsi="Arial"/>
          <w:sz w:val="16"/>
          <w:szCs w:val="16"/>
          <w:color w:val="auto"/>
        </w:rPr>
      </w:pPr>
    </w:p>
    <w:p>
      <w:pPr>
        <w:ind w:left="900" w:right="60" w:hanging="448"/>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perquisites — Our executives are provided very limited perquisites including financial planning reimbursement and broad-based automobile benefits and selected benefits for expatriate services.</w:t>
      </w:r>
    </w:p>
    <w:p>
      <w:pPr>
        <w:spacing w:after="0" w:line="50" w:lineRule="exact"/>
        <w:rPr>
          <w:rFonts w:ascii="Arial" w:cs="Arial" w:eastAsia="Arial" w:hAnsi="Arial"/>
          <w:sz w:val="18"/>
          <w:szCs w:val="18"/>
          <w:color w:val="auto"/>
        </w:rPr>
      </w:pPr>
    </w:p>
    <w:p>
      <w:pPr>
        <w:ind w:left="900" w:right="40" w:hanging="448"/>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ownership guidelines —The Company has stock ownership guidelines for its executive officers, including the NEOs to reinforce the alignment of their economic interests with other ManpowerGroup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Program Policies</w:t>
      </w:r>
    </w:p>
    <w:p>
      <w:pPr>
        <w:spacing w:after="0" w:line="90" w:lineRule="exact"/>
        <w:rPr>
          <w:sz w:val="20"/>
          <w:szCs w:val="20"/>
          <w:color w:val="auto"/>
        </w:rPr>
      </w:pPr>
    </w:p>
    <w:p>
      <w:pPr>
        <w:ind w:left="900" w:hanging="448"/>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compensation consultant — The committee engages an independent compensation consultant who performs services solely in support of the committee. The committee has also adopted guidelines for minimizing potential conflicts of interest involving the independent compensation consultant.</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60" w:top="536" w:right="219" w:bottom="1440" w:gutter="0" w:footer="0" w:header="0"/>
        </w:sectPr>
      </w:pPr>
    </w:p>
    <w:bookmarkStart w:id="24" w:name="page25"/>
    <w:bookmarkEnd w:id="24"/>
    <w:p>
      <w:pPr>
        <w:ind w:left="900" w:right="340" w:hanging="448"/>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13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6013450"/>
                    </a:xfrm>
                    <a:prstGeom prst="rect">
                      <a:avLst/>
                    </a:prstGeom>
                    <a:noFill/>
                  </pic:spPr>
                </pic:pic>
              </a:graphicData>
            </a:graphic>
          </wp:anchor>
        </w:drawing>
        <w:t>Competitive market — The Company benchmarks its executive compensation program for the NEOs against the competitive market. For NEOs, target performance is intended to result in compensation levels which approximate median compensation results in the competitive market. The Company’s goal is to only pay above the median of the competitive market for exceptional financial and individual performance.</w:t>
      </w:r>
    </w:p>
    <w:p>
      <w:pPr>
        <w:spacing w:after="0" w:line="25" w:lineRule="exact"/>
        <w:rPr>
          <w:rFonts w:ascii="Arial" w:cs="Arial" w:eastAsia="Arial" w:hAnsi="Arial"/>
          <w:sz w:val="16"/>
          <w:szCs w:val="16"/>
          <w:color w:val="auto"/>
        </w:rPr>
      </w:pPr>
    </w:p>
    <w:p>
      <w:pPr>
        <w:ind w:left="900" w:hanging="448"/>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Hedging policy — ManpowerGroup has a policy prohibiting executives from engaging in short-selling of ManpowerGroup securities and buying and selling puts and calls on ManpowerGroup securities without advance approval.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compensation practices and policies described above, the Company has adopted the following improvements in corporate governance:</w:t>
      </w:r>
    </w:p>
    <w:p>
      <w:pPr>
        <w:spacing w:after="0" w:line="113" w:lineRule="exact"/>
        <w:rPr>
          <w:sz w:val="20"/>
          <w:szCs w:val="20"/>
          <w:color w:val="auto"/>
        </w:rPr>
      </w:pPr>
    </w:p>
    <w:p>
      <w:pPr>
        <w:ind w:left="900" w:hanging="448"/>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Adoption of a majority voting requirement in non-contested election of directors,</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Implementation of comprehensive lead director appointment and responsibilities, and</w:t>
      </w:r>
    </w:p>
    <w:p>
      <w:pPr>
        <w:spacing w:after="0" w:line="90" w:lineRule="exact"/>
        <w:rPr>
          <w:rFonts w:ascii="Arial" w:cs="Arial" w:eastAsia="Arial" w:hAnsi="Arial"/>
          <w:sz w:val="18"/>
          <w:szCs w:val="18"/>
          <w:color w:val="auto"/>
        </w:rPr>
      </w:pPr>
    </w:p>
    <w:p>
      <w:pPr>
        <w:ind w:left="900" w:hanging="448"/>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expansion in the Company’s code of business conduct and ethics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2011 CEO Compensation Components and Results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discussion below provides details regarding the components of the CEO’s 2011 compensation as well as the performance results related to those components.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Approximately 73% of our CEO’s 2011 compensation is tied to performance and 88% of his total pay is variable. The following charts show the components of our CEO’s 2011 target compensation and the mix between fixed and variable pay. For the 2011 target compensation components and results for our other NEOs, please see the discussion beginning on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Pay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CEO’s increase in base pay over the last five years: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Pay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1,200,000</w:t>
            </w:r>
          </w:p>
        </w:tc>
        <w:tc>
          <w:tcPr>
            <w:tcW w:w="200" w:type="dxa"/>
            <w:vAlign w:val="bottom"/>
            <w:shd w:val="clear" w:color="auto" w:fill="CCEEFF"/>
          </w:tcPr>
          <w:p>
            <w:pPr>
              <w:spacing w:after="0"/>
              <w:rPr>
                <w:sz w:val="18"/>
                <w:szCs w:val="18"/>
                <w:color w:val="auto"/>
              </w:rPr>
            </w:pPr>
          </w:p>
        </w:tc>
      </w:t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auto"/>
              </w:rPr>
              <w:t>% increase YOY</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14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Mr. Joerres had not received an increase in base salary since 2005, his salary fell below the market median Given his performance over past years and throughout the economic crisis, the committee determined it was appropriate to give Mr. Joerres a 20% raise in 2011 to bring his salary within a suitable range of the market median. The 20% increase Mr. Joerres received in 2011 equates to an average effective increase of approximately 3% per year for the past six years.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93"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metrics used and annual incentive payable to the CEO as a percentage of his base salary for achieving threshold, target and maximum levels under those metrics as well as the actual payout for 2011 compared to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2011 Actual</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2010 Actual</w:t>
            </w:r>
          </w:p>
        </w:tc>
      </w:tr>
      <w:tr>
        <w:trPr>
          <w:trHeight w:val="161"/>
        </w:trPr>
        <w:tc>
          <w:tcPr>
            <w:tcW w:w="55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Payout</w:t>
            </w:r>
          </w:p>
        </w:tc>
        <w:tc>
          <w:tcPr>
            <w:tcW w:w="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Payout</w:t>
            </w:r>
          </w:p>
        </w:tc>
        <w:tc>
          <w:tcPr>
            <w:tcW w:w="200" w:type="dxa"/>
            <w:vAlign w:val="bottom"/>
            <w:tcBorders>
              <w:bottom w:val="single" w:sz="8" w:color="CCEEFF"/>
            </w:tcBorders>
          </w:tcPr>
          <w:p>
            <w:pPr>
              <w:spacing w:after="0"/>
              <w:rPr>
                <w:sz w:val="14"/>
                <w:szCs w:val="14"/>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Goal (40% of total opportunity)</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EP Goal (40% of total opportunity)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103.9%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Objective (20% of total opportunity)</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 of base salary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232.2%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 Related to 2009 Restatement(1)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8"/>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450,000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3,600,000</w:t>
            </w:r>
          </w:p>
        </w:tc>
        <w:tc>
          <w:tcPr>
            <w:tcW w:w="5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2,900,000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2,305,521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Joerres’ 2011 and 2010 incentive was reduced by 0.9% and 1.7% , respectively, related to our 2009 restatement of earnings for a workforce solution contract in which the Company prematurely recorded revenues. This adjustment reflects the reduction in 2010 and 2011 earnings attributable to the restated revenues from this contract for which an incentive had previously been paid to Mr. Joerres.</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Long Term Incentive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Mr. Joerres’ 2011 compensation package consisted of three long-term components:</w:t>
      </w:r>
    </w:p>
    <w:p>
      <w:pPr>
        <w:spacing w:after="0" w:line="90" w:lineRule="exact"/>
        <w:rPr>
          <w:rFonts w:ascii="Arial" w:cs="Arial" w:eastAsia="Arial" w:hAnsi="Arial"/>
          <w:sz w:val="18"/>
          <w:szCs w:val="18"/>
          <w:color w:val="auto"/>
        </w:rPr>
      </w:pPr>
    </w:p>
    <w:p>
      <w:pPr>
        <w:ind w:left="900" w:hanging="446"/>
        <w:spacing w:after="0" w:line="357" w:lineRule="auto"/>
        <w:tabs>
          <w:tab w:leader="none" w:pos="900" w:val="left"/>
        </w:tabs>
        <w:numPr>
          <w:ilvl w:val="1"/>
          <w:numId w:val="31"/>
        </w:numPr>
        <w:rPr>
          <w:rFonts w:ascii="Arial" w:cs="Arial" w:eastAsia="Arial" w:hAnsi="Arial"/>
          <w:sz w:val="15"/>
          <w:szCs w:val="15"/>
          <w:color w:val="auto"/>
        </w:rPr>
      </w:pPr>
      <w:r>
        <w:rPr>
          <w:rFonts w:ascii="Arial" w:cs="Arial" w:eastAsia="Arial" w:hAnsi="Arial"/>
          <w:sz w:val="15"/>
          <w:szCs w:val="15"/>
          <w:color w:val="auto"/>
        </w:rPr>
        <w:t>Approximately 50% of long-term awards in the form of PSUs. Mr. Joerres earned a certain number of shares of stock at the end of the 2011 performance period based on achievement of operating profit margin, with payout of these shares over the next two years based on continued service;</w:t>
      </w:r>
    </w:p>
    <w:p>
      <w:pPr>
        <w:ind w:left="900" w:hanging="446"/>
        <w:spacing w:after="0"/>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Approximately 30% of long-term awards in the form of stock options which vest over a four year period and have a ten year expiration;</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Approximately 20% of long-term awards in the form of restricted stock units (RSUs) which are settled in stock at the end of a three year retention period.</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it is important that the executive compensation program is heavily weighted towards long-term incentives that are linked to performance to appropriately focus Mr. Joerres’ and the other NEOs’ attention on the long-term impact of their decisions. The results of the performance share units granted to Mr. Joerres in 2011 and 2010 are as follows:</w:t>
      </w:r>
    </w:p>
    <w:p>
      <w:pPr>
        <w:spacing w:after="0" w:line="59" w:lineRule="exact"/>
        <w:rPr>
          <w:sz w:val="20"/>
          <w:szCs w:val="20"/>
          <w:color w:val="auto"/>
        </w:rPr>
      </w:pPr>
    </w:p>
    <w:p>
      <w:pPr>
        <w:ind w:left="900" w:right="3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table shows the 2010 operating profit margin goals at threshold, target and maximum levels, including the payout levels and actual level achieved: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2010 Level</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7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Target</w:t>
            </w:r>
          </w:p>
        </w:tc>
        <w:tc>
          <w:tcPr>
            <w:tcW w:w="420" w:type="dxa"/>
            <w:vAlign w:val="bottom"/>
          </w:tcPr>
          <w:p>
            <w:pPr>
              <w:spacing w:after="0"/>
              <w:rPr>
                <w:sz w:val="14"/>
                <w:szCs w:val="14"/>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Achieved(1)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Profit Margin Goals</w:t>
            </w:r>
          </w:p>
        </w:tc>
        <w:tc>
          <w:tcPr>
            <w:tcW w:w="8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3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Vesting %</w:t>
            </w:r>
          </w:p>
        </w:tc>
        <w:tc>
          <w:tcPr>
            <w:tcW w:w="2160" w:type="dxa"/>
            <w:vAlign w:val="bottom"/>
            <w:gridSpan w:val="3"/>
          </w:tcPr>
          <w:p>
            <w:pPr>
              <w:jc w:val="right"/>
              <w:ind w:right="58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200%</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PSUs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75,030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order to receive his vested shares, the threshold operating profit margin had to be maintained in 2011. Operating profit margin was 2.49% in 2011. These PSUs were awarded in the form of common stock in February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operating profit margin has been adjusted to exclude certain non-recurring costs, as defined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5" w:right="239" w:bottom="1440" w:gutter="0" w:footer="0" w:header="0"/>
        </w:sectPr>
      </w:pPr>
    </w:p>
    <w:bookmarkStart w:id="26" w:name="page27"/>
    <w:bookmarkEnd w:id="26"/>
    <w:p>
      <w:pPr>
        <w:ind w:lef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09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509645"/>
                    </a:xfrm>
                    <a:prstGeom prst="rect">
                      <a:avLst/>
                    </a:prstGeom>
                    <a:noFill/>
                  </pic:spPr>
                </pic:pic>
              </a:graphicData>
            </a:graphic>
          </wp:anchor>
        </w:drawing>
        <w:t>Although Mr. Joerres received 183% of the target level of shares, because of the stock price decline over the performance period, Mr. Joerres only received 156% of the long-term grant value reported in the Summary Compensation Table for 2010.</w:t>
      </w:r>
    </w:p>
    <w:p>
      <w:pPr>
        <w:spacing w:after="0" w:line="51" w:lineRule="exact"/>
        <w:rPr>
          <w:sz w:val="20"/>
          <w:szCs w:val="20"/>
          <w:color w:val="auto"/>
        </w:rPr>
      </w:pPr>
    </w:p>
    <w:p>
      <w:pPr>
        <w:ind w:left="920" w:hanging="448"/>
        <w:spacing w:after="0" w:line="268"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shows the 2011 operating profit margin goals at threshold, target and maximum levels, including the payout levels and the actual level achieved based on the Company’s performance during the performance period:</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2011 Level</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21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Threshold</w:t>
            </w:r>
          </w:p>
        </w:tc>
        <w:tc>
          <w:tcPr>
            <w:tcW w:w="12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Target</w:t>
            </w: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Outstanding</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Achieved(1)</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Operating Profit Margin Goals</w:t>
            </w: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Vesting %</w:t>
            </w:r>
          </w:p>
        </w:tc>
        <w:tc>
          <w:tcPr>
            <w:tcW w:w="2140" w:type="dxa"/>
            <w:vAlign w:val="bottom"/>
            <w:gridSpan w:val="3"/>
          </w:tcPr>
          <w:p>
            <w:pPr>
              <w:jc w:val="right"/>
              <w:ind w:right="5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200%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PSUs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52,146</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104,292</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80" w:right="620" w:hanging="438"/>
        <w:spacing w:after="0" w:line="306"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operating profit “gate” of $308.5 million was also established. If operating profit did not exceed this level, Mr. Joerres could not receive more than 100% of the target level payout. Because this level was achieved, Mr. Joerres will receive 50% of the total PSUs earned at the end of 2012 and the remaining 50% at the end of 2013 as long as he is still employed on those dates.</w:t>
      </w:r>
    </w:p>
    <w:p>
      <w:pPr>
        <w:spacing w:after="0" w:line="25" w:lineRule="exact"/>
        <w:rPr>
          <w:rFonts w:ascii="Arial" w:cs="Arial" w:eastAsia="Arial" w:hAnsi="Arial"/>
          <w:sz w:val="16"/>
          <w:szCs w:val="16"/>
          <w:color w:val="auto"/>
        </w:rPr>
      </w:pPr>
    </w:p>
    <w:p>
      <w:pPr>
        <w:ind w:left="680" w:hanging="438"/>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operating profit margin has been adjusted to exclude non-recurring costs, as defined in the plan.</w:t>
      </w:r>
    </w:p>
    <w:p>
      <w:pPr>
        <w:spacing w:after="0" w:line="90" w:lineRule="exact"/>
        <w:rPr>
          <w:rFonts w:ascii="Arial" w:cs="Arial" w:eastAsia="Arial" w:hAnsi="Arial"/>
          <w:sz w:val="18"/>
          <w:szCs w:val="18"/>
          <w:color w:val="auto"/>
        </w:rPr>
      </w:pPr>
    </w:p>
    <w:p>
      <w:pPr>
        <w:ind w:left="680"/>
        <w:spacing w:after="0" w:line="268" w:lineRule="auto"/>
        <w:rPr>
          <w:rFonts w:ascii="Arial" w:cs="Arial" w:eastAsia="Arial" w:hAnsi="Arial"/>
          <w:sz w:val="18"/>
          <w:szCs w:val="18"/>
          <w:color w:val="auto"/>
        </w:rPr>
      </w:pPr>
      <w:r>
        <w:rPr>
          <w:rFonts w:ascii="Arial" w:cs="Arial" w:eastAsia="Arial" w:hAnsi="Arial"/>
          <w:sz w:val="18"/>
          <w:szCs w:val="18"/>
          <w:color w:val="auto"/>
        </w:rPr>
        <w:t>Although Mr. Joerres will receive 158% of the target number of PSUs, the ultimate value of his award will depend on the closing stock price on the date these shares are received.</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Other Compensation</w:t>
      </w:r>
    </w:p>
    <w:p>
      <w:pPr>
        <w:spacing w:after="0" w:line="90" w:lineRule="exact"/>
        <w:rPr>
          <w:sz w:val="20"/>
          <w:szCs w:val="20"/>
          <w:color w:val="auto"/>
        </w:rPr>
      </w:pPr>
    </w:p>
    <w:p>
      <w:pPr>
        <w:ind w:left="260" w:right="460" w:firstLine="438"/>
        <w:spacing w:after="0" w:line="298" w:lineRule="auto"/>
        <w:rPr>
          <w:sz w:val="20"/>
          <w:szCs w:val="20"/>
          <w:color w:val="auto"/>
        </w:rPr>
      </w:pPr>
      <w:r>
        <w:rPr>
          <w:rFonts w:ascii="Arial" w:cs="Arial" w:eastAsia="Arial" w:hAnsi="Arial"/>
          <w:sz w:val="16"/>
          <w:szCs w:val="16"/>
          <w:color w:val="auto"/>
        </w:rPr>
        <w:t>As described in the All Other Compensation Table on page 45, Mr. Joerres receives an automobile under our broad-based auto program, in which ManpowerGroup pays for 75% of the cost of a leased car, and is also reimbursed for financial planning assistance. In addition, Mr. Joerres received a company match and profit sharing contribution under the terms of our Nonqualified Savings Plan, which is a plan maintained for “highly compensated” employees. For more information regarding the company’s non-qualified savings plan, see page 40.</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90" w:lineRule="exact"/>
        <w:rPr>
          <w:sz w:val="20"/>
          <w:szCs w:val="20"/>
          <w:color w:val="auto"/>
        </w:rPr>
      </w:pPr>
    </w:p>
    <w:p>
      <w:pPr>
        <w:jc w:val="both"/>
        <w:ind w:left="900" w:right="14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 for results: </w:t>
      </w:r>
      <w:r>
        <w:rPr>
          <w:rFonts w:ascii="Arial" w:cs="Arial" w:eastAsia="Arial" w:hAnsi="Arial"/>
          <w:sz w:val="16"/>
          <w:szCs w:val="16"/>
          <w:color w:val="auto"/>
        </w:rPr>
        <w:t>Tie a significant portion of compensation to the achievement of Company and business unit goals as well as recognize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accomplishments that contribute to ManpowerGroup’s success. For example, in 2011, approximately 55% and 52% of the CEO’s and CFO’s target compensation, respectively, (and approximately 48% for the other NEO’s) was tied to short- and long-term financial performance goals.</w:t>
      </w:r>
    </w:p>
    <w:p>
      <w:pPr>
        <w:spacing w:after="0" w:line="25"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Not pay for failure</w:t>
      </w:r>
      <w:r>
        <w:rPr>
          <w:rFonts w:ascii="Arial" w:cs="Arial" w:eastAsia="Arial" w:hAnsi="Arial"/>
          <w:sz w:val="18"/>
          <w:szCs w:val="18"/>
          <w:color w:val="auto"/>
        </w:rPr>
        <w:t>: We set threshold targets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targets are the lowest acceptable levels at which it is appropriate for the NEOs to receive an award. If the threshold level is not met, NEOs do not receive a payout related to that performance measure. For example, in 2011, Right Management did not meet the threshold level AOUP goal under Mr. Sullivan’s annual incentive award and therefore he did not receive any payout related to that performance measure.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74" w:right="279" w:bottom="1440" w:gutter="0" w:footer="0" w:header="0"/>
        </w:sectPr>
      </w:pPr>
    </w:p>
    <w:bookmarkStart w:id="27" w:name="page28"/>
    <w:bookmarkEnd w:id="27"/>
    <w:p>
      <w:pPr>
        <w:ind w:left="900" w:right="40" w:hanging="446"/>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Align with shareholder interests</w:t>
      </w:r>
      <w:r>
        <w:rPr>
          <w:rFonts w:ascii="Arial" w:cs="Arial" w:eastAsia="Arial" w:hAnsi="Arial"/>
          <w:sz w:val="16"/>
          <w:szCs w:val="16"/>
          <w:color w:val="auto"/>
        </w:rPr>
        <w:t>: The committee sets performance targets and chooses compensation elements that closely align executives’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those of shareholders. For example, performance shares, which make up approximately 35% of target compensation for the CEO and CFO and approximately 30% for the other NEOs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our stock price. In addition, a substantial portion of the annual incentive awards paid to our CEO and CFO, for example, are based on achievement of EPS and EP goals for the year.</w:t>
      </w:r>
    </w:p>
    <w:p>
      <w:pPr>
        <w:spacing w:after="0" w:line="160"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 competitively</w:t>
      </w:r>
      <w:r>
        <w:rPr>
          <w:rFonts w:ascii="Arial" w:cs="Arial" w:eastAsia="Arial" w:hAnsi="Arial"/>
          <w:sz w:val="18"/>
          <w:szCs w:val="18"/>
          <w:color w:val="auto"/>
        </w:rPr>
        <w:t>: In order for ManpowerGroup to be successful, we need senior executives who have the capability and experience to operate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and complex environment. The committee believes it must provide pay opportunities to the NEOs that are competitive in order to attract and retain executives of this caliber.</w:t>
      </w:r>
    </w:p>
    <w:p>
      <w:pPr>
        <w:spacing w:after="0" w:line="59" w:lineRule="exact"/>
        <w:rPr>
          <w:rFonts w:ascii="Arial" w:cs="Arial" w:eastAsia="Arial" w:hAnsi="Arial"/>
          <w:sz w:val="18"/>
          <w:szCs w:val="18"/>
          <w:b w:val="1"/>
          <w:bCs w:val="1"/>
          <w:i w:val="1"/>
          <w:iCs w:val="1"/>
          <w:color w:val="auto"/>
        </w:rPr>
      </w:pPr>
    </w:p>
    <w:p>
      <w:pPr>
        <w:ind w:left="900" w:right="1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try to balance the appropriate mix of cash and equity compensation to tie compensation to both long and short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internal and external performance reference points: </w:t>
      </w:r>
      <w:r>
        <w:rPr>
          <w:rFonts w:ascii="Arial" w:cs="Arial" w:eastAsia="Arial" w:hAnsi="Arial"/>
          <w:sz w:val="16"/>
          <w:szCs w:val="16"/>
          <w:color w:val="auto"/>
        </w:rPr>
        <w:t>We evaluate the elements of our compensation program against appropriate comparator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practices as well as other executives within the Company with the same responsibilities and experience. However, identifying our competitive market has been a challenge. See page 30 for further information regarding our competitive market.</w:t>
      </w:r>
    </w:p>
    <w:p>
      <w:pPr>
        <w:spacing w:after="0" w:line="25"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Recognize the cyclical nature of our business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is very cyclical and our financial results and stock price are impacted by the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cycles, which are difficult to predict. In determining executive compensation, the committee tries to balance the overall compensation package between fixed and variable pay, recognizing that economic cycles impact our business.</w:t>
      </w:r>
    </w:p>
    <w:p>
      <w:pPr>
        <w:spacing w:after="0" w:line="25" w:lineRule="exact"/>
        <w:rPr>
          <w:rFonts w:ascii="Arial" w:cs="Arial" w:eastAsia="Arial" w:hAnsi="Arial"/>
          <w:sz w:val="16"/>
          <w:szCs w:val="16"/>
          <w:color w:val="auto"/>
        </w:rPr>
      </w:pPr>
    </w:p>
    <w:p>
      <w:pPr>
        <w:jc w:val="both"/>
        <w:ind w:left="900" w:right="2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executives: </w:t>
      </w:r>
      <w:r>
        <w:rPr>
          <w:rFonts w:ascii="Arial" w:cs="Arial" w:eastAsia="Arial" w:hAnsi="Arial"/>
          <w:sz w:val="18"/>
          <w:szCs w:val="18"/>
          <w:color w:val="auto"/>
        </w:rPr>
        <w:t>The Company structures its compensation program for the NEOs so that the overall target outcome generally falls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median of the competitive market. The committee believes this is the appropriate level to provide in order to attract and retain executives with the experience and capabilities we need.</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Payouts under the annual incentive plan and the performance share units are capped at the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levels, which makes the maximum cost predictable and ensures the plan is affordable.</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 objectives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various elements of the compensation program to ensure our executives are focused on achieving the financial and operational results that the committee believes will best promote shareholder value.</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ManpowerGroup held a non-binding shareholder advisory vote at its 2011 Annual Meeting of Shareholders to approve the compensation of ManpowerGroup’s NEOs. This shareholder resolution was approved by approximately 80 % of the votes cast. Because the vote was held after the committee had determined the compensation packages for the NEOs for 2011, which occurred in February, the vote did not have any impact on the decisions for 2011. After the vote did occur, the committee reviewed the vote and decided not to make any changes to the NEOs’ compensation packages for 2012 in response to these results. However, as described on page 27, the committee did make a change to the annual incentive plan for 2012 for the reasons stated.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ManpowerGroup’s guiding principles for the compensation of the Company’s executive management team are implemented using various elements. The range of elements used is intended to provide a compensation and benefits package that addresses the competitive market for executive talent with the broad competencies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ind w:righ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skills described earlier, creates a strong incentive to maximize shareholder value, produces outcomes that increase and decrease commensurate with ManpowerGroup’s results, and is aligned with ManpowerGroup’s business strategies. The following are the main elements used by ManpowerGroup in its compensation program in 2011: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Compensation Program Elements</w:t>
      </w:r>
    </w:p>
    <w:p>
      <w:pPr>
        <w:sectPr>
          <w:pgSz w:w="11900" w:h="16838" w:orient="portrait"/>
          <w:cols w:equalWidth="0" w:num="1">
            <w:col w:w="11420"/>
          </w:cols>
          <w:pgMar w:left="240" w:top="280" w:right="239" w:bottom="1440" w:gutter="0" w:footer="0" w:header="0"/>
        </w:sectPr>
      </w:pP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 Element</w:t>
            </w:r>
          </w:p>
        </w:tc>
        <w:tc>
          <w:tcPr>
            <w:tcW w:w="620" w:type="dxa"/>
            <w:vAlign w:val="bottom"/>
          </w:tcPr>
          <w:p>
            <w:pPr>
              <w:spacing w:after="0"/>
              <w:rPr>
                <w:sz w:val="15"/>
                <w:szCs w:val="15"/>
                <w:color w:val="auto"/>
              </w:rPr>
            </w:pPr>
          </w:p>
        </w:tc>
        <w:tc>
          <w:tcPr>
            <w:tcW w:w="28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Design and Objective</w:t>
            </w:r>
          </w:p>
        </w:tc>
      </w:tr>
      <w:tr>
        <w:trPr>
          <w:trHeight w:val="249"/>
        </w:trPr>
        <w:tc>
          <w:tcPr>
            <w:tcW w:w="22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Base Salary</w:t>
            </w:r>
          </w:p>
        </w:tc>
        <w:tc>
          <w:tcPr>
            <w:tcW w:w="2840" w:type="dxa"/>
            <w:vAlign w:val="bottom"/>
          </w:tcPr>
          <w:p>
            <w:pPr>
              <w:ind w:left="100"/>
              <w:spacing w:after="0"/>
              <w:rPr>
                <w:sz w:val="20"/>
                <w:szCs w:val="20"/>
                <w:color w:val="auto"/>
              </w:rPr>
            </w:pPr>
            <w:r>
              <w:rPr>
                <w:rFonts w:ascii="Arial" w:cs="Arial" w:eastAsia="Arial" w:hAnsi="Arial"/>
                <w:sz w:val="18"/>
                <w:szCs w:val="18"/>
                <w:color w:val="auto"/>
                <w:w w:val="92"/>
              </w:rPr>
              <w:t>•  Fixed compensation for performing</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9"/>
              </w:rPr>
              <w:t>the daily job duties in amounts</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that are competitive in the</w:t>
            </w:r>
          </w:p>
        </w:tc>
      </w:tr>
      <w:tr>
        <w:trPr>
          <w:trHeight w:val="222"/>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markets in which we operate.</w:t>
            </w:r>
          </w:p>
        </w:tc>
      </w:tr>
      <w:tr>
        <w:trPr>
          <w:trHeight w:val="763"/>
        </w:trPr>
        <w:tc>
          <w:tcPr>
            <w:tcW w:w="2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Annual Incentive Award</w:t>
            </w:r>
          </w:p>
        </w:tc>
        <w:tc>
          <w:tcPr>
            <w:tcW w:w="2840" w:type="dxa"/>
            <w:vAlign w:val="bottom"/>
          </w:tcPr>
          <w:p>
            <w:pPr>
              <w:ind w:left="100"/>
              <w:spacing w:after="0"/>
              <w:rPr>
                <w:sz w:val="20"/>
                <w:szCs w:val="20"/>
                <w:color w:val="auto"/>
              </w:rPr>
            </w:pPr>
            <w:r>
              <w:rPr>
                <w:rFonts w:ascii="Arial" w:cs="Arial" w:eastAsia="Arial" w:hAnsi="Arial"/>
                <w:sz w:val="18"/>
                <w:szCs w:val="18"/>
                <w:color w:val="auto"/>
                <w:w w:val="92"/>
              </w:rPr>
              <w:t>•  Variable compensation to motivate</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and reward the executives for</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5"/>
              </w:rPr>
              <w:t>achievement of annual financial</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91"/>
              </w:rPr>
              <w:t>and operating objectives that are</w:t>
            </w: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w w:val="87"/>
              </w:rPr>
              <w:t>established at the beginning of the</w:t>
            </w:r>
          </w:p>
        </w:tc>
      </w:tr>
      <w:tr>
        <w:trPr>
          <w:trHeight w:val="222"/>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tabs>
          <w:tab w:leader="none" w:pos="2620" w:val="left"/>
          <w:tab w:leader="none" w:pos="2860" w:val="left"/>
        </w:tabs>
        <w:rPr>
          <w:sz w:val="20"/>
          <w:szCs w:val="20"/>
          <w:color w:val="auto"/>
        </w:rPr>
      </w:pPr>
      <w:r>
        <w:rPr>
          <w:rFonts w:ascii="Arial" w:cs="Arial" w:eastAsia="Arial" w:hAnsi="Arial"/>
          <w:sz w:val="18"/>
          <w:szCs w:val="18"/>
          <w:b w:val="1"/>
          <w:bCs w:val="1"/>
          <w:color w:val="auto"/>
        </w:rPr>
        <w:t>Long Term Incentive Award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motivate and reward the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achievement of long term</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performance and retain key</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executives.</w:t>
      </w:r>
    </w:p>
    <w:p>
      <w:pPr>
        <w:spacing w:after="0" w:line="9" w:lineRule="exact"/>
        <w:rPr>
          <w:sz w:val="20"/>
          <w:szCs w:val="20"/>
          <w:color w:val="auto"/>
        </w:rPr>
      </w:pPr>
    </w:p>
    <w:p>
      <w:pPr>
        <w:ind w:left="264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Long term awards for executive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officers and other officers consist</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of stock options, performance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share units and restricted stock</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3764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3" w:lineRule="exact"/>
        <w:rPr>
          <w:sz w:val="20"/>
          <w:szCs w:val="20"/>
          <w:color w:val="auto"/>
        </w:rPr>
      </w:pPr>
    </w:p>
    <w:p>
      <w:pPr>
        <w:ind w:left="241" w:hanging="241"/>
        <w:spacing w:after="0"/>
        <w:tabs>
          <w:tab w:leader="none" w:pos="2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Salary level recognizes individual NEO’s experience, skill, and performance.</w:t>
      </w:r>
    </w:p>
    <w:p>
      <w:pPr>
        <w:spacing w:after="0" w:line="38" w:lineRule="exact"/>
        <w:rPr>
          <w:rFonts w:ascii="Arial" w:cs="Arial" w:eastAsia="Arial" w:hAnsi="Arial"/>
          <w:sz w:val="16"/>
          <w:szCs w:val="16"/>
          <w:color w:val="auto"/>
        </w:rPr>
      </w:pPr>
    </w:p>
    <w:p>
      <w:pPr>
        <w:ind w:left="321" w:right="340" w:hanging="321"/>
        <w:spacing w:after="0" w:line="250" w:lineRule="auto"/>
        <w:tabs>
          <w:tab w:leader="none" w:pos="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Adjustments can be made based on individual performance, pay relative to other NEOs and pay relative to market.</w:t>
      </w:r>
    </w:p>
    <w:p>
      <w:pPr>
        <w:ind w:left="321" w:hanging="321"/>
        <w:spacing w:after="0" w:line="250" w:lineRule="auto"/>
        <w:tabs>
          <w:tab w:leader="none" w:pos="2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&lt; 25% of total target compensation for NEOs, in line with objective to pay for results.</w:t>
      </w:r>
    </w:p>
    <w:p>
      <w:pPr>
        <w:ind w:left="241" w:hanging="241"/>
        <w:spacing w:after="0"/>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Payable in cash.</w:t>
      </w:r>
    </w:p>
    <w:p>
      <w:pPr>
        <w:spacing w:after="0" w:line="124" w:lineRule="exact"/>
        <w:rPr>
          <w:rFonts w:ascii="Arial" w:cs="Arial" w:eastAsia="Arial" w:hAnsi="Arial"/>
          <w:sz w:val="18"/>
          <w:szCs w:val="18"/>
          <w:color w:val="auto"/>
        </w:rPr>
      </w:pPr>
    </w:p>
    <w:p>
      <w:pPr>
        <w:ind w:left="321" w:right="80" w:hanging="321"/>
        <w:spacing w:after="0" w:line="252" w:lineRule="auto"/>
        <w:tabs>
          <w:tab w:leader="none" w:pos="2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Provided through corporate senior management annual incentive plan and tied to ManpowerGroup’s financial results through use of financial metrics, including EPS and EP for the CEO and CFO, and EPS and AOUP for the other NEOs.</w:t>
      </w:r>
    </w:p>
    <w:p>
      <w:pPr>
        <w:spacing w:after="0" w:line="1" w:lineRule="exact"/>
        <w:rPr>
          <w:rFonts w:ascii="Arial" w:cs="Arial" w:eastAsia="Arial" w:hAnsi="Arial"/>
          <w:sz w:val="18"/>
          <w:szCs w:val="18"/>
          <w:color w:val="auto"/>
        </w:rPr>
      </w:pPr>
    </w:p>
    <w:p>
      <w:pPr>
        <w:ind w:left="321" w:right="640" w:hanging="321"/>
        <w:spacing w:after="0" w:line="250" w:lineRule="auto"/>
        <w:tabs>
          <w:tab w:leader="none" w:pos="2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metric has pre-established performance goal ranges expressed as “threshold,” “target” and “outstanding”.</w:t>
      </w:r>
    </w:p>
    <w:p>
      <w:pPr>
        <w:ind w:left="321" w:right="60" w:hanging="321"/>
        <w:spacing w:after="0" w:line="250" w:lineRule="auto"/>
        <w:tabs>
          <w:tab w:leader="none" w:pos="2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qualify for a payout, executive officers must achieve at least one of the pre-established threshold amounts. Payouts are based on actual results along with individual operating objective results.</w:t>
      </w:r>
    </w:p>
    <w:p>
      <w:pPr>
        <w:spacing w:after="0" w:line="1" w:lineRule="exact"/>
        <w:rPr>
          <w:rFonts w:ascii="Arial" w:cs="Arial" w:eastAsia="Arial" w:hAnsi="Arial"/>
          <w:sz w:val="18"/>
          <w:szCs w:val="18"/>
          <w:color w:val="auto"/>
        </w:rPr>
      </w:pPr>
    </w:p>
    <w:p>
      <w:pPr>
        <w:ind w:left="321" w:right="500" w:hanging="321"/>
        <w:spacing w:after="0" w:line="250" w:lineRule="auto"/>
        <w:tabs>
          <w:tab w:leader="none" w:pos="2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Payout is capped at outstanding level which reduces the likelihood of windfalls, makes the maximum cost predictable and ensures the plan is affordable.</w:t>
      </w:r>
    </w:p>
    <w:p>
      <w:pPr>
        <w:spacing w:after="0" w:line="1" w:lineRule="exact"/>
        <w:rPr>
          <w:rFonts w:ascii="Arial" w:cs="Arial" w:eastAsia="Arial" w:hAnsi="Arial"/>
          <w:sz w:val="18"/>
          <w:szCs w:val="18"/>
          <w:color w:val="auto"/>
        </w:rPr>
      </w:pPr>
    </w:p>
    <w:p>
      <w:pPr>
        <w:ind w:left="241" w:hanging="241"/>
        <w:spacing w:after="0"/>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Element payable in cash.</w:t>
      </w:r>
    </w:p>
    <w:p>
      <w:pPr>
        <w:spacing w:after="0" w:line="118" w:lineRule="exact"/>
        <w:rPr>
          <w:rFonts w:ascii="Arial" w:cs="Arial" w:eastAsia="Arial" w:hAnsi="Arial"/>
          <w:sz w:val="18"/>
          <w:szCs w:val="18"/>
          <w:color w:val="auto"/>
        </w:rPr>
      </w:pPr>
    </w:p>
    <w:p>
      <w:pPr>
        <w:ind w:left="241" w:hanging="241"/>
        <w:spacing w:after="0"/>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Stock Options</w:t>
      </w:r>
    </w:p>
    <w:p>
      <w:pPr>
        <w:spacing w:after="0" w:line="21" w:lineRule="exact"/>
        <w:rPr>
          <w:rFonts w:ascii="Arial" w:cs="Arial" w:eastAsia="Arial" w:hAnsi="Arial"/>
          <w:sz w:val="18"/>
          <w:szCs w:val="18"/>
          <w:color w:val="auto"/>
        </w:rPr>
      </w:pPr>
    </w:p>
    <w:p>
      <w:pPr>
        <w:ind w:left="561" w:hanging="237"/>
        <w:spacing w:after="0"/>
        <w:tabs>
          <w:tab w:leader="none" w:pos="5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Generally vest over a four- year period with ten year expiration.</w:t>
      </w:r>
    </w:p>
    <w:p>
      <w:pPr>
        <w:spacing w:after="0" w:line="9" w:lineRule="exact"/>
        <w:rPr>
          <w:rFonts w:ascii="Arial" w:cs="Arial" w:eastAsia="Arial" w:hAnsi="Arial"/>
          <w:sz w:val="18"/>
          <w:szCs w:val="18"/>
          <w:color w:val="auto"/>
        </w:rPr>
      </w:pPr>
    </w:p>
    <w:p>
      <w:pPr>
        <w:ind w:left="241" w:hanging="241"/>
        <w:spacing w:after="0"/>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Performance Share Units</w:t>
      </w:r>
    </w:p>
    <w:p>
      <w:pPr>
        <w:spacing w:after="0" w:line="9" w:lineRule="exact"/>
        <w:rPr>
          <w:rFonts w:ascii="Arial" w:cs="Arial" w:eastAsia="Arial" w:hAnsi="Arial"/>
          <w:sz w:val="18"/>
          <w:szCs w:val="18"/>
          <w:color w:val="auto"/>
        </w:rPr>
      </w:pPr>
    </w:p>
    <w:p>
      <w:pPr>
        <w:ind w:left="661" w:right="80" w:hanging="337"/>
        <w:spacing w:after="0" w:line="281" w:lineRule="auto"/>
        <w:tabs>
          <w:tab w:leader="none" w:pos="5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Holder receives a certain number of shares of stock at the end of a specified period based on achievement of a pre-established performance metric for that period, typically operating profit margin.</w:t>
      </w:r>
    </w:p>
    <w:p>
      <w:pPr>
        <w:spacing w:after="0" w:line="2" w:lineRule="exact"/>
        <w:rPr>
          <w:rFonts w:ascii="Arial" w:cs="Arial" w:eastAsia="Arial" w:hAnsi="Arial"/>
          <w:sz w:val="16"/>
          <w:szCs w:val="16"/>
          <w:color w:val="auto"/>
        </w:rPr>
      </w:pPr>
    </w:p>
    <w:p>
      <w:pPr>
        <w:ind w:left="661" w:right="320" w:hanging="337"/>
        <w:spacing w:after="0" w:line="250" w:lineRule="auto"/>
        <w:tabs>
          <w:tab w:leader="none" w:pos="5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metric has pre-established performance goal ranges expressed as “threshold,” “target” and “outstanding”.</w:t>
      </w:r>
    </w:p>
    <w:p>
      <w:pPr>
        <w:ind w:left="661" w:right="300" w:hanging="337"/>
        <w:spacing w:after="0" w:line="250" w:lineRule="auto"/>
        <w:tabs>
          <w:tab w:leader="none" w:pos="5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operating profit dollar “gate” was used. If operating profit does not meet this level, NEOs will not receive more than 100% of the target level payout.</w:t>
      </w:r>
    </w:p>
    <w:p>
      <w:pPr>
        <w:spacing w:after="0" w:line="1" w:lineRule="exact"/>
        <w:rPr>
          <w:rFonts w:ascii="Arial" w:cs="Arial" w:eastAsia="Arial" w:hAnsi="Arial"/>
          <w:sz w:val="18"/>
          <w:szCs w:val="18"/>
          <w:color w:val="auto"/>
        </w:rPr>
      </w:pPr>
    </w:p>
    <w:p>
      <w:pPr>
        <w:ind w:left="661" w:right="60" w:hanging="337"/>
        <w:spacing w:after="0" w:line="255" w:lineRule="auto"/>
        <w:tabs>
          <w:tab w:leader="none" w:pos="5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qualify for a payout, executive officers must achieve at least one of the pre-established performance threshold amounts. Payouts are based on actual results.</w:t>
      </w:r>
    </w:p>
    <w:p>
      <w:pPr>
        <w:spacing w:after="0" w:line="144" w:lineRule="exact"/>
        <w:rPr>
          <w:sz w:val="20"/>
          <w:szCs w:val="20"/>
          <w:color w:val="auto"/>
        </w:rPr>
      </w:pPr>
    </w:p>
    <w:p>
      <w:pPr>
        <w:ind w:left="21"/>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5380" w:space="219"/>
            <w:col w:w="5821"/>
          </w:cols>
          <w:pgMar w:left="240" w:top="280" w:right="2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Compensation Program Elements</w:t>
      </w:r>
    </w:p>
    <w:p>
      <w:pPr>
        <w:sectPr>
          <w:pgSz w:w="11900" w:h="16838" w:orient="portrait"/>
          <w:cols w:equalWidth="0" w:num="1">
            <w:col w:w="11420"/>
          </w:cols>
          <w:pgMar w:left="240" w:top="274" w:right="239" w:bottom="1440" w:gutter="0" w:footer="0" w:header="0"/>
        </w:sectPr>
      </w:pPr>
    </w:p>
    <w:p>
      <w:pPr>
        <w:spacing w:after="0" w:line="207" w:lineRule="exact"/>
        <w:rPr>
          <w:sz w:val="20"/>
          <w:szCs w:val="20"/>
          <w:color w:val="auto"/>
        </w:rPr>
      </w:pPr>
    </w:p>
    <w:p>
      <w:pPr>
        <w:ind w:left="540"/>
        <w:spacing w:after="0"/>
        <w:tabs>
          <w:tab w:leader="none" w:pos="3320" w:val="left"/>
        </w:tabs>
        <w:rPr>
          <w:sz w:val="20"/>
          <w:szCs w:val="20"/>
          <w:color w:val="auto"/>
        </w:rPr>
      </w:pPr>
      <w:r>
        <w:rPr>
          <w:rFonts w:ascii="Arial" w:cs="Arial" w:eastAsia="Arial" w:hAnsi="Arial"/>
          <w:sz w:val="14"/>
          <w:szCs w:val="14"/>
          <w:b w:val="1"/>
          <w:bCs w:val="1"/>
          <w:u w:val="single" w:color="auto"/>
          <w:color w:val="auto"/>
        </w:rPr>
        <w:t>Compensation Element</w:t>
      </w:r>
      <w:r>
        <w:rPr>
          <w:sz w:val="20"/>
          <w:szCs w:val="20"/>
          <w:color w:val="auto"/>
        </w:rPr>
        <w:tab/>
      </w:r>
      <w:r>
        <w:rPr>
          <w:rFonts w:ascii="Arial" w:cs="Arial" w:eastAsia="Arial" w:hAnsi="Arial"/>
          <w:sz w:val="12"/>
          <w:szCs w:val="12"/>
          <w:b w:val="1"/>
          <w:bCs w:val="1"/>
          <w:color w:val="auto"/>
        </w:rPr>
        <w:t>Design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8890</wp:posOffset>
            </wp:positionV>
            <wp:extent cx="18097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tabs>
          <w:tab w:leader="none" w:pos="2620" w:val="left"/>
        </w:tabs>
        <w:rPr>
          <w:sz w:val="20"/>
          <w:szCs w:val="20"/>
          <w:color w:val="auto"/>
        </w:rPr>
      </w:pPr>
      <w:r>
        <w:rPr>
          <w:rFonts w:ascii="Arial" w:cs="Arial" w:eastAsia="Arial" w:hAnsi="Arial"/>
          <w:sz w:val="18"/>
          <w:szCs w:val="18"/>
          <w:b w:val="1"/>
          <w:bCs w:val="1"/>
          <w:color w:val="auto"/>
        </w:rPr>
        <w:t>Qualified Retirement Plans</w:t>
      </w:r>
      <w:r>
        <w:rPr>
          <w:sz w:val="20"/>
          <w:szCs w:val="20"/>
          <w:color w:val="auto"/>
        </w:rPr>
        <w:tab/>
      </w:r>
      <w:r>
        <w:rPr>
          <w:rFonts w:ascii="Arial" w:cs="Arial" w:eastAsia="Arial" w:hAnsi="Arial"/>
          <w:sz w:val="16"/>
          <w:szCs w:val="16"/>
          <w:color w:val="auto"/>
        </w:rPr>
        <w:t>•  None, other than for Mr. Leentjes in</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Netherlands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8890</wp:posOffset>
            </wp:positionV>
            <wp:extent cx="37649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88" w:lineRule="exact"/>
        <w:rPr>
          <w:sz w:val="20"/>
          <w:szCs w:val="20"/>
          <w:color w:val="auto"/>
        </w:rPr>
      </w:pPr>
    </w:p>
    <w:p>
      <w:pPr>
        <w:ind w:left="201" w:hanging="201"/>
        <w:spacing w:after="0"/>
        <w:tabs>
          <w:tab w:leader="none" w:pos="20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Restricted Stock Units</w:t>
      </w:r>
    </w:p>
    <w:p>
      <w:pPr>
        <w:spacing w:after="0" w:line="21" w:lineRule="exact"/>
        <w:rPr>
          <w:rFonts w:ascii="Arial" w:cs="Arial" w:eastAsia="Arial" w:hAnsi="Arial"/>
          <w:sz w:val="18"/>
          <w:szCs w:val="18"/>
          <w:color w:val="auto"/>
        </w:rPr>
      </w:pPr>
    </w:p>
    <w:p>
      <w:pPr>
        <w:ind w:left="661" w:right="340" w:hanging="337"/>
        <w:spacing w:after="0" w:line="250" w:lineRule="auto"/>
        <w:tabs>
          <w:tab w:leader="none" w:pos="5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Restricted stock units are paid in stock at the end of a retention period (generally at the end of 3 years).</w:t>
      </w:r>
    </w:p>
    <w:p>
      <w:pPr>
        <w:ind w:left="661" w:hanging="337"/>
        <w:spacing w:after="0" w:line="254" w:lineRule="auto"/>
        <w:tabs>
          <w:tab w:leader="none" w:pos="549"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Through stock price and dividends, restricted stock units directly align NEOs with the shareholders and add balance to the compensation program as they provide both upside potential and downside risk and add an additional retention incentive.</w:t>
      </w:r>
    </w:p>
    <w:p>
      <w:pPr>
        <w:spacing w:after="0" w:line="103" w:lineRule="exact"/>
        <w:rPr>
          <w:rFonts w:ascii="Arial" w:cs="Arial" w:eastAsia="Arial" w:hAnsi="Arial"/>
          <w:sz w:val="18"/>
          <w:szCs w:val="18"/>
          <w:color w:val="auto"/>
        </w:rPr>
      </w:pPr>
    </w:p>
    <w:p>
      <w:pPr>
        <w:ind w:left="321" w:right="140" w:hanging="321"/>
        <w:spacing w:after="0" w:line="252" w:lineRule="auto"/>
        <w:tabs>
          <w:tab w:leader="none" w:pos="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pension plan benefit in the United States, as we froze the qualified, noncontributory defined benefit pension plan, as well as nonqualified, noncontributory defined benefit deferred compensation plans as of February 29, 2000.</w:t>
      </w:r>
    </w:p>
    <w:p>
      <w:pPr>
        <w:spacing w:after="0" w:line="1" w:lineRule="exact"/>
        <w:rPr>
          <w:rFonts w:ascii="Arial" w:cs="Arial" w:eastAsia="Arial" w:hAnsi="Arial"/>
          <w:sz w:val="18"/>
          <w:szCs w:val="18"/>
          <w:color w:val="auto"/>
        </w:rPr>
      </w:pPr>
    </w:p>
    <w:p>
      <w:pPr>
        <w:ind w:left="321" w:right="260" w:hanging="321"/>
        <w:spacing w:after="0" w:line="250" w:lineRule="auto"/>
        <w:tabs>
          <w:tab w:leader="none" w:pos="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401(k) plan because of limitation on participation to highly compensated employees under the rules governing such plans.</w:t>
      </w:r>
    </w:p>
    <w:p>
      <w:pPr>
        <w:ind w:left="321" w:right="20" w:hanging="321"/>
        <w:spacing w:after="0" w:line="261" w:lineRule="auto"/>
        <w:tabs>
          <w:tab w:leader="none" w:pos="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Leentjes continues his participation in the Dutch pension scheme, generally applicable ManpowerGroup employees in the Netherlands</w:t>
      </w:r>
    </w:p>
    <w:p>
      <w:pPr>
        <w:spacing w:after="0" w:line="91" w:lineRule="exact"/>
        <w:rPr>
          <w:sz w:val="20"/>
          <w:szCs w:val="20"/>
          <w:color w:val="auto"/>
        </w:rPr>
      </w:pPr>
    </w:p>
    <w:p>
      <w:pPr>
        <w:sectPr>
          <w:pgSz w:w="11900" w:h="16838" w:orient="portrait"/>
          <w:cols w:equalWidth="0" w:num="2">
            <w:col w:w="5380" w:space="219"/>
            <w:col w:w="5821"/>
          </w:cols>
          <w:pgMar w:left="240" w:top="274" w:right="239" w:bottom="1440" w:gutter="0" w:footer="0" w:header="0"/>
          <w:type w:val="continuous"/>
        </w:sectPr>
      </w:pPr>
    </w:p>
    <w:p>
      <w:pPr>
        <w:ind w:left="220"/>
        <w:spacing w:after="0"/>
        <w:tabs>
          <w:tab w:leader="none" w:pos="2620" w:val="left"/>
        </w:tabs>
        <w:rPr>
          <w:sz w:val="20"/>
          <w:szCs w:val="20"/>
          <w:color w:val="auto"/>
        </w:rPr>
      </w:pPr>
      <w:r>
        <w:rPr>
          <w:rFonts w:ascii="Arial" w:cs="Arial" w:eastAsia="Arial" w:hAnsi="Arial"/>
          <w:sz w:val="18"/>
          <w:szCs w:val="18"/>
          <w:b w:val="1"/>
          <w:bCs w:val="1"/>
          <w:color w:val="auto"/>
        </w:rPr>
        <w:t>Nonqualified Savings Plan</w:t>
      </w:r>
      <w:r>
        <w:rPr>
          <w:sz w:val="20"/>
          <w:szCs w:val="20"/>
          <w:color w:val="auto"/>
        </w:rPr>
        <w:tab/>
      </w:r>
      <w:r>
        <w:rPr>
          <w:rFonts w:ascii="Arial" w:cs="Arial" w:eastAsia="Arial" w:hAnsi="Arial"/>
          <w:sz w:val="16"/>
          <w:szCs w:val="16"/>
          <w:color w:val="auto"/>
        </w:rPr>
        <w:t>•  Provides NEOs with reasonably</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competitive benefits to those in</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competitive market</w:t>
      </w:r>
    </w:p>
    <w:p>
      <w:pPr>
        <w:spacing w:after="0" w:line="118" w:lineRule="exact"/>
        <w:rPr>
          <w:sz w:val="20"/>
          <w:szCs w:val="20"/>
          <w:color w:val="auto"/>
        </w:rPr>
      </w:pPr>
    </w:p>
    <w:p>
      <w:pPr>
        <w:ind w:left="680"/>
        <w:spacing w:after="0"/>
        <w:tabs>
          <w:tab w:leader="none" w:pos="2620" w:val="left"/>
        </w:tabs>
        <w:rPr>
          <w:sz w:val="20"/>
          <w:szCs w:val="20"/>
          <w:color w:val="auto"/>
        </w:rPr>
      </w:pPr>
      <w:r>
        <w:rPr>
          <w:rFonts w:ascii="Arial" w:cs="Arial" w:eastAsia="Arial" w:hAnsi="Arial"/>
          <w:sz w:val="18"/>
          <w:szCs w:val="18"/>
          <w:b w:val="1"/>
          <w:bCs w:val="1"/>
          <w:color w:val="auto"/>
        </w:rPr>
        <w:t>Career Shares</w:t>
      </w:r>
      <w:r>
        <w:rPr>
          <w:sz w:val="20"/>
          <w:szCs w:val="20"/>
          <w:color w:val="auto"/>
        </w:rPr>
        <w:tab/>
      </w:r>
      <w:r>
        <w:rPr>
          <w:rFonts w:ascii="Arial" w:cs="Arial" w:eastAsia="Arial" w:hAnsi="Arial"/>
          <w:sz w:val="16"/>
          <w:szCs w:val="16"/>
          <w:color w:val="auto"/>
        </w:rPr>
        <w:t>•  Used as a retention incentive in the</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form of restricted stock units and</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to supplement deferred</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compensation benefits to</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executives</w:t>
      </w:r>
    </w:p>
    <w:p>
      <w:pPr>
        <w:spacing w:after="0" w:line="20" w:lineRule="exact"/>
        <w:rPr>
          <w:sz w:val="20"/>
          <w:szCs w:val="20"/>
          <w:color w:val="auto"/>
        </w:rPr>
      </w:pPr>
      <w:r>
        <w:rPr>
          <w:sz w:val="20"/>
          <w:szCs w:val="20"/>
          <w:color w:val="auto"/>
        </w:rPr>
        <w:br w:type="column"/>
      </w:r>
    </w:p>
    <w:p>
      <w:pPr>
        <w:ind w:left="321" w:right="340" w:hanging="321"/>
        <w:spacing w:after="0" w:line="286" w:lineRule="auto"/>
        <w:tabs>
          <w:tab w:leader="none" w:pos="1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Similar to a 401(k) plan, however not as flexible in regards to timing of the payouts of the retirement benefits for nonqualified plans.</w:t>
      </w:r>
    </w:p>
    <w:p>
      <w:pPr>
        <w:ind w:left="181" w:hanging="181"/>
        <w:spacing w:after="0"/>
        <w:tabs>
          <w:tab w:leader="none" w:pos="1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These benefits are unsecured and subject to risk of forfeiture in bankruptcy.</w:t>
      </w:r>
    </w:p>
    <w:p>
      <w:pPr>
        <w:spacing w:after="0" w:line="147" w:lineRule="exact"/>
        <w:rPr>
          <w:rFonts w:ascii="Arial" w:cs="Arial" w:eastAsia="Arial" w:hAnsi="Arial"/>
          <w:sz w:val="16"/>
          <w:szCs w:val="16"/>
          <w:color w:val="auto"/>
        </w:rPr>
      </w:pPr>
    </w:p>
    <w:p>
      <w:pPr>
        <w:ind w:left="321" w:right="20" w:hanging="321"/>
        <w:spacing w:after="0" w:line="284" w:lineRule="auto"/>
        <w:tabs>
          <w:tab w:leader="none" w:pos="1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Used selectively by committee, taking into account what is most appropriate for an NEO in view of the retention incentive provided by the award and the perceived need to supplement the NEO’s deferred compensation benefits.</w:t>
      </w:r>
    </w:p>
    <w:p>
      <w:pPr>
        <w:spacing w:after="0" w:line="1" w:lineRule="exact"/>
        <w:rPr>
          <w:rFonts w:ascii="Arial" w:cs="Arial" w:eastAsia="Arial" w:hAnsi="Arial"/>
          <w:sz w:val="16"/>
          <w:szCs w:val="16"/>
          <w:color w:val="auto"/>
        </w:rPr>
      </w:pPr>
    </w:p>
    <w:p>
      <w:pPr>
        <w:ind w:left="201" w:hanging="201"/>
        <w:spacing w:after="0"/>
        <w:tabs>
          <w:tab w:leader="none" w:pos="201"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Committee considers each year whether to make any such grants and to whom.</w:t>
      </w:r>
    </w:p>
    <w:p>
      <w:pPr>
        <w:spacing w:after="0" w:line="43" w:lineRule="exact"/>
        <w:rPr>
          <w:rFonts w:ascii="Arial" w:cs="Arial" w:eastAsia="Arial" w:hAnsi="Arial"/>
          <w:sz w:val="15"/>
          <w:szCs w:val="15"/>
          <w:color w:val="auto"/>
        </w:rPr>
      </w:pPr>
    </w:p>
    <w:p>
      <w:pPr>
        <w:ind w:left="321" w:right="300" w:hanging="321"/>
        <w:spacing w:after="0" w:line="261" w:lineRule="auto"/>
        <w:tabs>
          <w:tab w:leader="none" w:pos="1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stock units vest completely on a single date several years into the future.</w:t>
      </w:r>
    </w:p>
    <w:p>
      <w:pPr>
        <w:spacing w:after="0" w:line="91" w:lineRule="exact"/>
        <w:rPr>
          <w:sz w:val="20"/>
          <w:szCs w:val="20"/>
          <w:color w:val="auto"/>
        </w:rPr>
      </w:pPr>
    </w:p>
    <w:p>
      <w:pPr>
        <w:sectPr>
          <w:pgSz w:w="11900" w:h="16838" w:orient="portrait"/>
          <w:cols w:equalWidth="0" w:num="2">
            <w:col w:w="5300" w:space="299"/>
            <w:col w:w="5821"/>
          </w:cols>
          <w:pgMar w:left="240" w:top="274" w:right="239" w:bottom="1440" w:gutter="0" w:footer="0" w:header="0"/>
          <w:type w:val="continuous"/>
        </w:sectPr>
      </w:pPr>
    </w:p>
    <w:p>
      <w:pPr>
        <w:ind w:left="660"/>
        <w:spacing w:after="0"/>
        <w:tabs>
          <w:tab w:leader="none" w:pos="2620" w:val="left"/>
        </w:tabs>
        <w:rPr>
          <w:sz w:val="20"/>
          <w:szCs w:val="20"/>
          <w:color w:val="auto"/>
        </w:rPr>
      </w:pPr>
      <w:r>
        <w:rPr>
          <w:rFonts w:ascii="Arial" w:cs="Arial" w:eastAsia="Arial" w:hAnsi="Arial"/>
          <w:sz w:val="18"/>
          <w:szCs w:val="18"/>
          <w:b w:val="1"/>
          <w:bCs w:val="1"/>
          <w:color w:val="auto"/>
        </w:rPr>
        <w:t>Other Benefits</w:t>
      </w:r>
      <w:r>
        <w:rPr>
          <w:sz w:val="20"/>
          <w:szCs w:val="20"/>
          <w:color w:val="auto"/>
        </w:rPr>
        <w:tab/>
      </w:r>
      <w:r>
        <w:rPr>
          <w:rFonts w:ascii="Arial" w:cs="Arial" w:eastAsia="Arial" w:hAnsi="Arial"/>
          <w:sz w:val="16"/>
          <w:szCs w:val="16"/>
          <w:color w:val="auto"/>
        </w:rPr>
        <w:t>•  Used to attract and retain talent</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needed in the business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for 2012</w:t>
      </w:r>
    </w:p>
    <w:p>
      <w:pPr>
        <w:spacing w:after="0" w:line="20" w:lineRule="exact"/>
        <w:rPr>
          <w:sz w:val="20"/>
          <w:szCs w:val="20"/>
          <w:color w:val="auto"/>
        </w:rPr>
      </w:pPr>
      <w:r>
        <w:rPr>
          <w:sz w:val="20"/>
          <w:szCs w:val="20"/>
          <w:color w:val="auto"/>
        </w:rPr>
        <w:br w:type="column"/>
      </w:r>
    </w:p>
    <w:p>
      <w:pPr>
        <w:ind w:left="321" w:right="60" w:hanging="321"/>
        <w:spacing w:after="0" w:line="298"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Additional benefits include financial planning reimbursement and broad-based automobile benefits, selected benefits for expatriate executives, participation in broad-based employee benefit plans, and certain other benefits required by local law or driven by local market practice.</w:t>
      </w:r>
    </w:p>
    <w:p>
      <w:pPr>
        <w:spacing w:after="0" w:line="490" w:lineRule="exact"/>
        <w:rPr>
          <w:sz w:val="20"/>
          <w:szCs w:val="20"/>
          <w:color w:val="auto"/>
        </w:rPr>
      </w:pPr>
    </w:p>
    <w:p>
      <w:pPr>
        <w:sectPr>
          <w:pgSz w:w="11900" w:h="16838" w:orient="portrait"/>
          <w:cols w:equalWidth="0" w:num="2">
            <w:col w:w="5040" w:space="559"/>
            <w:col w:w="5821"/>
          </w:cols>
          <w:pgMar w:left="240" w:top="274" w:right="239" w:bottom="1440" w:gutter="0" w:footer="0" w:header="0"/>
          <w:type w:val="continuous"/>
        </w:sectPr>
      </w:pPr>
    </w:p>
    <w:p>
      <w:pPr>
        <w:ind w:right="320" w:firstLine="456"/>
        <w:spacing w:after="0" w:line="306" w:lineRule="auto"/>
        <w:rPr>
          <w:sz w:val="20"/>
          <w:szCs w:val="20"/>
          <w:color w:val="auto"/>
        </w:rPr>
      </w:pPr>
      <w:r>
        <w:rPr>
          <w:rFonts w:ascii="Arial" w:cs="Arial" w:eastAsia="Arial" w:hAnsi="Arial"/>
          <w:sz w:val="16"/>
          <w:szCs w:val="16"/>
          <w:color w:val="auto"/>
        </w:rPr>
        <w:t>At our 2011 annual meeting of shareholders, our shareholders approved the Manpower Inc. Corporate Senior Management Annual Incentive Pool Plan. Under this plan, the Committee will establish an annual performance goal using a financial measure as defined in the plan. Based on the attainment of the performance goal, a maximum amount (either a pool or individual maximum amounts) will be established. Under the Plan,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type w:val="continuous"/>
        </w:sectPr>
      </w:pPr>
    </w:p>
    <w:bookmarkStart w:id="30" w:name="page31"/>
    <w:bookmarkEnd w:id="3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has the discretion to reduce each participant’s award to an amount lower than their respective share of the bonus pool (or lower than their individual amounts, if a pool is not used). The committee intends to exercise such discretion based on company-wide performance goals, division or business unit performance goals and participants’ individual performance. While the committee has the ability to exercise such negative discretion in any manner it deems appropriate, it is the committee’s intention to continue to use the goals of EPS, economic profit, adjusted operating unit profit, and various operational objectives to determine the amount payable to each participant in a manner consistent with prior years (where such amount shall be equal to or less than the amount of award determined under the NEO’s share of the pool established pursuant to the results of the performance goal(s) under the Plan). The design of the incentive pool plan enables the committee to use negative discretion to establish bonuses for our NEOs based on an assessment of the individual’s achievements and the feedback from our chief executive officer about the individual’s performance and overall contribution to the company, while maintaining the ability to deduct the bonuses to the greatest extent permitted under Section 162(m) of the Internal Revenue Code. The committee began to use this plan in 2012. See page 38 for an explanation of the performance goal used to establish the pool under this plan for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Consistent with ManpowerGroup’s pay for results philosophy, our executive compensation program is designed to motivate our NEOs to contribute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long-term performance and success. As such, the following pay components include pay for results features:</w:t>
      </w:r>
    </w:p>
    <w:p>
      <w:pPr>
        <w:spacing w:after="0" w:line="78" w:lineRule="exact"/>
        <w:rPr>
          <w:sz w:val="20"/>
          <w:szCs w:val="20"/>
          <w:color w:val="auto"/>
        </w:rPr>
      </w:pPr>
    </w:p>
    <w:p>
      <w:pPr>
        <w:ind w:left="900" w:right="40" w:hanging="446"/>
        <w:spacing w:after="0" w:line="338"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b w:val="1"/>
          <w:bCs w:val="1"/>
          <w:color w:val="auto"/>
        </w:rPr>
        <w:t>Annual Incentive Award</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ranges are established for the CEO and CFO for the financial metrics EPS and EP. For the other NEOs,</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ranges are established for the financial metrics EPS and AOUP. Award opportunities are established for achievement at threshold, target and outstanding levels. Payouts are based on actual performance on these metrics as well as the individual operating objectives for each NEO.</w:t>
      </w: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Long-Term Incentive Awards</w:t>
      </w:r>
      <w:r>
        <w:rPr>
          <w:rFonts w:ascii="Arial" w:cs="Arial" w:eastAsia="Arial" w:hAnsi="Arial"/>
          <w:sz w:val="18"/>
          <w:szCs w:val="18"/>
          <w:b w:val="1"/>
          <w:bCs w:val="1"/>
          <w:i w:val="1"/>
          <w:iCs w:val="1"/>
          <w:color w:val="auto"/>
        </w:rPr>
        <w:t>:</w:t>
      </w:r>
    </w:p>
    <w:p>
      <w:pPr>
        <w:spacing w:after="0" w:line="96" w:lineRule="exact"/>
        <w:rPr>
          <w:rFonts w:ascii="Arial" w:cs="Arial" w:eastAsia="Arial" w:hAnsi="Arial"/>
          <w:sz w:val="18"/>
          <w:szCs w:val="18"/>
          <w:color w:val="auto"/>
        </w:rPr>
      </w:pPr>
    </w:p>
    <w:p>
      <w:pPr>
        <w:ind w:left="1460" w:right="60" w:hanging="547"/>
        <w:spacing w:after="0" w:line="256"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Stock Options — Approximately 30 percent of executive officer long-term awards are made in the form of stock options. The committee believes stock options provide an important overall longer term incentive for the NEOs to try to maximize value of ManpowerGroup’s stock. Because stock options are granted at a specific value on the date of grant, the ultimate compensation realized will depend on the stock price at the time of exercise.</w:t>
      </w:r>
    </w:p>
    <w:p>
      <w:pPr>
        <w:spacing w:after="0" w:line="62" w:lineRule="exact"/>
        <w:rPr>
          <w:rFonts w:ascii="Arial" w:cs="Arial" w:eastAsia="Arial" w:hAnsi="Arial"/>
          <w:sz w:val="18"/>
          <w:szCs w:val="18"/>
          <w:color w:val="auto"/>
        </w:rPr>
      </w:pPr>
    </w:p>
    <w:p>
      <w:pPr>
        <w:ind w:left="1460" w:right="120" w:hanging="547"/>
        <w:spacing w:after="0" w:line="255"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Performance Share Units — Approximately 50 percent of executive officer long-term awards are made in the form of performance share units. As stated earlier, the NEO receives a certain number of shares of stock at the end of a specified period based on achievement of a pre-established performance goals for that period, typically operating profit margin. Award opportunities are established for achievement at threshold, target and outstanding levels. The committee believes using operating profit margin is appropriate because it is a driver of shareholder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Target Total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Target total compensation is the value of the compensation package that is intended to be delivered based on performance against pre-established goals.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illustrates for each of the NEOs the composition of his or her target total compensation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253365</wp:posOffset>
            </wp:positionV>
            <wp:extent cx="4605020" cy="2889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0502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target compensation for the incentive portions of the NEO’s compensation to be consistent with the valuation used in the market data used by our compensation consultant, Mercer. Actual compensation paid out to the NEOs in a given year may vary significantly from the target levels depending on the actual performance achieved under the pre-established financial and operating goals set by the committee. In general, when the Company has strong financial results, our NEOs are awarded accordingly. Conversely, when the Company has weak financial results or falls short of its business objectives, the NEOs’ payments under these programs decline.</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target compensation is detailed for each NEO in the following table. This table outlines the values of the various elements and the percentage of each NEO’s total target compensation package that is variable (both short- and long-term) and performance-based (both short- and long-term).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NEO Target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 Total</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Total</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Variable</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2011 Target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Performance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Total 2011</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16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7"/>
              </w:rPr>
              <w:t>Base</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Annual</w:t>
            </w: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Target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Salary</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Options(1)</w:t>
            </w:r>
          </w:p>
        </w:tc>
        <w:tc>
          <w:tcPr>
            <w:tcW w:w="10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Units(1)</w:t>
            </w: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Units(1)</w:t>
            </w:r>
          </w:p>
        </w:tc>
        <w:tc>
          <w:tcPr>
            <w:tcW w:w="10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Comp</w:t>
            </w:r>
          </w:p>
        </w:tc>
        <w:tc>
          <w:tcPr>
            <w:tcW w:w="9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4"/>
              </w:rPr>
              <w:t>Comp(2)</w:t>
            </w: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Related (3)</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tcPr>
          <w:p>
            <w:pPr>
              <w:spacing w:after="0"/>
              <w:rPr>
                <w:sz w:val="12"/>
                <w:szCs w:val="12"/>
                <w:color w:val="auto"/>
              </w:rPr>
            </w:pPr>
          </w:p>
        </w:tc>
        <w:tc>
          <w:tcPr>
            <w:tcW w:w="760" w:type="dxa"/>
            <w:vAlign w:val="bottom"/>
            <w:tcBorders>
              <w:top w:val="single" w:sz="8" w:color="auto"/>
            </w:tcBorders>
          </w:tcPr>
          <w:p>
            <w:pPr>
              <w:jc w:val="right"/>
              <w:ind w:right="258"/>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40" w:type="dxa"/>
            <w:vAlign w:val="bottom"/>
            <w:tcBorders>
              <w:top w:val="single" w:sz="8" w:color="auto"/>
            </w:tcBorders>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1,200,000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1,800,000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1,779,883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3,500,040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1,400,056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9,679,979</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w w:val="96"/>
              </w:rPr>
              <w:t>Michael J. Van Handel</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600,000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635,682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1,250,043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3,585,769</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483,128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950,016</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380,033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2,644,427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577,368</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433,026</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232,905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1,943,361</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375,579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281,684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203,439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400,035</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1,420,751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2640" w:type="dxa"/>
            <w:vAlign w:val="bottom"/>
            <w:gridSpan w:val="3"/>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254,273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1,785,585</w:t>
            </w:r>
          </w:p>
        </w:tc>
        <w:tc>
          <w:tcPr>
            <w:tcW w:w="2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2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475,000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356,250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254,273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500,044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1,785,585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equity awards in this table represents the grant date fair value of the equity awards granted in 2011, as computed in accordance with FASB ASC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09" w:right="239" w:bottom="1440" w:gutter="0" w:footer="0" w:header="0"/>
        </w:sectPr>
      </w:pPr>
    </w:p>
    <w:bookmarkStart w:id="32" w:name="page33"/>
    <w:bookmarkEnd w:id="32"/>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annual incentive, stock options, performance share units and restricted stock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annual incentive, stock options and performance share units.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Beginning in 2011, approximately 20 percent of executive officer long-term awards are made in the form of restricted stock units. Restricted stock units are used to provide a retention incentive to NEOs as they are payable in stock if the executive remains with the Company through the vesting date, generally three years after the date of grant. The committee believes that restricted stock units directly align the economic interests of our NEOs with those of our shareholders because in order to retain value or increase in value, officers must produce the appropriate results to support or increase the Company’s stock price.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Balancing Short- and Long-Term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stated before, the committee believes it is important that compensation fully aligns the interests of management with shareholder value and has designed the Company’s compensation program to motivate our NEOs to contribute to the Company’s long-term performance and success. In order to accomplish this, the committee balances incentive compensation between short- and long-term incentive awards, with a significant portion of incentive compensation based on the long-term performance of the Company. This reduces the risk that executives will place too much focus on short-term achievements to the detriment of the long-term success of the Company. The following chart details how incentive compensation is allocated between short-term (annual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210185</wp:posOffset>
            </wp:positionV>
            <wp:extent cx="4931410" cy="3027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141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Positioning Compensation Against the Market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practice is to target compensation outcomes generally to the median of compensation paid in the competitive market for target results and to provide maximum award opportunities that approximate the 75</w:t>
      </w:r>
      <w:r>
        <w:rPr>
          <w:rFonts w:ascii="Arial" w:cs="Arial" w:eastAsia="Arial" w:hAnsi="Arial"/>
          <w:sz w:val="11"/>
          <w:szCs w:val="11"/>
          <w:color w:val="auto"/>
        </w:rPr>
        <w:t>th</w:t>
      </w:r>
      <w:r>
        <w:rPr>
          <w:rFonts w:ascii="Arial" w:cs="Arial" w:eastAsia="Arial" w:hAnsi="Arial"/>
          <w:sz w:val="18"/>
          <w:szCs w:val="18"/>
          <w:color w:val="auto"/>
        </w:rPr>
        <w:t xml:space="preserve"> percentile of the competitive market for outstanding results. The Company’s approach to market positioning is not strictly formulaic and some compensation levels or award opportunities may fall above or below the reference points. This approach is embodied in the design of the annual incentive plan and the equity-based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3" w:name="page34"/>
    <w:bookmarkEnd w:id="33"/>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program, as described below.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Determining the Competitive Market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determining the competitive market, ManpowerGroup uses three main sources: (1) a subset of Mercer’s core research group it uses in its compensation analysis, tailored to be more reasonably comparable to ManpowerGroup, (2) a group of the public companies generally in the staffing industry and (3) position-specific published surveys.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Similar to the past two years, for 2011 ManpowerGroup used Mercer’s core research group of companies as the source of compensation data for executives with responsibilities comparable to those at ManpowerGroup. Mercer recommends using this core research group because it offers competitive executive compensation data that is better than the alternatives.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This core research group has 150 companies with industry representation that mirrors the Fortune 1000. It includes companies with a minimum of approximately $6 billion of revenues and a maximum of approximately $46 billion, with median revenue of $19 billion. In order to position ManpowerGroup at the median of this research group, Mercer used a subset of 110 of the companies in the group, with revenues between $11 billion and $38 billion. ManpowerGroup believes using this subset provides a robust basis for assessing the competitive range of compensation for senior executives of companies ManpowerGroup’s size and complexity and represents a better approach for this assessment than an approach based on the broad market peer group previously used. A list of the companies included in the subset of the core research group used by ManpowerGroup in 2011 is attached as </w:t>
      </w:r>
      <w:r>
        <w:rPr>
          <w:rFonts w:ascii="Arial" w:cs="Arial" w:eastAsia="Arial" w:hAnsi="Arial"/>
          <w:sz w:val="16"/>
          <w:szCs w:val="16"/>
          <w:i w:val="1"/>
          <w:iCs w:val="1"/>
          <w:color w:val="auto"/>
        </w:rPr>
        <w:t>Appendix A.</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ManpowerGroup also considers data from compensation surveys published by Mercer and other third-party data providers that are recommended by Mercer as appropriate and credible sources of compensation data for each NEO’s position. For the CEO and CFO, their positions were typically compared to companies with revenues between $6 billion and $36 billion. For the executives who are the leaders of ManpowerGroup’s business operating units, their positions are compared with U.S. compensation survey data of similar sized groups and divisions. For executive positions located outside of the U.S., ManpowerGroup also takes into account international (regional and local) compensation survey data as a secondary source in an effort to set compensation that is not only equitable among the members of a global team but also competitive within the global markets where ManpowerGroup competes for talent. However, this international data is not included in the composite percentages shown below for these positions.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ManpowerGroup’s size and global reach relative to other companies in its industry make it difficult to find relevant comparative data on performance and compensation. Because the size and scope of their operations are smaller, the public companies in the industry are not comparable to ManpowerGroup.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industry-specific comparator group is as follows: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Insperity</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CDI Corp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Kelly Services, Inc.</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Kforce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Robert Half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SFN Group, Inc. (recently acquired by Randstad)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TrueBlue, Inc.</w:t>
      </w:r>
    </w:p>
    <w:p>
      <w:pPr>
        <w:spacing w:after="0" w:line="381" w:lineRule="exact"/>
        <w:rPr>
          <w:sz w:val="20"/>
          <w:szCs w:val="20"/>
          <w:color w:val="auto"/>
        </w:rPr>
      </w:pPr>
    </w:p>
    <w:p>
      <w:pPr>
        <w:sectPr>
          <w:pgSz w:w="11900" w:h="16838" w:orient="portrait"/>
          <w:cols w:equalWidth="0" w:num="2">
            <w:col w:w="3180" w:space="720"/>
            <w:col w:w="7520"/>
          </w:cols>
          <w:pgMar w:left="240" w:top="280" w:right="239" w:bottom="1440" w:gutter="0" w:footer="0" w:header="0"/>
          <w:type w:val="continuous"/>
        </w:sectPr>
      </w:pPr>
    </w:p>
    <w:p>
      <w:pPr>
        <w:ind w:right="160" w:firstLine="456"/>
        <w:spacing w:after="0" w:line="306" w:lineRule="auto"/>
        <w:rPr>
          <w:sz w:val="20"/>
          <w:szCs w:val="20"/>
          <w:color w:val="auto"/>
        </w:rPr>
      </w:pPr>
      <w:r>
        <w:rPr>
          <w:rFonts w:ascii="Arial" w:cs="Arial" w:eastAsia="Arial" w:hAnsi="Arial"/>
          <w:sz w:val="16"/>
          <w:szCs w:val="16"/>
          <w:color w:val="auto"/>
        </w:rPr>
        <w:t xml:space="preserve">ManpowerGroup only considers the compensation </w:t>
      </w:r>
      <w:r>
        <w:rPr>
          <w:rFonts w:ascii="Arial" w:cs="Arial" w:eastAsia="Arial" w:hAnsi="Arial"/>
          <w:sz w:val="16"/>
          <w:szCs w:val="16"/>
          <w:i w:val="1"/>
          <w:iCs w:val="1"/>
          <w:color w:val="auto"/>
        </w:rPr>
        <w:t>practices</w:t>
      </w:r>
      <w:r>
        <w:rPr>
          <w:rFonts w:ascii="Arial" w:cs="Arial" w:eastAsia="Arial" w:hAnsi="Arial"/>
          <w:sz w:val="16"/>
          <w:szCs w:val="16"/>
          <w:color w:val="auto"/>
        </w:rPr>
        <w:t xml:space="preserve"> of these staffing industry competitors in designing the compensation packages for the NEOs. However, the committee believes the executive positions at these companies are not comparable in scope and complexity to the NEO positions at ManpowerGroup. Based on size alone, the average annual revenues of these companies in 2011 was $2.4 billion, with the largest having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type w:val="continuous"/>
        </w:sectPr>
      </w:pPr>
    </w:p>
    <w:bookmarkStart w:id="34" w:name="page35"/>
    <w:bookmarkEnd w:id="3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annual revenues of approximately $5.6 billion, whereas ManpowerGroup’s annual revenues were $22.0 billion in 2011. Therefore, the committee does not believe that the compensation </w:t>
      </w:r>
      <w:r>
        <w:rPr>
          <w:rFonts w:ascii="Arial" w:cs="Arial" w:eastAsia="Arial" w:hAnsi="Arial"/>
          <w:sz w:val="16"/>
          <w:szCs w:val="16"/>
          <w:i w:val="1"/>
          <w:iCs w:val="1"/>
          <w:color w:val="auto"/>
        </w:rPr>
        <w:t>levels</w:t>
      </w:r>
      <w:r>
        <w:rPr>
          <w:rFonts w:ascii="Arial" w:cs="Arial" w:eastAsia="Arial" w:hAnsi="Arial"/>
          <w:sz w:val="16"/>
          <w:szCs w:val="16"/>
          <w:color w:val="auto"/>
        </w:rPr>
        <w:t xml:space="preserve"> paid to executives at these companies provide a fair indicator of the competitive market for ManpowerGroup NEOs.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illustrates how the total opportunity at target performance for total direct compensation for the CEO and CFO for 2011 compared to the median compensation of executives in similar position taken from the core research group and from the U.S. survey data considered.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Direct Compensation</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9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 In Relation to Median of Competitive Market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60" w:type="dxa"/>
            <w:vAlign w:val="bottom"/>
            <w:gridSpan w:val="3"/>
          </w:tcPr>
          <w:p>
            <w:pPr>
              <w:jc w:val="right"/>
              <w:ind w:right="920"/>
              <w:spacing w:after="0" w:line="129" w:lineRule="exact"/>
              <w:rPr>
                <w:sz w:val="20"/>
                <w:szCs w:val="20"/>
                <w:color w:val="auto"/>
              </w:rPr>
            </w:pPr>
            <w:r>
              <w:rPr>
                <w:rFonts w:ascii="Arial" w:cs="Arial" w:eastAsia="Arial" w:hAnsi="Arial"/>
                <w:sz w:val="14"/>
                <w:szCs w:val="14"/>
                <w:b w:val="1"/>
                <w:bCs w:val="1"/>
                <w:color w:val="auto"/>
              </w:rPr>
              <w:t>U.S. Survey</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4300" w:type="dxa"/>
            <w:vAlign w:val="bottom"/>
            <w:gridSpan w:val="3"/>
          </w:tcPr>
          <w:p>
            <w:pPr>
              <w:jc w:val="right"/>
              <w:ind w:right="620"/>
              <w:spacing w:after="0" w:line="148" w:lineRule="exact"/>
              <w:rPr>
                <w:sz w:val="20"/>
                <w:szCs w:val="20"/>
                <w:color w:val="auto"/>
              </w:rPr>
            </w:pPr>
            <w:r>
              <w:rPr>
                <w:rFonts w:ascii="Arial" w:cs="Arial" w:eastAsia="Arial" w:hAnsi="Arial"/>
                <w:sz w:val="14"/>
                <w:szCs w:val="14"/>
                <w:b w:val="1"/>
                <w:bCs w:val="1"/>
                <w:color w:val="auto"/>
              </w:rPr>
              <w:t>Core Research Group</w:t>
            </w:r>
          </w:p>
        </w:tc>
        <w:tc>
          <w:tcPr>
            <w:tcW w:w="480" w:type="dxa"/>
            <w:vAlign w:val="bottom"/>
          </w:tcPr>
          <w:p>
            <w:pPr>
              <w:spacing w:after="0"/>
              <w:rPr>
                <w:sz w:val="12"/>
                <w:szCs w:val="12"/>
                <w:color w:val="auto"/>
              </w:rPr>
            </w:pPr>
          </w:p>
        </w:tc>
        <w:tc>
          <w:tcPr>
            <w:tcW w:w="1580" w:type="dxa"/>
            <w:vAlign w:val="bottom"/>
            <w:gridSpan w:val="2"/>
          </w:tcPr>
          <w:p>
            <w:pPr>
              <w:jc w:val="right"/>
              <w:ind w:right="1120"/>
              <w:spacing w:after="0" w:line="148" w:lineRule="exact"/>
              <w:rPr>
                <w:sz w:val="20"/>
                <w:szCs w:val="20"/>
                <w:color w:val="auto"/>
              </w:rPr>
            </w:pPr>
            <w:r>
              <w:rPr>
                <w:rFonts w:ascii="Arial" w:cs="Arial" w:eastAsia="Arial" w:hAnsi="Arial"/>
                <w:sz w:val="14"/>
                <w:szCs w:val="14"/>
                <w:b w:val="1"/>
                <w:bCs w:val="1"/>
                <w:color w:val="auto"/>
              </w:rPr>
              <w:t>Data</w:t>
            </w:r>
          </w:p>
        </w:tc>
        <w:tc>
          <w:tcPr>
            <w:tcW w:w="100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242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2420" w:type="dxa"/>
            <w:vAlign w:val="bottom"/>
            <w:vMerge w:val="continue"/>
            <w:shd w:val="clear" w:color="auto" w:fill="CCEEFF"/>
          </w:tcPr>
          <w:p>
            <w:pPr>
              <w:spacing w:after="0"/>
              <w:rPr>
                <w:sz w:val="17"/>
                <w:szCs w:val="17"/>
                <w:color w:val="auto"/>
              </w:rPr>
            </w:pPr>
          </w:p>
        </w:tc>
        <w:tc>
          <w:tcPr>
            <w:tcW w:w="18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100%</w:t>
            </w:r>
          </w:p>
        </w:tc>
        <w:tc>
          <w:tcPr>
            <w:tcW w:w="4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127%</w:t>
            </w:r>
          </w:p>
        </w:tc>
        <w:tc>
          <w:tcPr>
            <w:tcW w:w="18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CFO</w:t>
            </w:r>
          </w:p>
        </w:tc>
        <w:tc>
          <w:tcPr>
            <w:tcW w:w="4300" w:type="dxa"/>
            <w:vAlign w:val="bottom"/>
            <w:gridSpan w:val="3"/>
          </w:tcPr>
          <w:p>
            <w:pPr>
              <w:jc w:val="right"/>
              <w:ind w:right="460"/>
              <w:spacing w:after="0"/>
              <w:rPr>
                <w:sz w:val="20"/>
                <w:szCs w:val="20"/>
                <w:color w:val="auto"/>
              </w:rPr>
            </w:pPr>
            <w:r>
              <w:rPr>
                <w:rFonts w:ascii="Arial" w:cs="Arial" w:eastAsia="Arial" w:hAnsi="Arial"/>
                <w:sz w:val="18"/>
                <w:szCs w:val="18"/>
                <w:color w:val="auto"/>
              </w:rPr>
              <w:t>123%</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164%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For the other NEOs, the following table illustrates how the total opportunity at target performance for total direct compensation for 2011 compared to the median compensation of executives in similar positions taken from the composite of the core research group and U.S. survey data considered.</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gridSpan w:val="3"/>
          </w:tcPr>
          <w:p>
            <w:pPr>
              <w:jc w:val="right"/>
              <w:ind w:right="3560"/>
              <w:spacing w:after="0"/>
              <w:rPr>
                <w:sz w:val="20"/>
                <w:szCs w:val="20"/>
                <w:color w:val="auto"/>
              </w:rPr>
            </w:pPr>
            <w:r>
              <w:rPr>
                <w:rFonts w:ascii="Arial" w:cs="Arial" w:eastAsia="Arial" w:hAnsi="Arial"/>
                <w:sz w:val="18"/>
                <w:szCs w:val="18"/>
                <w:b w:val="1"/>
                <w:bCs w:val="1"/>
                <w:color w:val="auto"/>
              </w:rPr>
              <w:t>Total Direct Compensation</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 In Relation to Median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Competitive Market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4540" w:type="dxa"/>
            <w:vAlign w:val="bottom"/>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Core Research Group/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6380" w:type="dxa"/>
            <w:vAlign w:val="bottom"/>
            <w:gridSpan w:val="3"/>
          </w:tcPr>
          <w:p>
            <w:pPr>
              <w:jc w:val="center"/>
              <w:ind w:left="4256"/>
              <w:spacing w:after="0" w:line="148" w:lineRule="exact"/>
              <w:rPr>
                <w:sz w:val="20"/>
                <w:szCs w:val="20"/>
                <w:color w:val="auto"/>
              </w:rPr>
            </w:pPr>
            <w:r>
              <w:rPr>
                <w:rFonts w:ascii="Arial" w:cs="Arial" w:eastAsia="Arial" w:hAnsi="Arial"/>
                <w:sz w:val="14"/>
                <w:szCs w:val="14"/>
                <w:b w:val="1"/>
                <w:bCs w:val="1"/>
                <w:color w:val="auto"/>
                <w:w w:val="87"/>
              </w:rPr>
              <w:t>U.S. Survey Data Composite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Darryl Green(1)</w:t>
            </w:r>
          </w:p>
        </w:tc>
        <w:tc>
          <w:tcPr>
            <w:tcW w:w="454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vMerge w:val="continue"/>
            <w:shd w:val="clear" w:color="auto" w:fill="CCEEFF"/>
          </w:tcPr>
          <w:p>
            <w:pPr>
              <w:spacing w:after="0"/>
              <w:rPr>
                <w:sz w:val="17"/>
                <w:szCs w:val="17"/>
                <w:color w:val="auto"/>
              </w:rPr>
            </w:pPr>
          </w:p>
        </w:tc>
        <w:tc>
          <w:tcPr>
            <w:tcW w:w="4540" w:type="dxa"/>
            <w:vAlign w:val="bottom"/>
            <w:vMerge w:val="continue"/>
            <w:shd w:val="clear" w:color="auto" w:fill="CCEEFF"/>
          </w:tcPr>
          <w:p>
            <w:pPr>
              <w:spacing w:after="0"/>
              <w:rPr>
                <w:sz w:val="17"/>
                <w:szCs w:val="17"/>
                <w:color w:val="auto"/>
              </w:rPr>
            </w:pPr>
          </w:p>
        </w:tc>
        <w:tc>
          <w:tcPr>
            <w:tcW w:w="1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Françoise Gri(1)</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Leentjes(1)</w:t>
            </w:r>
          </w:p>
        </w:tc>
        <w:tc>
          <w:tcPr>
            <w:tcW w:w="6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6380" w:type="dxa"/>
            <w:vAlign w:val="bottom"/>
            <w:gridSpan w:val="3"/>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6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International survey data is also used for these NEOs as a secondary source but not included in the compensation composite. U.S. market data is considered the primary source. This approach takes into consideration the job’s replacement value and that the market for talent for these executives is primarily global, with a secondary consideration given to local cost of labor.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CEO, the committee determined the CEO’s target compensation was within a suitable range of the median, given the range of CEO compensation market data is very narrow. For the CFO, the committee determined that his long tenure with the Company, coupled with his significant financial role and broader management role were reasons for which his target compensation was set above the median compensation for the competitive market. For Mr. Leentjes, the committee determined that since Mr. Leentjes is new in his role, it was appropriate that his target compensation fell below the median of the competitive data. For all other NEOs the committee determined their target compensation was within a suitable range of the median.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Assessing Individual Factors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Compensation Levels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committee determines the CEO and CFO compensation levels, including establishing and determining the achievement of the annual financial goals and operating objectives for the annual incentives, any salary adjustments, and any equity-based compensation awards, subject to ratification by the board of directors. Generally, the CEO establishes and determines the achievement of the goals and objectives for the annual incentive plan for the other NEOs, with the committee making the final determinations. The committee also determines any salary adjustments or equity-based awards for the other NEOs, based on recommendations of the CEO.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CEO and CFO Determinations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annual financial goals for the CEO and the CFO are based on EPS and EP for the year. The process begins with collaboration between Mercer and the CFO. Mercer then reviews this outcome with the chairman of the committee who makes a preliminary decision about the goals. The full committee then reviews and determines the goals and range of award opportunities for achievement of the goals, including the weighting of each goal for the CEO and CFO,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Setting the operating objectives for the CEO and CFO begins with the CEO, who at the beginning of each year recommends to the committee the objectives for both himself and the CFO for the year. The committee reviews and ultimately approves these operating objectives, subject to any adjustments, in the context of ManpowerGroup’s strategic and financial plans.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Throughout the year, the committee reviews the progress the CEO and CFO are making towards the achievement of their financial goals and objectives for the year. After the close of each year, the committee reviews and approves, subject to ratification by the board of directors, an award amount for the annual incentive based on the achievement of the annual objective financial goals and the CEO and CFO’s performance towards each of their annual operating objectives.</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committee usually determines and approves equity awards to the CEO and CFO, including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part of the decision making process for the CEO’s compensation matters, any decisions the committee has or ratification the board of directors makes regarding the CEO’s compensation, are done in executive session, without the CEO or other management present.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Determinations for NEOs other than the CEO and CFO</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process for setting the annual financial goals for the other NEOs begins with the CEO and CFO selecting the objective financial metrics and establishing proposed goals for those selected metrics for each of the NEOs. The EPS metric is used for each NEO, with the same goals as those used for the CEO and CFO. The CEO and CFO determine the proposed goals and award opportunities for the NEOs other objective financial metrics. The committee reviews these recommended financial goals, makes any adjustments it deems appropriate and then approves the financial goals and range of award opportunities, including the weighting of each goal.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beginning of each year, the CEO establishes the operating objectives for the other NEOs.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09" w:right="239" w:bottom="1440" w:gutter="0" w:footer="0" w:header="0"/>
        </w:sectPr>
      </w:pPr>
    </w:p>
    <w:bookmarkStart w:id="36" w:name="page37"/>
    <w:bookmarkEnd w:id="36"/>
    <w:p>
      <w:pPr>
        <w:ind w:right="4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the close of each year, the committee reviews and approves an award amount for the annual incentive to each NEO based on achievement of the NEO’s annual objective financial goals. The CEO determines the amount of any award to each of the NEOs for performance towards each of their annual operating objectives. The CEO presents the recommended award for each NEO to the committee for its review and approval.</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usually determines and approves equity awards to the other NEOs, including vesting schedules, at its regularly scheduled meeting in February each year, subject to ratification of the board of directors. The CEO recommends to the committee the individual grants for all NEOs other than himself. The committee may make grants to NEOs at other times during the year, as it deems appropriate. The grant date for the awards is the date the committee approves the awards, except the grant date for a new hire ordinarily is the date of hire if such hire date is after the date of committee approval. The exercise price for any options granted is the closing price on the date of grant.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2011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Base salaries for NEOs are set near the median of base salaries paid in the relevant competitive market, for the particular position, subject to individual performance factors as described earlier. The CEO’s base salary is materially larger than the next highest paid NEO because of the complexity of his role, level of responsibility, the flat organizational structure and his overall impact on ManpowerGroup. Because of the depressed economic conditions in 2009, economic uncertainty in 2010 and the resulting impact on our performance, the committee had not granted salary increases to our executives since 2008, except for</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Mr. Prising in 2010 who had an increase in responsibilities during that time. In 2011, the Committee determined to provide base salary increases to all NEOs based on individual performance and actual pay relative to market.</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2012, the committee increased the base salary paid to Mr. Leentjes to €319,000 ($413,137 using an exchange rate of 1.2951 (in U.S. Dollars), the rate in effect on January 10, 2011, the date Mr. Leentjes was promoted to Executive Vice President, President of Northern Europe). None of the other NEOs received an increase in base salary for 2012.</w:t>
      </w:r>
    </w:p>
    <w:p>
      <w:pPr>
        <w:spacing w:after="0" w:line="140"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fixes the target outcome for EP and EPS at a number that reflects an annual growth target. This target is generally based on the Company’s targeted long-term growth rate for EPS, but may be adjusted year-by-year based on economic conditions and the Company’s expected financial performance for the year. The target growth rate is then adjusted to set a threshold growth rate, which is a level of performance that is below target but still appropriate for some award to be earned, and, to set an outstanding growth rate which is a level of performance appropriate for the maximum incentive to be earned. So the comparisons are valid between the two years, the growth rates are based on growth over results of the previous year excluding non-recurring items, rather than actual growth. The EP target is then determined based on the earnings growth reflected by the EPS target and consideration of factors relating to the Company’s cost of capital. The other financial metrics under the plan used to determine the annual incentives earned by the other NEOs, are determined in a similar way, taking into consideration the economic conditions and expected financial performance of each individual region, as well as the overall EPS and EP targets. To be clear, these targets are not based on the Company’s financial plan for the year, but rather are determined based on the separate methodology described above. As a result, target performance for purposes of achieving an incentive award will not be the same as performance at plan, which may be higher or lower than target performance depending on economic conditions and trends at the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34" w:right="259" w:bottom="1440" w:gutter="0" w:footer="0" w:header="0"/>
        </w:sectPr>
      </w:pPr>
    </w:p>
    <w:bookmarkStart w:id="37" w:name="page38"/>
    <w:bookmarkEnd w:id="37"/>
    <w:p>
      <w:pPr>
        <w:ind w:right="26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Incentives—CEO and CFO</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believes using EPS as a performance goal keeps the CEO and CFO focused on producing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EP as a performance goal for the CEO and CFO to provide an incentive for them to manage the business to produce returns in excess of the Company’s cost of capital.</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2011, EPS and EP were set based upon the EPS growth targets for threshold, target and outstanding performance levels which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748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EPS</w:t>
            </w: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gridSpan w:val="2"/>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target growth rate reflects the continuing improvement in the global economic conditions from those in 2010 and 2009. Correspondingly, the growth target for outstanding performance represents what the committee believes is an appropriate growth rate for outstanding performance. The committee believes the threshold growth rate is the minimum level at which it was appropriate to earn an incentive mainly due to the continued uncertainty in the global economic conditions at the time when setting the targets.</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shows the EPS and EP goals established by the committee for 2011, which correspond to the EPS growth targets, along with the weighting of each goal towards the total annual incentive award opportunity: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Goal</w:t>
            </w:r>
          </w:p>
        </w:tc>
        <w:tc>
          <w:tcPr>
            <w:tcW w:w="6880" w:type="dxa"/>
            <w:vAlign w:val="bottom"/>
          </w:tcPr>
          <w:p>
            <w:pPr>
              <w:spacing w:after="0"/>
              <w:rPr>
                <w:sz w:val="15"/>
                <w:szCs w:val="15"/>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Threshold</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EPS (weighted 40%)</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4"/>
              </w:rPr>
              <w:t>$2.50</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EP (weighted 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120"/>
              <w:spacing w:after="0"/>
              <w:rPr>
                <w:sz w:val="20"/>
                <w:szCs w:val="20"/>
                <w:color w:val="auto"/>
              </w:rPr>
            </w:pPr>
            <w:r>
              <w:rPr>
                <w:rFonts w:ascii="Arial" w:cs="Arial" w:eastAsia="Arial" w:hAnsi="Arial"/>
                <w:sz w:val="18"/>
                <w:szCs w:val="18"/>
                <w:color w:val="auto"/>
              </w:rPr>
              <w:t>(125)MM</w:t>
            </w:r>
          </w:p>
        </w:tc>
        <w:tc>
          <w:tcPr>
            <w:tcW w:w="1340" w:type="dxa"/>
            <w:vAlign w:val="bottom"/>
            <w:gridSpan w:val="2"/>
          </w:tcPr>
          <w:p>
            <w:pPr>
              <w:spacing w:after="0"/>
              <w:rPr>
                <w:sz w:val="20"/>
                <w:szCs w:val="20"/>
                <w:color w:val="auto"/>
              </w:rPr>
            </w:pPr>
            <w:r>
              <w:rPr>
                <w:rFonts w:ascii="Arial" w:cs="Arial" w:eastAsia="Arial" w:hAnsi="Arial"/>
                <w:sz w:val="18"/>
                <w:szCs w:val="18"/>
                <w:color w:val="auto"/>
              </w:rPr>
              <w:t>$ (50)MM</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10MM</w:t>
            </w: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2011 operating objectives for the CEO and CFO, which were weighted 20% of the total annual incentive award opportunity, were established by the committee based on the recommendation of the CEO and the committee’s judgment that they were appropriate in the context of the strategic and financial plan of ManpowerGroup. These operating objectives were as follows:</w:t>
      </w:r>
    </w:p>
    <w:p>
      <w:pPr>
        <w:spacing w:after="0" w:line="59"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Deploy and maximize rebranding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Increase diversity of business lines by establishing stronger presence in certain countries around the world and growing Experis business;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productivity of the organization.</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committee assigned a combined weighting of 80% to the two objective financial goals based on its view that pay should be aligned with financial results and its judgment that the goals largely provide the appropriate incentive for management. The committee believes both EPS and EP are equally important.</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the CEO as a percentage of 2011 base salary for achieving threshold, target or outstanding results for each measure: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4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shd w:val="clear" w:color="auto" w:fill="CCEEFF"/>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EP goal</w:t>
            </w:r>
          </w:p>
        </w:tc>
        <w:tc>
          <w:tcPr>
            <w:tcW w:w="57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5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Total</w:t>
            </w:r>
          </w:p>
        </w:tc>
        <w:tc>
          <w:tcPr>
            <w:tcW w:w="5760" w:type="dxa"/>
            <w:vAlign w:val="bottom"/>
            <w:gridSpan w:val="3"/>
          </w:tcPr>
          <w:p>
            <w:pPr>
              <w:jc w:val="right"/>
              <w:ind w:right="64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56"/>
        </w:trPr>
        <w:tc>
          <w:tcPr>
            <w:tcW w:w="3560" w:type="dxa"/>
            <w:vAlign w:val="bottom"/>
          </w:tcPr>
          <w:p>
            <w:pPr>
              <w:spacing w:after="0"/>
              <w:rPr>
                <w:sz w:val="24"/>
                <w:szCs w:val="24"/>
                <w:color w:val="auto"/>
              </w:rPr>
            </w:pPr>
          </w:p>
        </w:tc>
        <w:tc>
          <w:tcPr>
            <w:tcW w:w="4380" w:type="dxa"/>
            <w:vAlign w:val="bottom"/>
          </w:tcPr>
          <w:p>
            <w:pPr>
              <w:jc w:val="right"/>
              <w:ind w:right="2052"/>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4" w:right="239" w:bottom="1440" w:gutter="0" w:footer="0" w:header="0"/>
        </w:sectPr>
      </w:pPr>
    </w:p>
    <w:bookmarkStart w:id="38" w:name="page39"/>
    <w:bookmarkEnd w:id="38"/>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CFO, the committee’s determination of award opportunities for annual incentive payable as a percentage of base salary at threshold, target or outstanding results for each measure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Threshold</w:t>
            </w: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Target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w:t>
            </w: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 goal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794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committee considers the competitive market in designing its incentive awards levels in the manner described above. The committee also took into account the committee’s objective of emphasizing results-based pay rather than fixed salary. The CEO’s award opportunities are higher than the opportunities for the CFO and the other NEOs as the committee takes into account his broad role with final accountability for ManpowerGroup’s global results.</w:t>
      </w:r>
    </w:p>
    <w:p>
      <w:pPr>
        <w:spacing w:after="0" w:line="10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determination of achievement of the operating objectives is based on the committee’s subjective judgment and, where applicable, achievement of quantitative measures associated with an operating objective. The committee also takes into account the CEO’s assessment of achievement of these objectives.</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committee determined that the CEO and CFO earned an incentive award for 2011 between the target and outstanding level for both EPS and EP for the year. The committee also approved an incentive award to each of the CEO and CFO based on its determination of the level of performance towards achievement of the operating objectives. Based on these accomplishments, the committee determined to pay 2011 awards as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Annual Incentive Payouts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Target Award</w:t>
            </w:r>
          </w:p>
        </w:tc>
        <w:tc>
          <w:tcPr>
            <w:tcW w:w="6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CEO</w:t>
            </w:r>
          </w:p>
        </w:tc>
        <w:tc>
          <w:tcPr>
            <w:tcW w:w="3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1,800,000</w:t>
            </w:r>
          </w:p>
        </w:tc>
        <w:tc>
          <w:tcPr>
            <w:tcW w:w="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$ 2,900,000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CFO</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$ 1,040,800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Annual Incentives – other NEOs</w:t>
      </w:r>
      <w:r>
        <w:rPr>
          <w:rFonts w:ascii="Arial" w:cs="Arial" w:eastAsia="Arial" w:hAnsi="Arial"/>
          <w:sz w:val="18"/>
          <w:szCs w:val="18"/>
          <w:b w:val="1"/>
          <w:bCs w:val="1"/>
          <w:i w:val="1"/>
          <w:iCs w:val="1"/>
          <w:color w:val="auto"/>
        </w:rPr>
        <w:t>—</w:t>
      </w:r>
      <w:r>
        <w:rPr>
          <w:rFonts w:ascii="Arial" w:cs="Arial" w:eastAsia="Arial" w:hAnsi="Arial"/>
          <w:sz w:val="18"/>
          <w:szCs w:val="18"/>
          <w:color w:val="auto"/>
        </w:rPr>
        <w:t>As stated above with respect to the CEO and CFO, using EPS as a performance goal is believed to keep the NEOs</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producing financial results that align with the interests of shareholders. AOUP was selected as the other metric for NEOs under the annual plan to encourage the other NEOs to increase profitability in their respective business units while also considering the cost of capital for carrying accounts receivable. For Mr. Sullivan, EP was also used as a performance goal because of his global functional responsibilities of oversight of ManpowerGroup’s specialty brands and the global sales organization.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AOUP goals for the NEOs for 2011 were as follows (in 000’s of USD):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10"/>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54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AOUP of Asia Pacific region and the Middle East</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$ 19,000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Francoise Gri</w:t>
            </w:r>
          </w:p>
        </w:tc>
        <w:tc>
          <w:tcPr>
            <w:tcW w:w="5420" w:type="dxa"/>
            <w:vAlign w:val="bottom"/>
          </w:tcPr>
          <w:p>
            <w:pPr>
              <w:ind w:left="520"/>
              <w:spacing w:after="0"/>
              <w:rPr>
                <w:sz w:val="20"/>
                <w:szCs w:val="20"/>
                <w:color w:val="auto"/>
              </w:rPr>
            </w:pPr>
            <w:r>
              <w:rPr>
                <w:rFonts w:ascii="Arial" w:cs="Arial" w:eastAsia="Arial" w:hAnsi="Arial"/>
                <w:sz w:val="18"/>
                <w:szCs w:val="18"/>
                <w:color w:val="auto"/>
              </w:rPr>
              <w:t>– AOUP of Southern Europe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(98,000)</w:t>
            </w:r>
          </w:p>
        </w:tc>
        <w:tc>
          <w:tcPr>
            <w:tcW w:w="1300" w:type="dxa"/>
            <w:vAlign w:val="bottom"/>
            <w:gridSpan w:val="3"/>
          </w:tcPr>
          <w:p>
            <w:pPr>
              <w:ind w:left="200"/>
              <w:spacing w:after="0"/>
              <w:rPr>
                <w:sz w:val="20"/>
                <w:szCs w:val="20"/>
                <w:color w:val="auto"/>
              </w:rPr>
            </w:pPr>
            <w:r>
              <w:rPr>
                <w:rFonts w:ascii="Arial" w:cs="Arial" w:eastAsia="Arial" w:hAnsi="Arial"/>
                <w:sz w:val="18"/>
                <w:szCs w:val="18"/>
                <w:color w:val="auto"/>
              </w:rPr>
              <w:t>$ (38,000)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Hans Leentjes</w:t>
            </w: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Northern Europe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17,000</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$ 87,000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147,000</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Jonas Prising</w:t>
            </w:r>
          </w:p>
        </w:tc>
        <w:tc>
          <w:tcPr>
            <w:tcW w:w="5420" w:type="dxa"/>
            <w:vAlign w:val="bottom"/>
          </w:tcPr>
          <w:p>
            <w:pPr>
              <w:ind w:left="520"/>
              <w:spacing w:after="0"/>
              <w:rPr>
                <w:sz w:val="20"/>
                <w:szCs w:val="20"/>
                <w:color w:val="auto"/>
              </w:rPr>
            </w:pPr>
            <w:r>
              <w:rPr>
                <w:rFonts w:ascii="Arial" w:cs="Arial" w:eastAsia="Arial" w:hAnsi="Arial"/>
                <w:sz w:val="18"/>
                <w:szCs w:val="18"/>
                <w:color w:val="auto"/>
              </w:rPr>
              <w:t>– AOUP of the Americas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(30,000)</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1"/>
              </w:rPr>
              <w:t>$ 30,000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AOUP of Right Management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$ 22,000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target level for each goal was determined based on the same methodology as is described above for the targets set for the goals for CEO and CFO.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EPS targets for the NEOs and the EP targets for Mr. Sullivan are the same as those set for the CEO and CFO, which can be found on page 35.</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4" w:right="239" w:bottom="1440" w:gutter="0" w:footer="0" w:header="0"/>
        </w:sectPr>
      </w:pPr>
    </w:p>
    <w:bookmarkStart w:id="39" w:name="page40"/>
    <w:bookmarkEnd w:id="39"/>
    <w:p>
      <w:pPr>
        <w:ind w:lef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operating objectives for the other NEOs for 2011 are summarized as follows:</w:t>
      </w:r>
    </w:p>
    <w:p>
      <w:pPr>
        <w:sectPr>
          <w:pgSz w:w="11900" w:h="16838" w:orient="portrait"/>
          <w:cols w:equalWidth="0" w:num="1">
            <w:col w:w="11420"/>
          </w:cols>
          <w:pgMar w:left="240" w:top="415" w:right="239" w:bottom="1440" w:gutter="0" w:footer="0" w:header="0"/>
        </w:sectPr>
      </w:pPr>
    </w:p>
    <w:p>
      <w:pPr>
        <w:spacing w:after="0" w:line="246" w:lineRule="exact"/>
        <w:rPr>
          <w:sz w:val="20"/>
          <w:szCs w:val="20"/>
          <w:color w:val="auto"/>
        </w:rPr>
      </w:pPr>
    </w:p>
    <w:p>
      <w:pPr>
        <w:ind w:left="580"/>
        <w:spacing w:after="0" w:line="775" w:lineRule="auto"/>
        <w:rPr>
          <w:sz w:val="20"/>
          <w:szCs w:val="20"/>
          <w:color w:val="auto"/>
        </w:rPr>
      </w:pPr>
      <w:r>
        <w:rPr>
          <w:rFonts w:ascii="Arial" w:cs="Arial" w:eastAsia="Arial" w:hAnsi="Arial"/>
          <w:sz w:val="16"/>
          <w:szCs w:val="16"/>
          <w:color w:val="auto"/>
        </w:rPr>
        <w:t>Darryl Green Francoise Gri Hans Leentjes Jonas Prising Owen J. Sullivan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Increase revenues and AOUP in strategically important markets within the Asia Pacific Region, improve operating</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leverage, ensure the successful implementation of a new global initiative in targeted markets and leverage existing</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business offerings in the Asia Pacific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Ensure the successful implementation of a new global initiative in targeted markets, improve gross margins,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establish a strong presence in key markets within Southern Europe and grow new service lines within the Southern</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Europe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Reduce ongoing costs of operations, lead the gross profit margin recovery effort in the region, achieve certain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objectives related to talent development and grow business offerings in key Northern Europe markets.</w:t>
      </w:r>
    </w:p>
    <w:p>
      <w:pPr>
        <w:spacing w:after="0" w:line="32"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w:t>
        <w:tab/>
        <w:t>Continue to promote programs to enhance and improve relationships with candidates and clients, continue to grow</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professional resourcing organization, continue to introduce and grow new services and sectors, deploy new</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technologies across the region.</w:t>
      </w:r>
    </w:p>
    <w:p>
      <w:pPr>
        <w:spacing w:after="0" w:line="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Deploy and ensure successful implementation of a global initiative within the Experis organization and increase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business collaboration among the various company business offerings .</w:t>
      </w:r>
    </w:p>
    <w:p>
      <w:pPr>
        <w:spacing w:after="0" w:line="165" w:lineRule="exact"/>
        <w:rPr>
          <w:sz w:val="20"/>
          <w:szCs w:val="20"/>
          <w:color w:val="auto"/>
        </w:rPr>
      </w:pPr>
    </w:p>
    <w:p>
      <w:pPr>
        <w:sectPr>
          <w:pgSz w:w="11900" w:h="16838" w:orient="portrait"/>
          <w:cols w:equalWidth="0" w:num="2">
            <w:col w:w="1780" w:space="560"/>
            <w:col w:w="9080"/>
          </w:cols>
          <w:pgMar w:left="240" w:top="415" w:right="239" w:bottom="1440" w:gutter="0" w:footer="0" w:header="0"/>
          <w:type w:val="continuous"/>
        </w:sectPr>
      </w:pPr>
    </w:p>
    <w:p>
      <w:pPr>
        <w:ind w:right="320" w:firstLine="456"/>
        <w:spacing w:after="0" w:line="268" w:lineRule="auto"/>
        <w:rPr>
          <w:sz w:val="20"/>
          <w:szCs w:val="20"/>
          <w:color w:val="auto"/>
        </w:rPr>
      </w:pPr>
      <w:r>
        <w:rPr>
          <w:rFonts w:ascii="Arial" w:cs="Arial" w:eastAsia="Arial" w:hAnsi="Arial"/>
          <w:sz w:val="18"/>
          <w:szCs w:val="18"/>
          <w:color w:val="auto"/>
        </w:rPr>
        <w:t>The annual incentive payable to the NEOs as a percentage of 2011 base salary for achieving threshold, target or outstanding results for each measure of results were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Françoise Gri, Hans Leentjes and Jonas Prising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88"/>
              </w:rPr>
              <w:t>Annual Percentage Payment as a</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89"/>
              </w:rPr>
              <w:t>Percentage of 2011 Base Salary</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b w:val="1"/>
                <w:bCs w:val="1"/>
                <w:color w:val="auto"/>
                <w:w w:val="82"/>
              </w:rPr>
              <w:t>Threshold</w:t>
            </w: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700"/>
              <w:spacing w:after="0" w:line="142"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13.75%</w:t>
            </w:r>
          </w:p>
        </w:tc>
        <w:tc>
          <w:tcPr>
            <w:tcW w:w="80" w:type="dxa"/>
            <w:vAlign w:val="bottom"/>
            <w:vMerge w:val="continue"/>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41.25%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w:t>
            </w:r>
          </w:p>
        </w:tc>
        <w:tc>
          <w:tcPr>
            <w:tcW w:w="138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6.25%</w:t>
            </w:r>
          </w:p>
        </w:tc>
        <w:tc>
          <w:tcPr>
            <w:tcW w:w="124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2"/>
        </w:trPr>
        <w:tc>
          <w:tcPr>
            <w:tcW w:w="7860" w:type="dxa"/>
            <w:vAlign w:val="bottom"/>
          </w:tcPr>
          <w:p>
            <w:pPr>
              <w:ind w:left="440"/>
              <w:spacing w:after="0"/>
              <w:rPr>
                <w:sz w:val="20"/>
                <w:szCs w:val="20"/>
                <w:color w:val="auto"/>
              </w:rPr>
            </w:pPr>
            <w:r>
              <w:rPr>
                <w:rFonts w:ascii="Arial" w:cs="Arial" w:eastAsia="Arial" w:hAnsi="Arial"/>
                <w:sz w:val="18"/>
                <w:szCs w:val="18"/>
                <w:color w:val="auto"/>
              </w:rPr>
              <w:t>Total</w:t>
            </w:r>
          </w:p>
        </w:tc>
        <w:tc>
          <w:tcPr>
            <w:tcW w:w="1380" w:type="dxa"/>
            <w:vAlign w:val="bottom"/>
            <w:gridSpan w:val="4"/>
          </w:tcPr>
          <w:p>
            <w:pPr>
              <w:jc w:val="right"/>
              <w:ind w:right="392"/>
              <w:spacing w:after="0"/>
              <w:rPr>
                <w:sz w:val="20"/>
                <w:szCs w:val="20"/>
                <w:color w:val="auto"/>
              </w:rPr>
            </w:pPr>
            <w:r>
              <w:rPr>
                <w:rFonts w:ascii="Arial" w:cs="Arial" w:eastAsia="Arial" w:hAnsi="Arial"/>
                <w:sz w:val="18"/>
                <w:szCs w:val="18"/>
                <w:color w:val="auto"/>
              </w:rPr>
              <w:t>25.0%</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b w:val="1"/>
                <w:bCs w:val="1"/>
                <w:color w:val="auto"/>
              </w:rPr>
              <w:t>Owen Sullivan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Annual Incentive Payment as a</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Percentage of 2011 Base Salary</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380" w:type="dxa"/>
            <w:vAlign w:val="bottom"/>
            <w:gridSpan w:val="4"/>
          </w:tcPr>
          <w:p>
            <w:pPr>
              <w:jc w:val="right"/>
              <w:ind w:right="712"/>
              <w:spacing w:after="0" w:line="142" w:lineRule="exact"/>
              <w:rPr>
                <w:sz w:val="20"/>
                <w:szCs w:val="20"/>
                <w:color w:val="auto"/>
              </w:rPr>
            </w:pPr>
            <w:r>
              <w:rPr>
                <w:rFonts w:ascii="Arial" w:cs="Arial" w:eastAsia="Arial" w:hAnsi="Arial"/>
                <w:sz w:val="14"/>
                <w:szCs w:val="14"/>
                <w:b w:val="1"/>
                <w:bCs w:val="1"/>
                <w:color w:val="auto"/>
                <w:w w:val="85"/>
              </w:rPr>
              <w:t>Threshold</w:t>
            </w:r>
          </w:p>
        </w:tc>
        <w:tc>
          <w:tcPr>
            <w:tcW w:w="124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93"/>
              </w:rPr>
              <w:t>Target</w:t>
            </w: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w:t>
            </w: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EPS Goal</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EP Goal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Operating Objectives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6.25%</w:t>
            </w:r>
          </w:p>
        </w:tc>
        <w:tc>
          <w:tcPr>
            <w:tcW w:w="620" w:type="dxa"/>
            <w:vAlign w:val="bottom"/>
          </w:tcPr>
          <w:p>
            <w:pPr>
              <w:spacing w:after="0"/>
              <w:rPr>
                <w:sz w:val="18"/>
                <w:szCs w:val="18"/>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8"/>
                <w:szCs w:val="18"/>
                <w:color w:val="auto"/>
                <w:w w:val="98"/>
              </w:rPr>
              <w:t>18.75%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of the NEOs earned an incentive between the target and outstanding award for the EPS financial goal for 2011. For the AOUP financial goals for each of the NEOs, Mr. Green and Mr. Prising received an incentive between the target and outstanding award level and Ms. Gri and Mr. Leentjes received an incentive between the threshold and target award level. Mr. Sullivan did not receive an award for his AOUP financial goal as Right Management’s AOUP for 2011 did not meet the threshold level. Mr. Sullivan did receive an award between target and outstanding for the EP goal. The committee, based upon the recommendation of the CEO, did approve incentive awards to each of the NEOs that were determined to be appropriate based on the achievement of each NEO’s operational objectives for the year.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15" w:right="23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these accomplishments, the committee determined to pay 2011 awards to the other NEOs as follows: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Annual Incentive Payouts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Actual</w:t>
            </w:r>
          </w:p>
        </w:tc>
      </w:tr>
      <w:tr>
        <w:trPr>
          <w:trHeight w:val="161"/>
        </w:trPr>
        <w:tc>
          <w:tcPr>
            <w:tcW w:w="4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Award</w:t>
            </w:r>
          </w:p>
        </w:tc>
        <w:tc>
          <w:tcPr>
            <w:tcW w:w="6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Award</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Darryl Green</w:t>
            </w:r>
          </w:p>
        </w:tc>
        <w:tc>
          <w:tcPr>
            <w:tcW w:w="3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$356,250</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$657,638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Francoise Gri(1)</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$433,026</w:t>
            </w:r>
          </w:p>
        </w:tc>
        <w:tc>
          <w:tcPr>
            <w:tcW w:w="128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$548,268</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Hans Leentjes(2)</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$281,684</w:t>
            </w:r>
          </w:p>
        </w:tc>
        <w:tc>
          <w:tcPr>
            <w:tcW w:w="12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$326,941</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Jonas Prising</w:t>
            </w:r>
          </w:p>
        </w:tc>
        <w:tc>
          <w:tcPr>
            <w:tcW w:w="4200" w:type="dxa"/>
            <w:vAlign w:val="bottom"/>
            <w:gridSpan w:val="2"/>
          </w:tcPr>
          <w:p>
            <w:pPr>
              <w:jc w:val="center"/>
              <w:ind w:left="3412"/>
              <w:spacing w:after="0"/>
              <w:rPr>
                <w:sz w:val="20"/>
                <w:szCs w:val="20"/>
                <w:color w:val="auto"/>
              </w:rPr>
            </w:pPr>
            <w:r>
              <w:rPr>
                <w:rFonts w:ascii="Arial" w:cs="Arial" w:eastAsia="Arial" w:hAnsi="Arial"/>
                <w:sz w:val="18"/>
                <w:szCs w:val="18"/>
                <w:color w:val="auto"/>
                <w:w w:val="87"/>
              </w:rPr>
              <w:t>$356,250</w:t>
            </w:r>
          </w:p>
        </w:tc>
        <w:tc>
          <w:tcPr>
            <w:tcW w:w="128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$505,258</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00" w:type="dxa"/>
            <w:vAlign w:val="bottom"/>
            <w:gridSpan w:val="2"/>
            <w:shd w:val="clear" w:color="auto" w:fill="CCEEFF"/>
          </w:tcPr>
          <w:p>
            <w:pPr>
              <w:jc w:val="center"/>
              <w:ind w:left="3412"/>
              <w:spacing w:after="0"/>
              <w:rPr>
                <w:sz w:val="20"/>
                <w:szCs w:val="20"/>
                <w:color w:val="auto"/>
              </w:rPr>
            </w:pPr>
            <w:r>
              <w:rPr>
                <w:rFonts w:ascii="Arial" w:cs="Arial" w:eastAsia="Arial" w:hAnsi="Arial"/>
                <w:sz w:val="18"/>
                <w:szCs w:val="18"/>
                <w:color w:val="auto"/>
                <w:w w:val="87"/>
              </w:rPr>
              <w:t>$356,250</w:t>
            </w:r>
          </w:p>
        </w:tc>
        <w:tc>
          <w:tcPr>
            <w:tcW w:w="12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$473,670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Gri’s target award and actual award received have been translated at an exchange rate of 1.3122 (in U.S. Dollars), which was the exchange rate on March 12, 2007, the date Ms. Gri joined ManpowerGroup.</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Leentjes’ target award and actual award received have been translated at an exchange rate of 1.2951 (in U.S. Dollars), which was the exchange rate on January 10, 2011, the date Mr. Leentjes was promoted to Executive Vice President, President of Northern Europe.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stated earlier, our shareholders approved The Manpower Inc. Corporate Senior Management Annual Incentive Pool Plan (the “Pool Plan”). The design of the Pool Plan enables the committee to use negative discretion to establish bonuses for our NEOs based on a subjective assessment of the individual’s achievements and the feedback from our CEO about the individual’s performance and overall contribution to the company, while maintaining the ability to deduct the bonuses to the greatest extent permitted under Section 162(m) of the Internal Revenue Code.</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2012, the committee determined the annual incentive awards for the certain NEOs under the Pool Plan cannot exceed a percent of gross profit. The maximum amount of the individual awards for each participating NEO will be the lesser of the shareholder approved maximum under the Pool Plan of $5.0 million or a percentage of the gross profit pool as approved by the committee in advance. The total bonus payout to executives cannot exceed 100% of the pool. Within this structure, the committee intends to use its negative discretion and determine bonuses for our NEOs by continuing to use the goals of EPS, EP, AOUP and various operational objectives to calculate the amount payable to each of the NEOs.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Beginning in 2011, 50% of the long-term incentive grants granted to the NEOs were in the form of performance share units, 30% were in the form of stock options and 20% were in the form of restricted stock units. Prior to 2011, the long-term incentive grants to the NEOs consisted of 60% stock options and 40% performance share units. The number of stock options, performance share units and restricted stock units granted to each NEO are shown in the Grants of Plan Based Awards table.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Consistent with past years, the stock options granted in 2011 vest ratably over a four-year period.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stated earlier, the committee chose to include restricted stock units to provide a retention incentive to the NEOs as they are only payable in stock if the NEO remains with the Company through the vesting date. The restricted stock units have a three-year cliff vest.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2011, performance share units granted are based on achievement of a pre-established goal for operating profit margin for 2011. Of these performance shares earned in 2011, 50% will vest at the end of 2012 and the remaining 50% will vest at the end of 2013. This approach emphasizes profit margin growth recovery after the economic downturn and provides a longer term retention incentive.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34" w:right="259" w:bottom="1440" w:gutter="0" w:footer="0" w:header="0"/>
        </w:sectPr>
      </w:pPr>
    </w:p>
    <w:bookmarkStart w:id="41" w:name="page42"/>
    <w:bookmarkEnd w:id="41"/>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goals established by the committee for the 2011 performance period for these performance share units and the payout percentage associated with each:</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Threshold</w:t>
            </w: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Target</w:t>
            </w: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Profit Margin in 2011</w:t>
            </w:r>
          </w:p>
        </w:tc>
        <w:tc>
          <w:tcPr>
            <w:tcW w:w="2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shd w:val="clear" w:color="auto" w:fill="CCEEFF"/>
          </w:tcPr>
          <w:p>
            <w:pPr>
              <w:spacing w:after="0"/>
              <w:rPr>
                <w:sz w:val="18"/>
                <w:szCs w:val="18"/>
                <w:color w:val="auto"/>
              </w:rPr>
            </w:pPr>
          </w:p>
        </w:tc>
        <w:tc>
          <w:tcPr>
            <w:tcW w:w="21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3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2.20%</w:t>
            </w:r>
          </w:p>
        </w:tc>
        <w:tc>
          <w:tcPr>
            <w:tcW w:w="3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Payout Percentage</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50%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An operating profit “gate” was also established for the performance share units to ensure operating profits margins were achieved without significantly decreasing revenues. If operating profit in 2011 had not been at or above the pre-established U.S. Dollar value of $308.5 million, participants could not have received more than 100% of the target level payout regardless of the improvement in operating profit margin.</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After conclusion of the 2011 performance period, the committee determined, using the payout table above, that the Company’s operating profit margin was between the target and outstanding range and that the operating dollar gate was reached. Therefore, the NEOs performance share units will be settled in the form of common stock in the following numbers at the end of 2012 and 2013 as long as the NEOs are still employed at the vesting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Performance</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Value at</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Performance</w:t>
            </w:r>
          </w:p>
        </w:tc>
      </w:tr>
      <w:tr>
        <w:trPr>
          <w:trHeight w:val="134"/>
        </w:trPr>
        <w:tc>
          <w:tcPr>
            <w:tcW w:w="2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440" w:type="dxa"/>
            <w:vAlign w:val="bottom"/>
            <w:gridSpan w:val="2"/>
          </w:tcPr>
          <w:p>
            <w:pPr>
              <w:jc w:val="right"/>
              <w:ind w:right="720"/>
              <w:spacing w:after="0" w:line="135" w:lineRule="exact"/>
              <w:rPr>
                <w:sz w:val="20"/>
                <w:szCs w:val="20"/>
                <w:color w:val="auto"/>
              </w:rPr>
            </w:pPr>
            <w:r>
              <w:rPr>
                <w:rFonts w:ascii="Arial" w:cs="Arial" w:eastAsia="Arial" w:hAnsi="Arial"/>
                <w:sz w:val="14"/>
                <w:szCs w:val="14"/>
                <w:b w:val="1"/>
                <w:bCs w:val="1"/>
                <w:color w:val="auto"/>
                <w:w w:val="89"/>
              </w:rPr>
              <w:t>Share Units</w:t>
            </w:r>
          </w:p>
        </w:tc>
        <w:tc>
          <w:tcPr>
            <w:tcW w:w="14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8"/>
              </w:rPr>
              <w:t>Date of</w:t>
            </w:r>
          </w:p>
        </w:tc>
        <w:tc>
          <w:tcPr>
            <w:tcW w:w="154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6"/>
              </w:rPr>
              <w:t>Performance</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 Units</w:t>
            </w:r>
          </w:p>
        </w:tc>
      </w:tr>
      <w:tr>
        <w:trPr>
          <w:trHeight w:val="182"/>
        </w:trPr>
        <w:tc>
          <w:tcPr>
            <w:tcW w:w="2260" w:type="dxa"/>
            <w:vAlign w:val="bottom"/>
          </w:tcPr>
          <w:p>
            <w:pPr>
              <w:spacing w:after="0"/>
              <w:rPr>
                <w:sz w:val="15"/>
                <w:szCs w:val="15"/>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Executive Officer</w:t>
            </w:r>
          </w:p>
        </w:tc>
        <w:tc>
          <w:tcPr>
            <w:tcW w:w="2820" w:type="dxa"/>
            <w:vAlign w:val="bottom"/>
          </w:tcPr>
          <w:p>
            <w:pPr>
              <w:spacing w:after="0"/>
              <w:rPr>
                <w:sz w:val="15"/>
                <w:szCs w:val="15"/>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Granted (#)</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Grant</w:t>
            </w: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Payout %</w:t>
            </w:r>
          </w:p>
        </w:tc>
        <w:tc>
          <w:tcPr>
            <w:tcW w:w="8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Earned (#)</w:t>
            </w:r>
            <w:r>
              <w:rPr>
                <w:rFonts w:ascii="Arial" w:cs="Arial" w:eastAsia="Arial" w:hAnsi="Arial"/>
                <w:sz w:val="18"/>
                <w:szCs w:val="18"/>
                <w:b w:val="1"/>
                <w:bCs w:val="1"/>
                <w:color w:val="auto"/>
                <w:vertAlign w:val="superscript"/>
              </w:rPr>
              <w:t>(1)</w:t>
            </w:r>
          </w:p>
        </w:tc>
      </w:tr>
      <w:tr>
        <w:trPr>
          <w:trHeight w:val="203"/>
        </w:trPr>
        <w:tc>
          <w:tcPr>
            <w:tcW w:w="3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Joerres</w:t>
            </w:r>
          </w:p>
        </w:tc>
        <w:tc>
          <w:tcPr>
            <w:tcW w:w="2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52,146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3,500,040</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Van Handel</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18,624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1,250,043</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14,154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950,016</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Gri</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158%</w:t>
            </w:r>
          </w:p>
        </w:tc>
        <w:tc>
          <w:tcPr>
            <w:tcW w:w="76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Leentjes</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5,960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400,035</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Prising</w:t>
            </w:r>
          </w:p>
        </w:tc>
        <w:tc>
          <w:tcPr>
            <w:tcW w:w="4260" w:type="dxa"/>
            <w:vAlign w:val="bottom"/>
            <w:gridSpan w:val="3"/>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Sullivan</w:t>
            </w:r>
          </w:p>
        </w:tc>
        <w:tc>
          <w:tcPr>
            <w:tcW w:w="4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500,044</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of the performance shares earned will vest at the end of 2012 and 50% at the end of 2013.</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ultimate value of the performance share units earned is dependent on the stock price at the time of vesting. Therefore, depending on the stock price on the date the NEOs actually receive the shares, the realized long-term value of the performance share units could be either greater or less than the value at the date of grant.</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performance share units granted to the NEO’s in 2010, performance share units were earned based on achievement of a goal for operating profit margin for 2010 and maintaining at least the threshold level of operating profit margin in 2011. At the close of the 2010-2011 performance period, the committee determined that the Company’s operating profit margin was between the target and outstanding level for 2010 and the threshold operating profit margin level was maintained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actual payout value of the 2010 performance share unit grant for each of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Value at</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Change</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 of Target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Executive Officer</w:t>
            </w:r>
          </w:p>
        </w:tc>
        <w:tc>
          <w:tcPr>
            <w:tcW w:w="116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Share Units</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Date of</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in Stock</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 Units</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Value at</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 Value</w:t>
            </w:r>
          </w:p>
        </w:tc>
        <w:tc>
          <w:tcPr>
            <w:tcW w:w="0" w:type="dxa"/>
            <w:vAlign w:val="bottom"/>
          </w:tcPr>
          <w:p>
            <w:pPr>
              <w:spacing w:after="0"/>
              <w:rPr>
                <w:sz w:val="1"/>
                <w:szCs w:val="1"/>
                <w:color w:val="auto"/>
              </w:rPr>
            </w:pPr>
          </w:p>
        </w:tc>
      </w:tr>
      <w:tr>
        <w:trPr>
          <w:trHeight w:val="168"/>
        </w:trPr>
        <w:tc>
          <w:tcPr>
            <w:tcW w:w="760" w:type="dxa"/>
            <w:vAlign w:val="bottom"/>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Granted (#)</w:t>
            </w:r>
          </w:p>
        </w:tc>
        <w:tc>
          <w:tcPr>
            <w:tcW w:w="12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Grant</w:t>
            </w: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Payout %</w:t>
            </w:r>
          </w:p>
        </w:tc>
        <w:tc>
          <w:tcPr>
            <w:tcW w:w="11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0"/>
              </w:rPr>
              <w:t>Earned (#)</w:t>
            </w:r>
          </w:p>
        </w:tc>
        <w:tc>
          <w:tcPr>
            <w:tcW w:w="12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9"/>
              </w:rPr>
              <w:t>Payout</w:t>
            </w:r>
          </w:p>
        </w:tc>
        <w:tc>
          <w:tcPr>
            <w:tcW w:w="9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Realized</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Joerres</w:t>
            </w:r>
          </w:p>
        </w:tc>
        <w:tc>
          <w:tcPr>
            <w:tcW w:w="1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41,000</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2,173,410</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75,030</w:t>
            </w: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3,389,105</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Van Handel</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795,150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27,450</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1,239,917</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Gri</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Leentjes(1)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Prising</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Sullivan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318,060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10,980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495,967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Leentjes did not receive any performance share units in 2010 because he was not an executive officer of ManpowerGroup on the date of grant.</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39</w:t>
      </w:r>
    </w:p>
    <w:p>
      <w:pPr>
        <w:sectPr>
          <w:pgSz w:w="11900" w:h="16838" w:orient="portrait"/>
          <w:cols w:equalWidth="0" w:num="1">
            <w:col w:w="11420"/>
          </w:cols>
          <w:pgMar w:left="240" w:top="334" w:right="239" w:bottom="1440" w:gutter="0" w:footer="0" w:header="0"/>
        </w:sectPr>
      </w:pPr>
    </w:p>
    <w:bookmarkStart w:id="42" w:name="page43"/>
    <w:bookmarkEnd w:id="4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the performance payout percentage was 183% of the target grant value, because of the decrease in the stock price from the original grant date in 2010 the value of the actual payouts were reduced to 156% of the target grant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 and 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Career shares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committee selectively grants restricted stock units to the NEOs that vest completely on a single date several years into the future to provide a retention incentive as well as deferred compensation benefits. The committee considers each year whether to make any such grants, to whom to make such grants and the size of such grants. The committee makes these determinations by taking into account what is most appropriate for an NEO in view of the retention incentive provided by the award and the perceived need to supplement the NEO’s deferred compensation benefits. In 2011, career shares were granted to Mr. Prising and Mr. Sullivan.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Nonqualified Savings Plan</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ManpowerGroup maintains a separate non-qualified savings plan for “highly compensated” employees, including eligible executives. The non-qualified plan provides similar benefits to the tax-qualified 401(k) plans, including a company match and profit sharing. However, the nonqualified savings plan is a poor substitute because of the inflexibility as to the timing of the payouts of the retirement benefits relative to a qualified plan and the plan benefits are unsecured and subject to risk of forfeiture in bankruptcy. The committee maintains this program in an effort to provide NEOs with reasonably competitive benefits to those in the competitive market.</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Dutch Pension Plan</w:t>
      </w:r>
    </w:p>
    <w:p>
      <w:pPr>
        <w:spacing w:after="0" w:line="90"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When Mr. Leentjes was promoted to the position of Executive Vice President, President of Northern Europe, he was permitted to continue his participation in the Manpower Management B.V. pension plan applicable to ManpowerGroup employees in the Netherlands. This plan is described in further detail on page 56.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2011. ManpowerGroup also maintains a broad-based auto program that covers approximately 181 management employees in the U.S., including the U.S.-based NEOs. Pursuant to this program, ManpowerGroup pays 75% of the cost of a leased car for the NEOs based in the U.S. Consistent with local practice in each of the countries in which the other NEOs are located, ManpowerGroup provides Ms. Gri and Mr. Leentjes with a company car and Mr. Green with a car allowance. All of these car programs are an integral part of ManpowerGroup’s benefit package and are viewed as a high value benefit by the NEOs.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34" w:right="25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Agreements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To align our executive compensation program with best governance practices within the committee’s philosophy, the committee has eliminated any tax gross up payments to our CEO and CFO and continue to use double triggers in our severance agreements in order for our NEOs to receive benefits during a change in control.</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NEOs, other than Ms. Gri. These severance agreements are more fully described on page 59.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committee believes that NEOs and other senior executives should hold a meaningful stake in ManpowerGroup to align their economic interests with those of the shareholders. To that end, the committee adopted stock ownership guidelines that are based on the stock price and base salary in effect on December 31, 2005. The committee set a goal of five years for these senior executives to attain the targeted ownership levels. During 2011, the committee amended the stock ownership guidelines, changing the type of equity that is included in determining whether the targeted ownership levels have been met. Under the amended guidelines, the committee only takes into account actual shares owned, unvested restricted stock or restricted stock units and unvested performance share units at the threshold level. Previous to 2011, the committee included shares owned and vested stock options. Under the new method, the committee does not consider any stock options or performance share units above the threshold level held by the NEOs. The company also adopted a policy that requires any senior executive that has not met the guidelines to hold 50% of any of the shares received from either exercise or vesting until the guidelines have been met. As indicated in the following table, as of December 31, 2011, each of the NEOs had met these guidelines, except for Mr. Leentjes who was recently promoted to be an executive officer of the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 as</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Target</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shares held as</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NEO</w:t>
            </w:r>
          </w:p>
        </w:tc>
        <w:tc>
          <w:tcPr>
            <w:tcW w:w="22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a multiple</w:t>
            </w:r>
          </w:p>
        </w:tc>
        <w:tc>
          <w:tcPr>
            <w:tcW w:w="14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Target</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number of</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of December 31,</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Status as of</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2280" w:type="dxa"/>
            <w:vAlign w:val="bottom"/>
          </w:tcPr>
          <w:p>
            <w:pPr>
              <w:spacing w:after="0"/>
              <w:rPr>
                <w:sz w:val="14"/>
                <w:szCs w:val="14"/>
                <w:color w:val="auto"/>
              </w:rPr>
            </w:pPr>
          </w:p>
        </w:tc>
        <w:tc>
          <w:tcPr>
            <w:tcW w:w="11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of salary</w:t>
            </w:r>
          </w:p>
        </w:tc>
        <w:tc>
          <w:tcPr>
            <w:tcW w:w="144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rPr>
              <w:t>value($)</w:t>
            </w:r>
          </w:p>
        </w:tc>
        <w:tc>
          <w:tcPr>
            <w:tcW w:w="11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3"/>
              </w:rPr>
              <w:t>shares(#)</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2011(#)</w:t>
            </w:r>
          </w:p>
        </w:tc>
        <w:tc>
          <w:tcPr>
            <w:tcW w:w="520" w:type="dxa"/>
            <w:vAlign w:val="bottom"/>
          </w:tcPr>
          <w:p>
            <w:pPr>
              <w:spacing w:after="0"/>
              <w:rPr>
                <w:sz w:val="14"/>
                <w:szCs w:val="14"/>
                <w:color w:val="auto"/>
              </w:rPr>
            </w:pPr>
          </w:p>
        </w:tc>
        <w:tc>
          <w:tcPr>
            <w:tcW w:w="1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203"/>
        </w:trPr>
        <w:tc>
          <w:tcPr>
            <w:tcW w:w="2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5,000,000</w:t>
            </w: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107,526</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353,695</w:t>
            </w:r>
          </w:p>
        </w:tc>
        <w:tc>
          <w:tcPr>
            <w:tcW w:w="5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1,500,000</w:t>
            </w:r>
          </w:p>
        </w:tc>
        <w:tc>
          <w:tcPr>
            <w:tcW w:w="640" w:type="dxa"/>
            <w:vAlign w:val="bottom"/>
          </w:tcPr>
          <w:p>
            <w:pPr>
              <w:jc w:val="right"/>
              <w:spacing w:after="0"/>
              <w:rPr>
                <w:sz w:val="20"/>
                <w:szCs w:val="20"/>
                <w:color w:val="auto"/>
              </w:rPr>
            </w:pPr>
            <w:r>
              <w:rPr>
                <w:rFonts w:ascii="Arial" w:cs="Arial" w:eastAsia="Arial" w:hAnsi="Arial"/>
                <w:sz w:val="18"/>
                <w:szCs w:val="18"/>
                <w:color w:val="auto"/>
              </w:rPr>
              <w:t>32,258</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114,337</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Green</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850,000(1)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Francoise Gri</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1,049,760(1)</w:t>
            </w:r>
          </w:p>
        </w:tc>
        <w:tc>
          <w:tcPr>
            <w:tcW w:w="640" w:type="dxa"/>
            <w:vAlign w:val="bottom"/>
          </w:tcPr>
          <w:p>
            <w:pPr>
              <w:jc w:val="right"/>
              <w:spacing w:after="0"/>
              <w:rPr>
                <w:sz w:val="20"/>
                <w:szCs w:val="20"/>
                <w:color w:val="auto"/>
              </w:rPr>
            </w:pPr>
            <w:r>
              <w:rPr>
                <w:rFonts w:ascii="Arial" w:cs="Arial" w:eastAsia="Arial" w:hAnsi="Arial"/>
                <w:sz w:val="18"/>
                <w:szCs w:val="18"/>
                <w:color w:val="auto"/>
              </w:rPr>
              <w:t>14,212</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26,854</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751,100(1)</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Progressing Against Goal</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3400" w:type="dxa"/>
            <w:vAlign w:val="bottom"/>
            <w:gridSpan w:val="3"/>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700,000</w:t>
            </w:r>
          </w:p>
        </w:tc>
        <w:tc>
          <w:tcPr>
            <w:tcW w:w="640" w:type="dxa"/>
            <w:vAlign w:val="bottom"/>
          </w:tcPr>
          <w:p>
            <w:pPr>
              <w:jc w:val="right"/>
              <w:spacing w:after="0"/>
              <w:rPr>
                <w:sz w:val="20"/>
                <w:szCs w:val="20"/>
                <w:color w:val="auto"/>
              </w:rPr>
            </w:pPr>
            <w:r>
              <w:rPr>
                <w:rFonts w:ascii="Arial" w:cs="Arial" w:eastAsia="Arial" w:hAnsi="Arial"/>
                <w:sz w:val="18"/>
                <w:szCs w:val="18"/>
                <w:color w:val="auto"/>
              </w:rPr>
              <w:t>15,053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50,732</w:t>
            </w: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 Met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NEOs that became NEOs after 2005, the target values are based on their respective salaries in effect at the time each became an NEO and the stock price on the date of hire or promotion.</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Hedging Policy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ManpowerGroup has adopted a policy prohibiting designated individuals, including the NEOs, from engaging in short-selling of ManpowerGroup securities and buying and selling puts and calls on ManpowerGroup securities without advance approval. To date, no designated individual has requested approval to engage in such a transaction.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5" w:right="23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Expatriate policies</w:t>
      </w:r>
    </w:p>
    <w:p>
      <w:pPr>
        <w:spacing w:after="0" w:line="9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that are assigned outside of their home country, which eliminate any tax disadvantages caused by relocation and compensate them for the disruption it causes to them and to their families.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Prising was provided certain benefits in connection with his assignment to the U.S. to lead ManpowerGroup’s American operations. The assignment agreement provided for benefits related to Mr. Prising’s relocation, including eligibility to participate in an automobile program, payment or reimbursement for housing, tuition, tax preparation, moving and return visit expenses, and tax equalization and tax gross up payments. The initial term of Mr. Prising’s assignment was three years, but the term was extended for an additional two years in December of 2008 and then for one more year in March 2011, extending the benefits until December 31, 2011. Mr. Prising no longer receives these benefits. Mr. Green also has similar benefits associated with his position leading ManpowerGroup’s Asia-Pacific and Middle East operations, although there is no fixed term for Mr. Green’s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ManpowerGroup</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 $1,000,000 for any fiscal year paid to the corporation’s CEO and three most highly compensated executive officers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Plan and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NEOs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15"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EXECUTIVE COMPENSATION AND HUMAN RESOURCES COMMITTEE OF THE BOARD OF DIRECTORS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executive compensation and human resources committee of the board of directors of Manpower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Jack M. Greenberg, Chairman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 J. Bolland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William Downe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Elizabeth P. Sartain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R. Walter</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AND HUMAN RESOURCES COMMITTEE INTERLOCKS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INSIDER PARTICIPATION</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 or any of our subsidiaries and none of our executive officers has served on the compensation committee or board of directors of any company of which any of our other directors is an executive officer.</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In general, each of our incentive plans has a threshold, target and outstanding payout level, which is not material to the Company, that is earned based on the results of the financial metrics. In addition, there is an approval process of the various incentive plans in each country, which are approved by the country manager and financial manager in the respective country to ensure the growth metrics are based on company performance. In addition, incentives are generally not a major portion of an individual’s salary, other than for our executives officers, who participate in the Corporate Senior Management Annual Incentive Plan and the Pool Plan described above.</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largest and most significant incentive plan through 2011 is the Corporate Senior Management Annual Incentive Plan and beginning in 2012, the Pool Plan, which is the plan in which our executive officers participate. The executive compensation and human resources committee has general oversight of this plan and has capped the total incentive payout for each executive. The cap has been set at a level such that employees cannot receive a bonus that is significant enough to create a significant risk to the Company. In addition, the committee has established financial metrics for each of the executive officers, which focus on company-wide and segment-wide goals and objectives, and the results of those metrics are reviewed and approved at multiple levels in the Company.</w:t>
      </w:r>
    </w:p>
    <w:p>
      <w:pPr>
        <w:spacing w:after="0" w:line="10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09"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Change in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Pension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Value and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Qualified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Deferred</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1"/>
              </w:rPr>
              <w:t>Name &amp;</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Salary</w:t>
            </w:r>
          </w:p>
        </w:tc>
        <w:tc>
          <w:tcPr>
            <w:tcW w:w="6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77"/>
              </w:rPr>
              <w:t>Bonus</w:t>
            </w: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Earnings</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7"/>
              </w:rPr>
              <w:t>Principal Position</w:t>
            </w:r>
          </w:p>
        </w:tc>
        <w:tc>
          <w:tcPr>
            <w:tcW w:w="180" w:type="dxa"/>
            <w:vAlign w:val="bottom"/>
          </w:tcPr>
          <w:p>
            <w:pPr>
              <w:spacing w:after="0"/>
              <w:rPr>
                <w:sz w:val="12"/>
                <w:szCs w:val="12"/>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5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2"/>
                <w:szCs w:val="12"/>
                <w:color w:val="auto"/>
              </w:rPr>
            </w:pPr>
          </w:p>
        </w:tc>
        <w:tc>
          <w:tcPr>
            <w:tcW w:w="3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($)(2)</w:t>
            </w:r>
          </w:p>
        </w:tc>
        <w:tc>
          <w:tcPr>
            <w:tcW w:w="26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($)(5)</w:t>
            </w:r>
          </w:p>
        </w:tc>
        <w:tc>
          <w:tcPr>
            <w:tcW w:w="260" w:type="dxa"/>
            <w:vAlign w:val="bottom"/>
          </w:tcPr>
          <w:p>
            <w:pPr>
              <w:spacing w:after="0"/>
              <w:rPr>
                <w:sz w:val="12"/>
                <w:szCs w:val="12"/>
                <w:color w:val="auto"/>
              </w:rPr>
            </w:pPr>
          </w:p>
        </w:tc>
        <w:tc>
          <w:tcPr>
            <w:tcW w:w="66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Jeffrey A. Joerres</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2011</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1,200,000</w:t>
            </w: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4,900,096</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1,779,883</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2,900,000</w:t>
            </w:r>
          </w:p>
        </w:tc>
        <w:tc>
          <w:tcPr>
            <w:tcW w:w="2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4"/>
                <w:szCs w:val="14"/>
                <w:color w:val="auto"/>
              </w:rPr>
              <w:t>11,921(4)</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160,271</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10,952,171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CEO</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2,173,410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3,184,268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2,305,521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9,982</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68,517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8,741,698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980,769</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1,548,000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2,547,675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11,208</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70,916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5,358,568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600,000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1,750,087</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635,682</w:t>
            </w:r>
          </w:p>
        </w:tc>
        <w:tc>
          <w:tcPr>
            <w:tcW w:w="840" w:type="dxa"/>
            <w:vAlign w:val="bottom"/>
          </w:tcPr>
          <w:p>
            <w:pPr>
              <w:jc w:val="right"/>
              <w:spacing w:after="0"/>
              <w:rPr>
                <w:sz w:val="20"/>
                <w:szCs w:val="20"/>
                <w:color w:val="auto"/>
              </w:rPr>
            </w:pPr>
            <w:r>
              <w:rPr>
                <w:rFonts w:ascii="Arial" w:cs="Arial" w:eastAsia="Arial" w:hAnsi="Arial"/>
                <w:sz w:val="14"/>
                <w:szCs w:val="14"/>
                <w:color w:val="auto"/>
              </w:rPr>
              <w:t>1,040,800</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13,234(4)</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79,434</w:t>
            </w:r>
          </w:p>
        </w:tc>
        <w:tc>
          <w:tcPr>
            <w:tcW w:w="660" w:type="dxa"/>
            <w:vAlign w:val="bottom"/>
          </w:tcPr>
          <w:p>
            <w:pPr>
              <w:jc w:val="right"/>
              <w:spacing w:after="0"/>
              <w:rPr>
                <w:sz w:val="20"/>
                <w:szCs w:val="20"/>
                <w:color w:val="auto"/>
              </w:rPr>
            </w:pPr>
            <w:r>
              <w:rPr>
                <w:rFonts w:ascii="Arial" w:cs="Arial" w:eastAsia="Arial" w:hAnsi="Arial"/>
                <w:sz w:val="14"/>
                <w:szCs w:val="14"/>
                <w:color w:val="auto"/>
              </w:rPr>
              <w:t>4,119,237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550,000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795,150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9"/>
              </w:rPr>
              <w:t>1,027,834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845,358</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11,134</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46,456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3,275,932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539,423</w:t>
            </w:r>
          </w:p>
        </w:tc>
        <w:tc>
          <w:tcPr>
            <w:tcW w:w="2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619,200</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815,256</w:t>
            </w:r>
          </w:p>
        </w:tc>
        <w:tc>
          <w:tcPr>
            <w:tcW w:w="840" w:type="dxa"/>
            <w:vAlign w:val="bottom"/>
          </w:tcPr>
          <w:p>
            <w:pPr>
              <w:jc w:val="right"/>
              <w:spacing w:after="0"/>
              <w:rPr>
                <w:sz w:val="20"/>
                <w:szCs w:val="20"/>
                <w:color w:val="auto"/>
              </w:rPr>
            </w:pPr>
            <w:r>
              <w:rPr>
                <w:rFonts w:ascii="Arial" w:cs="Arial" w:eastAsia="Arial" w:hAnsi="Arial"/>
                <w:sz w:val="14"/>
                <w:szCs w:val="14"/>
                <w:color w:val="auto"/>
              </w:rPr>
              <w:t>125,000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12,529</w:t>
            </w:r>
          </w:p>
        </w:tc>
        <w:tc>
          <w:tcPr>
            <w:tcW w:w="4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52,135</w:t>
            </w:r>
          </w:p>
        </w:tc>
        <w:tc>
          <w:tcPr>
            <w:tcW w:w="660" w:type="dxa"/>
            <w:vAlign w:val="bottom"/>
          </w:tcPr>
          <w:p>
            <w:pPr>
              <w:jc w:val="right"/>
              <w:spacing w:after="0"/>
              <w:rPr>
                <w:sz w:val="20"/>
                <w:szCs w:val="20"/>
                <w:color w:val="auto"/>
              </w:rPr>
            </w:pPr>
            <w:r>
              <w:rPr>
                <w:rFonts w:ascii="Arial" w:cs="Arial" w:eastAsia="Arial" w:hAnsi="Arial"/>
                <w:sz w:val="14"/>
                <w:szCs w:val="14"/>
                <w:color w:val="auto"/>
              </w:rPr>
              <w:t>2,163,543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1,330,050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483,128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657,638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849,887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3,795,703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7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2010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425,000</w:t>
            </w:r>
          </w:p>
        </w:tc>
        <w:tc>
          <w:tcPr>
            <w:tcW w:w="2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477,700</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530,593</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2,194,732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Asia Pacific and Middle</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510,840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417,819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183,218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286,065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East</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Francoise Gri(6)</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577,368</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700,062</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232,905</w:t>
            </w:r>
          </w:p>
        </w:tc>
        <w:tc>
          <w:tcPr>
            <w:tcW w:w="840" w:type="dxa"/>
            <w:vAlign w:val="bottom"/>
          </w:tcPr>
          <w:p>
            <w:pPr>
              <w:jc w:val="right"/>
              <w:spacing w:after="0"/>
              <w:rPr>
                <w:sz w:val="20"/>
                <w:szCs w:val="20"/>
                <w:color w:val="auto"/>
              </w:rPr>
            </w:pPr>
            <w:r>
              <w:rPr>
                <w:rFonts w:ascii="Arial" w:cs="Arial" w:eastAsia="Arial" w:hAnsi="Arial"/>
                <w:sz w:val="14"/>
                <w:szCs w:val="14"/>
                <w:color w:val="auto"/>
              </w:rPr>
              <w:t>548,268</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12,786</w:t>
            </w:r>
          </w:p>
        </w:tc>
        <w:tc>
          <w:tcPr>
            <w:tcW w:w="660" w:type="dxa"/>
            <w:vAlign w:val="bottom"/>
          </w:tcPr>
          <w:p>
            <w:pPr>
              <w:jc w:val="right"/>
              <w:spacing w:after="0"/>
              <w:rPr>
                <w:sz w:val="20"/>
                <w:szCs w:val="20"/>
                <w:color w:val="auto"/>
              </w:rPr>
            </w:pPr>
            <w:r>
              <w:rPr>
                <w:rFonts w:ascii="Arial" w:cs="Arial" w:eastAsia="Arial" w:hAnsi="Arial"/>
                <w:sz w:val="14"/>
                <w:szCs w:val="14"/>
                <w:color w:val="auto"/>
              </w:rPr>
              <w:t>2,071,389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524,880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565,394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501,943</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1,798,942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Southern Europe</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524,880</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510,840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376,380</w:t>
            </w:r>
          </w:p>
        </w:tc>
        <w:tc>
          <w:tcPr>
            <w:tcW w:w="840" w:type="dxa"/>
            <w:vAlign w:val="bottom"/>
          </w:tcPr>
          <w:p>
            <w:pPr>
              <w:jc w:val="right"/>
              <w:spacing w:after="0"/>
              <w:rPr>
                <w:sz w:val="20"/>
                <w:szCs w:val="20"/>
                <w:color w:val="auto"/>
              </w:rPr>
            </w:pPr>
            <w:r>
              <w:rPr>
                <w:rFonts w:ascii="Arial" w:cs="Arial" w:eastAsia="Arial" w:hAnsi="Arial"/>
                <w:sz w:val="14"/>
                <w:szCs w:val="14"/>
                <w:color w:val="auto"/>
              </w:rPr>
              <w:t>104,976</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17,423</w:t>
            </w:r>
          </w:p>
        </w:tc>
        <w:tc>
          <w:tcPr>
            <w:tcW w:w="660" w:type="dxa"/>
            <w:vAlign w:val="bottom"/>
          </w:tcPr>
          <w:p>
            <w:pPr>
              <w:jc w:val="right"/>
              <w:spacing w:after="0"/>
              <w:rPr>
                <w:sz w:val="20"/>
                <w:szCs w:val="20"/>
                <w:color w:val="auto"/>
              </w:rPr>
            </w:pPr>
            <w:r>
              <w:rPr>
                <w:rFonts w:ascii="Arial" w:cs="Arial" w:eastAsia="Arial" w:hAnsi="Arial"/>
                <w:sz w:val="14"/>
                <w:szCs w:val="14"/>
                <w:color w:val="auto"/>
              </w:rPr>
              <w:t>1,534,499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Leentjes(7)</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375,579</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560,049</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203,439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326,941</w:t>
            </w: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144,610(8)</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19,320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Northern Europe</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0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2011</w:t>
            </w:r>
          </w:p>
        </w:tc>
        <w:tc>
          <w:tcPr>
            <w:tcW w:w="580" w:type="dxa"/>
            <w:vAlign w:val="bottom"/>
          </w:tcPr>
          <w:p>
            <w:pPr>
              <w:jc w:val="right"/>
              <w:spacing w:after="0"/>
              <w:rPr>
                <w:sz w:val="20"/>
                <w:szCs w:val="20"/>
                <w:color w:val="auto"/>
              </w:rPr>
            </w:pPr>
            <w:r>
              <w:rPr>
                <w:rFonts w:ascii="Arial" w:cs="Arial" w:eastAsia="Arial" w:hAnsi="Arial"/>
                <w:sz w:val="14"/>
                <w:szCs w:val="14"/>
                <w:color w:val="auto"/>
              </w:rPr>
              <w:t>475,000</w:t>
            </w:r>
          </w:p>
        </w:tc>
        <w:tc>
          <w:tcPr>
            <w:tcW w:w="26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1,700,082</w:t>
            </w:r>
          </w:p>
        </w:tc>
        <w:tc>
          <w:tcPr>
            <w:tcW w:w="2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254,273</w:t>
            </w:r>
          </w:p>
        </w:tc>
        <w:tc>
          <w:tcPr>
            <w:tcW w:w="840" w:type="dxa"/>
            <w:vAlign w:val="bottom"/>
          </w:tcPr>
          <w:p>
            <w:pPr>
              <w:jc w:val="right"/>
              <w:spacing w:after="0"/>
              <w:rPr>
                <w:sz w:val="20"/>
                <w:szCs w:val="20"/>
                <w:color w:val="auto"/>
              </w:rPr>
            </w:pPr>
            <w:r>
              <w:rPr>
                <w:rFonts w:ascii="Arial" w:cs="Arial" w:eastAsia="Arial" w:hAnsi="Arial"/>
                <w:sz w:val="14"/>
                <w:szCs w:val="14"/>
                <w:color w:val="auto"/>
              </w:rPr>
              <w:t>505,258</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263,929</w:t>
            </w:r>
          </w:p>
        </w:tc>
        <w:tc>
          <w:tcPr>
            <w:tcW w:w="660" w:type="dxa"/>
            <w:vAlign w:val="bottom"/>
          </w:tcPr>
          <w:p>
            <w:pPr>
              <w:jc w:val="right"/>
              <w:spacing w:after="0"/>
              <w:rPr>
                <w:sz w:val="20"/>
                <w:szCs w:val="20"/>
                <w:color w:val="auto"/>
              </w:rPr>
            </w:pPr>
            <w:r>
              <w:rPr>
                <w:rFonts w:ascii="Arial" w:cs="Arial" w:eastAsia="Arial" w:hAnsi="Arial"/>
                <w:sz w:val="14"/>
                <w:szCs w:val="14"/>
                <w:color w:val="auto"/>
              </w:rPr>
              <w:t>3,198,542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443,379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585,863</w:t>
            </w: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258,127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2,030,429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80" w:type="dxa"/>
            <w:vAlign w:val="bottom"/>
            <w:gridSpan w:val="3"/>
          </w:tcPr>
          <w:p>
            <w:pPr>
              <w:ind w:left="200"/>
              <w:spacing w:after="0"/>
              <w:rPr>
                <w:sz w:val="20"/>
                <w:szCs w:val="20"/>
                <w:color w:val="auto"/>
              </w:rPr>
            </w:pPr>
            <w:r>
              <w:rPr>
                <w:rFonts w:ascii="Arial" w:cs="Arial" w:eastAsia="Arial" w:hAnsi="Arial"/>
                <w:sz w:val="14"/>
                <w:szCs w:val="14"/>
                <w:color w:val="auto"/>
              </w:rPr>
              <w:t>The Americas</w:t>
            </w: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2009</w:t>
            </w:r>
          </w:p>
        </w:tc>
        <w:tc>
          <w:tcPr>
            <w:tcW w:w="580" w:type="dxa"/>
            <w:vAlign w:val="bottom"/>
          </w:tcPr>
          <w:p>
            <w:pPr>
              <w:jc w:val="right"/>
              <w:spacing w:after="0"/>
              <w:rPr>
                <w:sz w:val="20"/>
                <w:szCs w:val="20"/>
                <w:color w:val="auto"/>
              </w:rPr>
            </w:pPr>
            <w:r>
              <w:rPr>
                <w:rFonts w:ascii="Arial" w:cs="Arial" w:eastAsia="Arial" w:hAnsi="Arial"/>
                <w:sz w:val="14"/>
                <w:szCs w:val="14"/>
                <w:color w:val="auto"/>
              </w:rPr>
              <w:t>384,615</w:t>
            </w:r>
          </w:p>
        </w:tc>
        <w:tc>
          <w:tcPr>
            <w:tcW w:w="26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tcPr>
          <w:p>
            <w:pPr>
              <w:jc w:val="right"/>
              <w:spacing w:after="0"/>
              <w:rPr>
                <w:sz w:val="20"/>
                <w:szCs w:val="20"/>
                <w:color w:val="auto"/>
              </w:rPr>
            </w:pPr>
            <w:r>
              <w:rPr>
                <w:rFonts w:ascii="Arial" w:cs="Arial" w:eastAsia="Arial" w:hAnsi="Arial"/>
                <w:sz w:val="14"/>
                <w:szCs w:val="14"/>
                <w:color w:val="auto"/>
              </w:rPr>
              <w:t>340,560</w:t>
            </w: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356,675</w:t>
            </w:r>
          </w:p>
        </w:tc>
        <w:tc>
          <w:tcPr>
            <w:tcW w:w="840" w:type="dxa"/>
            <w:vAlign w:val="bottom"/>
          </w:tcPr>
          <w:p>
            <w:pPr>
              <w:jc w:val="right"/>
              <w:spacing w:after="0"/>
              <w:rPr>
                <w:sz w:val="20"/>
                <w:szCs w:val="20"/>
                <w:color w:val="auto"/>
              </w:rPr>
            </w:pPr>
            <w:r>
              <w:rPr>
                <w:rFonts w:ascii="Arial" w:cs="Arial" w:eastAsia="Arial" w:hAnsi="Arial"/>
                <w:sz w:val="14"/>
                <w:szCs w:val="14"/>
                <w:color w:val="auto"/>
              </w:rPr>
              <w:t>75,000</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236,163</w:t>
            </w:r>
          </w:p>
        </w:tc>
        <w:tc>
          <w:tcPr>
            <w:tcW w:w="660" w:type="dxa"/>
            <w:vAlign w:val="bottom"/>
          </w:tcPr>
          <w:p>
            <w:pPr>
              <w:jc w:val="right"/>
              <w:spacing w:after="0"/>
              <w:rPr>
                <w:sz w:val="20"/>
                <w:szCs w:val="20"/>
                <w:color w:val="auto"/>
              </w:rPr>
            </w:pPr>
            <w:r>
              <w:rPr>
                <w:rFonts w:ascii="Arial" w:cs="Arial" w:eastAsia="Arial" w:hAnsi="Arial"/>
                <w:sz w:val="14"/>
                <w:szCs w:val="14"/>
                <w:color w:val="auto"/>
              </w:rPr>
              <w:t>1,393,013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1,700,082</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254,273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473,670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55,979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2,959,004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2010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w:t>
            </w:r>
          </w:p>
        </w:tc>
        <w:tc>
          <w:tcPr>
            <w:tcW w:w="2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318,060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443,379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251,370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49,759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Specialty Brands</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2009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2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278,640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356,675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236,250</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55,503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1,347,068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Joerres, Mr. Van Handel and Mr. Prising participated in the voluntary unpaid leave program in 2009 that was implemented by the company during the year as a cost-saving measure during the global economic downturn, which reduced their base compensation.</w:t>
      </w:r>
    </w:p>
    <w:p>
      <w:pPr>
        <w:spacing w:after="0" w:line="50" w:lineRule="exact"/>
        <w:rPr>
          <w:rFonts w:ascii="Arial" w:cs="Arial" w:eastAsia="Arial" w:hAnsi="Arial"/>
          <w:sz w:val="18"/>
          <w:szCs w:val="18"/>
          <w:color w:val="auto"/>
        </w:rPr>
      </w:pPr>
    </w:p>
    <w:p>
      <w:pPr>
        <w:ind w:left="460" w:right="140" w:hanging="452"/>
        <w:spacing w:after="0" w:line="323"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value of stock awards in this table for 2010 and 2011 includes the grant date fair value for performance share units and, for 2011 only, restricted stock units (including career shares) as computed in accordance with Financial Accounting Standards Board (“FASB”) Accounting Standards Codification (“ASC”) Topic 718, “Stock Compensation.” The value of stock awards in the table for 2009 includes the grant date fair value of restricted stock units (including career shares) granted in 2009. See page 47 for the breakout in the grant date fair value of performance share units and restricted stock units.</w:t>
      </w:r>
    </w:p>
    <w:p>
      <w:pPr>
        <w:spacing w:after="0" w:line="16" w:lineRule="exact"/>
        <w:rPr>
          <w:rFonts w:ascii="Arial" w:cs="Arial" w:eastAsia="Arial" w:hAnsi="Arial"/>
          <w:sz w:val="15"/>
          <w:szCs w:val="15"/>
          <w:color w:val="auto"/>
        </w:rPr>
      </w:pPr>
    </w:p>
    <w:p>
      <w:pPr>
        <w:ind w:left="460" w:right="620"/>
        <w:spacing w:after="0" w:line="332" w:lineRule="auto"/>
        <w:rPr>
          <w:rFonts w:ascii="Arial" w:cs="Arial" w:eastAsia="Arial" w:hAnsi="Arial"/>
          <w:sz w:val="15"/>
          <w:szCs w:val="15"/>
          <w:color w:val="auto"/>
        </w:rPr>
      </w:pPr>
      <w:r>
        <w:rPr>
          <w:rFonts w:ascii="Arial" w:cs="Arial" w:eastAsia="Arial" w:hAnsi="Arial"/>
          <w:sz w:val="16"/>
          <w:szCs w:val="16"/>
          <w:color w:val="auto"/>
        </w:rPr>
        <w:t>The performance share units in both 2011 and 2010 are reported at the target level, which we believe was the probable outcome of the performance conditions at the time of grant. The grant date fair value of the 2011 awards at the outstanding level for each NEO was:</w:t>
      </w:r>
    </w:p>
    <w:p>
      <w:pPr>
        <w:spacing w:after="0" w:line="10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1600" w:type="dxa"/>
            <w:vAlign w:val="bottom"/>
          </w:tcPr>
          <w:p>
            <w:pPr>
              <w:spacing w:after="0"/>
              <w:rPr>
                <w:sz w:val="15"/>
                <w:szCs w:val="15"/>
                <w:color w:val="auto"/>
              </w:rPr>
            </w:pPr>
          </w:p>
        </w:tc>
        <w:tc>
          <w:tcPr>
            <w:tcW w:w="56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r>
      <w:tr>
        <w:trPr>
          <w:trHeight w:val="203"/>
        </w:trPr>
        <w:tc>
          <w:tcPr>
            <w:tcW w:w="29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4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$ 7,000,079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2,500,086</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1,900,033</w:t>
            </w:r>
          </w:p>
        </w:tc>
        <w:tc>
          <w:tcPr>
            <w:tcW w:w="12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800,070</w:t>
            </w:r>
          </w:p>
        </w:tc>
        <w:tc>
          <w:tcPr>
            <w:tcW w:w="120" w:type="dxa"/>
            <w:vAlign w:val="bottom"/>
            <w:shd w:val="clear" w:color="auto" w:fill="CCEEFF"/>
          </w:tcPr>
          <w:p>
            <w:pPr>
              <w:spacing w:after="0"/>
              <w:rPr>
                <w:sz w:val="18"/>
                <w:szCs w:val="18"/>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tcPr>
          <w:p>
            <w:pPr>
              <w:spacing w:after="0"/>
              <w:rPr>
                <w:sz w:val="18"/>
                <w:szCs w:val="18"/>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1,000,088</w:t>
            </w:r>
          </w:p>
        </w:tc>
        <w:tc>
          <w:tcPr>
            <w:tcW w:w="120" w:type="dxa"/>
            <w:vAlign w:val="bottom"/>
            <w:shd w:val="clear" w:color="auto" w:fill="CCEEFF"/>
          </w:tcPr>
          <w:p>
            <w:pPr>
              <w:spacing w:after="0"/>
              <w:rPr>
                <w:sz w:val="18"/>
                <w:szCs w:val="18"/>
                <w:color w:val="auto"/>
              </w:rPr>
            </w:pPr>
          </w:p>
        </w:tc>
      </w:tr>
      <w:tr>
        <w:trPr>
          <w:trHeight w:val="363"/>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80" w:type="dxa"/>
            <w:vAlign w:val="bottom"/>
          </w:tcPr>
          <w:p>
            <w:pPr>
              <w:jc w:val="right"/>
              <w:ind w:right="3195"/>
              <w:spacing w:after="0"/>
              <w:rPr>
                <w:sz w:val="20"/>
                <w:szCs w:val="20"/>
                <w:color w:val="auto"/>
              </w:rPr>
            </w:pPr>
            <w:r>
              <w:rPr>
                <w:rFonts w:ascii="Arial" w:cs="Arial" w:eastAsia="Arial" w:hAnsi="Arial"/>
                <w:sz w:val="18"/>
                <w:szCs w:val="18"/>
                <w:color w:val="auto"/>
              </w:rPr>
              <w:t>44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09" w:right="239" w:bottom="1440" w:gutter="0" w:footer="0" w:header="0"/>
        </w:sectPr>
      </w:pPr>
    </w:p>
    <w:bookmarkStart w:id="47" w:name="page48"/>
    <w:bookmarkEnd w:id="47"/>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options in this table represents the grant date fair value of the stock options as computed in accordance with FASB ASC Topic 718.</w:t>
      </w:r>
    </w:p>
    <w:p>
      <w:pPr>
        <w:spacing w:after="0" w:line="113" w:lineRule="exact"/>
        <w:rPr>
          <w:rFonts w:ascii="Arial" w:cs="Arial" w:eastAsia="Arial" w:hAnsi="Arial"/>
          <w:sz w:val="16"/>
          <w:szCs w:val="16"/>
          <w:color w:val="auto"/>
        </w:rPr>
      </w:pPr>
    </w:p>
    <w:p>
      <w:pPr>
        <w:ind w:left="460" w:right="50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Although the amount of benefits for each NEO under the U.S. pension plans was frozen in 2000, the change in actuarial value is due to the change in actuarial assumptions from year to year, as calculated under the rules governing financial reporting for U.S. pension plans.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in 2011 Table below.</w:t>
      </w:r>
    </w:p>
    <w:p>
      <w:pPr>
        <w:spacing w:after="0" w:line="9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Ms. Gri’s annual salary is €440,000. Ms. Gri’s salary and incentive payment are paid in Euros and have been translated at an exchange rate of 1.3122 (in U.S. Dollars), which was the exchange rate on March 12, 2007, the date Ms. Gri joined ManpowerGroup. The amount of all other compensation has been translated at an exchange rate of 1.2961 (in U.S. Dollars), the rate in effect on December 31, 2011. Based on the exchange rate of 1.2961 (in U.S. Dollars), as of December 31, 2011, Ms. Gri’s salary was $570,284 and incentive compensation was $541,542.</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Leentjes’ annual salary is €290,000. Mr. Leentjes’ salary and incentive payment are paid in Euros and have been translated at an exchange rate of</w:t>
      </w:r>
    </w:p>
    <w:p>
      <w:pPr>
        <w:spacing w:after="0" w:line="38" w:lineRule="exact"/>
        <w:rPr>
          <w:rFonts w:ascii="Arial" w:cs="Arial" w:eastAsia="Arial" w:hAnsi="Arial"/>
          <w:sz w:val="16"/>
          <w:szCs w:val="16"/>
          <w:color w:val="auto"/>
        </w:rPr>
      </w:pPr>
    </w:p>
    <w:p>
      <w:pPr>
        <w:ind w:left="460" w:right="180"/>
        <w:spacing w:after="0" w:line="254" w:lineRule="auto"/>
        <w:rPr>
          <w:rFonts w:ascii="Arial" w:cs="Arial" w:eastAsia="Arial" w:hAnsi="Arial"/>
          <w:sz w:val="16"/>
          <w:szCs w:val="16"/>
          <w:color w:val="auto"/>
        </w:rPr>
      </w:pPr>
      <w:r>
        <w:rPr>
          <w:rFonts w:ascii="Arial" w:cs="Arial" w:eastAsia="Arial" w:hAnsi="Arial"/>
          <w:sz w:val="18"/>
          <w:szCs w:val="18"/>
          <w:color w:val="auto"/>
        </w:rPr>
        <w:t>1.2951 (in U.S. Dollars), which was the exchange rate on January 10, 2011, the date Mr. Leentjes was promoted to Executive Vice President, President of Northern Europe. The amount of all other compensation has been translated at an exchange rate of 1.2961 (in U.S. Dollars), the rate in effect on December 31, 2011. Based on the exchange rate of 1.2961 (in U.S. Dollars), as of December 31, 2011, Mr. Leenjtes salary was $375,869 and incentive compensation was $327,194.</w:t>
      </w:r>
    </w:p>
    <w:p>
      <w:pPr>
        <w:spacing w:after="0" w:line="62"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of the change in pension value has been translated at an exchange rate of 1.2951(in U.S. Dollars), the rate in effect on January 10, 2011, the date of Mr. Leentjes’ promotion. Based on the exchange rate of 1.2961 (in U.S. Dollars), as of December 31, 2011, Mr. Leentjes’ change in pension value was $144, 722. In addition, as described in the Pension Benefits Table on page 55, Mr. Leentjes contributes a portion of his salary towards his pension premium. The amount contributed by Mr. Leentjes in 2011 was $19,767, translated at the January 10, 2011 exchange rate of 1.2951 (in U.S. Dollars), which is included in the change in pension value.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Payments/</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&amp; Other</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Accruals 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to Defined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Personal</w:t>
            </w:r>
          </w:p>
        </w:tc>
        <w:tc>
          <w:tcPr>
            <w:tcW w:w="36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2"/>
              </w:rPr>
              <w:t>Tax</w:t>
            </w:r>
          </w:p>
        </w:tc>
        <w:tc>
          <w:tcPr>
            <w:tcW w:w="13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Total Other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6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1040" w:type="dxa"/>
            <w:vAlign w:val="bottom"/>
            <w:vMerge w:val="restart"/>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Benefits</w:t>
            </w:r>
          </w:p>
        </w:tc>
        <w:tc>
          <w:tcPr>
            <w:tcW w:w="36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Reimbursements</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Plans</w:t>
            </w: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Plans</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53"/>
        </w:trPr>
        <w:tc>
          <w:tcPr>
            <w:tcW w:w="1040" w:type="dxa"/>
            <w:vAlign w:val="bottom"/>
          </w:tcPr>
          <w:p>
            <w:pPr>
              <w:spacing w:after="0"/>
              <w:rPr>
                <w:sz w:val="12"/>
                <w:szCs w:val="12"/>
                <w:color w:val="auto"/>
              </w:rPr>
            </w:pPr>
          </w:p>
        </w:tc>
        <w:tc>
          <w:tcPr>
            <w:tcW w:w="1660" w:type="dxa"/>
            <w:vAlign w:val="bottom"/>
            <w:tcBorders>
              <w:bottom w:val="single" w:sz="8" w:color="auto"/>
            </w:tcBorders>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tcPr>
          <w:p>
            <w:pPr>
              <w:jc w:val="center"/>
              <w:ind w:left="475"/>
              <w:spacing w:after="0" w:line="148" w:lineRule="exact"/>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2"/>
                <w:szCs w:val="12"/>
                <w:color w:val="auto"/>
              </w:rPr>
            </w:pPr>
          </w:p>
        </w:tc>
        <w:tc>
          <w:tcPr>
            <w:tcW w:w="1360" w:type="dxa"/>
            <w:vAlign w:val="bottom"/>
            <w:gridSpan w:val="2"/>
          </w:tcPr>
          <w:p>
            <w:pPr>
              <w:jc w:val="center"/>
              <w:ind w:left="275"/>
              <w:spacing w:after="0" w:line="148" w:lineRule="exact"/>
              <w:rPr>
                <w:sz w:val="20"/>
                <w:szCs w:val="20"/>
                <w:color w:val="auto"/>
              </w:rPr>
            </w:pPr>
            <w:r>
              <w:rPr>
                <w:rFonts w:ascii="Arial" w:cs="Arial" w:eastAsia="Arial" w:hAnsi="Arial"/>
                <w:sz w:val="14"/>
                <w:szCs w:val="14"/>
                <w:b w:val="1"/>
                <w:bCs w:val="1"/>
                <w:color w:val="auto"/>
                <w:w w:val="93"/>
              </w:rPr>
              <w:t>($)(2)</w:t>
            </w:r>
          </w:p>
        </w:tc>
        <w:tc>
          <w:tcPr>
            <w:tcW w:w="88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6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5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3"/>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46,074(4)</w:t>
            </w:r>
          </w:p>
        </w:tc>
        <w:tc>
          <w:tcPr>
            <w:tcW w:w="36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88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114,197</w:t>
            </w:r>
          </w:p>
        </w:tc>
        <w:tc>
          <w:tcPr>
            <w:tcW w:w="6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30,815</w:t>
            </w:r>
          </w:p>
        </w:tc>
        <w:tc>
          <w:tcPr>
            <w:tcW w:w="4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48,619</w:t>
            </w:r>
          </w:p>
        </w:tc>
        <w:tc>
          <w:tcPr>
            <w:tcW w:w="840" w:type="dxa"/>
            <w:vAlign w:val="bottom"/>
          </w:tcPr>
          <w:p>
            <w:pPr>
              <w:jc w:val="right"/>
              <w:spacing w:after="0"/>
              <w:rPr>
                <w:sz w:val="20"/>
                <w:szCs w:val="20"/>
                <w:color w:val="auto"/>
              </w:rPr>
            </w:pPr>
            <w:r>
              <w:rPr>
                <w:rFonts w:ascii="Arial" w:cs="Arial" w:eastAsia="Arial" w:hAnsi="Arial"/>
                <w:sz w:val="18"/>
                <w:szCs w:val="18"/>
                <w:color w:val="auto"/>
              </w:rPr>
              <w:t>79,434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270,193(5)</w:t>
            </w:r>
          </w:p>
        </w:tc>
        <w:tc>
          <w:tcPr>
            <w:tcW w:w="2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575,444(6)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9"/>
              </w:rPr>
              <w:t>EVP and President, Asia Pacific and Middle East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12,786(7)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EVP and President, Southern Europe</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19,320(8)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139,107(9)</w:t>
            </w:r>
          </w:p>
        </w:tc>
        <w:tc>
          <w:tcPr>
            <w:tcW w:w="2240" w:type="dxa"/>
            <w:vAlign w:val="bottom"/>
            <w:gridSpan w:val="3"/>
          </w:tcPr>
          <w:p>
            <w:pPr>
              <w:jc w:val="right"/>
              <w:ind w:right="600"/>
              <w:spacing w:after="0"/>
              <w:rPr>
                <w:sz w:val="20"/>
                <w:szCs w:val="20"/>
                <w:color w:val="auto"/>
              </w:rPr>
            </w:pPr>
            <w:r>
              <w:rPr>
                <w:rFonts w:ascii="Arial" w:cs="Arial" w:eastAsia="Arial" w:hAnsi="Arial"/>
                <w:sz w:val="18"/>
                <w:szCs w:val="18"/>
                <w:color w:val="auto"/>
              </w:rPr>
              <w:t>89,030(10)</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35,792</w:t>
            </w:r>
          </w:p>
        </w:tc>
        <w:tc>
          <w:tcPr>
            <w:tcW w:w="840" w:type="dxa"/>
            <w:vAlign w:val="bottom"/>
          </w:tcPr>
          <w:p>
            <w:pPr>
              <w:jc w:val="right"/>
              <w:spacing w:after="0"/>
              <w:rPr>
                <w:sz w:val="20"/>
                <w:szCs w:val="20"/>
                <w:color w:val="auto"/>
              </w:rPr>
            </w:pPr>
            <w:r>
              <w:rPr>
                <w:rFonts w:ascii="Arial" w:cs="Arial" w:eastAsia="Arial" w:hAnsi="Arial"/>
                <w:sz w:val="18"/>
                <w:szCs w:val="18"/>
                <w:color w:val="auto"/>
              </w:rPr>
              <w:t>263,929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ind w:left="220"/>
              <w:spacing w:after="0"/>
              <w:rPr>
                <w:sz w:val="20"/>
                <w:szCs w:val="20"/>
                <w:color w:val="auto"/>
              </w:rPr>
            </w:pPr>
            <w:r>
              <w:rPr>
                <w:rFonts w:ascii="Arial" w:cs="Arial" w:eastAsia="Arial" w:hAnsi="Arial"/>
                <w:sz w:val="18"/>
                <w:szCs w:val="18"/>
                <w:color w:val="auto"/>
              </w:rPr>
              <w:t>EVP and President, The Americas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2"/>
          </w:tcPr>
          <w:p>
            <w:pPr>
              <w:jc w:val="right"/>
              <w:ind w:right="866"/>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8" w:name="page49"/>
    <w:bookmarkEnd w:id="48"/>
    <w:p>
      <w:pPr>
        <w:ind w:left="452" w:right="200" w:hanging="452"/>
        <w:spacing w:after="0" w:line="268"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t>Except as otherwise indicated, these amounts include the value attributable to each executive’s participation in ManpowerGroup’s company car program, auto insurance, life insurance premiums paid and/or the value of financial services paid for by ManpowerGroup.</w:t>
      </w:r>
    </w:p>
    <w:p>
      <w:pPr>
        <w:spacing w:after="0" w:line="50" w:lineRule="exact"/>
        <w:rPr>
          <w:rFonts w:ascii="Arial" w:cs="Arial" w:eastAsia="Arial" w:hAnsi="Arial"/>
          <w:sz w:val="18"/>
          <w:szCs w:val="18"/>
          <w:color w:val="auto"/>
        </w:rPr>
      </w:pPr>
    </w:p>
    <w:p>
      <w:pPr>
        <w:ind w:left="452" w:right="340" w:hanging="452"/>
        <w:spacing w:after="0" w:line="268"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often paid to the NEOs one or more years after the income to which they relate was earned by the NEO.</w:t>
      </w:r>
    </w:p>
    <w:p>
      <w:pPr>
        <w:spacing w:after="0" w:line="50" w:lineRule="exact"/>
        <w:rPr>
          <w:rFonts w:ascii="Arial" w:cs="Arial" w:eastAsia="Arial" w:hAnsi="Arial"/>
          <w:sz w:val="18"/>
          <w:szCs w:val="18"/>
          <w:color w:val="auto"/>
        </w:rPr>
      </w:pPr>
    </w:p>
    <w:p>
      <w:pPr>
        <w:ind w:left="452" w:right="660" w:hanging="452"/>
        <w:spacing w:after="0" w:line="332" w:lineRule="auto"/>
        <w:tabs>
          <w:tab w:leader="none" w:pos="4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These contributions were made by ManpowerGroup on behalf of the NEOs under the terms of the Nonqualified Savings Plan. Further information regarding the Nonqualified Savings Plan can be found in the Nonqualified Deferred Compensation Table and accompanying narrative.</w:t>
      </w:r>
    </w:p>
    <w:p>
      <w:pPr>
        <w:spacing w:after="0" w:line="4" w:lineRule="exact"/>
        <w:rPr>
          <w:rFonts w:ascii="Arial" w:cs="Arial" w:eastAsia="Arial" w:hAnsi="Arial"/>
          <w:sz w:val="16"/>
          <w:szCs w:val="16"/>
          <w:color w:val="auto"/>
        </w:rPr>
      </w:pPr>
    </w:p>
    <w:p>
      <w:pPr>
        <w:ind w:left="452" w:hanging="452"/>
        <w:spacing w:after="0"/>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$30,404 of this amount reflects the lease and maintenance payments associated with Mr. Joerres’ automobile.</w:t>
      </w:r>
    </w:p>
    <w:p>
      <w:pPr>
        <w:spacing w:after="0" w:line="90"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 addition to the amounts described above in footnote (1), this amount reflects tax compliance services, a housing allowance of $90,000, a tuition allowance of $40,000 for Mr. Green’s children, and a car allowance of $18,720. These benefits are paid to Mr. Green in connection with his assignment to Asia and have been translated at an exchange rate for Japanese Yen of .008415454 (in U.S. Dollars), which was the average exchange rate in effect between the date he received his offer letter from ManpowerGroup on April 4, 2007 and the date he signed it on April 10, 2007. Based on the exchange rate of</w:t>
      </w:r>
    </w:p>
    <w:p>
      <w:pPr>
        <w:spacing w:after="0" w:line="2" w:lineRule="exact"/>
        <w:rPr>
          <w:rFonts w:ascii="Arial" w:cs="Arial" w:eastAsia="Arial" w:hAnsi="Arial"/>
          <w:sz w:val="15"/>
          <w:szCs w:val="15"/>
          <w:color w:val="auto"/>
        </w:rPr>
      </w:pPr>
    </w:p>
    <w:p>
      <w:pPr>
        <w:ind w:left="452" w:right="260"/>
        <w:spacing w:after="0" w:line="300" w:lineRule="auto"/>
        <w:rPr>
          <w:rFonts w:ascii="Arial" w:cs="Arial" w:eastAsia="Arial" w:hAnsi="Arial"/>
          <w:sz w:val="15"/>
          <w:szCs w:val="15"/>
          <w:color w:val="auto"/>
        </w:rPr>
      </w:pPr>
      <w:r>
        <w:rPr>
          <w:rFonts w:ascii="Arial" w:cs="Arial" w:eastAsia="Arial" w:hAnsi="Arial"/>
          <w:sz w:val="15"/>
          <w:szCs w:val="15"/>
          <w:color w:val="auto"/>
        </w:rPr>
        <w:t>.013002 (in U.S. Dollars) as of December 31, 2011, the specific conversions of the amounts mentioned above paid in Japanese Yen included a housing allowance of $139,051, a tuition allowance of $61,794, and a car allowance of $28,923. Also included in this column is airfare for one return trip for his family members to the U.S. of $33,673 and relocation expenses of $55,914, both of which have been translated at the exchange rate for Japanese Yen of</w:t>
      </w:r>
    </w:p>
    <w:p>
      <w:pPr>
        <w:spacing w:after="0" w:line="1" w:lineRule="exact"/>
        <w:rPr>
          <w:rFonts w:ascii="Arial" w:cs="Arial" w:eastAsia="Arial" w:hAnsi="Arial"/>
          <w:sz w:val="15"/>
          <w:szCs w:val="15"/>
          <w:color w:val="auto"/>
        </w:rPr>
      </w:pPr>
    </w:p>
    <w:p>
      <w:pPr>
        <w:ind w:left="452"/>
        <w:spacing w:after="0"/>
        <w:rPr>
          <w:rFonts w:ascii="Arial" w:cs="Arial" w:eastAsia="Arial" w:hAnsi="Arial"/>
          <w:sz w:val="15"/>
          <w:szCs w:val="15"/>
          <w:color w:val="auto"/>
        </w:rPr>
      </w:pPr>
      <w:r>
        <w:rPr>
          <w:rFonts w:ascii="Arial" w:cs="Arial" w:eastAsia="Arial" w:hAnsi="Arial"/>
          <w:sz w:val="18"/>
          <w:szCs w:val="18"/>
          <w:color w:val="auto"/>
        </w:rPr>
        <w:t>.013002 (in U.S. Dollars) which was the exchange rate in effect on December 31, 2011.</w:t>
      </w:r>
    </w:p>
    <w:p>
      <w:pPr>
        <w:spacing w:after="0" w:line="83" w:lineRule="exact"/>
        <w:rPr>
          <w:rFonts w:ascii="Arial" w:cs="Arial" w:eastAsia="Arial" w:hAnsi="Arial"/>
          <w:sz w:val="15"/>
          <w:szCs w:val="15"/>
          <w:color w:val="auto"/>
        </w:rPr>
      </w:pPr>
    </w:p>
    <w:p>
      <w:pPr>
        <w:ind w:left="452" w:right="280" w:hanging="452"/>
        <w:spacing w:after="0" w:line="256"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$526,383 of this amount reflects the value of the gross up and tax equalization payments paid in 2011 to Mr. Green attributable to compensation he received during 2010. The remaining $49,061 reflects the value of the gross up payments Mr. Green received for taxes on housing and tuition payments during 2011 and has been translated at an exchange rate for Japanese Yen of .013002 (in U.S. Dollars) which was the exchange rate in effect on December 31, 2011.</w:t>
      </w:r>
    </w:p>
    <w:p>
      <w:pPr>
        <w:spacing w:after="0" w:line="62" w:lineRule="exact"/>
        <w:rPr>
          <w:rFonts w:ascii="Arial" w:cs="Arial" w:eastAsia="Arial" w:hAnsi="Arial"/>
          <w:sz w:val="18"/>
          <w:szCs w:val="18"/>
          <w:color w:val="auto"/>
        </w:rPr>
      </w:pPr>
    </w:p>
    <w:p>
      <w:pPr>
        <w:ind w:left="452" w:right="120" w:hanging="452"/>
        <w:spacing w:after="0" w:line="259"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accordance with her employment agreement, Ms. Gri is provided with an automobile and this amount reflects the lease and maintenance payments associated with the automobile. Amounts paid in Euros in this column have been translated at an exchange rate of 1.2961 (in U.S. Dollars), which was the exchange rate in effect on December 31, 2011.</w:t>
      </w:r>
    </w:p>
    <w:p>
      <w:pPr>
        <w:spacing w:after="0" w:line="59" w:lineRule="exact"/>
        <w:rPr>
          <w:rFonts w:ascii="Arial" w:cs="Arial" w:eastAsia="Arial" w:hAnsi="Arial"/>
          <w:sz w:val="18"/>
          <w:szCs w:val="18"/>
          <w:color w:val="auto"/>
        </w:rPr>
      </w:pPr>
    </w:p>
    <w:p>
      <w:pPr>
        <w:ind w:left="452" w:right="260" w:hanging="452"/>
        <w:spacing w:after="0" w:line="306" w:lineRule="auto"/>
        <w:tabs>
          <w:tab w:leader="none" w:pos="4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accordance with his employment agreement, Mr. Leentjes is provided with an automobile and financial services. This amount reflects the lease and maintenance payments associated with his automobile and the cost of financial services provided to Mr. Leentjes. Amounts paid in Euros in this column have been translated at an exchange rate of 1.2961 (in U.S. Dollars), which was the exchange rate in effect on December 31, 2011.</w:t>
      </w:r>
    </w:p>
    <w:p>
      <w:pPr>
        <w:spacing w:after="0" w:line="25" w:lineRule="exact"/>
        <w:rPr>
          <w:rFonts w:ascii="Arial" w:cs="Arial" w:eastAsia="Arial" w:hAnsi="Arial"/>
          <w:sz w:val="16"/>
          <w:szCs w:val="16"/>
          <w:color w:val="auto"/>
        </w:rPr>
      </w:pPr>
    </w:p>
    <w:p>
      <w:pPr>
        <w:ind w:left="452" w:right="200" w:hanging="452"/>
        <w:spacing w:after="0" w:line="259"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to the amounts described above in footnote (1), included in this amount are tax preparation services, housing costs of $77,246 and tuition payments of $21,657 for Mr. Prising’s children. These benefits are paid to Mr. Prising in connection with his assignment to the U.S. Also included in this column is airfare for a return trip for his family members to Sweden of $9,800.</w:t>
      </w:r>
    </w:p>
    <w:p>
      <w:pPr>
        <w:spacing w:after="0" w:line="59"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reflects tax gross up and tax equalization payments paid in 2011 to Mr. Prising in connection with his assignment to the U.S. attributable to compensation and benefits received by him in 2011.</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92"/>
          </w:cols>
          <w:pgMar w:left="248" w:top="428"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of Plan-Based Awards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7"/>
              </w:rPr>
              <w:t>Estimated Future Payouts</w:t>
            </w:r>
          </w:p>
        </w:tc>
        <w:tc>
          <w:tcPr>
            <w:tcW w:w="208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86"/>
              </w:rPr>
              <w:t>Estimated Future Payouts</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gridSpan w:val="6"/>
            <w:vMerge w:val="continue"/>
          </w:tcPr>
          <w:p>
            <w:pPr>
              <w:spacing w:after="0"/>
              <w:rPr>
                <w:sz w:val="11"/>
                <w:szCs w:val="11"/>
                <w:color w:val="auto"/>
              </w:rPr>
            </w:pPr>
          </w:p>
        </w:tc>
        <w:tc>
          <w:tcPr>
            <w:tcW w:w="2080" w:type="dxa"/>
            <w:vAlign w:val="bottom"/>
            <w:gridSpan w:val="6"/>
            <w:vMerge w:val="continue"/>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20" w:type="dxa"/>
            <w:vAlign w:val="bottom"/>
            <w:gridSpan w:val="5"/>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Plan Awards(1)</w:t>
            </w:r>
          </w:p>
        </w:tc>
        <w:tc>
          <w:tcPr>
            <w:tcW w:w="2080" w:type="dxa"/>
            <w:vAlign w:val="bottom"/>
            <w:gridSpan w:val="6"/>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Plan Awards(2)</w:t>
            </w: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5"/>
              </w:rPr>
              <w:t>Price of</w:t>
            </w:r>
          </w:p>
        </w:tc>
        <w:tc>
          <w:tcPr>
            <w:tcW w:w="6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80" w:type="dxa"/>
            <w:vAlign w:val="bottom"/>
          </w:tcPr>
          <w:p>
            <w:pPr>
              <w:spacing w:after="0"/>
              <w:rPr>
                <w:sz w:val="12"/>
                <w:szCs w:val="12"/>
                <w:color w:val="auto"/>
              </w:rPr>
            </w:pPr>
          </w:p>
        </w:tc>
        <w:tc>
          <w:tcPr>
            <w:tcW w:w="11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Plan Name</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Grant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Threshold</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Date</w:t>
            </w:r>
          </w:p>
        </w:tc>
        <w:tc>
          <w:tcPr>
            <w:tcW w:w="60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72"/>
              <w:spacing w:after="0" w:line="148" w:lineRule="exact"/>
              <w:rPr>
                <w:sz w:val="20"/>
                <w:szCs w:val="20"/>
                <w:color w:val="auto"/>
              </w:rPr>
            </w:pPr>
            <w:r>
              <w:rPr>
                <w:rFonts w:ascii="Arial" w:cs="Arial" w:eastAsia="Arial" w:hAnsi="Arial"/>
                <w:sz w:val="14"/>
                <w:szCs w:val="14"/>
                <w:b w:val="1"/>
                <w:bCs w:val="1"/>
                <w:color w:val="auto"/>
                <w:w w:val="81"/>
              </w:rPr>
              <w:t>($)</w:t>
            </w:r>
          </w:p>
        </w:tc>
        <w:tc>
          <w:tcPr>
            <w:tcW w:w="140" w:type="dxa"/>
            <w:vAlign w:val="bottom"/>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80" w:type="dxa"/>
            <w:vAlign w:val="bottom"/>
          </w:tcPr>
          <w:p>
            <w:pPr>
              <w:jc w:val="right"/>
              <w:ind w:right="13"/>
              <w:spacing w:after="0" w:line="148" w:lineRule="exact"/>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160" w:type="dxa"/>
            <w:vAlign w:val="bottom"/>
          </w:tcPr>
          <w:p>
            <w:pPr>
              <w:spacing w:after="0"/>
              <w:rPr>
                <w:sz w:val="12"/>
                <w:szCs w:val="12"/>
                <w:color w:val="auto"/>
              </w:rPr>
            </w:pPr>
          </w:p>
        </w:tc>
        <w:tc>
          <w:tcPr>
            <w:tcW w:w="6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($/Sh)</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320" w:type="dxa"/>
            <w:vAlign w:val="bottom"/>
            <w:gridSpan w:val="3"/>
            <w:shd w:val="clear" w:color="auto" w:fill="CCEEFF"/>
          </w:tcPr>
          <w:p>
            <w:pPr>
              <w:spacing w:after="0" w:line="111" w:lineRule="exact"/>
              <w:rPr>
                <w:sz w:val="20"/>
                <w:szCs w:val="20"/>
                <w:color w:val="auto"/>
              </w:rPr>
            </w:pPr>
            <w:r>
              <w:rPr>
                <w:rFonts w:ascii="Arial" w:cs="Arial" w:eastAsia="Arial" w:hAnsi="Arial"/>
                <w:sz w:val="12"/>
                <w:szCs w:val="12"/>
                <w:color w:val="auto"/>
              </w:rPr>
              <w:t>Jeffrey A. Joerres</w:t>
            </w: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Corporate Senior</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380"/>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450,000</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1,800,000</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3,600,000</w:t>
            </w: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ind w:left="400"/>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jc w:val="center"/>
              <w:ind w:left="153"/>
              <w:spacing w:after="0" w:line="11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CEO</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8"/>
              </w:rPr>
              <w:t>Management Annual</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 Plan</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 Equity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26,073</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52,146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104,292</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3,500,040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Incentive Plan</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1,400,056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69,537</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1,779,883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Michael J. Van Handel</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150,000</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600,000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1,200,000</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CFO</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9,312</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18,624</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37,248</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1,250,043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24,835</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tcPr>
          <w:p>
            <w:pPr>
              <w:jc w:val="right"/>
              <w:spacing w:after="0"/>
              <w:rPr>
                <w:sz w:val="20"/>
                <w:szCs w:val="20"/>
                <w:color w:val="auto"/>
              </w:rPr>
            </w:pPr>
            <w:r>
              <w:rPr>
                <w:rFonts w:ascii="Arial" w:cs="Arial" w:eastAsia="Arial" w:hAnsi="Arial"/>
                <w:sz w:val="14"/>
                <w:szCs w:val="14"/>
                <w:color w:val="auto"/>
              </w:rPr>
              <w:t>635,682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Darryl Green</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118,750</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356,250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7,077</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14,154</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28,308</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950,016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Asia Pacific and</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5,662</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Middle East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18,875</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Francoise Gri</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144,342</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433,026</w:t>
            </w:r>
          </w:p>
        </w:tc>
        <w:tc>
          <w:tcPr>
            <w:tcW w:w="620" w:type="dxa"/>
            <w:vAlign w:val="bottom"/>
          </w:tcPr>
          <w:p>
            <w:pPr>
              <w:jc w:val="right"/>
              <w:spacing w:after="0"/>
              <w:rPr>
                <w:sz w:val="20"/>
                <w:szCs w:val="20"/>
                <w:color w:val="auto"/>
              </w:rPr>
            </w:pPr>
            <w:r>
              <w:rPr>
                <w:rFonts w:ascii="Arial" w:cs="Arial" w:eastAsia="Arial" w:hAnsi="Arial"/>
                <w:sz w:val="14"/>
                <w:szCs w:val="14"/>
                <w:color w:val="auto"/>
              </w:rPr>
              <w:t>866,052</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0"/>
              </w:rPr>
              <w:t>EVP and President, Southern Europe</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14,900</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2,980</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color w:val="auto"/>
                <w:w w:val="83"/>
              </w:rPr>
              <w:t>3/11/2011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63.29</w:t>
            </w:r>
          </w:p>
        </w:tc>
        <w:tc>
          <w:tcPr>
            <w:tcW w:w="580" w:type="dxa"/>
            <w:vAlign w:val="bottom"/>
          </w:tcPr>
          <w:p>
            <w:pPr>
              <w:jc w:val="right"/>
              <w:spacing w:after="0"/>
              <w:rPr>
                <w:sz w:val="20"/>
                <w:szCs w:val="20"/>
                <w:color w:val="auto"/>
              </w:rPr>
            </w:pPr>
            <w:r>
              <w:rPr>
                <w:rFonts w:ascii="Arial" w:cs="Arial" w:eastAsia="Arial" w:hAnsi="Arial"/>
                <w:sz w:val="14"/>
                <w:szCs w:val="14"/>
                <w:color w:val="auto"/>
              </w:rPr>
              <w:t>232,905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Hans Leentjes</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93,895</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281,684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563,369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2,980</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5,960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11,920</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400,035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Northern Europe</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340" w:type="dxa"/>
            <w:vAlign w:val="bottom"/>
            <w:gridSpan w:val="4"/>
          </w:tcPr>
          <w:p>
            <w:pPr>
              <w:spacing w:after="0"/>
              <w:rPr>
                <w:sz w:val="20"/>
                <w:szCs w:val="20"/>
                <w:color w:val="auto"/>
              </w:rPr>
            </w:pPr>
            <w:r>
              <w:rPr>
                <w:rFonts w:ascii="Arial" w:cs="Arial" w:eastAsia="Arial" w:hAnsi="Arial"/>
                <w:sz w:val="14"/>
                <w:szCs w:val="14"/>
                <w:color w:val="auto"/>
              </w:rPr>
              <w:t>Jonas Prising</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CSMAIP</w:t>
            </w:r>
          </w:p>
        </w:tc>
        <w:tc>
          <w:tcPr>
            <w:tcW w:w="8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118,750</w:t>
            </w: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356,250</w:t>
            </w:r>
          </w:p>
        </w:tc>
        <w:tc>
          <w:tcPr>
            <w:tcW w:w="620" w:type="dxa"/>
            <w:vAlign w:val="bottom"/>
          </w:tcPr>
          <w:p>
            <w:pPr>
              <w:jc w:val="right"/>
              <w:spacing w:after="0"/>
              <w:rPr>
                <w:sz w:val="20"/>
                <w:szCs w:val="20"/>
                <w:color w:val="auto"/>
              </w:rPr>
            </w:pPr>
            <w:r>
              <w:rPr>
                <w:rFonts w:ascii="Arial" w:cs="Arial" w:eastAsia="Arial" w:hAnsi="Arial"/>
                <w:sz w:val="14"/>
                <w:szCs w:val="14"/>
                <w:color w:val="auto"/>
              </w:rPr>
              <w:t>712,500</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2003 Equity</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7,450</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14,900</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The Americas</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17,879</w:t>
            </w: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1,200,038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9,934</w:t>
            </w: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tcPr>
          <w:p>
            <w:pPr>
              <w:jc w:val="right"/>
              <w:spacing w:after="0"/>
              <w:rPr>
                <w:sz w:val="20"/>
                <w:szCs w:val="20"/>
                <w:color w:val="auto"/>
              </w:rPr>
            </w:pPr>
            <w:r>
              <w:rPr>
                <w:rFonts w:ascii="Arial" w:cs="Arial" w:eastAsia="Arial" w:hAnsi="Arial"/>
                <w:sz w:val="14"/>
                <w:szCs w:val="14"/>
                <w:color w:val="auto"/>
              </w:rPr>
              <w:t>254,723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Owen J. Sullivan</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CSMAIP</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118,750</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356,250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2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2003 Equity</w:t>
            </w:r>
          </w:p>
        </w:tc>
        <w:tc>
          <w:tcPr>
            <w:tcW w:w="8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3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3,725</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5,960</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14,900</w:t>
            </w:r>
          </w:p>
        </w:tc>
        <w:tc>
          <w:tcPr>
            <w:tcW w:w="6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500,044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Specialty Brands</w:t>
            </w:r>
          </w:p>
        </w:tc>
        <w:tc>
          <w:tcPr>
            <w:tcW w:w="1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Incentive Plan</w:t>
            </w:r>
          </w:p>
        </w:tc>
        <w:tc>
          <w:tcPr>
            <w:tcW w:w="8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17,879</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1,200,038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6"/>
              </w:rPr>
              <w:t>2/16/2011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9,934</w:t>
            </w:r>
          </w:p>
        </w:tc>
        <w:tc>
          <w:tcPr>
            <w:tcW w:w="1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67.12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254,723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amounts represent the 2011 incentive amounts established under the Corporate Senior Annual Management Incentive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that could be earned for the 2011 performance period.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represent the number of restricted stock units and career shares granted in February 2011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gridSpan w:val="3"/>
          </w:tcPr>
          <w:p>
            <w:pPr>
              <w:jc w:val="center"/>
              <w:ind w:left="2175"/>
              <w:spacing w:after="0"/>
              <w:rPr>
                <w:sz w:val="20"/>
                <w:szCs w:val="20"/>
                <w:color w:val="auto"/>
              </w:rPr>
            </w:pPr>
            <w:r>
              <w:rPr>
                <w:rFonts w:ascii="Arial" w:cs="Arial" w:eastAsia="Arial" w:hAnsi="Arial"/>
                <w:sz w:val="14"/>
                <w:szCs w:val="14"/>
                <w:b w:val="1"/>
                <w:bCs w:val="1"/>
                <w:color w:val="auto"/>
                <w:w w:val="87"/>
              </w:rPr>
              <w:t>Restricted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Career</w:t>
            </w:r>
          </w:p>
        </w:tc>
      </w:tr>
      <w:tr>
        <w:trPr>
          <w:trHeight w:val="148"/>
        </w:trPr>
        <w:tc>
          <w:tcPr>
            <w:tcW w:w="800" w:type="dxa"/>
            <w:vAlign w:val="bottom"/>
          </w:tcPr>
          <w:p>
            <w:pPr>
              <w:spacing w:after="0"/>
              <w:rPr>
                <w:sz w:val="12"/>
                <w:szCs w:val="12"/>
                <w:color w:val="auto"/>
              </w:rPr>
            </w:pPr>
          </w:p>
        </w:tc>
        <w:tc>
          <w:tcPr>
            <w:tcW w:w="3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2"/>
                <w:szCs w:val="12"/>
                <w:color w:val="auto"/>
              </w:rPr>
            </w:pP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Units</w:t>
            </w: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Shares</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20,859</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7,450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14,899</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14,899</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2011.</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2011 that are reported in this column have been computed in accordance with FASB ASC Topic 718.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90" w:right="2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Agreements and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ManpowerGroup entered into compensation agreements and severance agreements with the CEO and the CFO in February 2011 that replaced their prior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term under each of the compensation agreements and severance agreements expires on the first to occur of (1) the date two years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 change of control of ManpowerGroup or (2) February 16, 2014, if no such change of control occurs before February 16, 2014. The severance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with the CEO and the CFO are described in further detail in the section entitled “Termination of Employment and Change of Control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Nonqualified Deferred Compensation Table. Under the compensation agreements, the CEO and the CFO are entitled to receive a base salary,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increased from time to time by ManpowerGroup and each is entitled to receive incentive compensation in accordance with an annual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and administered by the executive compensation and human resources committee. The CEO is entitled to receive an annual base salary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$1,200,000 per year, and the CFO is entitled to receive an annual base salary of at least $600,000 per year. The annual incentive plan for the CEO and the CFO 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described in further detail in the Compensation Discussion and Analysis included in this proxy statement.</w:t>
      </w:r>
    </w:p>
    <w:p>
      <w:pPr>
        <w:spacing w:after="0" w:line="16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the CEO and CFO are eligible for all benefits generally available to the senior executives of ManpowerGroup, subject to and on a basis consistent with the terms, conditions and overall administration of such benefits. The compensation agreements also contain nondisclosure provisions that are effective during the term of the executive’s employment with ManpowerGroup and during the two-year period following the termination of the executive’s employment with ManpowerGroup, and nonsolicitation provisions that are effective during the term of the executive’s employment with ManpowerGroup and during the one-year period following the termination of the executive’s employment with ManpowerGroup.</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Sullivan, Mr. Prising, Mr. Green, Mr. Leentjes and Ms. Gri currently receive an annual incentive bonus determined pursuant to an incentive arrangement with ManpowerGroup and all but Ms. Gri have entered into severance agreements with ManpowerGroup. The annual incentive bonus arrangements are described in further detail in the Compensation Discussion and Analysis included in this proxy statement and the severance agreements for each NEO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2011, Mr. Prising received expatriate benefits in connection with his assignment to Milwaukee, Wisconsin. This arrangement is described in further detail in the Compensation Discussion and Analysis included in this proxy statement.</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connection with his employment as President, Asia Pacific and the Middle East, ManpowerGroup entered into an agreement with Mr. Green to provide for benefits related to Mr. Green’s appointment in Asia, including a car allowance, payment or reimbursement for housing, tuition, tax preparation, moving and return visit expenses, tax gross ups on these expenses and tax equalization payments.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her appointment as President of Manpower France SAS, Ms. Gri entered into a compensation agreement with Manpower France Holdings SAS. Under her compensation agreement, she is entitled to receive an annual base salary of €400,000, as may be increased from time to time, and she is entitled to receive annual incentive compensation. In addition, under her employment contract, Ms. Gri is entitled to reimbursement of her business expenses, a company car, and a limited number of vacation days. Her employment agreement also contains nondisclosure provisions that are effective during the term of her employment with ManpowerGroup and following the termination of her employment with ManpowerGroup.</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his appointment as President, Northern Europe, ManpowerGroup entered into an employment agreement with Mr. Leentjes in 2011. Under the employment agreement, he is entitled to receive an annual base salary of €290,000, as may be increased from time to time, and he is entitled to receive annual incentive compensation. In addition, under his employment contract, Mr. Leentjes is entitled to reimbursement of his business expenses, a company car, and a limited number of vacation days. During the term of his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09" w:right="279" w:bottom="1440" w:gutter="0" w:footer="0" w:header="0"/>
        </w:sectPr>
      </w:pPr>
    </w:p>
    <w:bookmarkStart w:id="51" w:name="page52"/>
    <w:bookmarkEnd w:id="51"/>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Mr. Leentjes is entitled to continue his participation in the pension plan of Manpower Management B.V., the pension plan applicable to ManpowerGroup’s employees in the Netherlands. He also has entered into a nondisclosure agreement with ManpowerGroup that is effective during the term of his employment with ManpowerGroup and following the termination of his employment with ManpowerGroup.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Annual Incentive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illustrate the achievement of the performance targets in relation to the payment of the 2011 Annual Incentive Awards.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2011, ManpowerGroup’s EPS was $3.04 (compared to $1.50 at threshold, $2.50 at target and $3.25 at outstanding) and EP was -$6.1 MM (compared to -$125 MM at threshold, -$50 MM at target and $10 MM at outtanding).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8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Amount</w:t>
            </w:r>
          </w:p>
        </w:tc>
      </w:tr>
      <w:tr>
        <w:trPr>
          <w:trHeight w:val="161"/>
        </w:trPr>
        <w:tc>
          <w:tcPr>
            <w:tcW w:w="78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8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Above Target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1,238,400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EP Goal</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103.90%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1,246,800</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425,600</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Adjustment Related to 2009 Restatement(1)</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(10,800)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241.67%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Joerres’ 2011 incentive was reduced by $10,800 related to our 2009 restatement of earnings for a workforce solutions contract in which the Company prematurely recorded revenues. This adjustment reflects the earnings earned in 2011 related to this contract in which an incentive had previously been paid to Mr. Joerres.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Michael J. Van Handel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Amount</w:t>
            </w:r>
          </w:p>
        </w:tc>
      </w:tr>
      <w:tr>
        <w:trPr>
          <w:trHeight w:val="161"/>
        </w:trPr>
        <w:tc>
          <w:tcPr>
            <w:tcW w:w="116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8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EPS Goal</w:t>
            </w:r>
          </w:p>
        </w:tc>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Above Target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440"/>
              <w:spacing w:after="0"/>
              <w:rPr>
                <w:sz w:val="20"/>
                <w:szCs w:val="20"/>
                <w:color w:val="auto"/>
              </w:rPr>
            </w:pPr>
            <w:r>
              <w:rPr>
                <w:rFonts w:ascii="Arial" w:cs="Arial" w:eastAsia="Arial" w:hAnsi="Arial"/>
                <w:sz w:val="18"/>
                <w:szCs w:val="18"/>
                <w:color w:val="auto"/>
              </w:rPr>
              <w:t>EP Goal</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415,600</w:t>
            </w:r>
          </w:p>
        </w:tc>
      </w:tr>
      <w:tr>
        <w:trPr>
          <w:trHeight w:val="216"/>
        </w:trPr>
        <w:tc>
          <w:tcPr>
            <w:tcW w:w="7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216,000</w:t>
            </w:r>
          </w:p>
        </w:tc>
      </w:tr>
      <w:tr>
        <w:trPr>
          <w:trHeight w:val="216"/>
        </w:trPr>
        <w:tc>
          <w:tcPr>
            <w:tcW w:w="7880" w:type="dxa"/>
            <w:vAlign w:val="bottom"/>
            <w:gridSpan w:val="2"/>
          </w:tcPr>
          <w:p>
            <w:pPr>
              <w:ind w:left="440"/>
              <w:spacing w:after="0"/>
              <w:rPr>
                <w:sz w:val="20"/>
                <w:szCs w:val="20"/>
                <w:color w:val="auto"/>
              </w:rPr>
            </w:pPr>
            <w:r>
              <w:rPr>
                <w:rFonts w:ascii="Arial" w:cs="Arial" w:eastAsia="Arial" w:hAnsi="Arial"/>
                <w:sz w:val="18"/>
                <w:szCs w:val="18"/>
                <w:color w:val="auto"/>
              </w:rPr>
              <w:t>Adjustment Related to 2009 Restatement(1)</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(3,600)</w:t>
            </w: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1,040,800</w:t>
            </w:r>
          </w:p>
        </w:tc>
      </w:tr>
      <w:tr>
        <w:trPr>
          <w:trHeight w:val="95"/>
        </w:trPr>
        <w:tc>
          <w:tcPr>
            <w:tcW w:w="116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Van Handel’s 2011 incentive was reduced by $3,600 related to our 2009 restatement of earnings for a workforce solutions contract in which the Company prematurely recorded revenues. This adjustment reflects the earnings earned in 2010 related to this contract in which an incentive had previously been paid to Mr. Van Handel.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Darryl Green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61"/>
        </w:trPr>
        <w:tc>
          <w:tcPr>
            <w:tcW w:w="400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Asia Pacific Goal</w:t>
            </w:r>
          </w:p>
        </w:tc>
        <w:tc>
          <w:tcPr>
            <w:tcW w:w="4020" w:type="dxa"/>
            <w:vAlign w:val="bottom"/>
            <w:shd w:val="clear" w:color="auto" w:fill="CCEEFF"/>
          </w:tcPr>
          <w:p>
            <w:pPr>
              <w:spacing w:after="0"/>
              <w:rPr>
                <w:sz w:val="18"/>
                <w:szCs w:val="18"/>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$378,338</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02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$122,550</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$156,750</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Total Incentive</w:t>
            </w:r>
          </w:p>
        </w:tc>
        <w:tc>
          <w:tcPr>
            <w:tcW w:w="402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138.45%</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$657,638</w:t>
            </w:r>
          </w:p>
        </w:tc>
        <w:tc>
          <w:tcPr>
            <w:tcW w:w="100" w:type="dxa"/>
            <w:vAlign w:val="bottom"/>
          </w:tcPr>
          <w:p>
            <w:pPr>
              <w:spacing w:after="0"/>
              <w:rPr>
                <w:sz w:val="19"/>
                <w:szCs w:val="19"/>
                <w:color w:val="auto"/>
              </w:rPr>
            </w:pPr>
          </w:p>
        </w:tc>
      </w:tr>
      <w:tr>
        <w:trPr>
          <w:trHeight w:val="356"/>
        </w:trPr>
        <w:tc>
          <w:tcPr>
            <w:tcW w:w="4000" w:type="dxa"/>
            <w:vAlign w:val="bottom"/>
          </w:tcPr>
          <w:p>
            <w:pPr>
              <w:spacing w:after="0"/>
              <w:rPr>
                <w:sz w:val="24"/>
                <w:szCs w:val="24"/>
                <w:color w:val="auto"/>
              </w:rPr>
            </w:pPr>
          </w:p>
        </w:tc>
        <w:tc>
          <w:tcPr>
            <w:tcW w:w="4020" w:type="dxa"/>
            <w:vAlign w:val="bottom"/>
          </w:tcPr>
          <w:p>
            <w:pPr>
              <w:jc w:val="right"/>
              <w:ind w:right="2132"/>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Francoise Gri — 2011 Annual Incentive Calculation(1)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61"/>
        </w:trPr>
        <w:tc>
          <w:tcPr>
            <w:tcW w:w="7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Southern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$226,097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$148,961</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$173,210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Incentive</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94.96%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$548,268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8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Gri’s incentive is paid in Euros and has been translated above at an exchange rate of 1.3122 (in U.S. Dollars), which was the exchange rate on March 12,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Hans Leentjes — 2011 Annual Incentive Calculation(1)</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4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77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7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Northern Europe Goal</w:t>
            </w:r>
          </w:p>
        </w:tc>
        <w:tc>
          <w:tcPr>
            <w:tcW w:w="1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136,147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EPS Goal</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96,899</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1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93,895</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 Incentive</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87.05%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326,941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Leentjes incentive is paid in Euros and has been translated above at an exchange rate of 1.2951 (in U.S. Dollars), which was the exchange rate on January 10,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Jonas Prising — 2011 Annual Incentive Calculation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America’s Goal</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Above Target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216,458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EPS Goal</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122,550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Objectives</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166,250</w:t>
            </w:r>
          </w:p>
        </w:tc>
        <w:tc>
          <w:tcPr>
            <w:tcW w:w="100" w:type="dxa"/>
            <w:vAlign w:val="bottom"/>
            <w:shd w:val="clear" w:color="auto" w:fill="CCEEFF"/>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Total Incentive</w:t>
            </w:r>
          </w:p>
        </w:tc>
        <w:tc>
          <w:tcPr>
            <w:tcW w:w="4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106.37%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505,258</w:t>
            </w:r>
          </w:p>
        </w:tc>
        <w:tc>
          <w:tcPr>
            <w:tcW w:w="100" w:type="dxa"/>
            <w:vAlign w:val="bottom"/>
          </w:tcPr>
          <w:p>
            <w:pPr>
              <w:spacing w:after="0"/>
              <w:rPr>
                <w:sz w:val="19"/>
                <w:szCs w:val="19"/>
                <w:color w:val="auto"/>
              </w:rPr>
            </w:pPr>
          </w:p>
        </w:tc>
      </w:tr>
      <w:tr>
        <w:trPr>
          <w:trHeight w:val="451"/>
        </w:trPr>
        <w:tc>
          <w:tcPr>
            <w:tcW w:w="3260" w:type="dxa"/>
            <w:vAlign w:val="bottom"/>
          </w:tcPr>
          <w:p>
            <w:pPr>
              <w:spacing w:after="0"/>
              <w:rPr>
                <w:sz w:val="24"/>
                <w:szCs w:val="24"/>
                <w:color w:val="auto"/>
              </w:rPr>
            </w:pPr>
          </w:p>
        </w:tc>
        <w:tc>
          <w:tcPr>
            <w:tcW w:w="6200" w:type="dxa"/>
            <w:vAlign w:val="bottom"/>
            <w:gridSpan w:val="4"/>
          </w:tcPr>
          <w:p>
            <w:pPr>
              <w:ind w:left="400"/>
              <w:spacing w:after="0"/>
              <w:rPr>
                <w:sz w:val="20"/>
                <w:szCs w:val="20"/>
                <w:color w:val="auto"/>
              </w:rPr>
            </w:pPr>
            <w:r>
              <w:rPr>
                <w:rFonts w:ascii="Arial" w:cs="Arial" w:eastAsia="Arial" w:hAnsi="Arial"/>
                <w:sz w:val="18"/>
                <w:szCs w:val="18"/>
                <w:b w:val="1"/>
                <w:bCs w:val="1"/>
                <w:color w:val="auto"/>
              </w:rPr>
              <w:t>Owen J. Sullivan — 2011 Annual Incentive Calculation</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3"/>
        </w:trPr>
        <w:tc>
          <w:tcPr>
            <w:tcW w:w="3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2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Performance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of 2011</w:t>
            </w:r>
          </w:p>
        </w:tc>
        <w:tc>
          <w:tcPr>
            <w:tcW w:w="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r>
      <w:tr>
        <w:trPr>
          <w:trHeight w:val="161"/>
        </w:trPr>
        <w:tc>
          <w:tcPr>
            <w:tcW w:w="3260" w:type="dxa"/>
            <w:vAlign w:val="bottom"/>
            <w:tcBorders>
              <w:bottom w:val="single" w:sz="8" w:color="CCEEFF"/>
            </w:tcBorders>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r>
      <w:tr>
        <w:trPr>
          <w:trHeight w:val="210"/>
        </w:trPr>
        <w:tc>
          <w:tcPr>
            <w:tcW w:w="3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AOUP of Right Management Goal</w:t>
            </w:r>
          </w:p>
        </w:tc>
        <w:tc>
          <w:tcPr>
            <w:tcW w:w="4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Below Threshold</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EP Goal</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32.47%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154,232</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EPS Goal</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153,188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440"/>
              <w:spacing w:after="0"/>
              <w:rPr>
                <w:sz w:val="20"/>
                <w:szCs w:val="20"/>
                <w:color w:val="auto"/>
              </w:rPr>
            </w:pPr>
            <w:r>
              <w:rPr>
                <w:rFonts w:ascii="Arial" w:cs="Arial" w:eastAsia="Arial" w:hAnsi="Arial"/>
                <w:sz w:val="18"/>
                <w:szCs w:val="18"/>
                <w:color w:val="auto"/>
              </w:rPr>
              <w:t>Operating Objectives</w:t>
            </w:r>
          </w:p>
        </w:tc>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166,250</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Incentive</w:t>
            </w:r>
          </w:p>
        </w:tc>
        <w:tc>
          <w:tcPr>
            <w:tcW w:w="4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473,670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Grants Under the 2003 Equity Incentive Plan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ManpowerGroup made grants of stock options to all of the NEOs (other than Ms. Gri) under the 2003 Equity Incentive Plan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To comply with certain French laws, ManpowerGroup made a stock option grant to Ms. Gri in March 2011. The stock options granted in 2011 vest 25% per year over a four-year period and if they are not exercised, they expire in ten years (or earlier following a termination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09" w:right="23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Additional vesting terms applicable to these options are described in further detail in the section entitled “Termination of Employment and Change of Control Arrangements” following the Nonqualified Deferred Compensation Table.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Performance share units</w:t>
      </w:r>
      <w:r>
        <w:rPr>
          <w:rFonts w:ascii="Arial" w:cs="Arial" w:eastAsia="Arial" w:hAnsi="Arial"/>
          <w:sz w:val="16"/>
          <w:szCs w:val="16"/>
          <w:color w:val="auto"/>
        </w:rPr>
        <w:t>. ManpowerGroup made grants of performance share units to all of the NEOs under the 2003 Equity Incentive Plan in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2011. Each NEO received a performance share unit grant that was earned because the Operating Profit Margin Percentage goal was met in 2011. Of these performance shares earned in 2011, 50% vest at the end of 2012 and the remaining 50% vest at the end of 2013 as long as the NEOs continue to be employed by the Company. See page 38 for a description of the goals established by the committee for the 2011 performance share unit grant.</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NEO upon the vesting of the performance share units. Additional vesting terms applicable to these grants are described in further detail in the section entitled “Termination of Employment and Change of Control Arrangements” following the Nonqualified Deferred Compensation Table.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NEOs in 2011 have a three-year cliff vest and are earned as long as the NEO continues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career shares to Mr. Prising and Mr. Sullivan in February 2011, which were granted as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with a five-year vesting term. Dividend equivalents are paid on restricted stock units under these awards. Additional vesting terms applicable to these grants are described in further detail in the section entitled “Termination of Employment and Change of Control Agreements” following the Nonqualified Deferred Compensation Table.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80"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December 31, 2011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2"/>
              </w:rPr>
              <w:t>Option Awards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or Payout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0"/>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Market</w:t>
            </w: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4"/>
                <w:szCs w:val="4"/>
                <w:color w:val="auto"/>
              </w:rPr>
            </w:pPr>
          </w:p>
        </w:tc>
        <w:tc>
          <w:tcPr>
            <w:tcW w:w="6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Plan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Value</w:t>
            </w: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Units</w:t>
            </w:r>
          </w:p>
        </w:tc>
        <w:tc>
          <w:tcPr>
            <w:tcW w:w="10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of Shares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or Units</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that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that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Unearned</w:t>
            </w:r>
          </w:p>
        </w:tc>
        <w:tc>
          <w:tcPr>
            <w:tcW w:w="2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10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Have Not</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&amp; Principal Position</w:t>
            </w:r>
          </w:p>
        </w:tc>
        <w:tc>
          <w:tcPr>
            <w:tcW w:w="1660" w:type="dxa"/>
            <w:vAlign w:val="bottom"/>
            <w:gridSpan w:val="2"/>
          </w:tcPr>
          <w:p>
            <w:pPr>
              <w:jc w:val="center"/>
              <w:ind w:left="872"/>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Vested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40" w:type="dxa"/>
            <w:vAlign w:val="bottom"/>
            <w:gridSpan w:val="2"/>
          </w:tcPr>
          <w:p>
            <w:pPr>
              <w:jc w:val="center"/>
              <w:ind w:right="352"/>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480" w:type="dxa"/>
            <w:vAlign w:val="bottom"/>
          </w:tcPr>
          <w:p>
            <w:pPr>
              <w:jc w:val="right"/>
              <w:ind w:right="12"/>
              <w:spacing w:after="0" w:line="148"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24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Jeffrey A. Joerres</w:t>
            </w:r>
          </w:p>
        </w:tc>
        <w:tc>
          <w:tcPr>
            <w:tcW w:w="9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35,000</w:t>
            </w: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ind w:left="492"/>
              <w:spacing w:after="0" w:line="136" w:lineRule="exact"/>
              <w:rPr>
                <w:sz w:val="20"/>
                <w:szCs w:val="20"/>
                <w:color w:val="auto"/>
              </w:rPr>
            </w:pPr>
            <w:r>
              <w:rPr>
                <w:rFonts w:ascii="Arial" w:cs="Arial" w:eastAsia="Arial" w:hAnsi="Arial"/>
                <w:sz w:val="14"/>
                <w:szCs w:val="14"/>
                <w:color w:val="auto"/>
                <w:w w:val="99"/>
              </w:rPr>
              <w:t>—</w:t>
            </w:r>
          </w:p>
        </w:tc>
        <w:tc>
          <w:tcPr>
            <w:tcW w:w="4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center"/>
              <w:ind w:left="52"/>
              <w:spacing w:after="0" w:line="136" w:lineRule="exact"/>
              <w:rPr>
                <w:sz w:val="20"/>
                <w:szCs w:val="20"/>
                <w:color w:val="auto"/>
              </w:rPr>
            </w:pPr>
            <w:r>
              <w:rPr>
                <w:rFonts w:ascii="Arial" w:cs="Arial" w:eastAsia="Arial" w:hAnsi="Arial"/>
                <w:sz w:val="14"/>
                <w:szCs w:val="14"/>
                <w:color w:val="auto"/>
                <w:w w:val="85"/>
              </w:rPr>
              <w:t>31.16</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5"/>
              </w:rPr>
              <w:t>02/18/2013</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CEO</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44.08</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02/18/2014</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52.78</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02/14/2016</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115,000</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76.30</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02/14/2017</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45,000(4)</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8"/>
              </w:rPr>
              <w:t>125,000(5)</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39,500</w:t>
            </w:r>
          </w:p>
        </w:tc>
        <w:tc>
          <w:tcPr>
            <w:tcW w:w="200" w:type="dxa"/>
            <w:vAlign w:val="bottom"/>
          </w:tcPr>
          <w:p>
            <w:pPr>
              <w:spacing w:after="0"/>
              <w:rPr>
                <w:sz w:val="12"/>
                <w:szCs w:val="12"/>
                <w:color w:val="auto"/>
              </w:rPr>
            </w:pPr>
          </w:p>
        </w:tc>
        <w:tc>
          <w:tcPr>
            <w:tcW w:w="124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118,500(6)</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69,537(7)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35,000(8)</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$1,251,250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40,000(9)</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$1,430,000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17,466(10)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624,410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21,218(11)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758,544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41,000(15)</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9"/>
              </w:rPr>
              <w:t>$1,465,750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52,146(16)</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$1,864,220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Michael J. Van Handel</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13,500</w:t>
            </w:r>
          </w:p>
        </w:tc>
        <w:tc>
          <w:tcPr>
            <w:tcW w:w="200" w:type="dxa"/>
            <w:vAlign w:val="bottom"/>
          </w:tcPr>
          <w:p>
            <w:pPr>
              <w:spacing w:after="0"/>
              <w:rPr>
                <w:sz w:val="18"/>
                <w:szCs w:val="18"/>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31.16</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02/18/2013</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CFO</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44.08</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02/18/2014</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52.78</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02/14/2016</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76.30</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02/14/2017</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11,250(4)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40,000(5)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38,250(6)</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24,835(7)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6,000(8)</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6,986(10)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249,750</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7,578(11)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270,913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15,000(15)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18,624(16)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665,808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4"/>
                <w:szCs w:val="14"/>
                <w:color w:val="auto"/>
              </w:rPr>
              <w:t>Darryl Green</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200" w:type="dxa"/>
            <w:vAlign w:val="bottom"/>
          </w:tcPr>
          <w:p>
            <w:pPr>
              <w:spacing w:after="0"/>
              <w:rPr>
                <w:sz w:val="18"/>
                <w:szCs w:val="18"/>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93.24</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05/28/2017</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EVP and President,</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6,250(4)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Asia Pacific and</w:t>
            </w:r>
          </w:p>
        </w:tc>
        <w:tc>
          <w:tcPr>
            <w:tcW w:w="940" w:type="dxa"/>
            <w:vAlign w:val="bottom"/>
          </w:tcPr>
          <w:p>
            <w:pPr>
              <w:spacing w:after="0"/>
              <w:rPr>
                <w:sz w:val="11"/>
                <w:szCs w:val="11"/>
                <w:color w:val="auto"/>
              </w:rPr>
            </w:pPr>
          </w:p>
        </w:tc>
        <w:tc>
          <w:tcPr>
            <w:tcW w:w="92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38" w:lineRule="exact"/>
              <w:rPr>
                <w:sz w:val="20"/>
                <w:szCs w:val="20"/>
                <w:color w:val="auto"/>
              </w:rPr>
            </w:pPr>
            <w:r>
              <w:rPr>
                <w:rFonts w:ascii="Arial" w:cs="Arial" w:eastAsia="Arial" w:hAnsi="Arial"/>
                <w:sz w:val="14"/>
                <w:szCs w:val="14"/>
                <w:color w:val="auto"/>
              </w:rPr>
              <w:t>20,500(5)</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2"/>
          </w:tcPr>
          <w:p>
            <w:pPr>
              <w:ind w:left="200"/>
              <w:spacing w:after="0"/>
              <w:rPr>
                <w:sz w:val="20"/>
                <w:szCs w:val="20"/>
                <w:color w:val="auto"/>
              </w:rPr>
            </w:pPr>
            <w:r>
              <w:rPr>
                <w:rFonts w:ascii="Arial" w:cs="Arial" w:eastAsia="Arial" w:hAnsi="Arial"/>
                <w:sz w:val="14"/>
                <w:szCs w:val="14"/>
                <w:color w:val="auto"/>
              </w:rPr>
              <w:t>Middle East</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5,500</w:t>
            </w:r>
          </w:p>
        </w:tc>
        <w:tc>
          <w:tcPr>
            <w:tcW w:w="200" w:type="dxa"/>
            <w:vAlign w:val="bottom"/>
          </w:tcPr>
          <w:p>
            <w:pPr>
              <w:spacing w:after="0"/>
              <w:rPr>
                <w:sz w:val="15"/>
                <w:szCs w:val="15"/>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4"/>
                <w:szCs w:val="14"/>
                <w:color w:val="auto"/>
              </w:rPr>
              <w:t>16,500(6)</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53.01</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02/18/2020</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18,875(7)</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4,018(10)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143,644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5,759(11)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205,884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5,239(12)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187,294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6,000(15)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14,154(16)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506,006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Françoise Gri</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73.86</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03/12/2017</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EVP and President,</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20,250</w:t>
            </w:r>
          </w:p>
        </w:tc>
        <w:tc>
          <w:tcPr>
            <w:tcW w:w="200" w:type="dxa"/>
            <w:vAlign w:val="bottom"/>
          </w:tcPr>
          <w:p>
            <w:pPr>
              <w:spacing w:after="0"/>
              <w:rPr>
                <w:sz w:val="12"/>
                <w:szCs w:val="12"/>
                <w:color w:val="auto"/>
              </w:rPr>
            </w:pPr>
          </w:p>
        </w:tc>
        <w:tc>
          <w:tcPr>
            <w:tcW w:w="12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6,750(17)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55.10</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03/11/2018</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Southern Europe</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20,500(18)</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27.99</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03/09/2019</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6,750</w:t>
            </w:r>
          </w:p>
        </w:tc>
        <w:tc>
          <w:tcPr>
            <w:tcW w:w="200" w:type="dxa"/>
            <w:vAlign w:val="bottom"/>
          </w:tcPr>
          <w:p>
            <w:pPr>
              <w:spacing w:after="0"/>
              <w:rPr>
                <w:sz w:val="12"/>
                <w:szCs w:val="12"/>
                <w:color w:val="auto"/>
              </w:rPr>
            </w:pPr>
          </w:p>
        </w:tc>
        <w:tc>
          <w:tcPr>
            <w:tcW w:w="12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20,250(19)</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55.33</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03/08/2020</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9,934(20)</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63.29</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03/11/2021</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4,018(10)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143,644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3,031(11)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108,358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5,239(12)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187,294</w:t>
            </w:r>
          </w:p>
        </w:tc>
        <w:tc>
          <w:tcPr>
            <w:tcW w:w="240" w:type="dxa"/>
            <w:vAlign w:val="bottom"/>
          </w:tcPr>
          <w:p>
            <w:pPr>
              <w:spacing w:after="0"/>
              <w:rPr>
                <w:sz w:val="12"/>
                <w:szCs w:val="12"/>
                <w:color w:val="auto"/>
              </w:rPr>
            </w:pP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6,000(15)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7,450(16)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266,338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Hans Leentjes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44.37</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02/16/2015</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EVP and President,</w:t>
            </w:r>
          </w:p>
        </w:tc>
        <w:tc>
          <w:tcPr>
            <w:tcW w:w="1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1"/>
                <w:szCs w:val="11"/>
                <w:color w:val="auto"/>
              </w:rPr>
            </w:pPr>
          </w:p>
        </w:tc>
        <w:tc>
          <w:tcPr>
            <w:tcW w:w="124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3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52.78</w:t>
            </w: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02/14/2016</w:t>
            </w:r>
          </w:p>
        </w:tc>
        <w:tc>
          <w:tcPr>
            <w:tcW w:w="8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gridSpan w:val="2"/>
          </w:tcPr>
          <w:p>
            <w:pPr>
              <w:ind w:left="200"/>
              <w:spacing w:after="0"/>
              <w:rPr>
                <w:sz w:val="20"/>
                <w:szCs w:val="20"/>
                <w:color w:val="auto"/>
              </w:rPr>
            </w:pPr>
            <w:r>
              <w:rPr>
                <w:rFonts w:ascii="Arial" w:cs="Arial" w:eastAsia="Arial" w:hAnsi="Arial"/>
                <w:sz w:val="14"/>
                <w:szCs w:val="14"/>
                <w:color w:val="auto"/>
              </w:rPr>
              <w:t>Northern Europe</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15"/>
                <w:szCs w:val="15"/>
                <w:color w:val="auto"/>
              </w:rPr>
            </w:pP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76.30</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02/14/2017</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1,500(4)</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56.64</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02/20/2018</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200" w:type="dxa"/>
            <w:vAlign w:val="bottom"/>
          </w:tcPr>
          <w:p>
            <w:pPr>
              <w:spacing w:after="0"/>
              <w:rPr>
                <w:sz w:val="12"/>
                <w:szCs w:val="12"/>
                <w:color w:val="auto"/>
              </w:rPr>
            </w:pP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4,500(5)</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30.96</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02/17/2019</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5,250(6)</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53.01</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02/18/2020</w:t>
            </w: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7,948(7)</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67.12</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02/16/2021</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w:t>
            </w:r>
          </w:p>
        </w:tc>
        <w:tc>
          <w:tcPr>
            <w:tcW w:w="9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2,425(11)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w:t>
            </w: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5,960(16)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213,070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9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4"/>
              </w:rPr>
              <w:t>Option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Equity</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Incentive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Plan</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4"/>
                <w:szCs w:val="4"/>
                <w:color w:val="auto"/>
              </w:rPr>
            </w:pPr>
          </w:p>
        </w:tc>
        <w:tc>
          <w:tcPr>
            <w:tcW w:w="8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Market</w:t>
            </w:r>
          </w:p>
        </w:tc>
        <w:tc>
          <w:tcPr>
            <w:tcW w:w="11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11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Plan</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6"/>
                <w:szCs w:val="6"/>
                <w:color w:val="auto"/>
              </w:rPr>
            </w:pPr>
          </w:p>
        </w:tc>
        <w:tc>
          <w:tcPr>
            <w:tcW w:w="8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of Shares</w:t>
            </w:r>
          </w:p>
        </w:tc>
        <w:tc>
          <w:tcPr>
            <w:tcW w:w="112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Unearned</w:t>
            </w:r>
          </w:p>
        </w:tc>
        <w:tc>
          <w:tcPr>
            <w:tcW w:w="64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Shares,</w:t>
            </w:r>
          </w:p>
        </w:tc>
        <w:tc>
          <w:tcPr>
            <w:tcW w:w="0" w:type="dxa"/>
            <w:vAlign w:val="bottom"/>
          </w:tcPr>
          <w:p>
            <w:pPr>
              <w:spacing w:after="0"/>
              <w:rPr>
                <w:sz w:val="1"/>
                <w:szCs w:val="1"/>
                <w:color w:val="auto"/>
              </w:rPr>
            </w:pPr>
          </w:p>
        </w:tc>
      </w:tr>
      <w:tr>
        <w:trPr>
          <w:trHeight w:val="69"/>
        </w:trPr>
        <w:tc>
          <w:tcPr>
            <w:tcW w:w="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or Units</w:t>
            </w:r>
          </w:p>
        </w:tc>
        <w:tc>
          <w:tcPr>
            <w:tcW w:w="16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or Units</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Units, 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5"/>
              </w:rPr>
              <w:t>of</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Securities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that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Have</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that Have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Have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&amp; Principal Position</w:t>
            </w:r>
          </w:p>
        </w:tc>
        <w:tc>
          <w:tcPr>
            <w:tcW w:w="1500" w:type="dxa"/>
            <w:vAlign w:val="bottom"/>
            <w:gridSpan w:val="2"/>
          </w:tcPr>
          <w:p>
            <w:pPr>
              <w:jc w:val="center"/>
              <w:ind w:left="712"/>
              <w:spacing w:after="0" w:line="14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Vested</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40" w:type="dxa"/>
            <w:vAlign w:val="bottom"/>
            <w:gridSpan w:val="2"/>
          </w:tcPr>
          <w:p>
            <w:pPr>
              <w:jc w:val="center"/>
              <w:ind w:right="352"/>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9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right"/>
              <w:ind w:right="32"/>
              <w:spacing w:after="0" w:line="148" w:lineRule="exact"/>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($)(2)</w:t>
            </w:r>
          </w:p>
        </w:tc>
        <w:tc>
          <w:tcPr>
            <w:tcW w:w="28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54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Jonas Prising</w:t>
            </w:r>
          </w:p>
        </w:tc>
        <w:tc>
          <w:tcPr>
            <w:tcW w:w="7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20,000</w:t>
            </w:r>
          </w:p>
        </w:tc>
        <w:tc>
          <w:tcPr>
            <w:tcW w:w="2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center"/>
              <w:ind w:left="32"/>
              <w:spacing w:after="0" w:line="136" w:lineRule="exact"/>
              <w:rPr>
                <w:sz w:val="20"/>
                <w:szCs w:val="20"/>
                <w:color w:val="auto"/>
              </w:rPr>
            </w:pPr>
            <w:r>
              <w:rPr>
                <w:rFonts w:ascii="Arial" w:cs="Arial" w:eastAsia="Arial" w:hAnsi="Arial"/>
                <w:sz w:val="14"/>
                <w:szCs w:val="14"/>
                <w:color w:val="auto"/>
                <w:w w:val="85"/>
              </w:rPr>
              <w:t>52.78</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02/14/2016</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80"/>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EVP and President,</w:t>
            </w: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24,000</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76.30</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02/14/2017</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The Americas</w:t>
            </w: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7,500(4)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56.64</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02/20/2018</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8,750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17,500(5)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30.96</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02/17/2019</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16,500(6)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53.01</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02/18/2020</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9,934(7)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67.12</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02/16/2021</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2,500(13)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89,375</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3,145(10)</w:t>
            </w:r>
          </w:p>
        </w:tc>
        <w:tc>
          <w:tcPr>
            <w:tcW w:w="98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$ 112,434</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2,095(12)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74,896</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3,031(11)</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$ 108,358</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15,155(14)</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$ 541,791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6,000(15)</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$ 214,500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7,450(16)</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$ 266,338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4"/>
                <w:szCs w:val="14"/>
                <w:color w:val="auto"/>
              </w:rPr>
              <w:t>Owen J. Sullivan</w:t>
            </w:r>
          </w:p>
        </w:tc>
        <w:tc>
          <w:tcPr>
            <w:tcW w:w="1760" w:type="dxa"/>
            <w:vAlign w:val="bottom"/>
            <w:gridSpan w:val="3"/>
          </w:tcPr>
          <w:p>
            <w:pPr>
              <w:jc w:val="right"/>
              <w:ind w:right="260"/>
              <w:spacing w:after="0"/>
              <w:rPr>
                <w:sz w:val="20"/>
                <w:szCs w:val="20"/>
                <w:color w:val="auto"/>
              </w:rPr>
            </w:pPr>
            <w:r>
              <w:rPr>
                <w:rFonts w:ascii="Arial" w:cs="Arial" w:eastAsia="Arial" w:hAnsi="Arial"/>
                <w:sz w:val="14"/>
                <w:szCs w:val="14"/>
                <w:color w:val="auto"/>
              </w:rPr>
              <w:t>10,000</w:t>
            </w:r>
          </w:p>
        </w:tc>
        <w:tc>
          <w:tcPr>
            <w:tcW w:w="1240" w:type="dxa"/>
            <w:vAlign w:val="bottom"/>
            <w:gridSpan w:val="2"/>
          </w:tcPr>
          <w:p>
            <w:pPr>
              <w:jc w:val="right"/>
              <w:ind w:right="43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42.00</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02/24/2014</w:t>
            </w:r>
          </w:p>
        </w:tc>
        <w:tc>
          <w:tcPr>
            <w:tcW w:w="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EVP and President,</w:t>
            </w: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32,000</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44.37</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02/16/2015</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Specialty Brands</w:t>
            </w: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26,020</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52.78</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02/14/2016</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24,000</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76.30</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02/14/2017</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18,000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6,000(4)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56.64</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02/20/2018</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17,500</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17,500(5)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30.96</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02/17/2019</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2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16,500(6)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53.01</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02/18/2020</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9,934(7)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67.12</w:t>
            </w:r>
          </w:p>
        </w:tc>
        <w:tc>
          <w:tcPr>
            <w:tcW w:w="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8"/>
              </w:rPr>
              <w:t>02/16/2021</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2,500(13)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89,375</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3,145(10)</w:t>
            </w:r>
          </w:p>
        </w:tc>
        <w:tc>
          <w:tcPr>
            <w:tcW w:w="98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$ 112,434</w:t>
            </w: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3,031(11)</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$ 108,358</w:t>
            </w:r>
          </w:p>
        </w:tc>
        <w:tc>
          <w:tcPr>
            <w:tcW w:w="280" w:type="dxa"/>
            <w:vAlign w:val="bottom"/>
          </w:tcPr>
          <w:p>
            <w:pPr>
              <w:spacing w:after="0"/>
              <w:rPr>
                <w:sz w:val="12"/>
                <w:szCs w:val="12"/>
                <w:color w:val="auto"/>
              </w:rPr>
            </w:pP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15,155(14)</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$ 541,791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6,000(15)</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$ 214,500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7,450(16)</w:t>
            </w: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$ 266,338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or career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Value based on the closing price of $35.75 on December 31, 2011.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remaining options vested on February 20,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50% of the remaining options vested on February 17, 2012 and the remaining unvested options are scheduled to vest on February 17, 2013.</w:t>
      </w:r>
    </w:p>
    <w:p>
      <w:pPr>
        <w:spacing w:after="0" w:line="113" w:lineRule="exact"/>
        <w:rPr>
          <w:rFonts w:ascii="Arial" w:cs="Arial" w:eastAsia="Arial" w:hAnsi="Arial"/>
          <w:sz w:val="16"/>
          <w:szCs w:val="16"/>
          <w:color w:val="auto"/>
        </w:rPr>
      </w:pPr>
    </w:p>
    <w:p>
      <w:pPr>
        <w:ind w:left="460" w:right="78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18, 2012 and 33% of the remaining unvested options are scheduled to vest on each of February 18, 2013 and 2014.</w:t>
      </w:r>
    </w:p>
    <w:p>
      <w:pPr>
        <w:spacing w:after="0" w:line="50"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of the remaining unvested options vested on February 16, 2012 and 25% of the remaining unvested options are scheduled to vest on each of February 16, 2013, 2014 and 2015.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vested on February 14,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scheduled to vest on February 20,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stock units vested on February 17,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17,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5" w:right="239" w:bottom="1440" w:gutter="0" w:footer="0" w:header="0"/>
        </w:sectPr>
      </w:pPr>
    </w:p>
    <w:bookmarkStart w:id="56" w:name="page57"/>
    <w:bookmarkEnd w:id="56"/>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units scheduled to vest on February 14, 2013.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2016.</w:t>
      </w:r>
    </w:p>
    <w:p>
      <w:pPr>
        <w:spacing w:after="0" w:line="90" w:lineRule="exact"/>
        <w:rPr>
          <w:rFonts w:ascii="Arial" w:cs="Arial" w:eastAsia="Arial" w:hAnsi="Arial"/>
          <w:sz w:val="18"/>
          <w:szCs w:val="18"/>
          <w:color w:val="auto"/>
        </w:rPr>
      </w:pPr>
    </w:p>
    <w:p>
      <w:pPr>
        <w:ind w:left="452" w:right="60" w:hanging="452"/>
        <w:spacing w:after="0" w:line="332" w:lineRule="auto"/>
        <w:tabs>
          <w:tab w:leader="none" w:pos="4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Performance share units vested in February 2012 after the committee certified that the performance targets and service requirements were achieved as of December 31, 2011. The actual number of shares issued for each NEO, based on the performance results were as follows:</w:t>
      </w:r>
    </w:p>
    <w:p>
      <w:pPr>
        <w:spacing w:after="0" w:line="108" w:lineRule="exact"/>
        <w:rPr>
          <w:sz w:val="20"/>
          <w:szCs w:val="20"/>
          <w:color w:val="auto"/>
        </w:rPr>
      </w:pPr>
    </w:p>
    <w:tbl>
      <w:tblPr>
        <w:tblLayout w:type="fixed"/>
        <w:tblInd w:w="1372"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040" w:type="dxa"/>
            <w:vAlign w:val="bottom"/>
          </w:tcPr>
          <w:p>
            <w:pPr>
              <w:spacing w:after="0"/>
              <w:rPr>
                <w:sz w:val="15"/>
                <w:szCs w:val="15"/>
                <w:color w:val="auto"/>
              </w:rPr>
            </w:pPr>
          </w:p>
        </w:tc>
        <w:tc>
          <w:tcPr>
            <w:tcW w:w="4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Performance Share Units</w:t>
            </w:r>
          </w:p>
        </w:tc>
      </w:tr>
      <w:tr>
        <w:trPr>
          <w:trHeight w:val="203"/>
        </w:trPr>
        <w:tc>
          <w:tcPr>
            <w:tcW w:w="4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Prising</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8"/>
                <w:szCs w:val="18"/>
                <w:color w:val="auto"/>
              </w:rPr>
            </w:pPr>
          </w:p>
        </w:tc>
      </w:t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Owen J. Sullivan</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52" w:right="620" w:hanging="452"/>
        <w:spacing w:after="0" w:line="268"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committee certified that the performance targets were achieved as of December 31, 2011. The actual number of shares payable, based on the performance results are as follows:</w:t>
      </w:r>
    </w:p>
    <w:p>
      <w:pPr>
        <w:spacing w:after="0" w:line="155" w:lineRule="exact"/>
        <w:rPr>
          <w:sz w:val="20"/>
          <w:szCs w:val="20"/>
          <w:color w:val="auto"/>
        </w:rPr>
      </w:pPr>
    </w:p>
    <w:tbl>
      <w:tblPr>
        <w:tblLayout w:type="fixed"/>
        <w:tblInd w:w="1372"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Name</w:t>
            </w:r>
          </w:p>
        </w:tc>
        <w:tc>
          <w:tcPr>
            <w:tcW w:w="3040" w:type="dxa"/>
            <w:vAlign w:val="bottom"/>
          </w:tcPr>
          <w:p>
            <w:pPr>
              <w:spacing w:after="0"/>
              <w:rPr>
                <w:sz w:val="15"/>
                <w:szCs w:val="15"/>
                <w:color w:val="auto"/>
              </w:rPr>
            </w:pPr>
          </w:p>
        </w:tc>
        <w:tc>
          <w:tcPr>
            <w:tcW w:w="4320" w:type="dxa"/>
            <w:vAlign w:val="bottom"/>
            <w:gridSpan w:val="3"/>
          </w:tcPr>
          <w:p>
            <w:pPr>
              <w:ind w:left="2740"/>
              <w:spacing w:after="0"/>
              <w:rPr>
                <w:sz w:val="20"/>
                <w:szCs w:val="20"/>
                <w:color w:val="auto"/>
              </w:rPr>
            </w:pPr>
            <w:r>
              <w:rPr>
                <w:rFonts w:ascii="Arial" w:cs="Arial" w:eastAsia="Arial" w:hAnsi="Arial"/>
                <w:sz w:val="14"/>
                <w:szCs w:val="14"/>
                <w:b w:val="1"/>
                <w:bCs w:val="1"/>
                <w:color w:val="auto"/>
                <w:w w:val="93"/>
              </w:rPr>
              <w:t>Performance Share Units</w:t>
            </w:r>
          </w:p>
        </w:tc>
      </w:tr>
      <w:tr>
        <w:trPr>
          <w:trHeight w:val="203"/>
        </w:trPr>
        <w:tc>
          <w:tcPr>
            <w:tcW w:w="43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27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29,426</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Francoise Gri</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52"/>
        <w:spacing w:after="0"/>
        <w:rPr>
          <w:sz w:val="20"/>
          <w:szCs w:val="20"/>
          <w:color w:val="auto"/>
        </w:rPr>
      </w:pPr>
      <w:r>
        <w:rPr>
          <w:rFonts w:ascii="Arial" w:cs="Arial" w:eastAsia="Arial" w:hAnsi="Arial"/>
          <w:sz w:val="15"/>
          <w:szCs w:val="15"/>
          <w:color w:val="auto"/>
        </w:rPr>
        <w:t>50% of these performance share units are scheduled to vest on each of December 31, 2012 and 2013 if the service requirements are met as of those dates.</w:t>
      </w:r>
    </w:p>
    <w:p>
      <w:pPr>
        <w:spacing w:after="0" w:line="125" w:lineRule="exact"/>
        <w:rPr>
          <w:sz w:val="20"/>
          <w:szCs w:val="20"/>
          <w:color w:val="auto"/>
        </w:rPr>
      </w:pPr>
    </w:p>
    <w:p>
      <w:pPr>
        <w:ind w:left="452" w:hanging="452"/>
        <w:spacing w:after="0"/>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remaining unvested options vested on March 11, 2012.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3"/>
        </w:numPr>
        <w:rPr>
          <w:rFonts w:ascii="Arial" w:cs="Arial" w:eastAsia="Arial" w:hAnsi="Arial"/>
          <w:sz w:val="15"/>
          <w:szCs w:val="15"/>
          <w:color w:val="auto"/>
        </w:rPr>
      </w:pPr>
      <w:r>
        <w:rPr>
          <w:rFonts w:ascii="Arial" w:cs="Arial" w:eastAsia="Arial" w:hAnsi="Arial"/>
          <w:sz w:val="15"/>
          <w:szCs w:val="15"/>
          <w:color w:val="auto"/>
        </w:rPr>
        <w:t>50% of the remaining unvested options vested on March 9, 2012 and the remaining 50% of the unvested options are scheduled to vest on March 9, 2013.</w:t>
      </w:r>
    </w:p>
    <w:p>
      <w:pPr>
        <w:spacing w:after="0" w:line="124" w:lineRule="exact"/>
        <w:rPr>
          <w:rFonts w:ascii="Arial" w:cs="Arial" w:eastAsia="Arial" w:hAnsi="Arial"/>
          <w:sz w:val="15"/>
          <w:szCs w:val="15"/>
          <w:color w:val="auto"/>
        </w:rPr>
      </w:pPr>
    </w:p>
    <w:p>
      <w:pPr>
        <w:ind w:left="452" w:right="180" w:hanging="452"/>
        <w:spacing w:after="0" w:line="268"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33% of the remaining unvested options vested on March 8, 2012 and 33% of the remaining unvested options are scheduled to vest on each of March 8, 2013 and 2014.</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25% of the remaining unvested options vested on March 11, 2012 and 25% of the remaining unvested options are scheduled to vest on each of March 11, 2013, 2014 and 2015.</w:t>
      </w:r>
    </w:p>
    <w:p>
      <w:pPr>
        <w:spacing w:after="0" w:line="118"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32"/>
          </w:cols>
          <w:pgMar w:left="248" w:top="280" w:right="4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Exercises and Stock Vested in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6"/>
              </w:rPr>
              <w:t>Option Awards</w:t>
            </w: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jc w:val="center"/>
              <w:ind w:right="692"/>
              <w:spacing w:after="0" w:line="12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40" w:type="dxa"/>
            <w:vAlign w:val="bottom"/>
            <w:gridSpan w:val="4"/>
          </w:tcPr>
          <w:p>
            <w:pPr>
              <w:jc w:val="center"/>
              <w:ind w:right="78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3"/>
          </w:tcPr>
          <w:p>
            <w:pPr>
              <w:jc w:val="center"/>
              <w:ind w:right="692"/>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82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Value Realized on</w:t>
            </w:r>
          </w:p>
        </w:tc>
        <w:tc>
          <w:tcPr>
            <w:tcW w:w="184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Name &amp; Principal Position</w:t>
            </w:r>
          </w:p>
        </w:tc>
        <w:tc>
          <w:tcPr>
            <w:tcW w:w="1240" w:type="dxa"/>
            <w:vAlign w:val="bottom"/>
            <w:gridSpan w:val="2"/>
            <w:vMerge w:val="restart"/>
          </w:tcPr>
          <w:p>
            <w:pPr>
              <w:spacing w:after="0"/>
              <w:rPr>
                <w:sz w:val="12"/>
                <w:szCs w:val="12"/>
                <w:color w:val="auto"/>
              </w:rPr>
            </w:pPr>
          </w:p>
        </w:tc>
        <w:tc>
          <w:tcPr>
            <w:tcW w:w="820" w:type="dxa"/>
            <w:vAlign w:val="bottom"/>
          </w:tcPr>
          <w:p>
            <w:pPr>
              <w:spacing w:after="0"/>
              <w:rPr>
                <w:sz w:val="12"/>
                <w:szCs w:val="12"/>
                <w:color w:val="auto"/>
              </w:rPr>
            </w:pPr>
          </w:p>
        </w:tc>
        <w:tc>
          <w:tcPr>
            <w:tcW w:w="1740" w:type="dxa"/>
            <w:vAlign w:val="bottom"/>
            <w:gridSpan w:val="3"/>
          </w:tcPr>
          <w:p>
            <w:pPr>
              <w:jc w:val="center"/>
              <w:ind w:right="712"/>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00" w:type="dxa"/>
            <w:vAlign w:val="bottom"/>
          </w:tcPr>
          <w:p>
            <w:pPr>
              <w:spacing w:after="0"/>
              <w:rPr>
                <w:sz w:val="12"/>
                <w:szCs w:val="12"/>
                <w:color w:val="auto"/>
              </w:rPr>
            </w:pPr>
          </w:p>
        </w:tc>
        <w:tc>
          <w:tcPr>
            <w:tcW w:w="172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6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2"/>
              </w:rPr>
              <w:t>Vesting</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780" w:type="dxa"/>
            <w:vAlign w:val="bottom"/>
            <w:gridSpan w:val="3"/>
          </w:tcPr>
          <w:p>
            <w:pPr>
              <w:jc w:val="center"/>
              <w:ind w:left="735"/>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57"/>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250,000</w:t>
            </w: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2,034,380</w:t>
            </w: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62,164</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4,152,198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15,866</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1,060,876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Darryl Green</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741,755</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14,508</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900,596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Françoise Gri</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3,948</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264,990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Southern Europe</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Hans Leentjes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Jonas Prising</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11,550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252,276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3,090</w:t>
            </w:r>
          </w:p>
        </w:tc>
        <w:tc>
          <w:tcPr>
            <w:tcW w:w="6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The Americas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3,090</w:t>
            </w:r>
          </w:p>
        </w:tc>
        <w:tc>
          <w:tcPr>
            <w:tcW w:w="6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w w:val="93"/>
              </w:rPr>
              <w:t>Pension Benefits in 2011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Years</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Credited</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0"/>
              </w:rPr>
              <w:t>Name &amp; Principal Position</w:t>
            </w:r>
          </w:p>
        </w:tc>
        <w:tc>
          <w:tcPr>
            <w:tcW w:w="9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Service</w:t>
            </w:r>
          </w:p>
        </w:tc>
        <w:tc>
          <w:tcPr>
            <w:tcW w:w="20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Benefit</w:t>
            </w: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center"/>
              <w:ind w:left="19"/>
              <w:spacing w:after="0" w:line="148" w:lineRule="exact"/>
              <w:rPr>
                <w:sz w:val="20"/>
                <w:szCs w:val="20"/>
                <w:color w:val="auto"/>
              </w:rPr>
            </w:pPr>
            <w:r>
              <w:rPr>
                <w:rFonts w:ascii="Arial" w:cs="Arial" w:eastAsia="Arial" w:hAnsi="Arial"/>
                <w:sz w:val="14"/>
                <w:szCs w:val="14"/>
                <w:b w:val="1"/>
                <w:bCs w:val="1"/>
                <w:color w:val="auto"/>
                <w:w w:val="89"/>
              </w:rPr>
              <w:t>Plan Name</w:t>
            </w:r>
          </w:p>
        </w:tc>
        <w:tc>
          <w:tcPr>
            <w:tcW w:w="100" w:type="dxa"/>
            <w:vAlign w:val="bottom"/>
          </w:tcPr>
          <w:p>
            <w:pPr>
              <w:spacing w:after="0"/>
              <w:rPr>
                <w:sz w:val="14"/>
                <w:szCs w:val="14"/>
                <w:color w:val="auto"/>
              </w:rPr>
            </w:pPr>
          </w:p>
        </w:tc>
        <w:tc>
          <w:tcPr>
            <w:tcW w:w="1240" w:type="dxa"/>
            <w:vAlign w:val="bottom"/>
            <w:gridSpan w:val="3"/>
          </w:tcPr>
          <w:p>
            <w:pPr>
              <w:jc w:val="center"/>
              <w:ind w:left="517"/>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1060" w:type="dxa"/>
            <w:vAlign w:val="bottom"/>
            <w:gridSpan w:val="2"/>
          </w:tcPr>
          <w:p>
            <w:pPr>
              <w:jc w:val="center"/>
              <w:ind w:left="218"/>
              <w:spacing w:after="0" w:line="148"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left="99"/>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tcBorders>
            <w:gridSpan w:val="6"/>
            <w:shd w:val="clear" w:color="auto" w:fill="CCEEFF"/>
          </w:tcPr>
          <w:p>
            <w:pPr>
              <w:spacing w:after="0" w:line="182" w:lineRule="exact"/>
              <w:rPr>
                <w:sz w:val="20"/>
                <w:szCs w:val="20"/>
                <w:color w:val="auto"/>
              </w:rPr>
            </w:pPr>
            <w:r>
              <w:rPr>
                <w:rFonts w:ascii="Arial" w:cs="Arial" w:eastAsia="Arial" w:hAnsi="Arial"/>
                <w:sz w:val="18"/>
                <w:szCs w:val="18"/>
                <w:color w:val="auto"/>
              </w:rPr>
              <w:t>Jeffrey A. Joerres</w:t>
            </w:r>
          </w:p>
        </w:tc>
        <w:tc>
          <w:tcPr>
            <w:tcW w:w="8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U.S. Pension Plans</w:t>
            </w: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4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81,760</w:t>
            </w: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Michael J. Van Handel</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5"/>
              </w:rPr>
              <w:t>U.S. Pension Plans</w:t>
            </w:r>
          </w:p>
        </w:tc>
        <w:tc>
          <w:tcPr>
            <w:tcW w:w="1720" w:type="dxa"/>
            <w:vAlign w:val="bottom"/>
            <w:gridSpan w:val="4"/>
          </w:tcPr>
          <w:p>
            <w:pPr>
              <w:jc w:val="right"/>
              <w:ind w:right="480"/>
              <w:spacing w:after="0"/>
              <w:rPr>
                <w:sz w:val="20"/>
                <w:szCs w:val="20"/>
                <w:color w:val="auto"/>
              </w:rPr>
            </w:pPr>
            <w:r>
              <w:rPr>
                <w:rFonts w:ascii="Arial" w:cs="Arial" w:eastAsia="Arial" w:hAnsi="Arial"/>
                <w:sz w:val="18"/>
                <w:szCs w:val="18"/>
                <w:color w:val="auto"/>
              </w:rPr>
              <w:t>11</w:t>
            </w:r>
          </w:p>
        </w:tc>
        <w:tc>
          <w:tcPr>
            <w:tcW w:w="1840" w:type="dxa"/>
            <w:vAlign w:val="bottom"/>
            <w:gridSpan w:val="4"/>
          </w:tcPr>
          <w:p>
            <w:pPr>
              <w:jc w:val="right"/>
              <w:ind w:right="680"/>
              <w:spacing w:after="0"/>
              <w:rPr>
                <w:sz w:val="20"/>
                <w:szCs w:val="20"/>
                <w:color w:val="auto"/>
              </w:rPr>
            </w:pPr>
            <w:r>
              <w:rPr>
                <w:rFonts w:ascii="Arial" w:cs="Arial" w:eastAsia="Arial" w:hAnsi="Arial"/>
                <w:sz w:val="18"/>
                <w:szCs w:val="18"/>
                <w:color w:val="auto"/>
              </w:rPr>
              <w:t>92,487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CFO</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Darryl Green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 and Middle East</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Françoise Gri</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Southern Europe</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Hans Leentjes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88"/>
              </w:rPr>
              <w:t>Dutch Pension</w:t>
            </w:r>
          </w:p>
        </w:tc>
        <w:tc>
          <w:tcPr>
            <w:tcW w:w="100" w:type="dxa"/>
            <w:vAlign w:val="bottom"/>
            <w:shd w:val="clear" w:color="auto" w:fill="CCEEFF"/>
          </w:tcPr>
          <w:p>
            <w:pPr>
              <w:spacing w:after="0"/>
              <w:rPr>
                <w:sz w:val="19"/>
                <w:szCs w:val="19"/>
                <w:color w:val="auto"/>
              </w:rPr>
            </w:pPr>
          </w:p>
        </w:tc>
        <w:tc>
          <w:tcPr>
            <w:tcW w:w="1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8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362,896(2)</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84"/>
              </w:rPr>
              <w:t>Scheme</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40" w:type="dxa"/>
            <w:vAlign w:val="bottom"/>
            <w:gridSpan w:val="6"/>
          </w:tcPr>
          <w:p>
            <w:pPr>
              <w:spacing w:after="0"/>
              <w:rPr>
                <w:sz w:val="20"/>
                <w:szCs w:val="20"/>
                <w:color w:val="auto"/>
              </w:rPr>
            </w:pPr>
            <w:r>
              <w:rPr>
                <w:rFonts w:ascii="Arial" w:cs="Arial" w:eastAsia="Arial" w:hAnsi="Arial"/>
                <w:sz w:val="18"/>
                <w:szCs w:val="18"/>
                <w:color w:val="auto"/>
              </w:rPr>
              <w:t>Jonas Prising</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40" w:type="dxa"/>
            <w:vAlign w:val="bottom"/>
            <w:gridSpan w:val="6"/>
          </w:tcPr>
          <w:p>
            <w:pPr>
              <w:ind w:left="220"/>
              <w:spacing w:after="0"/>
              <w:rPr>
                <w:sz w:val="20"/>
                <w:szCs w:val="20"/>
                <w:color w:val="auto"/>
              </w:rPr>
            </w:pPr>
            <w:r>
              <w:rPr>
                <w:rFonts w:ascii="Arial" w:cs="Arial" w:eastAsia="Arial" w:hAnsi="Arial"/>
                <w:sz w:val="18"/>
                <w:szCs w:val="18"/>
                <w:color w:val="auto"/>
              </w:rPr>
              <w:t>EVP and President, The Americas</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2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EVP and President, Specialty Brands</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98"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For Mr. Joerres and Mr. Van Handel, present value has been calculated as of December 31, 2011 assuming a 4.75% discount rate and retirement occurring at age 65, as well as applying the 2011 Static Mortality Table for Annuitants and Non-Annuitants, as required for plan financial reporting purposes. For Mr. Leentjes, present value has been calculated as of December 31, 2011 assuming a 5.40% discount rate and retirement occuring at age 63, as well as applying the AG Prognosetafel 2010-2060 Mortality Table, as required for plan financial reporting purposes.</w:t>
      </w:r>
    </w:p>
    <w:p>
      <w:pPr>
        <w:spacing w:after="0" w:line="31" w:lineRule="exact"/>
        <w:rPr>
          <w:rFonts w:ascii="Arial" w:cs="Arial" w:eastAsia="Arial" w:hAnsi="Arial"/>
          <w:sz w:val="16"/>
          <w:szCs w:val="16"/>
          <w:color w:val="auto"/>
        </w:rPr>
      </w:pPr>
    </w:p>
    <w:p>
      <w:pPr>
        <w:ind w:left="460" w:right="40" w:hanging="452"/>
        <w:spacing w:after="0" w:line="370"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Mr. Leentjes will receive his pension value in Euros, and the accumulated benefit above has been translated at an exchange rate of 1.2951 (in U.S. Dollars), the exchange rate on January 10, 2011, the rate in effect on the date of Mr. Leentjes’ promotion. While much of the pension benefit has been funded by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09" w:right="239" w:bottom="1440" w:gutter="0" w:footer="0" w:header="0"/>
        </w:sectPr>
      </w:pPr>
    </w:p>
    <w:bookmarkStart w:id="58" w:name="page59"/>
    <w:bookmarkEnd w:id="58"/>
    <w:p>
      <w:pPr>
        <w:ind w:left="460" w:right="3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ManpowerGroup and its Dutch subsidiary, Manpower Management B.V., Mr. Leentjes has also funded a portion of the benefit from his salary. In 2011, Mr. Leentjes contributed $19,767, translated at a rate of 1.2951, the exchange rate on January 10, 2011, of his salary towards this pension benefit.</w:t>
      </w:r>
    </w:p>
    <w:p>
      <w:pPr>
        <w:spacing w:after="0" w:line="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The CEO and CFO are each entitled to pension benefits under the U.S. pension plans.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Currently, none of the NEOs are eligible for early retirement under the U.S. pension plans. The early retirement benefit under the U.S. pension plans is the normal retirement benefit, reduced by 5/12 of 1% for each month that the participant retired prior to his normal retirement age.</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Dutch Pension Plan</w:t>
      </w:r>
      <w:r>
        <w:rPr>
          <w:rFonts w:ascii="Arial" w:cs="Arial" w:eastAsia="Arial" w:hAnsi="Arial"/>
          <w:sz w:val="16"/>
          <w:szCs w:val="16"/>
          <w:color w:val="auto"/>
        </w:rPr>
        <w:t>. Mr. Leentjes participates in the pension plan of Manpower Management B.V., the pension plan applicable to ManpowerGroup’s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 the Netherlands. The pension plan is a contributory defined benefit pension plan for ManpowerGroup employees in the Netherlands. Under the plan, a pension is payable to Mr. Leentjes at age 63, continuing until his death. The annual pension benefit is based on years of credited service, multiplied by 1.95% of the Mr. Leentjes’s “pensionable salary.” Pensionable salary, for Mr. Leentjes, is his annual base salary, less an annual set-off based on the Netherlands state pension amount (€15,263, or 19,767 in 2011, ). In addition, the accrued pension benefit under the plan is annually increased based on a cost of living adjustment, as determined year to year pursuant to the collective bargaining agreement in place for employees of the temporary employment industry in the Netherlands, but in no even more than 2% per year.</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 fund the pension benefits under the plan, ManpowerGroup pays an annual premium to the pension provider based on the projected benefits payable under the plan. The amount of this premium fluctuates each year based on the projected benefits payable under the plan. Mr. Leentjes contributes 6% of his “pensionable salary” each year towards the payment of the premium which funds his benefit, which is the same percentage of pensionable salary that is required to be paid by all ManpowerGroup employees who participate in the plan. ManpowerGroup funds the remainder of the applicable premium applicable to Mr. Leentjes’ pension. Mr. Leentjes is fully vested in his accrued pension benefit under the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 in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Executive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Registrant</w:t>
            </w: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13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8"/>
              </w:rPr>
              <w:t>Aggregate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Name &amp; Principal Position</w:t>
            </w:r>
          </w:p>
        </w:tc>
        <w:tc>
          <w:tcPr>
            <w:tcW w:w="11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in 2011</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2011</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in 2011</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Plan</w:t>
            </w:r>
          </w:p>
        </w:tc>
        <w:tc>
          <w:tcPr>
            <w:tcW w:w="82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($)(1)</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0" w:type="dxa"/>
            <w:vAlign w:val="bottom"/>
          </w:tcPr>
          <w:p>
            <w:pPr>
              <w:jc w:val="right"/>
              <w:ind w:right="238"/>
              <w:spacing w:after="0" w:line="14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80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A. Joerres</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NQSP</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2"/>
              </w:rPr>
              <w:t>208,393</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114,197</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(96,664)</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3,009,186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CEO</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47,888</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4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86,237</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48,619</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(9,590)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CFO</w:t>
            </w:r>
          </w:p>
        </w:tc>
        <w:tc>
          <w:tcPr>
            <w:tcW w:w="42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25,098</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604,195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4,250</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Asia Pacific</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Middle East</w:t>
            </w: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Françoise Gri</w:t>
            </w:r>
          </w:p>
        </w:tc>
        <w:tc>
          <w:tcPr>
            <w:tcW w:w="4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EVP and President, Southern Europe</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Hans Leentjes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President, Northern Europe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4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187,211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35,792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(38,123)</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725,452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3"/>
          </w:tcPr>
          <w:p>
            <w:pPr>
              <w:ind w:left="220"/>
              <w:spacing w:after="0"/>
              <w:rPr>
                <w:sz w:val="20"/>
                <w:szCs w:val="20"/>
                <w:color w:val="auto"/>
              </w:rPr>
            </w:pPr>
            <w:r>
              <w:rPr>
                <w:rFonts w:ascii="Arial" w:cs="Arial" w:eastAsia="Arial" w:hAnsi="Arial"/>
                <w:sz w:val="18"/>
                <w:szCs w:val="18"/>
                <w:color w:val="auto"/>
              </w:rPr>
              <w:t>EVP and President, The Americas</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Owen J. Sullivan</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NQSP</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43,049</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25,725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4,903</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EVP and CEO, Right Management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PBDC</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19,126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6"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amounts reflect contributions made by the NEOs from their 2011 salary, which amounts were also included in the salary column for each NEO in the Summary Compensation Table. Of the amounts disclosed in this column for the Nonqualified Savings Plan, the following contributions are attributable to a portion of the 2010 annual incentive, which was disclosed in the 2010 Summary Compensation Table: Mr. Joerres — $138,331; Mr. Van Handel — $50,721; Mr. Sullivan — $15,082; and Mr. Prising — $117,173.</w:t>
      </w:r>
    </w:p>
    <w:p>
      <w:pPr>
        <w:spacing w:after="0" w:line="62"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Of the amounts disclosed in this column for the Nonqualified Savings Plan, the following amounts were previously reported in the Summary Compensation Table in either 2011 or prior to 2011: Mr. Joerres — $2,328,369; Mr. Van Handel — $947,624; Mr. Sullivan — $473,402; Mr. Prising — $679,872; and Mr. Green—$4,250. The difference between the amounts disclosed in this footnote and the amounts disclosed in the above column for the Nonqualified Savings Plan reflect earnings (and losses) on the contributions, any salary or bonus deferrals by the executive prior to becoming a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 — $873,190; and Mr. Van Handel</w:t>
      </w:r>
    </w:p>
    <w:p>
      <w:pPr>
        <w:ind w:left="460" w:right="140"/>
        <w:spacing w:after="0" w:line="255" w:lineRule="auto"/>
        <w:rPr>
          <w:rFonts w:ascii="Arial" w:cs="Arial" w:eastAsia="Arial" w:hAnsi="Arial"/>
          <w:sz w:val="15"/>
          <w:szCs w:val="15"/>
          <w:color w:val="auto"/>
        </w:rPr>
      </w:pPr>
      <w:r>
        <w:rPr>
          <w:rFonts w:ascii="Arial" w:cs="Arial" w:eastAsia="Arial" w:hAnsi="Arial"/>
          <w:sz w:val="18"/>
          <w:szCs w:val="18"/>
          <w:color w:val="auto"/>
        </w:rPr>
        <w:t>— $457,638. The difference between the amounts disclosed in this footnote and the amounts disclosed in the above column for the Performance-Based Deferred Compensation Plan reflect earnings on the contributions and, with regard to Mr. Sullivan, company contributions prior to Mr. Sullivan becoming an NEO.</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Nonqualified Deferred Compensation in 2011</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certain executives, including the CEO, CFO, Mr. Sullivan, Mr. Prising,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Green may defer a portion of their salary and incentive awards. Salary deferral elections must be made by the NEOs before December 31 of the year prior to the year in which it will be earned. Incentive deferral elections are made by the NEOs in June of each year for the incentive they will earn during such year. The NEOs are permitted to defer up to 50% of their salary and 50% of their annual incentive under the plan. Pursuant to the plan, the NEOs, as well as all other plan participants, may receive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09" w:right="2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matching amount of 50% of the deferrals they have made during the year, up to a maximum of 6% of their annual compensation. In addition, pursuant to the plan, ManpowerGroup may make a discretionary profit sharing contribution to participants in the plan. During 2011, ManpowerGroup made a profit sharing contribution equal to 1% of base salary for each NEO who participated in the plan in 2010 (based on 2010 salary). ManpowerGroup’s contributions to a participant’s account under the plan (both matching contributions and profit sharing contributions) are not fully vested until a participant has at least five years of credited service with ManpowerGroup. All of the NEOs who participate in the plan, except Mr. Green, were fully vested in their matching contributions and profit sharing contributions as of December 31, 2011. Mr. Green was 80% vested in such amounts at December 31, 2011. A detailed discussion regarding the vesting conditions that will entitle Mr. Green to accelerated vesting under this plan can be found in the narrative accompanying the Post-Termination and Change of Control Benefits Table.</w:t>
      </w:r>
    </w:p>
    <w:p>
      <w:pPr>
        <w:spacing w:after="0" w:line="33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alternatives available to the NEOs under the Nonqualified Savings Plan are selected by ManpowerGroup and may be changed from time to time. The NEOs are permitted to change their investment elections at any time on a prospective basis. The table below shows the funds available under the plan and their annual rate of return for the calendar year ended December 31,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Fund</w:t>
            </w:r>
          </w:p>
        </w:tc>
        <w:tc>
          <w:tcPr>
            <w:tcW w:w="940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Annual Return</w:t>
            </w:r>
          </w:p>
        </w:tc>
        <w:tc>
          <w:tcPr>
            <w:tcW w:w="0" w:type="dxa"/>
            <w:vAlign w:val="bottom"/>
          </w:tcPr>
          <w:p>
            <w:pPr>
              <w:spacing w:after="0"/>
              <w:rPr>
                <w:sz w:val="1"/>
                <w:szCs w:val="1"/>
                <w:color w:val="auto"/>
              </w:rPr>
            </w:pPr>
          </w:p>
        </w:tc>
      </w:tr>
      <w:tr>
        <w:trPr>
          <w:trHeight w:val="20"/>
        </w:trPr>
        <w:tc>
          <w:tcPr>
            <w:tcW w:w="10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80" w:type="dxa"/>
            <w:vAlign w:val="bottom"/>
            <w:gridSpan w:val="2"/>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Spartan U.S. Equity Index</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Institutional Large Cap Value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Spartan Extended Market Index</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Abbott Small Cap Value</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TimesSquare Small Cap Growth</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Dodge &amp; Cox International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2000 Fund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2005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2045 Fund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Income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Short Term Bond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10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Total Bond Market Index Fund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Benefits paid under the Nonqualified Savings Plan will be paid to the NEOs upon their termination of employment, either in a lump sum, in five annual installments or in ten annual installments, as elected by the NEOs in accordance with the plan rules.</w:t>
      </w:r>
    </w:p>
    <w:p>
      <w:pPr>
        <w:spacing w:after="0" w:line="12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CFO, and Mr. Sullivan each have participated in the Senior Management Performance-Based Deferred Compensation Plan, earning deferred compensation upon the achievement of earnings per share and economic profit goals in 2004 and 2005. Though the plan was frozen in February 2006, the executives will continue to accrue earnings on such amounts in accordance with the plan. Specifically, the plan allows the executive compensation and human resources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 benefits under this plan can be found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61" w:name="page62"/>
    <w:bookmarkEnd w:id="6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accompanying the Post-Termination Benefits and Change of Control Tables below. Participants will receive any vested benefits under this plan upon their termination of employment, payable in cash or shares of ManpowerGroup’s common stock (in ManpowerGroup’s sole discretion), in a lump sum or in such number of annual installments (between five and fifteen) as elected by the participant in accordance with the plan rules. Upon a change of control, the participants receive a distribution of such benefits in a lump sum at such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9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ManpowerGroup has entered into severance agreements (which include change of control benefits) with each of the NEOs other than Ms. Gri.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a number of the equity grants and benefit plans in which the NEOs are participants contain vesting provisions that are triggered upon a change of control of ManpowerGroup and/or certain terminations of employment. Generally, benefits under these arrangements are triggered upon the involuntary termination of the executive’s employment not for cause or upon the voluntary termination of employment for good reason. Terminations for other reasons (such as retirement, death, disability or a change of control) also trigger enhanced benefits under certain of these arrangements. The tables which follow the descriptions of these arrangements illustrate the amount of enhanced benefits the NEOs would receive under all such arrangements if their employment had been terminated on December 31, 2011 for the reasons specified within the tables or upon a change of control of ManpowerGroup on such date. The tables do not illustrate the value of any vested benefits which are payable to the NEOs upon a termination of employment (i.e., vested equity awards, or vested balances accrued under the Nonqualified Savings Plan or Performance-Based Deferred Compensation Plan), nor do they illustrate the value of any enhanced benefits upon retirement of an NEO, as none of the NEOs were eligible for retirement treatment as of December 31, 2011 with respect to any of their unvested benefits.</w:t>
      </w:r>
    </w:p>
    <w:p>
      <w:pPr>
        <w:spacing w:after="0" w:line="124"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i w:val="1"/>
          <w:iCs w:val="1"/>
          <w:color w:val="auto"/>
        </w:rPr>
        <w:t xml:space="preserve">Severance agreements. </w:t>
      </w:r>
      <w:r>
        <w:rPr>
          <w:rFonts w:ascii="Arial" w:cs="Arial" w:eastAsia="Arial" w:hAnsi="Arial"/>
          <w:sz w:val="15"/>
          <w:szCs w:val="15"/>
          <w:color w:val="auto"/>
        </w:rPr>
        <w:t>Under the severance agreements, upon the involuntary termination of the NEO’s employment (other than for cause, as described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 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his base salary and annual incentive, while the severance payment to all of the other NEOs is equal to two times the sum of his salary and annual incentive. The cap described above for the CEO and the CFO does not apply in the event of a change of control. All severance payments under the NEOs’ agreements will generally be paid in a lump sum on the 30</w:t>
      </w:r>
      <w:r>
        <w:rPr>
          <w:rFonts w:ascii="Arial" w:cs="Arial" w:eastAsia="Arial" w:hAnsi="Arial"/>
          <w:sz w:val="10"/>
          <w:szCs w:val="10"/>
          <w:color w:val="auto"/>
        </w:rPr>
        <w:t>th</w:t>
      </w:r>
      <w:r>
        <w:rPr>
          <w:rFonts w:ascii="Arial" w:cs="Arial" w:eastAsia="Arial" w:hAnsi="Arial"/>
          <w:sz w:val="15"/>
          <w:szCs w:val="15"/>
          <w:color w:val="auto"/>
        </w:rPr>
        <w:t xml:space="preserve">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and generally includes: a material reduction in the NEO’s duties; a material reduction in the NEO’s base salary or incentive bonus opportunity; or relocation to a new principal office that is in excess of 50 miles from the NEO’s prior principal office.</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2" w:name="page63"/>
    <w:bookmarkEnd w:id="6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and is either involuntary (other than for cause) or is for good reason. The CEO’s and CFO’s non-competition agreements do not provide for this exception, such that the CEO and CFO are bound for the one-year period following the termination of their employment for any reason.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severance agreements, upon the NEO’s (i) involuntary termination (other than for cause), (ii) voluntary termination for good reason or</w:t>
      </w:r>
    </w:p>
    <w:p>
      <w:pPr>
        <w:spacing w:after="0" w:line="38" w:lineRule="exact"/>
        <w:rPr>
          <w:sz w:val="20"/>
          <w:szCs w:val="20"/>
          <w:color w:val="auto"/>
        </w:rPr>
      </w:pPr>
    </w:p>
    <w:p>
      <w:pPr>
        <w:ind w:right="20" w:firstLine="8"/>
        <w:spacing w:after="0" w:line="286" w:lineRule="auto"/>
        <w:tabs>
          <w:tab w:leader="none" w:pos="30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termination due to the death or disability of the NEO, the NEOs are entitled to receive a prorated incentive for the year in which termination occurs. Similarly, for severance agreements entered into in February 2011 or later, if a termination occurs within the two-year period following a change of control or during a protected period, the NEOs are entitled to receive a prorated target incentive for the year in which termination occurs (or, in the case of Mr. Sullivan and Mr. Green, a full target incentive for the year in which termination occurs since their severance agreements were entered into prior to February 2011).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CEO’s and CFO’s agreements.</w:t>
      </w:r>
    </w:p>
    <w:p>
      <w:pPr>
        <w:spacing w:after="0" w:line="124"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In 2011, ManpowerGroup entered into a severance agreement with Mr. Leentjes, which is in substantially the same form as the severance agreements for the other NEOs. ManpowerGroup also entered into a severance agreement with Mr. Prising in February 2012 which replaced his prior severance agreement that was set to expire in May 2012. The new severance agreement for Mr. Prising is in substantially the same form as the severance agreement it replaced, except that the bonus payment for the year of termination in connection with a change of control would be prorated. While Ms. Gri is entitled to certain severance protections afforded her as an employee under French law, ManpowerGroup is, at present, not a party to a contractual severance arrangement with Ms. Gri.</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Each of the NEOs holds unvested stock options granted under the 2003 Equity Incentive Plan. Under the terms of the stock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w:t>
      </w:r>
    </w:p>
    <w:p>
      <w:pPr>
        <w:spacing w:after="0" w:line="11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Restricted stock units and career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2011, the NEOs held unvested restricted stock units or career shares (restricted stock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that vest completely on a single date several years into the future, for example, four, five or six years) granted under the 2003 Equity Incentive Plan. An NEO will become fully vested in his or her restricted stock units or career shares upon a termination of employment due to death or disability or upon the NEO’s termination of employment due to “retirement.” Here, “retirement” means the termination of the NEO’s employment on or after age 55 and the NEO has completed 10 years of service with ManpowerGroup, except for the grant of career shares in 2011 to Messrs. Prising and Sullivan, where “retirement” means a termination of employment after the NEO has reached age 65 and completed 20 years of service with ManpowerGroup. Upon a change of control, the restricted stock units or career shares shall vest according to the same terms as described above for stock options, except for the career shares granted to the CEO and CFO in 2006 (which recently vested in February 2012) and to Messrs. Sullivan and Prising in 2007, which do not receive any special treatment upon a change of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3" w:name="page64"/>
    <w:bookmarkEnd w:id="63"/>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career shares, in the event of the NEO’s involuntary termination of employment (other than for cause) or a voluntary termination for good reason, the NEO will become vested in a pro rata number of shares based upon the number of days that have elapsed during the vesting period prior to such a termination of employment. Cause and good reason generally have the same meaning as in the NEO’s severance agreements.</w:t>
      </w:r>
    </w:p>
    <w:p>
      <w:pPr>
        <w:spacing w:after="0" w:line="101" w:lineRule="exact"/>
        <w:rPr>
          <w:sz w:val="20"/>
          <w:szCs w:val="20"/>
          <w:color w:val="auto"/>
        </w:rPr>
      </w:pPr>
    </w:p>
    <w:p>
      <w:pPr>
        <w:ind w:right="80" w:firstLine="456"/>
        <w:spacing w:after="0" w:line="316" w:lineRule="auto"/>
        <w:rPr>
          <w:sz w:val="20"/>
          <w:szCs w:val="20"/>
          <w:color w:val="auto"/>
        </w:rPr>
      </w:pPr>
      <w:r>
        <w:rPr>
          <w:rFonts w:ascii="Arial" w:cs="Arial" w:eastAsia="Arial" w:hAnsi="Arial"/>
          <w:sz w:val="15"/>
          <w:szCs w:val="15"/>
          <w:b w:val="1"/>
          <w:bCs w:val="1"/>
          <w:i w:val="1"/>
          <w:iCs w:val="1"/>
          <w:color w:val="auto"/>
        </w:rPr>
        <w:t>Performance share units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NEOs received grants of performance share units in 2010 and 2011, except for Mr. Leentjes who only received a grant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performance share units in 2011. For grants of performance share units made in 2010 (which were settled in February 2012), upon an NEO’s termination of employment due to death or disability or upon a change of control of ManpowerGroup during 2011, the NEO is entitled to receive the number of shares based on actual performance results at the end of 2010. Upon an NEO’s termination of employment due to “retirement,” the NEO will receive a pro rata number of shares based on the actual results at the end of 2010, after taking into account the minimum performance threshold applicable to the performance share units in 2011. Here, “retirement” means the termination of the NEO’s employment after he has reached age 55 and has completed 10 years of service with ManpowerGroup.</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grants of performance share units made in 2011, upon an NEO’s termination of employment due to death or disability in 2011, the NEO was entitled to receive the target amount of shares. Upon an NEO’s termination of employment due to “retirement,” as defined in the paragraph above, the NEO would be entitled to receive a pro rata number of shares based on the actual results at the end of 2011 (pro rated based on the number of days elapsed during the applicable service periods ending in each of 2012 and 2013). In addition, upon a change of control of ManpowerGroup in 2011, the NEO would have been entitled to receive a pro rata number of shares based on actual results at the time of the change of control (pro rated based on the number of days elapsed during the applicable service periods ending in each of 2012 and 2013). Although not illustrated in the tables below, upon the death or disability of an NEO during 2012 or 2013, the NEO is entitled to receive the number of shares based on the actual results at the end of 2011. Similarly, if a change of control of ManpowerGroup were to occur in 2012 or 2013, the NEO is entitled to receive the number of shares based on the actual results at the end of 2011 in the event of the NEO’s involuntary termination of employment (other than for cause) or a voluntary termination of employment for good reason during a protected period or within two years following the change of control.</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benefits payable to the CEO and certain other NEOs under the Senior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Deferred Compensation Plan that was frozen in February 2006 vest upon a change of control, upon an NEO’s “retirement” or early retirement, as determined by the Committee, or upon an NEO’s termination of employment due to death or disability. For purposes of this plan, “retirement” means an NEO has reached age 62 or has reached age 50 and has completed 15 years of service with ManpowerGroup. The CEO and CFO were fully vested in their benefits under this plan as of December 31, 2011 by virtue of having reached age 50 and completed 15 years of service and, therefore, would not receive any enhanced benefit upon their death or disability or a change of control of ManpowerGroup.</w:t>
      </w:r>
    </w:p>
    <w:p>
      <w:pPr>
        <w:spacing w:after="0" w:line="11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 death,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disability or retirement. For purposes of this plan, “retirement” means an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Except for Mr. Green, the CEO and each of the other NEOs that participate in this plan are already fully vested in their benefits under this plan and therefore, would not receive any enhanced benefit upon their death, disability or retirement.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CEO(1)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Involuntary</w:t>
            </w:r>
          </w:p>
        </w:tc>
        <w:tc>
          <w:tcPr>
            <w:tcW w:w="2280" w:type="dxa"/>
            <w:vAlign w:val="bottom"/>
            <w:gridSpan w:val="4"/>
          </w:tcPr>
          <w:p>
            <w:pPr>
              <w:ind w:left="420"/>
              <w:spacing w:after="0"/>
              <w:rPr>
                <w:sz w:val="20"/>
                <w:szCs w:val="20"/>
                <w:color w:val="auto"/>
              </w:rPr>
            </w:pPr>
            <w:r>
              <w:rPr>
                <w:rFonts w:ascii="Arial" w:cs="Arial" w:eastAsia="Arial" w:hAnsi="Arial"/>
                <w:sz w:val="14"/>
                <w:szCs w:val="14"/>
                <w:b w:val="1"/>
                <w:bCs w:val="1"/>
                <w:color w:val="auto"/>
              </w:rPr>
              <w:t>Triggering Event(2)</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9"/>
              </w:rPr>
              <w:t>Termination</w:t>
            </w:r>
          </w:p>
        </w:tc>
        <w:tc>
          <w:tcPr>
            <w:tcW w:w="10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0"/>
              </w:rPr>
              <w:t>Single</w:t>
            </w:r>
          </w:p>
        </w:tc>
        <w:tc>
          <w:tcPr>
            <w:tcW w:w="9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or Good</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Trigger</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(COC only)</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Death($)</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COC($)</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 xml:space="preserve">Termination)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r>
      <w:tr>
        <w:trPr>
          <w:trHeight w:val="210"/>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1,800,000</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2,834,400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1,800,000</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598,750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598,750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598,750</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60" w:type="dxa"/>
            <w:vAlign w:val="bottom"/>
          </w:tcPr>
          <w:p>
            <w:pPr>
              <w:jc w:val="right"/>
              <w:spacing w:after="0"/>
              <w:rPr>
                <w:sz w:val="20"/>
                <w:szCs w:val="20"/>
                <w:color w:val="auto"/>
              </w:rPr>
            </w:pPr>
            <w:r>
              <w:rPr>
                <w:rFonts w:ascii="Arial" w:cs="Arial" w:eastAsia="Arial" w:hAnsi="Arial"/>
                <w:sz w:val="18"/>
                <w:szCs w:val="18"/>
                <w:color w:val="auto"/>
              </w:rPr>
              <w:t>4,546,542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4,546,542</w:t>
            </w:r>
          </w:p>
        </w:tc>
        <w:tc>
          <w:tcPr>
            <w:tcW w:w="28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3,817,024</w:t>
            </w:r>
          </w:p>
        </w:tc>
        <w:tc>
          <w:tcPr>
            <w:tcW w:w="28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4,064,203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4,064,203</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2,328,560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2,812,953</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20,568</w:t>
            </w:r>
          </w:p>
        </w:tc>
        <w:tc>
          <w:tcPr>
            <w:tcW w:w="28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11,009,495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11,009,495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8,176,392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3,817,024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14,232,271</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n/a</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 of the CEO’s current severance agreement expires on February 16, 2014.</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$18,049,295.</w:t>
      </w:r>
    </w:p>
    <w:p>
      <w:pPr>
        <w:spacing w:after="0" w:line="39" w:lineRule="exact"/>
        <w:rPr>
          <w:rFonts w:ascii="Arial" w:cs="Arial" w:eastAsia="Arial" w:hAnsi="Arial"/>
          <w:sz w:val="16"/>
          <w:szCs w:val="16"/>
          <w:color w:val="auto"/>
        </w:rPr>
      </w:pPr>
    </w:p>
    <w:p>
      <w:pPr>
        <w:jc w:val="both"/>
        <w:ind w:left="460" w:right="30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 of the severance payment under the CEO’s severance agreement is equal to his base salary effective as of the date of the termination (here, $1,200,000) and his target bonus for the year of the termination (here, $1,800,000). In a double trigger scenario, the amount of his severance payment is multiplied by three.</w:t>
      </w:r>
    </w:p>
    <w:p>
      <w:pPr>
        <w:spacing w:after="0" w:line="59"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CEO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the CEO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the CEO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20" w:hanging="452"/>
        <w:spacing w:after="0" w:line="255"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and career shares granted in 2008, as described above, depending on the circumstances surrounding a change of control event, the shares or units may vest upon a double trigger scenario or upon a single trigger scenario. In order to avoid duplication of the values in this illustration, the value of such shares or units is disclosed in the double trigger column only.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0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Involuntary</w:t>
            </w:r>
          </w:p>
        </w:tc>
        <w:tc>
          <w:tcPr>
            <w:tcW w:w="2380" w:type="dxa"/>
            <w:vAlign w:val="bottom"/>
            <w:gridSpan w:val="4"/>
          </w:tcPr>
          <w:p>
            <w:pPr>
              <w:ind w:left="400"/>
              <w:spacing w:after="0"/>
              <w:rPr>
                <w:sz w:val="20"/>
                <w:szCs w:val="20"/>
                <w:color w:val="auto"/>
              </w:rPr>
            </w:pPr>
            <w:r>
              <w:rPr>
                <w:rFonts w:ascii="Arial" w:cs="Arial" w:eastAsia="Arial" w:hAnsi="Arial"/>
                <w:sz w:val="14"/>
                <w:szCs w:val="14"/>
                <w:b w:val="1"/>
                <w:bCs w:val="1"/>
                <w:color w:val="auto"/>
              </w:rPr>
              <w:t>Triggering Event(2)</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Single</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Trigger</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or Good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Trigger</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(COC +</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(COC only)</w:t>
            </w: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Death($)</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COC($)</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Cause($</w:t>
            </w:r>
            <w:r>
              <w:rPr>
                <w:rFonts w:ascii="Arial" w:cs="Arial" w:eastAsia="Arial" w:hAnsi="Arial"/>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1"/>
              </w:rPr>
              <w:t>n/a</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3,600,000</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n/a</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740" w:type="dxa"/>
            <w:vAlign w:val="bottom"/>
          </w:tcPr>
          <w:p>
            <w:pPr>
              <w:jc w:val="right"/>
              <w:spacing w:after="0"/>
              <w:rPr>
                <w:sz w:val="20"/>
                <w:szCs w:val="20"/>
                <w:color w:val="auto"/>
              </w:rPr>
            </w:pPr>
            <w:r>
              <w:rPr>
                <w:rFonts w:ascii="Arial" w:cs="Arial" w:eastAsia="Arial" w:hAnsi="Arial"/>
                <w:sz w:val="18"/>
                <w:szCs w:val="18"/>
                <w:color w:val="auto"/>
              </w:rPr>
              <w:t>944,800</w:t>
            </w:r>
          </w:p>
        </w:tc>
        <w:tc>
          <w:tcPr>
            <w:tcW w:w="4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191,600</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191,600</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1,647,145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1,647,145</w:t>
            </w: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1,386,598</w:t>
            </w:r>
          </w:p>
        </w:tc>
        <w:tc>
          <w:tcPr>
            <w:tcW w:w="42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735,163</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735,163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210,094</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520,663</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740" w:type="dxa"/>
            <w:vAlign w:val="bottom"/>
          </w:tcPr>
          <w:p>
            <w:pPr>
              <w:jc w:val="right"/>
              <w:spacing w:after="0"/>
              <w:rPr>
                <w:sz w:val="20"/>
                <w:szCs w:val="20"/>
                <w:color w:val="auto"/>
              </w:rPr>
            </w:pPr>
            <w:r>
              <w:rPr>
                <w:rFonts w:ascii="Arial" w:cs="Arial" w:eastAsia="Arial" w:hAnsi="Arial"/>
                <w:sz w:val="18"/>
                <w:szCs w:val="18"/>
                <w:color w:val="auto"/>
              </w:rPr>
              <w:t>13,713</w:t>
            </w:r>
          </w:p>
        </w:tc>
        <w:tc>
          <w:tcPr>
            <w:tcW w:w="4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20,999</w:t>
            </w:r>
          </w:p>
        </w:tc>
        <w:tc>
          <w:tcPr>
            <w:tcW w:w="42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3,173,908</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3,173,908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2,368,607</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1,386,598</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4,933,262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of the CFO’s current severance agreement expires on February 16, 2014.</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$6,319,860.</w:t>
      </w:r>
    </w:p>
    <w:p>
      <w:pPr>
        <w:spacing w:after="0" w:line="39"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of the severance payment under the CFO’s severance agreement is equal to his base salary effective as of the date of the termination (here, $600,000) and his target incentive (here, $600,000). In a double trigger scenario, the amount of his severance payment is multiplied by three.</w:t>
      </w:r>
    </w:p>
    <w:p>
      <w:pPr>
        <w:spacing w:after="0" w:line="4" w:lineRule="exact"/>
        <w:rPr>
          <w:rFonts w:ascii="Arial" w:cs="Arial" w:eastAsia="Arial" w:hAnsi="Arial"/>
          <w:sz w:val="16"/>
          <w:szCs w:val="16"/>
          <w:color w:val="auto"/>
        </w:rPr>
      </w:pPr>
    </w:p>
    <w:p>
      <w:pPr>
        <w:ind w:left="460" w:right="80" w:hanging="452"/>
        <w:spacing w:after="0" w:line="25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the CFO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the CFO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the CFO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09" w:right="239" w:bottom="1440" w:gutter="0" w:footer="0" w:header="0"/>
        </w:sectPr>
      </w:pPr>
    </w:p>
    <w:bookmarkStart w:id="66" w:name="page67"/>
    <w:bookmarkEnd w:id="66"/>
    <w:p>
      <w:pPr>
        <w:ind w:left="460" w:right="80" w:hanging="452"/>
        <w:spacing w:after="0" w:line="298"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26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EVP and President, Asia Pacific and Middle East(1)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2520" w:type="dxa"/>
            <w:vAlign w:val="bottom"/>
            <w:gridSpan w:val="4"/>
          </w:tcPr>
          <w:p>
            <w:pPr>
              <w:ind w:left="540"/>
              <w:spacing w:after="0"/>
              <w:rPr>
                <w:sz w:val="20"/>
                <w:szCs w:val="20"/>
                <w:color w:val="auto"/>
              </w:rPr>
            </w:pPr>
            <w:r>
              <w:rPr>
                <w:rFonts w:ascii="Arial" w:cs="Arial" w:eastAsia="Arial" w:hAnsi="Arial"/>
                <w:sz w:val="14"/>
                <w:szCs w:val="14"/>
                <w:b w:val="1"/>
                <w:bCs w:val="1"/>
                <w:color w:val="auto"/>
              </w:rPr>
              <w:t>Triggering Event(2)</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356,250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589,950</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98,195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98,195</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898,541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898,541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700,527</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Restricted Stock/ Restricted Stock Units/ Career</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536,822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536,822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134,349</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536,822</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13,192</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20,202</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Nonqualified Savings Plan(8)</w:t>
            </w: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811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1,890,618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1,890,618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1,593,741</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700,527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2,698,969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2013.</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$3,399,496.</w:t>
      </w:r>
    </w:p>
    <w:p>
      <w:pPr>
        <w:spacing w:after="0" w:line="39"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59"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7" w:name="page68"/>
    <w:bookmarkEnd w:id="67"/>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59" w:lineRule="exact"/>
        <w:rPr>
          <w:sz w:val="20"/>
          <w:szCs w:val="20"/>
          <w:color w:val="auto"/>
        </w:rPr>
      </w:pPr>
    </w:p>
    <w:p>
      <w:pPr>
        <w:ind w:left="460" w:right="40" w:hanging="452"/>
        <w:spacing w:after="0" w:line="256"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Green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31"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represents the unvested portion of ManpowerGroup’s contributions to the Nonqualified Savings Plan on behalf of Mr. Green that would vest in the event of Mr. Green’s death or disability.</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Francoise Gri, EVP and President, Southern Europe(1)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Involuntary</w:t>
            </w:r>
          </w:p>
        </w:tc>
        <w:tc>
          <w:tcPr>
            <w:tcW w:w="2700" w:type="dxa"/>
            <w:vAlign w:val="bottom"/>
            <w:gridSpan w:val="4"/>
          </w:tcPr>
          <w:p>
            <w:pPr>
              <w:ind w:left="560"/>
              <w:spacing w:after="0"/>
              <w:rPr>
                <w:sz w:val="20"/>
                <w:szCs w:val="20"/>
                <w:color w:val="auto"/>
              </w:rPr>
            </w:pPr>
            <w:r>
              <w:rPr>
                <w:rFonts w:ascii="Arial" w:cs="Arial" w:eastAsia="Arial" w:hAnsi="Arial"/>
                <w:sz w:val="14"/>
                <w:szCs w:val="14"/>
                <w:b w:val="1"/>
                <w:bCs w:val="1"/>
                <w:color w:val="auto"/>
              </w:rPr>
              <w:t>Triggering Event(2)</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gridSpan w:val="2"/>
            <w:vMerge w:val="restart"/>
          </w:tcPr>
          <w:p>
            <w:pPr>
              <w:jc w:val="center"/>
              <w:ind w:right="44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or Good</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0"/>
              </w:rPr>
              <w:t>Single</w:t>
            </w: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Trigger</w:t>
            </w: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(COC +</w:t>
            </w: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Death($)</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0"/>
              </w:rPr>
              <w:t>Disability($</w:t>
            </w:r>
            <w:r>
              <w:rPr>
                <w:rFonts w:ascii="Arial" w:cs="Arial" w:eastAsia="Arial" w:hAnsi="Arial"/>
                <w:sz w:val="14"/>
                <w:szCs w:val="14"/>
                <w:b w:val="1"/>
                <w:bCs w:val="1"/>
                <w:color w:val="auto"/>
                <w:w w:val="90"/>
              </w:rPr>
              <w:t>)</w:t>
            </w:r>
          </w:p>
        </w:tc>
        <w:tc>
          <w:tcPr>
            <w:tcW w:w="4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COC($)</w:t>
            </w: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Cause($)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Options(3)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2"/>
              </w:rPr>
              <w:t>159,080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n/a</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Performance Share Units(4)</w:t>
            </w:r>
          </w:p>
        </w:tc>
        <w:tc>
          <w:tcPr>
            <w:tcW w:w="760" w:type="dxa"/>
            <w:vAlign w:val="bottom"/>
          </w:tcPr>
          <w:p>
            <w:pPr>
              <w:jc w:val="right"/>
              <w:spacing w:after="0"/>
              <w:rPr>
                <w:sz w:val="20"/>
                <w:szCs w:val="20"/>
                <w:color w:val="auto"/>
              </w:rPr>
            </w:pPr>
            <w:r>
              <w:rPr>
                <w:rFonts w:ascii="Arial" w:cs="Arial" w:eastAsia="Arial" w:hAnsi="Arial"/>
                <w:sz w:val="18"/>
                <w:szCs w:val="18"/>
                <w:color w:val="auto"/>
              </w:rPr>
              <w:t>658,873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658,873</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554,648</w:t>
            </w:r>
          </w:p>
        </w:tc>
        <w:tc>
          <w:tcPr>
            <w:tcW w:w="13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Units/ Career Shares(5)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439,296</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134,349</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439,296</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Totals</w:t>
            </w: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1,257,249</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1,257,249</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134,349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554,648</w:t>
            </w:r>
          </w:p>
        </w:tc>
        <w:tc>
          <w:tcPr>
            <w:tcW w:w="42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598,376</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While Ms. Gri is entitled to certain severance protections afforded her as an employee under French law, ManpowerGroup is, at present, not a party to a contractual severance arrangement with Ms. Gri. The above table illustrates the benefits Ms. Gri would receive under the terms of her outstanding equity awards but does not include what we may be required to pay Ms. Gri under French law.</w:t>
      </w:r>
    </w:p>
    <w:p>
      <w:pPr>
        <w:spacing w:after="0" w:line="25"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8" w:name="page69"/>
    <w:bookmarkEnd w:id="68"/>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$1,153,024.</w:t>
      </w:r>
    </w:p>
    <w:p>
      <w:pPr>
        <w:spacing w:after="0" w:line="59" w:lineRule="exact"/>
        <w:rPr>
          <w:sz w:val="20"/>
          <w:szCs w:val="20"/>
          <w:color w:val="auto"/>
        </w:rPr>
      </w:pPr>
    </w:p>
    <w:p>
      <w:pPr>
        <w:ind w:left="460" w:right="40" w:hanging="452"/>
        <w:spacing w:after="0" w:line="256"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Ms. Gri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 Leentjes, EVP and President, Northern Europe(1)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Involuntary</w:t>
            </w:r>
          </w:p>
        </w:tc>
        <w:tc>
          <w:tcPr>
            <w:tcW w:w="25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Triggering Event(2)</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Termination</w:t>
            </w:r>
          </w:p>
        </w:tc>
        <w:tc>
          <w:tcPr>
            <w:tcW w:w="12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0"/>
              </w:rPr>
              <w:t>Single</w:t>
            </w: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Double Trigger</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or Good</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Trigger</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(COC +</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(COC only)</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Death($)</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8"/>
              </w:rPr>
              <w:t>Disability($</w:t>
            </w:r>
            <w:r>
              <w:rPr>
                <w:rFonts w:ascii="Arial" w:cs="Arial" w:eastAsia="Arial" w:hAnsi="Arial"/>
                <w:sz w:val="14"/>
                <w:szCs w:val="14"/>
                <w:b w:val="1"/>
                <w:bCs w:val="1"/>
                <w:color w:val="auto"/>
                <w:w w:val="88"/>
              </w:rPr>
              <w:t>)</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COC($)</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u w:val="single" w:color="auto"/>
                <w:color w:val="auto"/>
                <w:w w:val="81"/>
              </w:rPr>
              <w:t>Cause($</w:t>
            </w:r>
            <w:r>
              <w:rPr>
                <w:rFonts w:ascii="Arial" w:cs="Arial" w:eastAsia="Arial" w:hAnsi="Arial"/>
                <w:sz w:val="14"/>
                <w:szCs w:val="14"/>
                <w:b w:val="1"/>
                <w:bCs w:val="1"/>
                <w:color w:val="auto"/>
                <w:w w:val="8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Voluntary($</w:t>
            </w:r>
            <w:r>
              <w:rPr>
                <w:rFonts w:ascii="Arial" w:cs="Arial" w:eastAsia="Arial" w:hAnsi="Arial"/>
                <w:sz w:val="14"/>
                <w:szCs w:val="14"/>
                <w:b w:val="1"/>
                <w:bCs w:val="1"/>
                <w:color w:val="auto"/>
                <w:w w:val="88"/>
              </w:rPr>
              <w:t>)</w:t>
            </w:r>
          </w:p>
        </w:tc>
      </w:tr>
      <w:tr>
        <w:trPr>
          <w:trHeight w:val="210"/>
        </w:trPr>
        <w:tc>
          <w:tcPr>
            <w:tcW w:w="3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1"/>
              </w:rPr>
              <w:t>n/a</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722,990</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1,445,979</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309,853</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309,853</w:t>
            </w:r>
          </w:p>
        </w:tc>
        <w:tc>
          <w:tcPr>
            <w:tcW w:w="760" w:type="dxa"/>
            <w:vAlign w:val="bottom"/>
          </w:tcPr>
          <w:p>
            <w:pPr>
              <w:jc w:val="right"/>
              <w:spacing w:after="0"/>
              <w:rPr>
                <w:sz w:val="20"/>
                <w:szCs w:val="20"/>
                <w:color w:val="auto"/>
              </w:rPr>
            </w:pPr>
            <w:r>
              <w:rPr>
                <w:rFonts w:ascii="Arial" w:cs="Arial" w:eastAsia="Arial" w:hAnsi="Arial"/>
                <w:sz w:val="18"/>
                <w:szCs w:val="18"/>
                <w:color w:val="auto"/>
              </w:rPr>
              <w:t>333,815</w:t>
            </w:r>
          </w:p>
        </w:tc>
        <w:tc>
          <w:tcPr>
            <w:tcW w:w="4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309,853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21,555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21,555</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21,555</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213,070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213,070</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129,690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86,694</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86,694</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86,694</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Outplacement</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4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25,000</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1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631,172</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631,172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1,081,805</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129,690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1,889,081</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0"/>
        </w:trPr>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40" w:hanging="452"/>
        <w:spacing w:after="0" w:line="256"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 of Mr. Leentjes’ severance agreement expires on February 16, 2014. For any payments that are tied to Mr. Leentjes’ salary, the table reflects Mr. Leentjes’ current base salary of €319,000 and translated at an exchange rate of 1.2951 (in U.S. Dollars). This is the exchange rate used for the Summary Compensation Table and reflects the exchange rate on January 10, 2011, the date Mr. Leentjes was promoted to Executive Vice President, President of Northern Europe .</w:t>
      </w:r>
    </w:p>
    <w:p>
      <w:pPr>
        <w:spacing w:after="0" w:line="6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“single trigger” column calculates the amounts that are earned upon a change of control of ManpowerGroup without regard to whether a termination occurs, while the “double trigger” column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9" w:name="page70"/>
    <w:bookmarkEnd w:id="69"/>
    <w:p>
      <w:pPr>
        <w:ind w:left="452"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$2,018,771.</w:t>
      </w:r>
    </w:p>
    <w:p>
      <w:pPr>
        <w:spacing w:after="0" w:line="62" w:lineRule="exact"/>
        <w:rPr>
          <w:sz w:val="20"/>
          <w:szCs w:val="20"/>
          <w:color w:val="auto"/>
        </w:rPr>
      </w:pPr>
    </w:p>
    <w:p>
      <w:pPr>
        <w:ind w:left="452" w:right="300" w:hanging="452"/>
        <w:spacing w:after="0" w:line="259"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of the severance payment under Mr. Leentjes’ severance agreement is equal to his annual base salary at the highest rate in effect during the term of the agreement (here, €319,000) and his target annual incentive for the fiscal year in which the termination occurs (here, €239,250). In a double trigger scenario, the amount of his severance payment is multiplied by two.</w:t>
      </w:r>
    </w:p>
    <w:p>
      <w:pPr>
        <w:spacing w:after="0" w:line="59" w:lineRule="exact"/>
        <w:rPr>
          <w:rFonts w:ascii="Arial" w:cs="Arial" w:eastAsia="Arial" w:hAnsi="Arial"/>
          <w:sz w:val="18"/>
          <w:szCs w:val="18"/>
          <w:color w:val="auto"/>
        </w:rPr>
      </w:pPr>
    </w:p>
    <w:p>
      <w:pPr>
        <w:ind w:left="452" w:right="80" w:hanging="452"/>
        <w:spacing w:after="0" w:line="254"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Leentjes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25"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value of unvested restricted stock units is illustrated here by measuring the value of the number of shares payable under unvested awards using the closing stock price on December 30, 2011 ($35.75). For restricted stock units granted in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72"/>
          </w:cols>
          <w:pgMar w:left="248" w:top="280" w:right="279" w:bottom="1440" w:gutter="0" w:footer="0" w:header="0"/>
        </w:sectPr>
      </w:pPr>
    </w:p>
    <w:bookmarkStart w:id="70" w:name="page71"/>
    <w:bookmarkEnd w:id="70"/>
    <w:p>
      <w:pPr>
        <w:ind w:left="3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EVP and President, The Americas(1)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Involuntary</w:t>
            </w:r>
          </w:p>
        </w:tc>
        <w:tc>
          <w:tcPr>
            <w:tcW w:w="2520" w:type="dxa"/>
            <w:vAlign w:val="bottom"/>
            <w:gridSpan w:val="4"/>
          </w:tcPr>
          <w:p>
            <w:pPr>
              <w:ind w:left="540"/>
              <w:spacing w:after="0"/>
              <w:rPr>
                <w:sz w:val="20"/>
                <w:szCs w:val="20"/>
                <w:color w:val="auto"/>
              </w:rPr>
            </w:pPr>
            <w:r>
              <w:rPr>
                <w:rFonts w:ascii="Arial" w:cs="Arial" w:eastAsia="Arial" w:hAnsi="Arial"/>
                <w:sz w:val="14"/>
                <w:szCs w:val="14"/>
                <w:b w:val="1"/>
                <w:bCs w:val="1"/>
                <w:color w:val="auto"/>
              </w:rPr>
              <w:t>Triggering Event(2)</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or Good</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Single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Reason – no</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Trigger</w:t>
            </w: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COC($)</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356,250</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428,070</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83,825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83,825</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658,873</w:t>
            </w:r>
          </w:p>
        </w:tc>
        <w:tc>
          <w:tcPr>
            <w:tcW w:w="2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658,873</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554,648</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Restricted Stock/ Restricted Stock Units/ Career</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Shares(7)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926,855</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926,855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244,671</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910,130</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11,474</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17,571</w:t>
            </w:r>
          </w:p>
        </w:tc>
        <w:tc>
          <w:tcPr>
            <w:tcW w:w="3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2,025,803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2,025,803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1,540,465</w:t>
            </w:r>
          </w:p>
        </w:tc>
        <w:tc>
          <w:tcPr>
            <w:tcW w:w="3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554,648</w:t>
            </w:r>
          </w:p>
        </w:tc>
        <w:tc>
          <w:tcPr>
            <w:tcW w:w="980" w:type="dxa"/>
            <w:vAlign w:val="bottom"/>
          </w:tcPr>
          <w:p>
            <w:pPr>
              <w:jc w:val="right"/>
              <w:spacing w:after="0"/>
              <w:rPr>
                <w:sz w:val="20"/>
                <w:szCs w:val="20"/>
                <w:color w:val="auto"/>
              </w:rPr>
            </w:pPr>
            <w:r>
              <w:rPr>
                <w:rFonts w:ascii="Arial" w:cs="Arial" w:eastAsia="Arial" w:hAnsi="Arial"/>
                <w:sz w:val="18"/>
                <w:szCs w:val="18"/>
                <w:color w:val="auto"/>
              </w:rPr>
              <w:t>3,055,276</w:t>
            </w:r>
          </w:p>
        </w:tc>
        <w:tc>
          <w:tcPr>
            <w:tcW w:w="30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 of Mr. Prising’s severance agreement expires on May 11, 2015.</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$3,609,924.</w:t>
      </w:r>
    </w:p>
    <w:p>
      <w:pPr>
        <w:spacing w:after="0" w:line="39"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the severance payment under Mr. Prising’s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59" w:lineRule="exact"/>
        <w:rPr>
          <w:rFonts w:ascii="Arial" w:cs="Arial" w:eastAsia="Arial" w:hAnsi="Arial"/>
          <w:sz w:val="18"/>
          <w:szCs w:val="18"/>
          <w:color w:val="auto"/>
        </w:rPr>
      </w:pPr>
    </w:p>
    <w:p>
      <w:pPr>
        <w:ind w:left="460" w:right="12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Prising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09" w:right="239" w:bottom="1440" w:gutter="0" w:footer="0" w:header="0"/>
        </w:sectPr>
      </w:pPr>
    </w:p>
    <w:bookmarkStart w:id="71" w:name="page72"/>
    <w:bookmarkEnd w:id="71"/>
    <w:p>
      <w:pPr>
        <w:jc w:val="both"/>
        <w:ind w:left="460" w:right="160" w:hanging="452"/>
        <w:spacing w:after="0" w:line="335"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 EVP and President, Specialty Brands(1)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2560" w:type="dxa"/>
            <w:vAlign w:val="bottom"/>
            <w:gridSpan w:val="4"/>
          </w:tcPr>
          <w:p>
            <w:pPr>
              <w:ind w:left="560"/>
              <w:spacing w:after="0"/>
              <w:rPr>
                <w:sz w:val="20"/>
                <w:szCs w:val="20"/>
                <w:color w:val="auto"/>
              </w:rPr>
            </w:pPr>
            <w:r>
              <w:rPr>
                <w:rFonts w:ascii="Arial" w:cs="Arial" w:eastAsia="Arial" w:hAnsi="Arial"/>
                <w:sz w:val="14"/>
                <w:szCs w:val="14"/>
                <w:b w:val="1"/>
                <w:bCs w:val="1"/>
                <w:color w:val="auto"/>
              </w:rPr>
              <w:t>Triggering Event(2)</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gridSpan w:val="2"/>
            <w:vMerge w:val="restart"/>
          </w:tcPr>
          <w:p>
            <w:pPr>
              <w:jc w:val="center"/>
              <w:ind w:right="320"/>
              <w:spacing w:after="0" w:line="136" w:lineRule="exact"/>
              <w:rPr>
                <w:sz w:val="20"/>
                <w:szCs w:val="20"/>
                <w:color w:val="auto"/>
              </w:rPr>
            </w:pPr>
            <w:r>
              <w:rPr>
                <w:rFonts w:ascii="Arial" w:cs="Arial" w:eastAsia="Arial" w:hAnsi="Arial"/>
                <w:sz w:val="14"/>
                <w:szCs w:val="14"/>
                <w:b w:val="1"/>
                <w:bCs w:val="1"/>
                <w:color w:val="auto"/>
                <w:w w:val="89"/>
              </w:rPr>
              <w:t>Termination</w:t>
            </w: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or Good</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Single</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Double Trigger</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Reason – no</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Trigger</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(COC +</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For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Death($)</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u w:val="single" w:color="auto"/>
                <w:color w:val="auto"/>
                <w:w w:val="93"/>
              </w:rPr>
              <w:t>Disability($</w:t>
            </w:r>
            <w:r>
              <w:rPr>
                <w:rFonts w:ascii="Arial" w:cs="Arial" w:eastAsia="Arial" w:hAnsi="Arial"/>
                <w:sz w:val="14"/>
                <w:szCs w:val="14"/>
                <w:b w:val="1"/>
                <w:bCs w:val="1"/>
                <w:color w:val="auto"/>
                <w:w w:val="93"/>
              </w:rPr>
              <w:t>)</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COC($)</w:t>
            </w: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(COC </w:t>
            </w:r>
            <w:r>
              <w:rPr>
                <w:rFonts w:ascii="Arial" w:cs="Arial" w:eastAsia="Arial" w:hAnsi="Arial"/>
                <w:sz w:val="14"/>
                <w:szCs w:val="14"/>
                <w:b w:val="1"/>
                <w:bCs w:val="1"/>
                <w:u w:val="single" w:color="auto"/>
                <w:color w:val="auto"/>
                <w:w w:val="95"/>
              </w:rPr>
              <w:t>only)($</w:t>
            </w:r>
            <w:r>
              <w:rPr>
                <w:rFonts w:ascii="Arial" w:cs="Arial" w:eastAsia="Arial" w:hAnsi="Arial"/>
                <w:sz w:val="14"/>
                <w:szCs w:val="14"/>
                <w:b w:val="1"/>
                <w:bCs w:val="1"/>
                <w:color w:val="auto"/>
                <w:w w:val="95"/>
              </w:rPr>
              <w:t>)</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90"/>
              </w:rPr>
              <w:t>Termination)($</w:t>
            </w:r>
            <w:r>
              <w:rPr>
                <w:rFonts w:ascii="Arial" w:cs="Arial" w:eastAsia="Arial" w:hAnsi="Arial"/>
                <w:sz w:val="14"/>
                <w:szCs w:val="14"/>
                <w:b w:val="1"/>
                <w:bCs w:val="1"/>
                <w:color w:val="auto"/>
                <w:w w:val="90"/>
              </w:rPr>
              <w:t>)</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Cause($)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n/a</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831,250</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1,662,500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n/a</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n/a</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00" w:type="dxa"/>
            <w:vAlign w:val="bottom"/>
          </w:tcPr>
          <w:p>
            <w:pPr>
              <w:jc w:val="right"/>
              <w:spacing w:after="0"/>
              <w:rPr>
                <w:sz w:val="20"/>
                <w:szCs w:val="20"/>
                <w:color w:val="auto"/>
              </w:rPr>
            </w:pPr>
            <w:r>
              <w:rPr>
                <w:rFonts w:ascii="Arial" w:cs="Arial" w:eastAsia="Arial" w:hAnsi="Arial"/>
                <w:sz w:val="18"/>
                <w:szCs w:val="18"/>
                <w:color w:val="auto"/>
              </w:rPr>
              <w:t>356,250</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356,250</w:t>
            </w:r>
          </w:p>
        </w:tc>
        <w:tc>
          <w:tcPr>
            <w:tcW w:w="800" w:type="dxa"/>
            <w:vAlign w:val="bottom"/>
          </w:tcPr>
          <w:p>
            <w:pPr>
              <w:jc w:val="right"/>
              <w:spacing w:after="0"/>
              <w:rPr>
                <w:sz w:val="20"/>
                <w:szCs w:val="20"/>
                <w:color w:val="auto"/>
              </w:rPr>
            </w:pPr>
            <w:r>
              <w:rPr>
                <w:rFonts w:ascii="Arial" w:cs="Arial" w:eastAsia="Arial" w:hAnsi="Arial"/>
                <w:sz w:val="18"/>
                <w:szCs w:val="18"/>
                <w:color w:val="auto"/>
              </w:rPr>
              <w:t>396,482</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356,250</w:t>
            </w:r>
          </w:p>
        </w:tc>
        <w:tc>
          <w:tcPr>
            <w:tcW w:w="30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83,825</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00" w:type="dxa"/>
            <w:vAlign w:val="bottom"/>
          </w:tcPr>
          <w:p>
            <w:pPr>
              <w:jc w:val="right"/>
              <w:spacing w:after="0"/>
              <w:rPr>
                <w:sz w:val="20"/>
                <w:szCs w:val="20"/>
                <w:color w:val="auto"/>
              </w:rPr>
            </w:pPr>
            <w:r>
              <w:rPr>
                <w:rFonts w:ascii="Arial" w:cs="Arial" w:eastAsia="Arial" w:hAnsi="Arial"/>
                <w:sz w:val="18"/>
                <w:szCs w:val="18"/>
                <w:color w:val="auto"/>
              </w:rPr>
              <w:t>658,872</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658,872</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554,648</w:t>
            </w:r>
          </w:p>
        </w:tc>
        <w:tc>
          <w:tcPr>
            <w:tcW w:w="32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Career Shares(7)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851,958</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851,958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190,947</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835,234</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14,444</w:t>
            </w:r>
          </w:p>
        </w:tc>
        <w:tc>
          <w:tcPr>
            <w:tcW w:w="3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22,119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Performance Based Deferred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460,436</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460,436</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460,436</w:t>
            </w:r>
          </w:p>
        </w:tc>
        <w:tc>
          <w:tcPr>
            <w:tcW w:w="320" w:type="dxa"/>
            <w:vAlign w:val="bottom"/>
          </w:tcPr>
          <w:p>
            <w:pPr>
              <w:spacing w:after="0"/>
              <w:rPr>
                <w:sz w:val="18"/>
                <w:szCs w:val="18"/>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2,411,341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2,411,341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1,458,123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2,984,928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 of Mr. Sullivan’s severance agreement expires on September 6, 2012.</w:t>
      </w:r>
    </w:p>
    <w:p>
      <w:pPr>
        <w:spacing w:after="0" w:line="90"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“single trigger” column calculates the amounts that are earned upon a change of control of ManpowerGroup without regard to whether a termination occurs, while 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 Amounts in the “double trigger” column do not include amounts that are earned solely upon a change of control. Accordingly, in a double trigger scenario, the total amounts in the columns (“single trigger” and “double trigger”) need to be combined for a complete calculation of the amounts that are earned. This combined amount would be $4,000,012.</w:t>
      </w:r>
    </w:p>
    <w:p>
      <w:pPr>
        <w:spacing w:after="0" w:line="39"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of the severance payment under Mr. Sullivan’s severance agreement is equal to his annual base salary at the highest rate in effect during the term of the agreement (here, $475,000) and his target annual incentive for the fiscal year in which the termination occurs (here, $356,250). In a double trigger scenario, the amount of his severance payment is multiplied by two.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2" w:name="page73"/>
    <w:bookmarkEnd w:id="72"/>
    <w:p>
      <w:pPr>
        <w:ind w:left="460" w:right="120" w:hanging="452"/>
        <w:spacing w:after="0" w:line="25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his involuntary termination (other than for cause) or voluntary termination for good reason, the amount of the prorated incentive payable to him under his severance agreement is based on the actual incentive earned for 2011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2011. Note that an incentive amount has also been reported as 2011 compensation for him in the Summary Compensation Table, as well as in the Grants of Plan-Based Awards Table.</w:t>
      </w:r>
    </w:p>
    <w:p>
      <w:pPr>
        <w:spacing w:after="0" w:line="63"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30, 2011 ($35.75) and the exercise price of each unvested stock option held by Mr. Sullivan on such date. Depending on the circumstances surrounding a change of control event, the stock options may vest upon a double trigger scenario or upon a single trigger scenario. In order to avoid duplication of the values in this illustration, the value of such stock options is disclosed in the double trigger column only.</w:t>
      </w:r>
    </w:p>
    <w:p>
      <w:pPr>
        <w:spacing w:after="0" w:line="62" w:lineRule="exact"/>
        <w:rPr>
          <w:rFonts w:ascii="Arial" w:cs="Arial" w:eastAsia="Arial" w:hAnsi="Arial"/>
          <w:sz w:val="18"/>
          <w:szCs w:val="18"/>
          <w:color w:val="auto"/>
        </w:rPr>
      </w:pPr>
    </w:p>
    <w:p>
      <w:pPr>
        <w:jc w:val="both"/>
        <w:ind w:left="460" w:right="160" w:hanging="452"/>
        <w:spacing w:after="0" w:line="335"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value of performance share units is illustrated here by measuring the value of the number of shares payable under outstanding awards (both 2010 and 2011 grants) using the closing stock price on December 30, 2011 ($35.75). In the case of a change of control, the payout is shown based on the number of shares earned based on actual performance in 2010 and 2011, with a proration applied to the 2011 award as per the terms of the award agreement.</w:t>
      </w:r>
    </w:p>
    <w:p>
      <w:pPr>
        <w:spacing w:after="0" w:line="7" w:lineRule="exact"/>
        <w:rPr>
          <w:rFonts w:ascii="Arial" w:cs="Arial" w:eastAsia="Arial" w:hAnsi="Arial"/>
          <w:sz w:val="15"/>
          <w:szCs w:val="15"/>
          <w:color w:val="auto"/>
        </w:rPr>
      </w:pPr>
    </w:p>
    <w:p>
      <w:pPr>
        <w:ind w:left="460" w:right="80" w:hanging="452"/>
        <w:spacing w:after="0" w:line="298"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value of any unvested restricted stock, restricted stock units and career shares is illustrated here by measuring the value of the number of shares payable under unvested awards using the closing stock price on December 30, 2011 ($35.75). For restricted stock units granted in 2009 and 2011, as described above, depending on the circumstances surrounding a change of control event, the units may vest upon a double trigger scenario or upon a single trigger scenario. In order to avoid duplication of the values in this illustration, the value of such units is disclosed in the double trigger column only.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20" w:type="dxa"/>
            <w:vAlign w:val="bottom"/>
            <w:gridSpan w:val="3"/>
          </w:tcPr>
          <w:p>
            <w:pPr>
              <w:jc w:val="center"/>
              <w:ind w:left="2375"/>
              <w:spacing w:after="0"/>
              <w:rPr>
                <w:sz w:val="20"/>
                <w:szCs w:val="20"/>
                <w:color w:val="auto"/>
              </w:rPr>
            </w:pPr>
            <w:r>
              <w:rPr>
                <w:rFonts w:ascii="Arial" w:cs="Arial" w:eastAsia="Arial" w:hAnsi="Arial"/>
                <w:sz w:val="14"/>
                <w:szCs w:val="14"/>
                <w:b w:val="1"/>
                <w:bCs w:val="1"/>
                <w:color w:val="auto"/>
                <w:w w:val="84"/>
              </w:rPr>
              <w:t>Fees Earned or</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Name</w:t>
            </w:r>
          </w:p>
        </w:tc>
        <w:tc>
          <w:tcPr>
            <w:tcW w:w="31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15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20" w:type="dxa"/>
            <w:vAlign w:val="bottom"/>
            <w:gridSpan w:val="2"/>
          </w:tcPr>
          <w:p>
            <w:pPr>
              <w:jc w:val="center"/>
              <w:ind w:left="3075"/>
              <w:spacing w:after="0" w:line="148" w:lineRule="exact"/>
              <w:rPr>
                <w:sz w:val="20"/>
                <w:szCs w:val="20"/>
                <w:color w:val="auto"/>
              </w:rPr>
            </w:pPr>
            <w:r>
              <w:rPr>
                <w:rFonts w:ascii="Arial" w:cs="Arial" w:eastAsia="Arial" w:hAnsi="Arial"/>
                <w:sz w:val="14"/>
                <w:szCs w:val="14"/>
                <w:b w:val="1"/>
                <w:bCs w:val="1"/>
                <w:color w:val="auto"/>
                <w:w w:val="81"/>
              </w:rPr>
              <w:t>($)</w:t>
            </w:r>
          </w:p>
        </w:tc>
        <w:tc>
          <w:tcPr>
            <w:tcW w:w="700" w:type="dxa"/>
            <w:vAlign w:val="bottom"/>
          </w:tcPr>
          <w:p>
            <w:pPr>
              <w:spacing w:after="0"/>
              <w:rPr>
                <w:sz w:val="14"/>
                <w:szCs w:val="14"/>
                <w:color w:val="auto"/>
              </w:rPr>
            </w:pPr>
          </w:p>
        </w:tc>
        <w:tc>
          <w:tcPr>
            <w:tcW w:w="80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($)(2)</w:t>
            </w:r>
          </w:p>
        </w:tc>
        <w:tc>
          <w:tcPr>
            <w:tcW w:w="680" w:type="dxa"/>
            <w:vAlign w:val="bottom"/>
          </w:tcPr>
          <w:p>
            <w:pPr>
              <w:spacing w:after="0"/>
              <w:rPr>
                <w:sz w:val="14"/>
                <w:szCs w:val="14"/>
                <w:color w:val="auto"/>
              </w:rPr>
            </w:pPr>
          </w:p>
        </w:tc>
        <w:tc>
          <w:tcPr>
            <w:tcW w:w="88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($)(3)</w:t>
            </w:r>
          </w:p>
        </w:tc>
        <w:tc>
          <w:tcPr>
            <w:tcW w:w="70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 J. Bolland</w:t>
            </w:r>
          </w:p>
        </w:tc>
        <w:tc>
          <w:tcPr>
            <w:tcW w:w="3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179,990</w:t>
            </w: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186,990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91,110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104,370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195,480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84,110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106,787</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190,897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William Downe(1)</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2,000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119,842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121,842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106,480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105,625</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212,105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Patricia Hemingway Hall(1)</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51,705</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70,137</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121,842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81,110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107,949</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189,059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9,000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182,360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191,360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91,110</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108,045</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199,155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84,110</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105,997</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190,107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7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104,295</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114,363</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218,658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720" w:type="dxa"/>
            <w:vAlign w:val="bottom"/>
            <w:gridSpan w:val="3"/>
          </w:tcPr>
          <w:p>
            <w:pPr>
              <w:jc w:val="right"/>
              <w:ind w:right="700"/>
              <w:spacing w:after="0"/>
              <w:rPr>
                <w:sz w:val="20"/>
                <w:szCs w:val="20"/>
                <w:color w:val="auto"/>
              </w:rPr>
            </w:pPr>
            <w:r>
              <w:rPr>
                <w:rFonts w:ascii="Arial" w:cs="Arial" w:eastAsia="Arial" w:hAnsi="Arial"/>
                <w:sz w:val="18"/>
                <w:szCs w:val="18"/>
                <w:color w:val="auto"/>
              </w:rPr>
              <w:t>62,055</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152,329</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214,384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Downe and Ms. Hemingway Hall were appointed to the board of directors on May 2, 2011.</w:t>
      </w:r>
    </w:p>
    <w:p>
      <w:pPr>
        <w:spacing w:after="0" w:line="90"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Reflects deferred stock and restricted stock granted under our 2003 Equity Incentive Plan and the Terms and Conditions Regarding the Grant of Awards to Non-Employee Directors under the 2003 Equity Incentive Plan and the 2011 Equity Incentive Plan. These amounts reflect the grant date fair value of the awards as computed in accordance with FASB ASC Topic 718. The amount reflected in the table was made up of:</w:t>
      </w:r>
    </w:p>
    <w:p>
      <w:pPr>
        <w:spacing w:after="0" w:line="25" w:lineRule="exact"/>
        <w:rPr>
          <w:rFonts w:ascii="Arial" w:cs="Arial" w:eastAsia="Arial" w:hAnsi="Arial"/>
          <w:sz w:val="16"/>
          <w:szCs w:val="16"/>
          <w:color w:val="auto"/>
        </w:rPr>
      </w:pPr>
    </w:p>
    <w:p>
      <w:pPr>
        <w:ind w:left="460" w:right="120"/>
        <w:spacing w:after="0" w:line="332" w:lineRule="auto"/>
        <w:rPr>
          <w:rFonts w:ascii="Arial" w:cs="Arial" w:eastAsia="Arial" w:hAnsi="Arial"/>
          <w:sz w:val="16"/>
          <w:szCs w:val="16"/>
          <w:color w:val="auto"/>
        </w:rPr>
      </w:pPr>
      <w:r>
        <w:rPr>
          <w:rFonts w:ascii="Arial" w:cs="Arial" w:eastAsia="Arial" w:hAnsi="Arial"/>
          <w:sz w:val="16"/>
          <w:szCs w:val="16"/>
          <w:color w:val="auto"/>
        </w:rPr>
        <w:t>For Mr. Bolland, $104,370 attributable to the annual grant of restricted stock (1,663 shares), $73,110 attributable to deferred stock granted in lieu of 100% of the annual retainer (1,573 shares) and $2,510 attributable to deferred stock issued in lieu of dividends (54 shares) in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Ms. Boswell, $104,370 attributable to the annual grant of restricted stock (1,663 shares) in 2011.</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For Ms. Dominguez, $104,370 attributable to the annual grant of restricted stock (1,663 shares) and $2,417 attributable to deferred stock issued in lieu of dividends (52 shares) in 2011.</w:t>
      </w:r>
    </w:p>
    <w:p>
      <w:pPr>
        <w:spacing w:after="0" w:line="51"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For Mr. Downe, $69,300 attributable to the annual grant of deferred stock (1,040 shares), $49,705 attributable to deferred stock granted in lieu of 100% of his annual retainer (1,069 shares) and $837 attributable to deferred stock issued in lieu of dividends (18 shares) in 2011.</w:t>
      </w:r>
    </w:p>
    <w:p>
      <w:pPr>
        <w:spacing w:after="0" w:line="4"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For Mr. Greenberg, $104,370 attributable to the annual grant of restricted stock (1,663 shares) and $1,255 attributable to deferred stock issued in lieu of dividends (27 shares) in 2011.</w:t>
      </w:r>
    </w:p>
    <w:p>
      <w:pPr>
        <w:spacing w:after="0" w:line="5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For Ms. Hemingway Hall, $69,300 attributable to the annual grant of deferred stock (1,040 shares) and $837 attributable to deferred stock issued in lieu of dividends (18 shares) in 2011.</w:t>
      </w:r>
    </w:p>
    <w:p>
      <w:pPr>
        <w:spacing w:after="0" w:line="51"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For Mr. Hueneke, $104,370 attributable to the annual grant of restricted stock (1,663 shares), and $3,579 attributable to deferred stock issued in lieu of dividends (77 shares) in 2011.</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For Mr. Mendoza, $104,370 attributable to the annual grant of deferred stock (1,663 shares), $73,110 attributable to deferred stock granted in lieu of 100% of his annual retainer (1,573 shares) and $4,880 attributable to deferred stock issued in lieu of dividends (105 shares) in 2011.</w:t>
      </w:r>
    </w:p>
    <w:p>
      <w:pPr>
        <w:spacing w:after="0" w:line="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For Mr. Payne, $104,370 attributable to the annual grant of deferred stock (1,663 shares) and $3,675 attributable to deferred stock issued in lieu of dividends (81 shares) in 2011.</w:t>
      </w:r>
    </w:p>
    <w:p>
      <w:pPr>
        <w:spacing w:after="0" w:line="51"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For Ms. Sartain, $104,370 attributable to the annual grant of deferred stock (1,663 shares) and $1,627 attributable to deferred stock issued in lieu of dividends (35 shares) in 2011.</w:t>
      </w:r>
    </w:p>
    <w:p>
      <w:pPr>
        <w:spacing w:after="0" w:line="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For Mr. Walter, $104,370 attributable to the annual grant of deferred stock (1,663 shares) and $9,993 attributable to deferred stock issued in lieu of dividends (215 shares) in 2011.</w:t>
      </w:r>
    </w:p>
    <w:p>
      <w:pPr>
        <w:spacing w:after="0" w:line="51"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For Mr. Zore, $104,370 attributable to the annual grant of restricted stock (1,663 shares), $44,055 attributable to deferred stock granted in lieu of 50% of his annual retainer (948 shares) and $3,904 attributable to deferred stock issued in lieu of dividends (84 shares) in 2011.</w:t>
      </w:r>
    </w:p>
    <w:p>
      <w:pPr>
        <w:spacing w:after="0" w:line="4" w:lineRule="exact"/>
        <w:rPr>
          <w:sz w:val="20"/>
          <w:szCs w:val="20"/>
          <w:color w:val="auto"/>
        </w:rPr>
      </w:pPr>
    </w:p>
    <w:p>
      <w:pPr>
        <w:ind w:left="460" w:right="280"/>
        <w:spacing w:after="0" w:line="255" w:lineRule="auto"/>
        <w:rPr>
          <w:sz w:val="20"/>
          <w:szCs w:val="20"/>
          <w:color w:val="auto"/>
        </w:rPr>
      </w:pPr>
      <w:r>
        <w:rPr>
          <w:rFonts w:ascii="Arial" w:cs="Arial" w:eastAsia="Arial" w:hAnsi="Arial"/>
          <w:sz w:val="18"/>
          <w:szCs w:val="18"/>
          <w:color w:val="auto"/>
        </w:rPr>
        <w:t>As of December 31, 2011, the aggregate number of shares of deferred stock held by the non-employee directors was as follows: Mr. Bolland — 3,139; Ms. Boswell — 0; Ms. Dominguez — 3,030; Mr. Downe — 1,040; Mr. Greenberg — 1,559; Ms. Hemingway Hall — 1,040; Mr. Hueneke — 4,478; Mr. Mendoza – 6,067; Mr. Payne — 4,693; Ms. Sartain — 1,991; Mr. Walter — 12,480; and Mr. Zore — 4,864. All such shares of deferred stock were fully vested as of December 31, 2011. All shares of restricted stock granted to the non-employee directors in 2011 were fully vested as of December 31, 2011.</w:t>
      </w:r>
    </w:p>
    <w:p>
      <w:pPr>
        <w:spacing w:after="0" w:line="62" w:lineRule="exact"/>
        <w:rPr>
          <w:sz w:val="20"/>
          <w:szCs w:val="20"/>
          <w:color w:val="auto"/>
        </w:rPr>
      </w:pPr>
    </w:p>
    <w:p>
      <w:pPr>
        <w:ind w:left="460" w:right="140" w:hanging="452"/>
        <w:spacing w:after="0" w:line="256"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2011, there was no compensation expense for stock options and all such options previously granted under our 1994 Executive Stock Option and Restricted Stock Plan between 2001 and 2005, as described below, were fully vested and exercisable as of December 31, 2011. As of December 31, 2011, the aggregate number of shares subject to stock options held by the non-employee directors was as follows: Mr. Bolland — 6,250; Mr. Greenberg — 10,000; Mr. Hueneke — 8,750; Mr. Walter — 18,028; and Mr. Zore — 15,000.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approved an amendment to the compensation program for non-employee directors effective as of February 16, 2011 to be more comparable to compensation packages offered to non-employee directors of peer-group companies. The annual cash Board retainer was increased to $75,000 ($73,110 for 2011) per year from $60,000 per year and board members no longer receive a fee for attending board meetings either in person or telephonically, however they continue to receive a fee for attending committee meetings of $2,000 attended in person or $1,000 telephonically. The annual retainer for the chairman of the executive compensation and human resources committee increased to $15,000 ($14,370 for 2011) per year from $10,000 per year. The chairman of the audit committee continues to receive an annual retainer of $15,000 per year. The annual retainer for the chairman of the nominating and governance committee increased to $12,500 ($12,185) per year from $10,000 per year. In addition, each director is reimbursed for travel expenses incurred in connection with attending board of directors and committee meetings.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74" w:name="page75"/>
    <w:bookmarkEnd w:id="74"/>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below, non-employee directors may elect to receive deferred stock under the 2003 Equity Incentive Plan in lieu of their annual cash retainer (but not in lieu of the cash meeting fees).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2010, Mr. Bolland elected to accept deferred stock in lieu of 100% of the annual cash retainer to which he was otherwise entitled. 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2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to the cash compensation (or elective deferred stock), each non-employee director receives an annual grant of deferred stock. The grant is effective on the first day of each year, and effective as of February 16, 2011, the number of shares granted equal $105,000 ($104,370 for 2011) divided by the closing sale price of a share of ManpowerGroup’s common stock on the last business day of the preceding year, or 1,663 shares of deferred stock for 2011.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ManpowerGroup to align their economic interests with those of the shareholders. To that end, the committee recommended and the board of directors approved stock ownership guidelines for the non-employee directors effective on January 1, 2006. Non-employee directors are expected to own shares or hold vested deferred stock or vested restricted stock equal in value to five times the annual cash retainer ($60,000 at January 1, 2006, for a total guideline of $300,000) by January 1, 2009 for directors in office as of January 1, 2006, and by the third anniversary of the date of appointment for directors appointed after January 1, 2006. On December 12, 2011, the nominating and governance committee approved an amendment to the stock ownership guidelines for non-employee directors to reflect the increase in the annual cash retainer that became effective on February 16, 2011, increasing the total stock ownership guideline to $375,000 ($75,000 x 5). This resulted in an increase in the number of shares required to be owned by each non-employee director that was a director as of February 16, 2011 of 1,181 shares. Any current director as of February 16, 2011 who had not met the new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4" w:right="239" w:bottom="1440" w:gutter="0" w:footer="0" w:header="0"/>
        </w:sectPr>
      </w:pPr>
    </w:p>
    <w:bookmarkStart w:id="75" w:name="page76"/>
    <w:bookmarkEnd w:id="75"/>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will have an additional year from the date of their appointment to meet the new guideline. For all directors who became directors after February 16, 2011, including Mr. Downe and Ms. Hemingway Hall, the total guideline is $375,000 and each director has four years from the date of appointment to meet the guideline. In determining whether targeted ownership levels have been met, the committee will not take into account unexercised options. The following table details each non-employee director’s stock ownership relative to the stock ownership guidelines.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80" w:type="dxa"/>
            <w:vAlign w:val="bottom"/>
            <w:gridSpan w:val="2"/>
          </w:tcPr>
          <w:p>
            <w:pPr>
              <w:ind w:left="400"/>
              <w:spacing w:after="0"/>
              <w:rPr>
                <w:sz w:val="20"/>
                <w:szCs w:val="20"/>
                <w:color w:val="auto"/>
              </w:rPr>
            </w:pPr>
            <w:r>
              <w:rPr>
                <w:rFonts w:ascii="Arial" w:cs="Arial" w:eastAsia="Arial" w:hAnsi="Arial"/>
                <w:sz w:val="14"/>
                <w:szCs w:val="14"/>
                <w:b w:val="1"/>
                <w:bCs w:val="1"/>
                <w:color w:val="auto"/>
              </w:rPr>
              <w:t>Target</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2160" w:type="dxa"/>
            <w:vAlign w:val="bottom"/>
          </w:tcPr>
          <w:p>
            <w:pPr>
              <w:spacing w:after="0"/>
              <w:rPr>
                <w:sz w:val="12"/>
                <w:szCs w:val="12"/>
                <w:color w:val="auto"/>
              </w:rPr>
            </w:pPr>
          </w:p>
        </w:tc>
        <w:tc>
          <w:tcPr>
            <w:tcW w:w="19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5"/>
              </w:rPr>
              <w:t>Number of shares(1)</w:t>
            </w:r>
          </w:p>
        </w:tc>
        <w:tc>
          <w:tcPr>
            <w:tcW w:w="16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3"/>
              </w:rPr>
              <w:t>Number of shares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Target Date to</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340" w:type="dxa"/>
            <w:vAlign w:val="bottom"/>
            <w:gridSpan w:val="2"/>
          </w:tcPr>
          <w:p>
            <w:pPr>
              <w:jc w:val="right"/>
              <w:ind w:right="446"/>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2"/>
                <w:szCs w:val="12"/>
                <w:color w:val="auto"/>
              </w:rPr>
            </w:pPr>
          </w:p>
        </w:tc>
        <w:tc>
          <w:tcPr>
            <w:tcW w:w="168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held(2) (#)</w:t>
            </w:r>
          </w:p>
        </w:tc>
        <w:tc>
          <w:tcPr>
            <w:tcW w:w="380" w:type="dxa"/>
            <w:vAlign w:val="bottom"/>
          </w:tcPr>
          <w:p>
            <w:pPr>
              <w:spacing w:after="0"/>
              <w:rPr>
                <w:sz w:val="12"/>
                <w:szCs w:val="12"/>
                <w:color w:val="auto"/>
              </w:rPr>
            </w:pP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Value of shares(3)</w:t>
            </w:r>
          </w:p>
        </w:tc>
        <w:tc>
          <w:tcPr>
            <w:tcW w:w="380" w:type="dxa"/>
            <w:vAlign w:val="bottom"/>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Satisfy Guidelines</w:t>
            </w:r>
          </w:p>
        </w:tc>
        <w:tc>
          <w:tcPr>
            <w:tcW w:w="0" w:type="dxa"/>
            <w:vAlign w:val="bottom"/>
          </w:tcPr>
          <w:p>
            <w:pPr>
              <w:spacing w:after="0"/>
              <w:rPr>
                <w:sz w:val="1"/>
                <w:szCs w:val="1"/>
                <w:color w:val="auto"/>
              </w:rPr>
            </w:pPr>
          </w:p>
        </w:tc>
      </w:tr>
      <w:tr>
        <w:trPr>
          <w:trHeight w:val="20"/>
        </w:trPr>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216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gridSpan w:val="2"/>
            <w:vMerge w:val="continue"/>
            <w:shd w:val="clear" w:color="auto" w:fill="CCEEFF"/>
          </w:tcPr>
          <w:p>
            <w:pPr>
              <w:spacing w:after="0"/>
              <w:rPr>
                <w:sz w:val="17"/>
                <w:szCs w:val="17"/>
                <w:color w:val="auto"/>
              </w:rPr>
            </w:pPr>
          </w:p>
        </w:tc>
        <w:tc>
          <w:tcPr>
            <w:tcW w:w="216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7,633</w:t>
            </w:r>
          </w:p>
        </w:tc>
        <w:tc>
          <w:tcPr>
            <w:tcW w:w="80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15,198(4)</w:t>
            </w:r>
          </w:p>
        </w:tc>
        <w:tc>
          <w:tcPr>
            <w:tcW w:w="3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669,168</w:t>
            </w:r>
          </w:p>
        </w:tc>
        <w:tc>
          <w:tcPr>
            <w:tcW w:w="40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5,219</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10,095(5)</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444,483</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7,910(6)</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348,277</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8,861(7)</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390,150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14,509(8)</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638,831</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9"/>
              </w:rPr>
              <w:t>Patricia Hemingway Hall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80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1,792(9)</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78,902</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18,266(10)</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804,252</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8,143</w:t>
            </w:r>
          </w:p>
        </w:tc>
        <w:tc>
          <w:tcPr>
            <w:tcW w:w="80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8,479(11)</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373,330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9,452(12)</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416,172</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8,240</w:t>
            </w:r>
          </w:p>
        </w:tc>
        <w:tc>
          <w:tcPr>
            <w:tcW w:w="80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5,277(13)</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232,346</w:t>
            </w:r>
          </w:p>
        </w:tc>
        <w:tc>
          <w:tcPr>
            <w:tcW w:w="1820" w:type="dxa"/>
            <w:vAlign w:val="bottom"/>
            <w:gridSpan w:val="2"/>
          </w:tcPr>
          <w:p>
            <w:pPr>
              <w:ind w:left="380"/>
              <w:spacing w:after="0"/>
              <w:rPr>
                <w:sz w:val="20"/>
                <w:szCs w:val="20"/>
                <w:color w:val="auto"/>
              </w:rPr>
            </w:pPr>
            <w:r>
              <w:rPr>
                <w:rFonts w:ascii="Arial" w:cs="Arial" w:eastAsia="Arial" w:hAnsi="Arial"/>
                <w:sz w:val="18"/>
                <w:szCs w:val="18"/>
                <w:color w:val="auto"/>
              </w:rPr>
              <w:t>8/03/14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31,970(14)</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1,407,639</w:t>
            </w:r>
          </w:p>
        </w:tc>
        <w:tc>
          <w:tcPr>
            <w:tcW w:w="18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7,633</w:t>
            </w:r>
          </w:p>
        </w:tc>
        <w:tc>
          <w:tcPr>
            <w:tcW w:w="80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37,918(15)</w:t>
            </w: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1,669,530</w:t>
            </w:r>
          </w:p>
        </w:tc>
        <w:tc>
          <w:tcPr>
            <w:tcW w:w="18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directors that became directors after January 1, 2006, the target values are based on the closing price on the last day of the month that a director is appointed to the Board.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number of shares held as of March 2, 2012 plus equity awards that vest through March 31,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price per share of ManpowerGroup common stock on March 1, 2012 of $44.03.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11,743 shares of common stock and 3,455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7,176 shares of common stock and 734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6,000 shares of common stock and 2,861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12,923 shares of common stock and 1,586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15,022 shares of common stock and 3,244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7,026 shares of common stock and 2,426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3,251, shares of common stock and 2,026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19,275 shares of common stock and 12,695 vested shares of deferred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33,662 shares of common stock and 4,256 vested shares of deferred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an audit committee consisting of six directors who are “independent” within the meaning of the listing standards of the New York Stock Exchange. The board of directors has adopted a charter for the audit committee, which is available on our web site at www.manpowergroup.com/about/corporategovernance.cfm.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as our qualified legal compliance committee.</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2011, the audit committee met five times. Over the course of these meetings, the audit committee met with our chief executive officer, our chief financial officer, other senior members of the finance department, the chairperson of our disclosure committee, the head of internal audit, our chief legal officer and our independent auditors. During these meetings, the audit committee reviewed and discussed, among other things:</w:t>
      </w:r>
    </w:p>
    <w:p>
      <w:pPr>
        <w:spacing w:after="0" w:line="26" w:lineRule="exact"/>
        <w:rPr>
          <w:sz w:val="20"/>
          <w:szCs w:val="20"/>
          <w:color w:val="auto"/>
        </w:rPr>
      </w:pPr>
    </w:p>
    <w:p>
      <w:pPr>
        <w:ind w:left="900" w:right="48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2011, including the disclosures under “Management’s Discussion and Analysis of Financial Condition and Results of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operational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met four times in private session with Deloitte &amp; Touche LLP and met four times in private session with the head of internal audit.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private sessions is to allow the participants to raise any concerns they may have and to discuss other topics in a confidential setting.</w:t>
      </w:r>
    </w:p>
    <w:p>
      <w:pPr>
        <w:spacing w:after="0" w:line="18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to the meetings discussed above, the chairman of the audit committee, and any other audit committee member who desired or was requested to participate, reviewed with management and our independent auditors our financial results for each quarter of 2011 prior to the quarterly release of earnings.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2012, the independent auditors and members of senior management reviewed and discussed the audited financial statements for the fiscal year ended December 31, 2011 with the audit committee, together with our disclosures under “Management’s Discussion and Analysis of Financial Condition and Results of Operations.” This discussion included, among other things:</w:t>
      </w:r>
    </w:p>
    <w:p>
      <w:pPr>
        <w:spacing w:after="0" w:line="59"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77" w:name="page78"/>
    <w:bookmarkEnd w:id="77"/>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 of regulatory and accounting initiatives on our financial statements, including the adoption of significant accounting pronouncements,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13"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2011 and the independent auditors’ report with respect to the effectiveness of our internal control over financial reporting and management’s assessment of the effectiveness of our internal control over financial reporting.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2011 and 2010, which consist of the following:</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of our internal control over financial reporting as of and for the year ended December 31, 2010 and the review of the financial statements included in our Quarterly Reports on Form 10-Q for 2010 approved by the audit committee were $5,429,000.</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2011 and the review of the financial statements included in our Quarterly Reports on Form 10-Q for 2010 approved by the audit committee were $5,731,000.</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The aggregate fees billed by Deloitte for audit-related services were $38,000 in 2010. These services consisted of reviewing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with the Securities and Exchange Commission and providing consents for our filings with the Securities and Exchange Commission.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aggregate fees billed by Deloitte for audit-related services were $68,500 in 2011. These services consisted of auditing billing procedures for one of our foreign subsidiaries lines of business, certifying amounts on an insurance claim and auditing royalties paid by one of our subsidiaries.</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by Deloitte for tax services were $531,100 in 2010. These services consisted of assistance in the preparation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 transfer pricing study.</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aggregate fees billed by Deloitte for tax services were $486,800 in 2011.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changes in defined benefit plans and a transfer pricing study.</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 aggregate fees and expenses billed by Deloitte for all other services were $55,700 in 2010 for due diligence work on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training.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8" w:name="page79"/>
    <w:bookmarkEnd w:id="7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fees and expenses billed by Deloitte for all other services were $66,050 in 2011 for assistance regarding implementation of data privacy laws and consultations regarding expatriate services.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policy on services provided by the independent auditors was initially adopted by the audit committee in March 2002 and has since been revised several times in response to regulatory requirements.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Each of the services described under the headings “Audit-Related Fees,” “Tax Fees” and “All Other Fees” was approved during 2010 and 2011 in accordance with the policy.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2011 and at the meeting in February 2012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2011 audit, and believes that the provision of these services has not adversely affected the integrity of our audit and financial reporting processes.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2011.</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J. Zore, Chairman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Gina R. Boswell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Patricia A. Hemingway Hall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Terry A. Hueneke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Roberto Mendoza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Ulice Payne, Jr.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34"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RATIFICATION OF INDEPENDENT AUDITORS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2012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2012.</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2012. Abstentions and broker non-votes will not be counted as votes cast and, therefore, will have no impact on the approval of the proposal.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2012, and your proxy will be so voted unless you specify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ADVISORY VOTE ON APPROVAL OF THE COMPENSATION OF NAMED EXECUTIVE OFFICERS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37" w:lineRule="exact"/>
        <w:rPr>
          <w:sz w:val="20"/>
          <w:szCs w:val="20"/>
          <w:color w:val="auto"/>
        </w:rPr>
      </w:pPr>
    </w:p>
    <w:p>
      <w:pPr>
        <w:ind w:left="460" w:right="160" w:firstLine="438"/>
        <w:spacing w:after="0" w:line="339"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ManpowerGroup is the world leader in innovative workforce solutions and services with over 85% percent of its revenues coming from outside the United States. The company does business in 80 countries, has nearly 3,800 offices and over 31,000 staff employees globally, and placed 3.5 million people in jobs in 2011. The variations in laws around the world, the variety of services offered, and the increasing multiregional solutions that clients are requesting make the business increasingly complex. None of the company’s competitors can match its global reach or breadth of service offerings.</w:t>
      </w:r>
    </w:p>
    <w:p>
      <w:pPr>
        <w:spacing w:after="0" w:line="11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NEOs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Compensation packages for NEOs generally include, as short-term arrangements, a base salary and an annual incentive bonus, and for long-term focus and value accumulation, stock options, performance share units (PSUs),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structures the compensation packages of the NEOs so that the overall outcomes fall generally within the median range. For the annual incentive and the PSU components of the package, award levels for achievement of the applicable goals generally are set at the median of the competitive market for target results and the 75</w:t>
      </w:r>
      <w:r>
        <w:rPr>
          <w:rFonts w:ascii="Arial" w:cs="Arial" w:eastAsia="Arial" w:hAnsi="Arial"/>
          <w:sz w:val="10"/>
          <w:szCs w:val="10"/>
          <w:color w:val="auto"/>
        </w:rPr>
        <w:t>th</w:t>
      </w:r>
      <w:r>
        <w:rPr>
          <w:rFonts w:ascii="Arial" w:cs="Arial" w:eastAsia="Arial" w:hAnsi="Arial"/>
          <w:sz w:val="16"/>
          <w:szCs w:val="16"/>
          <w:color w:val="auto"/>
        </w:rPr>
        <w:t xml:space="preserve"> percentile for outstanding results. However, actual outcomes may vary among NEOs due to experience and other individual factors. In addition, because of the cyclical nature of the Company’s business and the resulting impact on our stock price, actual outcomes may significantly exceed or fall short of this range after taking into account performance factors.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closely correlated with growth in shareholder value. A substantial portion of the annual incentive awards paid to the CEO and CFO, for example, are based on achievement of earnings per share and economic profit goals for the year, two metrics that are aligned with shareholder interests.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Both the short-term and long-term components of the compensation program reflect the objective that senior executives should be paid for results and not paid for failure. NEO base salaries generally are at or below market median with a significant component of the annual cash opportunity based on the level of attainment of financial goals for the year. If the actual results fall short of the goals, the award level is correspondingly reduced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81" w:name="page82"/>
    <w:bookmarkEnd w:id="8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financial metric, in this instance operating profit margin.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Approval of the company’s executive compensation policies and procedures would require that the number of votes cast in favor of the proposal exceed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board of directors recommends you vote FOR the proposal to approve the compensation of our named executive officers, and your proxy will be so voted unless you specify otherwise.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SHAREHOLDER PROPOSALS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2012 annual meeting of shareholders and any other shareholder proposed business to be brought before the 2013 annual meeting of shareholders must be received by us no later than February 1, 2013. To be considered for inclusion in the proxy statement solicited by the board of directors, shareholder proposals for consideration at the 2012 annual meeting of shareholders must be received by us at our principal executive offices by November 16, 2012. Such nominations or proposals must be submitted to Mr. Kenneth C. Hunt, Secretary, Manpower Inc., 100 Manpower Place, Milwaukee, Wisconsin 53212. To avoid disputes as to the date of receipt, it is suggested that any shareholder proposal be submitted by certified mail, return receipt requested.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2011 all filing requirements were met except for one late Form 4 filed by Mr. Bolland due to administrative error on the withholding of 126 shares for the payment of taxes on the receipt of restricted stock and one late Form 4 filed by Ms. Dominguez for the sale of 2,100 shares of ManpowerGroup common stock.</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VOTING INFORMATION</w:t>
      </w:r>
    </w:p>
    <w:p>
      <w:pPr>
        <w:spacing w:after="0" w:line="17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30, 2012. To vote over the Internet or by telephone, please refer to the instructions on the accompanying proxy card.</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6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www.manpowergroup.com/investors/investors.cfm</w:t>
      </w:r>
      <w:r>
        <w:rPr>
          <w:rFonts w:ascii="Arial" w:cs="Arial" w:eastAsia="Arial" w:hAnsi="Arial"/>
          <w:sz w:val="18"/>
          <w:szCs w:val="18"/>
          <w:color w:val="auto"/>
        </w:rPr>
        <w:t xml:space="preserve"> or by writing to Mr. Kenneth C. Hunt, Secretary, Manpower Inc. (d/b/a ManpowerGroup), 100 Manpower Place, Milwaukee, Wisconsin 53212.</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C. Hunt, Secretary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9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tcPr>
          <w:p>
            <w:pPr>
              <w:ind w:left="1760"/>
              <w:spacing w:after="0"/>
              <w:rPr>
                <w:sz w:val="20"/>
                <w:szCs w:val="20"/>
                <w:color w:val="auto"/>
              </w:rPr>
            </w:pPr>
            <w:r>
              <w:rPr>
                <w:rFonts w:ascii="Arial" w:cs="Arial" w:eastAsia="Arial" w:hAnsi="Arial"/>
                <w:sz w:val="18"/>
                <w:szCs w:val="18"/>
                <w:b w:val="1"/>
                <w:bCs w:val="1"/>
                <w:color w:val="auto"/>
                <w:w w:val="96"/>
              </w:rPr>
              <w:t>APPENDIX A</w:t>
            </w:r>
          </w:p>
        </w:tc>
      </w:tr>
      <w:tr>
        <w:trPr>
          <w:trHeight w:val="340"/>
        </w:trPr>
        <w:tc>
          <w:tcPr>
            <w:tcW w:w="42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Core Research Peer Group Companies</w:t>
            </w:r>
          </w:p>
        </w:tc>
        <w:tc>
          <w:tcPr>
            <w:tcW w:w="2840" w:type="dxa"/>
            <w:vAlign w:val="bottom"/>
          </w:tcPr>
          <w:p>
            <w:pPr>
              <w:spacing w:after="0"/>
              <w:rPr>
                <w:sz w:val="24"/>
                <w:szCs w:val="24"/>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3M</w:t>
            </w:r>
          </w:p>
        </w:tc>
        <w:tc>
          <w:tcPr>
            <w:tcW w:w="29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Emerson Electric</w:t>
            </w:r>
          </w:p>
        </w:tc>
        <w:tc>
          <w:tcPr>
            <w:tcW w:w="1420" w:type="dxa"/>
            <w:vAlign w:val="bottom"/>
          </w:tcPr>
          <w:p>
            <w:pPr>
              <w:spacing w:after="0"/>
              <w:rPr>
                <w:sz w:val="24"/>
                <w:szCs w:val="24"/>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Omnicom Group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Abbott Laboratories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Exelon</w:t>
            </w:r>
          </w:p>
        </w:tc>
        <w:tc>
          <w:tcPr>
            <w:tcW w:w="2840" w:type="dxa"/>
            <w:vAlign w:val="bottom"/>
          </w:tcPr>
          <w:p>
            <w:pPr>
              <w:ind w:left="1420"/>
              <w:spacing w:after="0"/>
              <w:rPr>
                <w:sz w:val="20"/>
                <w:szCs w:val="20"/>
                <w:color w:val="auto"/>
              </w:rPr>
            </w:pPr>
            <w:r>
              <w:rPr>
                <w:rFonts w:ascii="Arial" w:cs="Arial" w:eastAsia="Arial" w:hAnsi="Arial"/>
                <w:sz w:val="18"/>
                <w:szCs w:val="18"/>
                <w:color w:val="auto"/>
              </w:rPr>
              <w:t>Oneok</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Aetna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FirstEnergy</w:t>
            </w:r>
          </w:p>
        </w:tc>
        <w:tc>
          <w:tcPr>
            <w:tcW w:w="2840" w:type="dxa"/>
            <w:vAlign w:val="bottom"/>
          </w:tcPr>
          <w:p>
            <w:pPr>
              <w:ind w:left="1420"/>
              <w:spacing w:after="0"/>
              <w:rPr>
                <w:sz w:val="20"/>
                <w:szCs w:val="20"/>
                <w:color w:val="auto"/>
              </w:rPr>
            </w:pPr>
            <w:r>
              <w:rPr>
                <w:rFonts w:ascii="Arial" w:cs="Arial" w:eastAsia="Arial" w:hAnsi="Arial"/>
                <w:sz w:val="18"/>
                <w:szCs w:val="18"/>
                <w:color w:val="auto"/>
              </w:rPr>
              <w:t>Oracle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Aflac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Fluor</w:t>
            </w:r>
          </w:p>
        </w:tc>
        <w:tc>
          <w:tcPr>
            <w:tcW w:w="2840" w:type="dxa"/>
            <w:vAlign w:val="bottom"/>
          </w:tcPr>
          <w:p>
            <w:pPr>
              <w:ind w:left="1420"/>
              <w:spacing w:after="0"/>
              <w:rPr>
                <w:sz w:val="20"/>
                <w:szCs w:val="20"/>
                <w:color w:val="auto"/>
              </w:rPr>
            </w:pPr>
            <w:r>
              <w:rPr>
                <w:rFonts w:ascii="Arial" w:cs="Arial" w:eastAsia="Arial" w:hAnsi="Arial"/>
                <w:sz w:val="18"/>
                <w:szCs w:val="18"/>
                <w:color w:val="auto"/>
              </w:rPr>
              <w:t>PG&amp;E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Alcoa</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Gap Inc.</w:t>
            </w:r>
          </w:p>
        </w:tc>
        <w:tc>
          <w:tcPr>
            <w:tcW w:w="2840" w:type="dxa"/>
            <w:vAlign w:val="bottom"/>
          </w:tcPr>
          <w:p>
            <w:pPr>
              <w:ind w:left="1420"/>
              <w:spacing w:after="0"/>
              <w:rPr>
                <w:sz w:val="20"/>
                <w:szCs w:val="20"/>
                <w:color w:val="auto"/>
              </w:rPr>
            </w:pPr>
            <w:r>
              <w:rPr>
                <w:rFonts w:ascii="Arial" w:cs="Arial" w:eastAsia="Arial" w:hAnsi="Arial"/>
                <w:sz w:val="18"/>
                <w:szCs w:val="18"/>
                <w:color w:val="auto"/>
                <w:w w:val="88"/>
              </w:rPr>
              <w:t>PNC Financial Svcs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Allstate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General Dynamics</w:t>
            </w:r>
          </w:p>
        </w:tc>
        <w:tc>
          <w:tcPr>
            <w:tcW w:w="2840" w:type="dxa"/>
            <w:vAlign w:val="bottom"/>
          </w:tcPr>
          <w:p>
            <w:pPr>
              <w:ind w:left="1420"/>
              <w:spacing w:after="0"/>
              <w:rPr>
                <w:sz w:val="20"/>
                <w:szCs w:val="20"/>
                <w:color w:val="auto"/>
              </w:rPr>
            </w:pPr>
            <w:r>
              <w:rPr>
                <w:rFonts w:ascii="Arial" w:cs="Arial" w:eastAsia="Arial" w:hAnsi="Arial"/>
                <w:sz w:val="18"/>
                <w:szCs w:val="18"/>
                <w:color w:val="auto"/>
              </w:rPr>
              <w:t>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Altria Group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General Mills</w:t>
            </w:r>
          </w:p>
        </w:tc>
        <w:tc>
          <w:tcPr>
            <w:tcW w:w="2840" w:type="dxa"/>
            <w:vAlign w:val="bottom"/>
          </w:tcPr>
          <w:p>
            <w:pPr>
              <w:ind w:left="1420"/>
              <w:spacing w:after="0"/>
              <w:rPr>
                <w:sz w:val="20"/>
                <w:szCs w:val="20"/>
                <w:color w:val="auto"/>
              </w:rPr>
            </w:pPr>
            <w:r>
              <w:rPr>
                <w:rFonts w:ascii="Arial" w:cs="Arial" w:eastAsia="Arial" w:hAnsi="Arial"/>
                <w:sz w:val="18"/>
                <w:szCs w:val="18"/>
                <w:color w:val="auto"/>
              </w:rPr>
              <w:t>PPG Industries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Amazon.Com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Goodyear Tire &amp; Rubber</w:t>
            </w:r>
          </w:p>
        </w:tc>
        <w:tc>
          <w:tcPr>
            <w:tcW w:w="2840" w:type="dxa"/>
            <w:vAlign w:val="bottom"/>
          </w:tcPr>
          <w:p>
            <w:pPr>
              <w:ind w:left="1420"/>
              <w:spacing w:after="0"/>
              <w:rPr>
                <w:sz w:val="20"/>
                <w:szCs w:val="20"/>
                <w:color w:val="auto"/>
              </w:rPr>
            </w:pPr>
            <w:r>
              <w:rPr>
                <w:rFonts w:ascii="Arial" w:cs="Arial" w:eastAsia="Arial" w:hAnsi="Arial"/>
                <w:sz w:val="18"/>
                <w:szCs w:val="18"/>
                <w:color w:val="auto"/>
              </w:rPr>
              <w:t>Progressive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Electric Power</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Google Inc.</w:t>
            </w:r>
          </w:p>
        </w:tc>
        <w:tc>
          <w:tcPr>
            <w:tcW w:w="2840" w:type="dxa"/>
            <w:vAlign w:val="bottom"/>
          </w:tcPr>
          <w:p>
            <w:pPr>
              <w:ind w:left="1420"/>
              <w:spacing w:after="0"/>
              <w:rPr>
                <w:sz w:val="20"/>
                <w:szCs w:val="20"/>
                <w:color w:val="auto"/>
              </w:rPr>
            </w:pPr>
            <w:r>
              <w:rPr>
                <w:rFonts w:ascii="Arial" w:cs="Arial" w:eastAsia="Arial" w:hAnsi="Arial"/>
                <w:sz w:val="18"/>
                <w:szCs w:val="18"/>
                <w:color w:val="auto"/>
              </w:rPr>
              <w:t>Prudential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Express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Halliburton</w:t>
            </w:r>
          </w:p>
        </w:tc>
        <w:tc>
          <w:tcPr>
            <w:tcW w:w="2840" w:type="dxa"/>
            <w:vAlign w:val="bottom"/>
          </w:tcPr>
          <w:p>
            <w:pPr>
              <w:ind w:left="1420"/>
              <w:spacing w:after="0"/>
              <w:rPr>
                <w:sz w:val="20"/>
                <w:szCs w:val="20"/>
                <w:color w:val="auto"/>
              </w:rPr>
            </w:pPr>
            <w:r>
              <w:rPr>
                <w:rFonts w:ascii="Arial" w:cs="Arial" w:eastAsia="Arial" w:hAnsi="Arial"/>
                <w:sz w:val="18"/>
                <w:szCs w:val="18"/>
                <w:color w:val="auto"/>
              </w:rPr>
              <w:t>Financial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Arrow Electronics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Hartford Financial Services</w:t>
            </w:r>
          </w:p>
        </w:tc>
        <w:tc>
          <w:tcPr>
            <w:tcW w:w="2840" w:type="dxa"/>
            <w:vAlign w:val="bottom"/>
          </w:tcPr>
          <w:p>
            <w:pPr>
              <w:ind w:left="1420"/>
              <w:spacing w:after="0"/>
              <w:rPr>
                <w:sz w:val="20"/>
                <w:szCs w:val="20"/>
                <w:color w:val="auto"/>
              </w:rPr>
            </w:pPr>
            <w:r>
              <w:rPr>
                <w:rFonts w:ascii="Arial" w:cs="Arial" w:eastAsia="Arial" w:hAnsi="Arial"/>
                <w:sz w:val="18"/>
                <w:szCs w:val="18"/>
                <w:color w:val="auto"/>
              </w:rPr>
              <w:t>Public Service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AutoNation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Health Net</w:t>
            </w:r>
          </w:p>
        </w:tc>
        <w:tc>
          <w:tcPr>
            <w:tcW w:w="2840" w:type="dxa"/>
            <w:vAlign w:val="bottom"/>
          </w:tcPr>
          <w:p>
            <w:pPr>
              <w:ind w:left="1420"/>
              <w:spacing w:after="0"/>
              <w:rPr>
                <w:sz w:val="20"/>
                <w:szCs w:val="20"/>
                <w:color w:val="auto"/>
              </w:rPr>
            </w:pPr>
            <w:r>
              <w:rPr>
                <w:rFonts w:ascii="Arial" w:cs="Arial" w:eastAsia="Arial" w:hAnsi="Arial"/>
                <w:sz w:val="18"/>
                <w:szCs w:val="18"/>
                <w:color w:val="auto"/>
              </w:rPr>
              <w:t>Entrp 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Avnet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Hess</w:t>
            </w:r>
          </w:p>
        </w:tc>
        <w:tc>
          <w:tcPr>
            <w:tcW w:w="2840" w:type="dxa"/>
            <w:vAlign w:val="bottom"/>
          </w:tcPr>
          <w:p>
            <w:pPr>
              <w:ind w:left="1420"/>
              <w:spacing w:after="0"/>
              <w:rPr>
                <w:sz w:val="20"/>
                <w:szCs w:val="20"/>
                <w:color w:val="auto"/>
              </w:rPr>
            </w:pPr>
            <w:r>
              <w:rPr>
                <w:rFonts w:ascii="Arial" w:cs="Arial" w:eastAsia="Arial" w:hAnsi="Arial"/>
                <w:sz w:val="18"/>
                <w:szCs w:val="18"/>
                <w:color w:val="auto"/>
              </w:rPr>
              <w:t>Raytheon 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Baker Hughes Inc</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Honeywell Int’l</w:t>
            </w:r>
          </w:p>
        </w:tc>
        <w:tc>
          <w:tcPr>
            <w:tcW w:w="2840" w:type="dxa"/>
            <w:vAlign w:val="bottom"/>
          </w:tcPr>
          <w:p>
            <w:pPr>
              <w:ind w:left="1420"/>
              <w:spacing w:after="0"/>
              <w:rPr>
                <w:sz w:val="20"/>
                <w:szCs w:val="20"/>
                <w:color w:val="auto"/>
              </w:rPr>
            </w:pPr>
            <w:r>
              <w:rPr>
                <w:rFonts w:ascii="Arial" w:cs="Arial" w:eastAsia="Arial" w:hAnsi="Arial"/>
                <w:sz w:val="18"/>
                <w:szCs w:val="18"/>
                <w:color w:val="auto"/>
              </w:rPr>
              <w:t>Rite Aid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Bank Of New York Mellon Corp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Humana</w:t>
            </w:r>
          </w:p>
        </w:tc>
        <w:tc>
          <w:tcPr>
            <w:tcW w:w="2840" w:type="dxa"/>
            <w:vAlign w:val="bottom"/>
          </w:tcPr>
          <w:p>
            <w:pPr>
              <w:ind w:left="1420"/>
              <w:spacing w:after="0"/>
              <w:rPr>
                <w:sz w:val="20"/>
                <w:szCs w:val="20"/>
                <w:color w:val="auto"/>
              </w:rPr>
            </w:pPr>
            <w:r>
              <w:rPr>
                <w:rFonts w:ascii="Arial" w:cs="Arial" w:eastAsia="Arial" w:hAnsi="Arial"/>
                <w:sz w:val="18"/>
                <w:szCs w:val="18"/>
                <w:color w:val="auto"/>
              </w:rPr>
              <w:t>SAIC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Baxter Int’l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Illinois Tool Works</w:t>
            </w:r>
          </w:p>
        </w:tc>
        <w:tc>
          <w:tcPr>
            <w:tcW w:w="2840" w:type="dxa"/>
            <w:vAlign w:val="bottom"/>
          </w:tcPr>
          <w:p>
            <w:pPr>
              <w:ind w:left="1420"/>
              <w:spacing w:after="0"/>
              <w:rPr>
                <w:sz w:val="20"/>
                <w:szCs w:val="20"/>
                <w:color w:val="auto"/>
              </w:rPr>
            </w:pPr>
            <w:r>
              <w:rPr>
                <w:rFonts w:ascii="Arial" w:cs="Arial" w:eastAsia="Arial" w:hAnsi="Arial"/>
                <w:sz w:val="18"/>
                <w:szCs w:val="18"/>
                <w:color w:val="auto"/>
                <w:w w:val="98"/>
              </w:rPr>
              <w:t>Schlumberger Ltd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BB&amp;T Corp</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International Paper</w:t>
            </w:r>
          </w:p>
        </w:tc>
        <w:tc>
          <w:tcPr>
            <w:tcW w:w="2840" w:type="dxa"/>
            <w:vAlign w:val="bottom"/>
          </w:tcPr>
          <w:p>
            <w:pPr>
              <w:ind w:left="1420"/>
              <w:spacing w:after="0"/>
              <w:rPr>
                <w:sz w:val="20"/>
                <w:szCs w:val="20"/>
                <w:color w:val="auto"/>
              </w:rPr>
            </w:pPr>
            <w:r>
              <w:rPr>
                <w:rFonts w:ascii="Arial" w:cs="Arial" w:eastAsia="Arial" w:hAnsi="Arial"/>
                <w:sz w:val="18"/>
                <w:szCs w:val="18"/>
                <w:color w:val="auto"/>
              </w:rPr>
              <w:t>Southern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Bristol-Myers Squibb</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J.C. Penney</w:t>
            </w:r>
          </w:p>
        </w:tc>
        <w:tc>
          <w:tcPr>
            <w:tcW w:w="2840" w:type="dxa"/>
            <w:vAlign w:val="bottom"/>
          </w:tcPr>
          <w:p>
            <w:pPr>
              <w:ind w:left="1420"/>
              <w:spacing w:after="0"/>
              <w:rPr>
                <w:sz w:val="20"/>
                <w:szCs w:val="20"/>
                <w:color w:val="auto"/>
              </w:rPr>
            </w:pPr>
            <w:r>
              <w:rPr>
                <w:rFonts w:ascii="Arial" w:cs="Arial" w:eastAsia="Arial" w:hAnsi="Arial"/>
                <w:sz w:val="18"/>
                <w:szCs w:val="18"/>
                <w:color w:val="auto"/>
                <w:w w:val="94"/>
              </w:rPr>
              <w:t>Southwest Airlines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One Financial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Johnson Controls</w:t>
            </w:r>
          </w:p>
        </w:tc>
        <w:tc>
          <w:tcPr>
            <w:tcW w:w="2840" w:type="dxa"/>
            <w:vAlign w:val="bottom"/>
          </w:tcPr>
          <w:p>
            <w:pPr>
              <w:ind w:left="1420"/>
              <w:spacing w:after="0"/>
              <w:rPr>
                <w:sz w:val="20"/>
                <w:szCs w:val="20"/>
                <w:color w:val="auto"/>
              </w:rPr>
            </w:pPr>
            <w:r>
              <w:rPr>
                <w:rFonts w:ascii="Arial" w:cs="Arial" w:eastAsia="Arial" w:hAnsi="Arial"/>
                <w:sz w:val="18"/>
                <w:szCs w:val="18"/>
                <w:color w:val="auto"/>
              </w:rPr>
              <w:t>Sprint Nextel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CBS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Kimberly-Clark</w:t>
            </w:r>
          </w:p>
        </w:tc>
        <w:tc>
          <w:tcPr>
            <w:tcW w:w="2840" w:type="dxa"/>
            <w:vAlign w:val="bottom"/>
          </w:tcPr>
          <w:p>
            <w:pPr>
              <w:ind w:left="1420"/>
              <w:spacing w:after="0"/>
              <w:rPr>
                <w:sz w:val="20"/>
                <w:szCs w:val="20"/>
                <w:color w:val="auto"/>
              </w:rPr>
            </w:pPr>
            <w:r>
              <w:rPr>
                <w:rFonts w:ascii="Arial" w:cs="Arial" w:eastAsia="Arial" w:hAnsi="Arial"/>
                <w:sz w:val="18"/>
                <w:szCs w:val="18"/>
                <w:color w:val="auto"/>
              </w:rPr>
              <w:t>Staples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Chubb</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Kohl’s</w:t>
            </w:r>
          </w:p>
        </w:tc>
        <w:tc>
          <w:tcPr>
            <w:tcW w:w="2840" w:type="dxa"/>
            <w:vAlign w:val="bottom"/>
          </w:tcPr>
          <w:p>
            <w:pPr>
              <w:ind w:left="1420"/>
              <w:spacing w:after="0"/>
              <w:rPr>
                <w:sz w:val="20"/>
                <w:szCs w:val="20"/>
                <w:color w:val="auto"/>
              </w:rPr>
            </w:pPr>
            <w:r>
              <w:rPr>
                <w:rFonts w:ascii="Arial" w:cs="Arial" w:eastAsia="Arial" w:hAnsi="Arial"/>
                <w:sz w:val="18"/>
                <w:szCs w:val="18"/>
                <w:color w:val="auto"/>
              </w:rPr>
              <w:t>SUNOCO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Cigna</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L-3 Communications</w:t>
            </w:r>
          </w:p>
        </w:tc>
        <w:tc>
          <w:tcPr>
            <w:tcW w:w="2840" w:type="dxa"/>
            <w:vAlign w:val="bottom"/>
          </w:tcPr>
          <w:p>
            <w:pPr>
              <w:ind w:left="1420"/>
              <w:spacing w:after="0"/>
              <w:rPr>
                <w:sz w:val="20"/>
                <w:szCs w:val="20"/>
                <w:color w:val="auto"/>
              </w:rPr>
            </w:pPr>
            <w:r>
              <w:rPr>
                <w:rFonts w:ascii="Arial" w:cs="Arial" w:eastAsia="Arial" w:hAnsi="Arial"/>
                <w:sz w:val="18"/>
                <w:szCs w:val="18"/>
                <w:color w:val="auto"/>
              </w:rPr>
              <w:t>Sysco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Coca-Cola Enterprises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Loews</w:t>
            </w:r>
          </w:p>
        </w:tc>
        <w:tc>
          <w:tcPr>
            <w:tcW w:w="2840" w:type="dxa"/>
            <w:vAlign w:val="bottom"/>
          </w:tcPr>
          <w:p>
            <w:pPr>
              <w:ind w:left="1420"/>
              <w:spacing w:after="0"/>
              <w:rPr>
                <w:sz w:val="20"/>
                <w:szCs w:val="20"/>
                <w:color w:val="auto"/>
              </w:rPr>
            </w:pPr>
            <w:r>
              <w:rPr>
                <w:rFonts w:ascii="Arial" w:cs="Arial" w:eastAsia="Arial" w:hAnsi="Arial"/>
                <w:sz w:val="18"/>
                <w:szCs w:val="18"/>
                <w:color w:val="auto"/>
              </w:rPr>
              <w:t>Tech Data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Colgate-Palmolive Co.</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Macy’s</w:t>
            </w:r>
          </w:p>
        </w:tc>
        <w:tc>
          <w:tcPr>
            <w:tcW w:w="2840" w:type="dxa"/>
            <w:vAlign w:val="bottom"/>
          </w:tcPr>
          <w:p>
            <w:pPr>
              <w:ind w:left="1420"/>
              <w:spacing w:after="0"/>
              <w:rPr>
                <w:sz w:val="20"/>
                <w:szCs w:val="20"/>
                <w:color w:val="auto"/>
              </w:rPr>
            </w:pPr>
            <w:r>
              <w:rPr>
                <w:rFonts w:ascii="Arial" w:cs="Arial" w:eastAsia="Arial" w:hAnsi="Arial"/>
                <w:sz w:val="18"/>
                <w:szCs w:val="18"/>
                <w:color w:val="auto"/>
              </w:rPr>
              <w:t>Tesoro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Comcast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Marriott Int’l</w:t>
            </w:r>
          </w:p>
        </w:tc>
        <w:tc>
          <w:tcPr>
            <w:tcW w:w="2840" w:type="dxa"/>
            <w:vAlign w:val="bottom"/>
          </w:tcPr>
          <w:p>
            <w:pPr>
              <w:ind w:left="1420"/>
              <w:spacing w:after="0"/>
              <w:rPr>
                <w:sz w:val="20"/>
                <w:szCs w:val="20"/>
                <w:color w:val="auto"/>
              </w:rPr>
            </w:pPr>
            <w:r>
              <w:rPr>
                <w:rFonts w:ascii="Arial" w:cs="Arial" w:eastAsia="Arial" w:hAnsi="Arial"/>
                <w:sz w:val="18"/>
                <w:szCs w:val="18"/>
                <w:color w:val="auto"/>
                <w:w w:val="94"/>
              </w:rPr>
              <w:t>Texas Instruments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Computer Sciences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McDonald’s</w:t>
            </w:r>
          </w:p>
        </w:tc>
        <w:tc>
          <w:tcPr>
            <w:tcW w:w="2840" w:type="dxa"/>
            <w:vAlign w:val="bottom"/>
          </w:tcPr>
          <w:p>
            <w:pPr>
              <w:ind w:left="1420"/>
              <w:spacing w:after="0"/>
              <w:rPr>
                <w:sz w:val="20"/>
                <w:szCs w:val="20"/>
                <w:color w:val="auto"/>
              </w:rPr>
            </w:pPr>
            <w:r>
              <w:rPr>
                <w:rFonts w:ascii="Arial" w:cs="Arial" w:eastAsia="Arial" w:hAnsi="Arial"/>
                <w:sz w:val="18"/>
                <w:szCs w:val="18"/>
                <w:color w:val="auto"/>
                <w:w w:val="89"/>
              </w:rPr>
              <w:t>Time Warner 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Consolidated Edison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Medtronic</w:t>
            </w:r>
          </w:p>
        </w:tc>
        <w:tc>
          <w:tcPr>
            <w:tcW w:w="2840" w:type="dxa"/>
            <w:vAlign w:val="bottom"/>
          </w:tcPr>
          <w:p>
            <w:pPr>
              <w:ind w:left="1420"/>
              <w:spacing w:after="0"/>
              <w:rPr>
                <w:sz w:val="20"/>
                <w:szCs w:val="20"/>
                <w:color w:val="auto"/>
              </w:rPr>
            </w:pPr>
            <w:r>
              <w:rPr>
                <w:rFonts w:ascii="Arial" w:cs="Arial" w:eastAsia="Arial" w:hAnsi="Arial"/>
                <w:sz w:val="18"/>
                <w:szCs w:val="18"/>
                <w:color w:val="auto"/>
              </w:rPr>
              <w:t>Time Warner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Constellation Energy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Morgan Stanley</w:t>
            </w:r>
          </w:p>
        </w:tc>
        <w:tc>
          <w:tcPr>
            <w:tcW w:w="2840" w:type="dxa"/>
            <w:vAlign w:val="bottom"/>
          </w:tcPr>
          <w:p>
            <w:pPr>
              <w:ind w:left="1420"/>
              <w:spacing w:after="0"/>
              <w:rPr>
                <w:sz w:val="20"/>
                <w:szCs w:val="20"/>
                <w:color w:val="auto"/>
              </w:rPr>
            </w:pPr>
            <w:r>
              <w:rPr>
                <w:rFonts w:ascii="Arial" w:cs="Arial" w:eastAsia="Arial" w:hAnsi="Arial"/>
                <w:sz w:val="18"/>
                <w:szCs w:val="18"/>
                <w:color w:val="auto"/>
              </w:rPr>
              <w:t>Travelers Cos.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Coventry Health Care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Motorola</w:t>
            </w:r>
          </w:p>
        </w:tc>
        <w:tc>
          <w:tcPr>
            <w:tcW w:w="2840" w:type="dxa"/>
            <w:vAlign w:val="bottom"/>
          </w:tcPr>
          <w:p>
            <w:pPr>
              <w:ind w:left="1420"/>
              <w:spacing w:after="0"/>
              <w:rPr>
                <w:sz w:val="20"/>
                <w:szCs w:val="20"/>
                <w:color w:val="auto"/>
              </w:rPr>
            </w:pPr>
            <w:r>
              <w:rPr>
                <w:rFonts w:ascii="Arial" w:cs="Arial" w:eastAsia="Arial" w:hAnsi="Arial"/>
                <w:sz w:val="18"/>
                <w:szCs w:val="18"/>
                <w:color w:val="auto"/>
              </w:rPr>
              <w:t>TRW Automotive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Cummins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Murphy Oil</w:t>
            </w:r>
          </w:p>
        </w:tc>
        <w:tc>
          <w:tcPr>
            <w:tcW w:w="2840" w:type="dxa"/>
            <w:vAlign w:val="bottom"/>
          </w:tcPr>
          <w:p>
            <w:pPr>
              <w:ind w:left="1420"/>
              <w:spacing w:after="0"/>
              <w:rPr>
                <w:sz w:val="20"/>
                <w:szCs w:val="20"/>
                <w:color w:val="auto"/>
              </w:rPr>
            </w:pPr>
            <w:r>
              <w:rPr>
                <w:rFonts w:ascii="Arial" w:cs="Arial" w:eastAsia="Arial" w:hAnsi="Arial"/>
                <w:sz w:val="18"/>
                <w:szCs w:val="18"/>
                <w:color w:val="auto"/>
              </w:rPr>
              <w:t>Holdings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Deere</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National Oilwell Varco Inc</w:t>
            </w:r>
          </w:p>
        </w:tc>
        <w:tc>
          <w:tcPr>
            <w:tcW w:w="2840" w:type="dxa"/>
            <w:vAlign w:val="bottom"/>
          </w:tcPr>
          <w:p>
            <w:pPr>
              <w:ind w:left="1420"/>
              <w:spacing w:after="0"/>
              <w:rPr>
                <w:sz w:val="20"/>
                <w:szCs w:val="20"/>
                <w:color w:val="auto"/>
              </w:rPr>
            </w:pPr>
            <w:r>
              <w:rPr>
                <w:rFonts w:ascii="Arial" w:cs="Arial" w:eastAsia="Arial" w:hAnsi="Arial"/>
                <w:sz w:val="18"/>
                <w:szCs w:val="18"/>
                <w:color w:val="auto"/>
              </w:rPr>
              <w:t>Tyson Foods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Dominion Resources</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News Corp.</w:t>
            </w:r>
          </w:p>
        </w:tc>
        <w:tc>
          <w:tcPr>
            <w:tcW w:w="2840" w:type="dxa"/>
            <w:vAlign w:val="bottom"/>
          </w:tcPr>
          <w:p>
            <w:pPr>
              <w:ind w:left="1420"/>
              <w:spacing w:after="0"/>
              <w:rPr>
                <w:sz w:val="20"/>
                <w:szCs w:val="20"/>
                <w:color w:val="auto"/>
              </w:rPr>
            </w:pPr>
            <w:r>
              <w:rPr>
                <w:rFonts w:ascii="Arial" w:cs="Arial" w:eastAsia="Arial" w:hAnsi="Arial"/>
                <w:sz w:val="18"/>
                <w:szCs w:val="18"/>
                <w:color w:val="auto"/>
              </w:rPr>
              <w:t>U.S. Bancorp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Duke Energy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Nextera Energy</w:t>
            </w:r>
          </w:p>
        </w:tc>
        <w:tc>
          <w:tcPr>
            <w:tcW w:w="2840" w:type="dxa"/>
            <w:vAlign w:val="bottom"/>
          </w:tcPr>
          <w:p>
            <w:pPr>
              <w:ind w:left="1420"/>
              <w:spacing w:after="0"/>
              <w:rPr>
                <w:sz w:val="20"/>
                <w:szCs w:val="20"/>
                <w:color w:val="auto"/>
              </w:rPr>
            </w:pPr>
            <w:r>
              <w:rPr>
                <w:rFonts w:ascii="Arial" w:cs="Arial" w:eastAsia="Arial" w:hAnsi="Arial"/>
                <w:sz w:val="18"/>
                <w:szCs w:val="18"/>
                <w:color w:val="auto"/>
              </w:rPr>
              <w:t>Union Pacific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Dupont</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Nike, Inc</w:t>
            </w:r>
          </w:p>
        </w:tc>
        <w:tc>
          <w:tcPr>
            <w:tcW w:w="2840" w:type="dxa"/>
            <w:vAlign w:val="bottom"/>
          </w:tcPr>
          <w:p>
            <w:pPr>
              <w:ind w:left="1420"/>
              <w:spacing w:after="0"/>
              <w:rPr>
                <w:sz w:val="20"/>
                <w:szCs w:val="20"/>
                <w:color w:val="auto"/>
              </w:rPr>
            </w:pPr>
            <w:r>
              <w:rPr>
                <w:rFonts w:ascii="Arial" w:cs="Arial" w:eastAsia="Arial" w:hAnsi="Arial"/>
                <w:sz w:val="18"/>
                <w:szCs w:val="18"/>
                <w:color w:val="auto"/>
                <w:w w:val="90"/>
              </w:rPr>
              <w:t>United States Steel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Eaton</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Nucor</w:t>
            </w:r>
          </w:p>
        </w:tc>
        <w:tc>
          <w:tcPr>
            <w:tcW w:w="2840" w:type="dxa"/>
            <w:vAlign w:val="bottom"/>
          </w:tcPr>
          <w:p>
            <w:pPr>
              <w:ind w:left="1420"/>
              <w:spacing w:after="0"/>
              <w:rPr>
                <w:sz w:val="20"/>
                <w:szCs w:val="20"/>
                <w:color w:val="auto"/>
              </w:rPr>
            </w:pPr>
            <w:r>
              <w:rPr>
                <w:rFonts w:ascii="Arial" w:cs="Arial" w:eastAsia="Arial" w:hAnsi="Arial"/>
                <w:sz w:val="18"/>
                <w:szCs w:val="18"/>
                <w:color w:val="auto"/>
              </w:rPr>
              <w:t>Walt Disney</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Edison Int’l</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Occidental Petroleum</w:t>
            </w:r>
          </w:p>
        </w:tc>
        <w:tc>
          <w:tcPr>
            <w:tcW w:w="2840" w:type="dxa"/>
            <w:vAlign w:val="bottom"/>
          </w:tcPr>
          <w:p>
            <w:pPr>
              <w:ind w:left="1420"/>
              <w:spacing w:after="0"/>
              <w:rPr>
                <w:sz w:val="20"/>
                <w:szCs w:val="20"/>
                <w:color w:val="auto"/>
              </w:rPr>
            </w:pPr>
            <w:r>
              <w:rPr>
                <w:rFonts w:ascii="Arial" w:cs="Arial" w:eastAsia="Arial" w:hAnsi="Arial"/>
                <w:sz w:val="18"/>
                <w:szCs w:val="18"/>
                <w:color w:val="auto"/>
                <w:w w:val="86"/>
              </w:rPr>
              <w:t>Waste Management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Eli Lilly</w:t>
            </w:r>
          </w:p>
        </w:tc>
        <w:tc>
          <w:tcPr>
            <w:tcW w:w="4320" w:type="dxa"/>
            <w:vAlign w:val="bottom"/>
            <w:gridSpan w:val="2"/>
          </w:tcPr>
          <w:p>
            <w:pPr>
              <w:ind w:left="980"/>
              <w:spacing w:after="0"/>
              <w:rPr>
                <w:sz w:val="20"/>
                <w:szCs w:val="20"/>
                <w:color w:val="auto"/>
              </w:rPr>
            </w:pPr>
            <w:r>
              <w:rPr>
                <w:rFonts w:ascii="Arial" w:cs="Arial" w:eastAsia="Arial" w:hAnsi="Arial"/>
                <w:sz w:val="18"/>
                <w:szCs w:val="18"/>
                <w:color w:val="auto"/>
              </w:rPr>
              <w:t>Office Depot</w:t>
            </w:r>
          </w:p>
        </w:tc>
        <w:tc>
          <w:tcPr>
            <w:tcW w:w="2840" w:type="dxa"/>
            <w:vAlign w:val="bottom"/>
          </w:tcPr>
          <w:p>
            <w:pPr>
              <w:ind w:left="1420"/>
              <w:spacing w:after="0"/>
              <w:rPr>
                <w:sz w:val="20"/>
                <w:szCs w:val="20"/>
                <w:color w:val="auto"/>
              </w:rPr>
            </w:pPr>
            <w:r>
              <w:rPr>
                <w:rFonts w:ascii="Arial" w:cs="Arial" w:eastAsia="Arial" w:hAnsi="Arial"/>
                <w:sz w:val="18"/>
                <w:szCs w:val="18"/>
                <w:color w:val="auto"/>
              </w:rPr>
              <w:t>Whirlpool</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World Fuel</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Services Corp</w:t>
            </w:r>
          </w:p>
        </w:tc>
      </w:tr>
      <w:tr>
        <w:trPr>
          <w:trHeight w:val="216"/>
        </w:trPr>
        <w:tc>
          <w:tcPr>
            <w:tcW w:w="4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Xerox</w:t>
            </w:r>
          </w:p>
        </w:tc>
      </w:tr>
      <w:tr>
        <w:trPr>
          <w:trHeight w:val="222"/>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tcPr>
          <w:p>
            <w:pPr>
              <w:ind w:left="1420"/>
              <w:spacing w:after="0"/>
              <w:rPr>
                <w:sz w:val="20"/>
                <w:szCs w:val="20"/>
                <w:color w:val="auto"/>
              </w:rPr>
            </w:pPr>
            <w:r>
              <w:rPr>
                <w:rFonts w:ascii="Arial" w:cs="Arial" w:eastAsia="Arial" w:hAnsi="Arial"/>
                <w:sz w:val="18"/>
                <w:szCs w:val="18"/>
                <w:color w:val="auto"/>
              </w:rPr>
              <w:t>Yum Brands</w:t>
            </w:r>
          </w:p>
        </w:tc>
      </w:tr>
      <w:tr>
        <w:trPr>
          <w:trHeight w:val="378"/>
        </w:trPr>
        <w:tc>
          <w:tcPr>
            <w:tcW w:w="4260" w:type="dxa"/>
            <w:vAlign w:val="bottom"/>
          </w:tcPr>
          <w:p>
            <w:pPr>
              <w:spacing w:after="0"/>
              <w:rPr>
                <w:sz w:val="24"/>
                <w:szCs w:val="24"/>
                <w:color w:val="auto"/>
              </w:rPr>
            </w:pPr>
          </w:p>
        </w:tc>
        <w:tc>
          <w:tcPr>
            <w:tcW w:w="4320" w:type="dxa"/>
            <w:vAlign w:val="bottom"/>
            <w:gridSpan w:val="2"/>
          </w:tcPr>
          <w:p>
            <w:pPr>
              <w:ind w:left="1320"/>
              <w:spacing w:after="0"/>
              <w:rPr>
                <w:sz w:val="20"/>
                <w:szCs w:val="20"/>
                <w:color w:val="auto"/>
              </w:rPr>
            </w:pPr>
            <w:r>
              <w:rPr>
                <w:rFonts w:ascii="Arial" w:cs="Arial" w:eastAsia="Arial" w:hAnsi="Arial"/>
                <w:sz w:val="18"/>
                <w:szCs w:val="18"/>
                <w:color w:val="auto"/>
              </w:rPr>
              <w:t>A-1</w:t>
            </w:r>
          </w:p>
        </w:tc>
        <w:tc>
          <w:tcPr>
            <w:tcW w:w="2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32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 encourage you to take advantage of Internet or telephone voting.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Both are available 24 hours a day, 7 days a week.</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Internet and telephone voting is available through 11:59 PM Eastern Time the day prior to the shareholder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64770</wp:posOffset>
            </wp:positionV>
            <wp:extent cx="6525895" cy="21012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25895" cy="210121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MANPOWER INC.</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12"/>
          <w:szCs w:val="12"/>
          <w:b w:val="1"/>
          <w:bCs w:val="1"/>
          <w:color w:val="auto"/>
        </w:rPr>
        <w:t>(d/b/a ManpowerGroup)</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INTERNET</w:t>
      </w:r>
    </w:p>
    <w:p>
      <w:pPr>
        <w:spacing w:after="0" w:line="1"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http://www.proxyvoting.com/man</w:t>
      </w:r>
    </w:p>
    <w:p>
      <w:pPr>
        <w:spacing w:after="0" w:line="179" w:lineRule="exact"/>
        <w:rPr>
          <w:sz w:val="20"/>
          <w:szCs w:val="20"/>
          <w:color w:val="auto"/>
        </w:rPr>
      </w:pPr>
    </w:p>
    <w:p>
      <w:pPr>
        <w:ind w:right="760"/>
        <w:spacing w:after="0" w:line="239" w:lineRule="auto"/>
        <w:rPr>
          <w:sz w:val="20"/>
          <w:szCs w:val="20"/>
          <w:color w:val="auto"/>
        </w:rPr>
      </w:pPr>
      <w:r>
        <w:rPr>
          <w:rFonts w:ascii="Arial" w:cs="Arial" w:eastAsia="Arial" w:hAnsi="Arial"/>
          <w:sz w:val="14"/>
          <w:szCs w:val="14"/>
          <w:color w:val="auto"/>
        </w:rPr>
        <w:t>Use the Internet to vote your proxy. Have your proxy card in hand when you access the web site.</w:t>
      </w:r>
    </w:p>
    <w:p>
      <w:pPr>
        <w:spacing w:after="0" w:line="150"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102870</wp:posOffset>
            </wp:positionV>
            <wp:extent cx="3061335"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61335" cy="548640"/>
                    </a:xfrm>
                    <a:prstGeom prst="rect">
                      <a:avLst/>
                    </a:prstGeom>
                    <a:noFill/>
                  </pic:spPr>
                </pic:pic>
              </a:graphicData>
            </a:graphic>
          </wp:anchor>
        </w:drawing>
      </w:r>
    </w:p>
    <w:p>
      <w:pPr>
        <w:spacing w:after="0" w:line="14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TELEPHONE</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1-866-540-5760</w:t>
      </w:r>
    </w:p>
    <w:p>
      <w:pPr>
        <w:spacing w:after="0" w:line="57" w:lineRule="exact"/>
        <w:rPr>
          <w:sz w:val="20"/>
          <w:szCs w:val="20"/>
          <w:color w:val="auto"/>
        </w:rPr>
      </w:pPr>
    </w:p>
    <w:p>
      <w:pPr>
        <w:ind w:right="940"/>
        <w:spacing w:after="0" w:line="239" w:lineRule="auto"/>
        <w:rPr>
          <w:sz w:val="20"/>
          <w:szCs w:val="20"/>
          <w:color w:val="auto"/>
        </w:rPr>
      </w:pPr>
      <w:r>
        <w:rPr>
          <w:rFonts w:ascii="Arial" w:cs="Arial" w:eastAsia="Arial" w:hAnsi="Arial"/>
          <w:sz w:val="14"/>
          <w:szCs w:val="14"/>
          <w:color w:val="auto"/>
        </w:rPr>
        <w:t>Use any touch-tone telephone to vote your proxy. Have your proxy card in hand when you call.</w:t>
      </w:r>
    </w:p>
    <w:p>
      <w:pPr>
        <w:spacing w:after="0" w:line="220" w:lineRule="exact"/>
        <w:rPr>
          <w:sz w:val="20"/>
          <w:szCs w:val="20"/>
          <w:color w:val="auto"/>
        </w:rPr>
      </w:pPr>
    </w:p>
    <w:p>
      <w:pPr>
        <w:ind w:right="820"/>
        <w:spacing w:after="0" w:line="239" w:lineRule="auto"/>
        <w:rPr>
          <w:sz w:val="20"/>
          <w:szCs w:val="20"/>
          <w:color w:val="auto"/>
        </w:rPr>
      </w:pPr>
      <w:r>
        <w:rPr>
          <w:rFonts w:ascii="Arial" w:cs="Arial" w:eastAsia="Arial" w:hAnsi="Arial"/>
          <w:sz w:val="14"/>
          <w:szCs w:val="14"/>
          <w:color w:val="auto"/>
        </w:rPr>
        <w:t>If you vote your proxy by Internet or by telephone, you do NOT need to mail back your proxy card.</w:t>
      </w:r>
    </w:p>
    <w:p>
      <w:pPr>
        <w:spacing w:after="0" w:line="58" w:lineRule="exact"/>
        <w:rPr>
          <w:sz w:val="20"/>
          <w:szCs w:val="20"/>
          <w:color w:val="auto"/>
        </w:rPr>
      </w:pPr>
    </w:p>
    <w:p>
      <w:pPr>
        <w:ind w:right="860"/>
        <w:spacing w:after="0" w:line="239" w:lineRule="auto"/>
        <w:rPr>
          <w:sz w:val="20"/>
          <w:szCs w:val="20"/>
          <w:color w:val="auto"/>
        </w:rPr>
      </w:pPr>
      <w:r>
        <w:rPr>
          <w:rFonts w:ascii="Arial" w:cs="Arial" w:eastAsia="Arial" w:hAnsi="Arial"/>
          <w:sz w:val="14"/>
          <w:szCs w:val="14"/>
          <w:color w:val="auto"/>
        </w:rPr>
        <w:t>To vote by mail, mark, sign and date your proxy card and return it in the enclosed postage-paid envelope.</w:t>
      </w:r>
    </w:p>
    <w:p>
      <w:pPr>
        <w:spacing w:after="0" w:line="56" w:lineRule="exact"/>
        <w:rPr>
          <w:sz w:val="20"/>
          <w:szCs w:val="20"/>
          <w:color w:val="auto"/>
        </w:rPr>
      </w:pPr>
    </w:p>
    <w:p>
      <w:pPr>
        <w:ind w:right="600"/>
        <w:spacing w:after="0" w:line="321" w:lineRule="auto"/>
        <w:rPr>
          <w:sz w:val="20"/>
          <w:szCs w:val="20"/>
          <w:color w:val="auto"/>
        </w:rPr>
      </w:pPr>
      <w:r>
        <w:rPr>
          <w:rFonts w:ascii="Arial" w:cs="Arial" w:eastAsia="Arial" w:hAnsi="Arial"/>
          <w:sz w:val="12"/>
          <w:szCs w:val="12"/>
          <w:b w:val="1"/>
          <w:bCs w:val="1"/>
          <w:color w:val="auto"/>
        </w:rPr>
        <w:t>Your Internet or telephone vote authorizes the named proxies to vote your shares in the same manner as if you marked, signed and returned your proxy card.</w:t>
      </w:r>
    </w:p>
    <w:p>
      <w:pPr>
        <w:spacing w:after="0" w:line="117" w:lineRule="exact"/>
        <w:rPr>
          <w:sz w:val="20"/>
          <w:szCs w:val="20"/>
          <w:color w:val="auto"/>
        </w:rPr>
      </w:pPr>
    </w:p>
    <w:p>
      <w:pPr>
        <w:sectPr>
          <w:pgSz w:w="11900" w:h="16838" w:orient="portrait"/>
          <w:cols w:equalWidth="0" w:num="2">
            <w:col w:w="5420" w:space="720"/>
            <w:col w:w="526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FOLD AND DETACH HERE</w:t>
      </w:r>
      <w:r>
        <w:rPr>
          <w:rFonts w:ascii="Arial" w:cs="Arial" w:eastAsia="Arial" w:hAnsi="Arial"/>
          <w:sz w:val="14"/>
          <w:szCs w:val="14"/>
          <w:color w:val="auto"/>
        </w:rPr>
        <w:t xml:space="preserve"> q</w:t>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THIS PROXY, WHEN PROPERLY EXECUTED, WILL BE VOTED IN THE MATTER DIRECTED HEREIN BY THE UNDERSIGNED SHAREHOLDER. IF NO DIRECTION IS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 2, 3 AND 4. PROPOSALS 1, 2, 3 AND 4 ARE BEING PROPOSED BY MANPOWERGROUP.</w:t>
      </w:r>
    </w:p>
    <w:p>
      <w:pPr>
        <w:spacing w:after="0" w:line="176" w:lineRule="exact"/>
        <w:rPr>
          <w:sz w:val="20"/>
          <w:szCs w:val="20"/>
          <w:color w:val="auto"/>
        </w:rPr>
      </w:pPr>
    </w:p>
    <w:p>
      <w:pPr>
        <w:ind w:left="9560"/>
        <w:spacing w:after="0"/>
        <w:rPr>
          <w:sz w:val="20"/>
          <w:szCs w:val="20"/>
          <w:color w:val="auto"/>
        </w:rPr>
      </w:pPr>
      <w:r>
        <w:rPr>
          <w:rFonts w:ascii="Arial" w:cs="Arial" w:eastAsia="Arial" w:hAnsi="Arial"/>
          <w:sz w:val="14"/>
          <w:szCs w:val="14"/>
          <w:color w:val="auto"/>
        </w:rPr>
        <w:t>Please mark your votes</w:t>
      </w:r>
    </w:p>
    <w:p>
      <w:pPr>
        <w:ind w:left="9560"/>
        <w:spacing w:after="0" w:line="209" w:lineRule="auto"/>
        <w:rPr>
          <w:sz w:val="20"/>
          <w:szCs w:val="20"/>
          <w:color w:val="auto"/>
        </w:rPr>
      </w:pPr>
      <w:r>
        <w:rPr>
          <w:rFonts w:ascii="Arial" w:cs="Arial" w:eastAsia="Arial" w:hAnsi="Arial"/>
          <w:sz w:val="12"/>
          <w:szCs w:val="12"/>
          <w:color w:val="auto"/>
        </w:rPr>
        <w:t>as indicated in this</w:t>
      </w:r>
    </w:p>
    <w:p>
      <w:pPr>
        <w:jc w:val="both"/>
        <w:ind w:left="9560"/>
        <w:spacing w:after="0" w:line="241" w:lineRule="exact"/>
        <w:tabs>
          <w:tab w:leader="none" w:pos="11160" w:val="left"/>
        </w:tabs>
        <w:rPr>
          <w:sz w:val="20"/>
          <w:szCs w:val="20"/>
          <w:color w:val="auto"/>
        </w:rPr>
      </w:pPr>
      <w:r>
        <w:rPr>
          <w:rFonts w:ascii="Arial" w:cs="Arial" w:eastAsia="Arial" w:hAnsi="Arial"/>
          <w:sz w:val="14"/>
          <w:szCs w:val="14"/>
          <w:color w:val="auto"/>
        </w:rPr>
        <w:t>example</w:t>
      </w:r>
      <w:r>
        <w:rPr>
          <w:sz w:val="20"/>
          <w:szCs w:val="20"/>
          <w:color w:val="auto"/>
        </w:rPr>
        <w:tab/>
      </w:r>
      <w:r>
        <w:rPr>
          <w:rFonts w:ascii="MS PGothic" w:cs="MS PGothic" w:eastAsia="MS PGothic" w:hAnsi="MS PGothic"/>
          <w:sz w:val="24"/>
          <w:szCs w:val="24"/>
          <w:color w:val="auto"/>
        </w:rPr>
        <w:t>☒</w:t>
      </w:r>
    </w:p>
    <w:p>
      <w:pPr>
        <w:sectPr>
          <w:pgSz w:w="11900" w:h="16838" w:orient="portrait"/>
          <w:cols w:equalWidth="0" w:num="1">
            <w:col w:w="11400"/>
          </w:cols>
          <w:pgMar w:left="240" w:top="274" w:right="25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1.  Election of Directors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40" w:type="dxa"/>
            <w:vAlign w:val="bottom"/>
          </w:tcPr>
          <w:p>
            <w:pPr>
              <w:jc w:val="center"/>
              <w:ind w:left="56"/>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164"/>
        </w:trPr>
        <w:tc>
          <w:tcPr>
            <w:tcW w:w="2840" w:type="dxa"/>
            <w:vAlign w:val="bottom"/>
            <w:gridSpan w:val="2"/>
          </w:tcPr>
          <w:p>
            <w:pPr>
              <w:ind w:left="220"/>
              <w:spacing w:after="0"/>
              <w:rPr>
                <w:sz w:val="20"/>
                <w:szCs w:val="20"/>
                <w:color w:val="auto"/>
              </w:rPr>
            </w:pPr>
            <w:r>
              <w:rPr>
                <w:rFonts w:ascii="Arial" w:cs="Arial" w:eastAsia="Arial" w:hAnsi="Arial"/>
                <w:sz w:val="14"/>
                <w:szCs w:val="14"/>
                <w:b w:val="1"/>
                <w:bCs w:val="1"/>
                <w:color w:val="auto"/>
              </w:rPr>
              <w:t>Nominees:</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45"/>
        </w:trPr>
        <w:tc>
          <w:tcPr>
            <w:tcW w:w="500" w:type="dxa"/>
            <w:vAlign w:val="bottom"/>
          </w:tcPr>
          <w:p>
            <w:pPr>
              <w:ind w:left="300"/>
              <w:spacing w:after="0"/>
              <w:rPr>
                <w:sz w:val="20"/>
                <w:szCs w:val="20"/>
                <w:color w:val="auto"/>
              </w:rPr>
            </w:pPr>
            <w:r>
              <w:rPr>
                <w:rFonts w:ascii="Arial" w:cs="Arial" w:eastAsia="Arial" w:hAnsi="Arial"/>
                <w:sz w:val="14"/>
                <w:szCs w:val="14"/>
                <w:color w:val="auto"/>
                <w:w w:val="92"/>
              </w:rPr>
              <w:t>1.1</w:t>
            </w:r>
          </w:p>
        </w:tc>
        <w:tc>
          <w:tcPr>
            <w:tcW w:w="2340" w:type="dxa"/>
            <w:vAlign w:val="bottom"/>
          </w:tcPr>
          <w:p>
            <w:pPr>
              <w:ind w:left="40"/>
              <w:spacing w:after="0"/>
              <w:rPr>
                <w:sz w:val="20"/>
                <w:szCs w:val="20"/>
                <w:color w:val="auto"/>
              </w:rPr>
            </w:pPr>
            <w:r>
              <w:rPr>
                <w:rFonts w:ascii="Arial" w:cs="Arial" w:eastAsia="Arial" w:hAnsi="Arial"/>
                <w:sz w:val="14"/>
                <w:szCs w:val="14"/>
                <w:color w:val="auto"/>
              </w:rPr>
              <w:t>Jeffrey A. Joerres</w:t>
            </w:r>
          </w:p>
        </w:tc>
        <w:tc>
          <w:tcPr>
            <w:tcW w:w="72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00" w:type="dxa"/>
            <w:vAlign w:val="bottom"/>
          </w:tcPr>
          <w:p>
            <w:pPr>
              <w:ind w:left="300"/>
              <w:spacing w:after="0"/>
              <w:rPr>
                <w:sz w:val="20"/>
                <w:szCs w:val="20"/>
                <w:color w:val="auto"/>
              </w:rPr>
            </w:pPr>
            <w:r>
              <w:rPr>
                <w:rFonts w:ascii="Arial" w:cs="Arial" w:eastAsia="Arial" w:hAnsi="Arial"/>
                <w:sz w:val="14"/>
                <w:szCs w:val="14"/>
                <w:color w:val="auto"/>
                <w:w w:val="92"/>
              </w:rPr>
              <w:t>1.2</w:t>
            </w:r>
          </w:p>
        </w:tc>
        <w:tc>
          <w:tcPr>
            <w:tcW w:w="2340" w:type="dxa"/>
            <w:vAlign w:val="bottom"/>
          </w:tcPr>
          <w:p>
            <w:pPr>
              <w:ind w:left="40"/>
              <w:spacing w:after="0"/>
              <w:rPr>
                <w:sz w:val="20"/>
                <w:szCs w:val="20"/>
                <w:color w:val="auto"/>
              </w:rPr>
            </w:pPr>
            <w:r>
              <w:rPr>
                <w:rFonts w:ascii="Arial" w:cs="Arial" w:eastAsia="Arial" w:hAnsi="Arial"/>
                <w:sz w:val="14"/>
                <w:szCs w:val="14"/>
                <w:color w:val="auto"/>
              </w:rPr>
              <w:t>John R. Walter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8"/>
        </w:trPr>
        <w:tc>
          <w:tcPr>
            <w:tcW w:w="500" w:type="dxa"/>
            <w:vAlign w:val="bottom"/>
          </w:tcPr>
          <w:p>
            <w:pPr>
              <w:ind w:left="300"/>
              <w:spacing w:after="0"/>
              <w:rPr>
                <w:sz w:val="20"/>
                <w:szCs w:val="20"/>
                <w:color w:val="auto"/>
              </w:rPr>
            </w:pPr>
            <w:r>
              <w:rPr>
                <w:rFonts w:ascii="Arial" w:cs="Arial" w:eastAsia="Arial" w:hAnsi="Arial"/>
                <w:sz w:val="14"/>
                <w:szCs w:val="14"/>
                <w:color w:val="auto"/>
                <w:w w:val="92"/>
              </w:rPr>
              <w:t>1.3</w:t>
            </w:r>
          </w:p>
        </w:tc>
        <w:tc>
          <w:tcPr>
            <w:tcW w:w="2340" w:type="dxa"/>
            <w:vAlign w:val="bottom"/>
          </w:tcPr>
          <w:p>
            <w:pPr>
              <w:ind w:left="40"/>
              <w:spacing w:after="0"/>
              <w:rPr>
                <w:sz w:val="20"/>
                <w:szCs w:val="20"/>
                <w:color w:val="auto"/>
              </w:rPr>
            </w:pPr>
            <w:r>
              <w:rPr>
                <w:rFonts w:ascii="Arial" w:cs="Arial" w:eastAsia="Arial" w:hAnsi="Arial"/>
                <w:sz w:val="14"/>
                <w:szCs w:val="14"/>
                <w:color w:val="auto"/>
              </w:rPr>
              <w:t>Marc J. Bolland</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0"/>
        </w:trPr>
        <w:tc>
          <w:tcPr>
            <w:tcW w:w="500" w:type="dxa"/>
            <w:vAlign w:val="bottom"/>
            <w:vMerge w:val="restart"/>
          </w:tcPr>
          <w:p>
            <w:pPr>
              <w:ind w:left="300"/>
              <w:spacing w:after="0"/>
              <w:rPr>
                <w:sz w:val="20"/>
                <w:szCs w:val="20"/>
                <w:color w:val="auto"/>
              </w:rPr>
            </w:pPr>
            <w:r>
              <w:rPr>
                <w:rFonts w:ascii="Arial" w:cs="Arial" w:eastAsia="Arial" w:hAnsi="Arial"/>
                <w:sz w:val="14"/>
                <w:szCs w:val="14"/>
                <w:color w:val="auto"/>
                <w:w w:val="92"/>
              </w:rPr>
              <w:t>1.4</w:t>
            </w: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Ulice Payne, Jr.</w:t>
            </w: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0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81"/>
        </w:trPr>
        <w:tc>
          <w:tcPr>
            <w:tcW w:w="5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840" w:type="dxa"/>
            <w:vAlign w:val="bottom"/>
            <w:gridSpan w:val="2"/>
          </w:tcPr>
          <w:p>
            <w:pPr>
              <w:spacing w:after="0"/>
              <w:rPr>
                <w:sz w:val="20"/>
                <w:szCs w:val="20"/>
                <w:color w:val="auto"/>
              </w:rPr>
            </w:pPr>
            <w:r>
              <w:rPr>
                <w:rFonts w:ascii="Arial" w:cs="Arial" w:eastAsia="Arial" w:hAnsi="Arial"/>
                <w:sz w:val="14"/>
                <w:szCs w:val="14"/>
                <w:color w:val="auto"/>
                <w:w w:val="98"/>
              </w:rPr>
              <w:t>2.   Approval of a proposed amendment to the</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ind w:left="56"/>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9"/>
        </w:trPr>
        <w:tc>
          <w:tcPr>
            <w:tcW w:w="2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Amended and Restated Articles of</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spacing w:after="0" w:line="221" w:lineRule="auto"/>
        <w:rPr>
          <w:sz w:val="20"/>
          <w:szCs w:val="20"/>
          <w:color w:val="auto"/>
        </w:rPr>
      </w:pPr>
      <w:r>
        <w:rPr>
          <w:rFonts w:ascii="Arial" w:cs="Arial" w:eastAsia="Arial" w:hAnsi="Arial"/>
          <w:sz w:val="14"/>
          <w:szCs w:val="14"/>
          <w:color w:val="auto"/>
        </w:rPr>
        <w:t>Incorporation of Manpower Inc. to change the</w:t>
      </w:r>
    </w:p>
    <w:p>
      <w:pPr>
        <w:ind w:left="300"/>
        <w:spacing w:after="0" w:line="221" w:lineRule="auto"/>
        <w:rPr>
          <w:sz w:val="20"/>
          <w:szCs w:val="20"/>
          <w:color w:val="auto"/>
        </w:rPr>
      </w:pPr>
      <w:r>
        <w:rPr>
          <w:rFonts w:ascii="Arial" w:cs="Arial" w:eastAsia="Arial" w:hAnsi="Arial"/>
          <w:sz w:val="14"/>
          <w:szCs w:val="14"/>
          <w:color w:val="auto"/>
        </w:rPr>
        <w:t>name of the corporation to ManpowerGroup</w:t>
      </w:r>
    </w:p>
    <w:p>
      <w:pPr>
        <w:ind w:left="300"/>
        <w:spacing w:after="0"/>
        <w:rPr>
          <w:sz w:val="20"/>
          <w:szCs w:val="20"/>
          <w:color w:val="auto"/>
        </w:rPr>
      </w:pPr>
      <w:r>
        <w:rPr>
          <w:rFonts w:ascii="Arial" w:cs="Arial" w:eastAsia="Arial" w:hAnsi="Arial"/>
          <w:sz w:val="14"/>
          <w:szCs w:val="14"/>
          <w:color w:val="auto"/>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368935</wp:posOffset>
            </wp:positionV>
            <wp:extent cx="582930" cy="3517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2930"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3387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600" w:type="dxa"/>
            <w:vAlign w:val="bottom"/>
          </w:tcPr>
          <w:p>
            <w:pPr>
              <w:jc w:val="center"/>
              <w:ind w:left="19"/>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287"/>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360" w:type="dxa"/>
            <w:vAlign w:val="bottom"/>
          </w:tcPr>
          <w:p>
            <w:pPr>
              <w:ind w:left="60"/>
              <w:spacing w:after="0"/>
              <w:rPr>
                <w:sz w:val="20"/>
                <w:szCs w:val="20"/>
                <w:color w:val="auto"/>
              </w:rPr>
            </w:pPr>
            <w:r>
              <w:rPr>
                <w:rFonts w:ascii="Arial" w:cs="Arial" w:eastAsia="Arial" w:hAnsi="Arial"/>
                <w:sz w:val="14"/>
                <w:szCs w:val="14"/>
                <w:color w:val="auto"/>
                <w:w w:val="99"/>
              </w:rPr>
              <w:t>Ratification of Deloitte &amp; Touche LLP as independent</w:t>
            </w:r>
          </w:p>
        </w:tc>
        <w:tc>
          <w:tcPr>
            <w:tcW w:w="6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auditors for 2012.</w:t>
            </w:r>
          </w:p>
        </w:tc>
        <w:tc>
          <w:tcPr>
            <w:tcW w:w="6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3360" w:type="dxa"/>
            <w:vAlign w:val="bottom"/>
          </w:tcPr>
          <w:p>
            <w:pPr>
              <w:ind w:left="40"/>
              <w:spacing w:after="0"/>
              <w:rPr>
                <w:sz w:val="20"/>
                <w:szCs w:val="20"/>
                <w:color w:val="auto"/>
              </w:rPr>
            </w:pPr>
            <w:r>
              <w:rPr>
                <w:rFonts w:ascii="Arial" w:cs="Arial" w:eastAsia="Arial" w:hAnsi="Arial"/>
                <w:sz w:val="14"/>
                <w:szCs w:val="14"/>
                <w:color w:val="auto"/>
                <w:w w:val="92"/>
              </w:rPr>
              <w:t>Advisory vote to approve the compensation of our named</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360" w:type="dxa"/>
            <w:vAlign w:val="bottom"/>
          </w:tcPr>
          <w:p>
            <w:pPr>
              <w:ind w:left="80"/>
              <w:spacing w:after="0"/>
              <w:rPr>
                <w:sz w:val="20"/>
                <w:szCs w:val="20"/>
                <w:color w:val="auto"/>
              </w:rPr>
            </w:pPr>
            <w:r>
              <w:rPr>
                <w:rFonts w:ascii="Arial" w:cs="Arial" w:eastAsia="Arial" w:hAnsi="Arial"/>
                <w:sz w:val="14"/>
                <w:szCs w:val="14"/>
                <w:color w:val="auto"/>
              </w:rPr>
              <w:t>executive officers.</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25" w:right="260" w:hanging="225"/>
        <w:spacing w:after="0" w:line="239" w:lineRule="auto"/>
        <w:tabs>
          <w:tab w:leader="none" w:pos="246"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645" w:lineRule="exact"/>
        <w:rPr>
          <w:sz w:val="20"/>
          <w:szCs w:val="20"/>
          <w:color w:val="auto"/>
        </w:rPr>
      </w:pPr>
    </w:p>
    <w:p>
      <w:pPr>
        <w:sectPr>
          <w:pgSz w:w="11900" w:h="16838" w:orient="portrait"/>
          <w:cols w:equalWidth="0" w:num="2">
            <w:col w:w="5240" w:space="535"/>
            <w:col w:w="5625"/>
          </w:cols>
          <w:pgMar w:left="240" w:top="27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Mark Here for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78371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715" cy="291465"/>
                    </a:xfrm>
                    <a:prstGeom prst="rect">
                      <a:avLst/>
                    </a:prstGeom>
                    <a:noFill/>
                  </pic:spPr>
                </pic:pic>
              </a:graphicData>
            </a:graphic>
          </wp:anchor>
        </w:drawing>
      </w:r>
    </w:p>
    <w:p>
      <w:pPr>
        <w:ind w:left="7500"/>
        <w:spacing w:after="0" w:line="156" w:lineRule="exact"/>
        <w:tabs>
          <w:tab w:leader="none" w:pos="9500" w:val="left"/>
        </w:tabs>
        <w:rPr>
          <w:sz w:val="20"/>
          <w:szCs w:val="20"/>
          <w:color w:val="auto"/>
        </w:rPr>
      </w:pPr>
      <w:r>
        <w:rPr>
          <w:rFonts w:ascii="Arial" w:cs="Arial" w:eastAsia="Arial" w:hAnsi="Arial"/>
          <w:sz w:val="14"/>
          <w:szCs w:val="14"/>
          <w:color w:val="auto"/>
        </w:rPr>
        <w:t>Change or Comments</w:t>
      </w:r>
      <w:r>
        <w:rPr>
          <w:sz w:val="20"/>
          <w:szCs w:val="20"/>
          <w:color w:val="auto"/>
        </w:rPr>
        <w:tab/>
      </w:r>
      <w:r>
        <w:rPr>
          <w:rFonts w:ascii="MS PGothic" w:cs="MS PGothic" w:eastAsia="MS PGothic" w:hAnsi="MS PGothic"/>
          <w:sz w:val="22"/>
          <w:szCs w:val="22"/>
          <w:color w:val="auto"/>
        </w:rPr>
        <w:t>☐</w:t>
      </w:r>
    </w:p>
    <w:p>
      <w:pPr>
        <w:ind w:left="7500"/>
        <w:spacing w:after="0"/>
        <w:rPr>
          <w:sz w:val="20"/>
          <w:szCs w:val="20"/>
          <w:color w:val="auto"/>
        </w:rPr>
      </w:pPr>
      <w:r>
        <w:rPr>
          <w:rFonts w:ascii="Arial" w:cs="Arial" w:eastAsia="Arial" w:hAnsi="Arial"/>
          <w:sz w:val="14"/>
          <w:szCs w:val="14"/>
          <w:color w:val="auto"/>
        </w:rPr>
        <w:t>SEE REVERSE</w:t>
      </w:r>
    </w:p>
    <w:p>
      <w:pPr>
        <w:spacing w:after="0" w:line="265"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90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Signature</w:t>
            </w:r>
          </w:p>
        </w:tc>
        <w:tc>
          <w:tcPr>
            <w:tcW w:w="3520" w:type="dxa"/>
            <w:vAlign w:val="bottom"/>
            <w:tcBorders>
              <w:bottom w:val="single" w:sz="8" w:color="auto"/>
            </w:tcBorders>
          </w:tcPr>
          <w:p>
            <w:pPr>
              <w:spacing w:after="0"/>
              <w:rPr>
                <w:sz w:val="16"/>
                <w:szCs w:val="16"/>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Date</w:t>
            </w:r>
          </w:p>
        </w:tc>
        <w:tc>
          <w:tcPr>
            <w:tcW w:w="1240" w:type="dxa"/>
            <w:vAlign w:val="bottom"/>
            <w:tcBorders>
              <w:bottom w:val="single" w:sz="8" w:color="auto"/>
            </w:tcBorders>
          </w:tcPr>
          <w:p>
            <w:pPr>
              <w:spacing w:after="0"/>
              <w:rPr>
                <w:sz w:val="16"/>
                <w:szCs w:val="16"/>
                <w:color w:val="auto"/>
              </w:rPr>
            </w:pPr>
          </w:p>
        </w:tc>
      </w:tr>
      <w:tr>
        <w:trPr>
          <w:trHeight w:val="162"/>
        </w:trPr>
        <w:tc>
          <w:tcPr>
            <w:tcW w:w="980" w:type="dxa"/>
            <w:vAlign w:val="bottom"/>
            <w:gridSpan w:val="2"/>
          </w:tcPr>
          <w:p>
            <w:pPr>
              <w:ind w:left="480"/>
              <w:spacing w:after="0"/>
              <w:rPr>
                <w:sz w:val="20"/>
                <w:szCs w:val="20"/>
                <w:color w:val="auto"/>
              </w:rPr>
            </w:pPr>
            <w:r>
              <w:rPr>
                <w:rFonts w:ascii="Arial" w:cs="Arial" w:eastAsia="Arial" w:hAnsi="Arial"/>
                <w:sz w:val="14"/>
                <w:szCs w:val="14"/>
                <w:b w:val="1"/>
                <w:bCs w:val="1"/>
                <w:color w:val="auto"/>
              </w:rPr>
              <w:t>NOTE:</w:t>
            </w:r>
          </w:p>
        </w:tc>
        <w:tc>
          <w:tcPr>
            <w:tcW w:w="9940" w:type="dxa"/>
            <w:vAlign w:val="bottom"/>
            <w:gridSpan w:val="5"/>
          </w:tcPr>
          <w:p>
            <w:pPr>
              <w:ind w:left="60"/>
              <w:spacing w:after="0"/>
              <w:rPr>
                <w:sz w:val="20"/>
                <w:szCs w:val="20"/>
                <w:color w:val="auto"/>
              </w:rPr>
            </w:pPr>
            <w:r>
              <w:rPr>
                <w:rFonts w:ascii="Arial" w:cs="Arial" w:eastAsia="Arial" w:hAnsi="Arial"/>
                <w:sz w:val="14"/>
                <w:szCs w:val="14"/>
                <w:b w:val="1"/>
                <w:bCs w:val="1"/>
                <w:color w:val="auto"/>
                <w:w w:val="87"/>
              </w:rPr>
              <w:t>Please sign as name appears hereon. Joint owners should each sign. When signing as attorney, executor, administrator, trustee or guardian, please give full title as such.</w:t>
            </w:r>
          </w:p>
        </w:tc>
      </w:tr>
    </w:tbl>
    <w:p>
      <w:pPr>
        <w:sectPr>
          <w:pgSz w:w="11900" w:h="16838" w:orient="portrait"/>
          <w:cols w:equalWidth="0" w:num="1">
            <w:col w:w="11400"/>
          </w:cols>
          <w:pgMar w:left="240" w:top="274" w:right="259" w:bottom="1440" w:gutter="0" w:footer="0" w:header="0"/>
          <w:type w:val="continuous"/>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MANPOWER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(d/b/a ManpowerGroup)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Manpower Inc. Shareholders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Wednesday, May 2,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International Headquarters of Manpower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Milwaukee,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135890</wp:posOffset>
            </wp:positionV>
            <wp:extent cx="6671945" cy="1543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71945" cy="1543685"/>
                    </a:xfrm>
                    <a:prstGeom prst="rect">
                      <a:avLst/>
                    </a:prstGeom>
                    <a:noFill/>
                  </pic:spPr>
                </pic:pic>
              </a:graphicData>
            </a:graphic>
          </wp:anchor>
        </w:drawing>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Agenda</w:t>
      </w:r>
    </w:p>
    <w:p>
      <w:pPr>
        <w:spacing w:after="0" w:line="218" w:lineRule="exact"/>
        <w:rPr>
          <w:sz w:val="20"/>
          <w:szCs w:val="20"/>
          <w:color w:val="auto"/>
        </w:rPr>
      </w:pPr>
    </w:p>
    <w:p>
      <w:pPr>
        <w:ind w:left="1480" w:hanging="459"/>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Elect four directors nominated by the Board of Directors of Manpower Inc. to serve until 2015 as Class I directors.</w:t>
      </w:r>
    </w:p>
    <w:p>
      <w:pPr>
        <w:spacing w:after="0" w:line="90" w:lineRule="exact"/>
        <w:rPr>
          <w:rFonts w:ascii="Arial" w:cs="Arial" w:eastAsia="Arial" w:hAnsi="Arial"/>
          <w:sz w:val="18"/>
          <w:szCs w:val="18"/>
          <w:color w:val="auto"/>
        </w:rPr>
      </w:pPr>
    </w:p>
    <w:p>
      <w:pPr>
        <w:ind w:left="1460" w:right="560" w:hanging="439"/>
        <w:spacing w:after="0" w:line="268" w:lineRule="auto"/>
        <w:tabs>
          <w:tab w:leader="none" w:pos="14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Approval of a proposed amendment to the Amended and Restated Articles of Incorporation of Manpower Inc. to change the name of the corporation to ManpowerGroup Inc.</w:t>
      </w:r>
    </w:p>
    <w:p>
      <w:pPr>
        <w:spacing w:after="0" w:line="50" w:lineRule="exact"/>
        <w:rPr>
          <w:rFonts w:ascii="Arial" w:cs="Arial" w:eastAsia="Arial" w:hAnsi="Arial"/>
          <w:sz w:val="18"/>
          <w:szCs w:val="18"/>
          <w:color w:val="auto"/>
        </w:rPr>
      </w:pPr>
    </w:p>
    <w:p>
      <w:pPr>
        <w:ind w:left="1480" w:hanging="459"/>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2012.</w:t>
      </w:r>
    </w:p>
    <w:p>
      <w:pPr>
        <w:spacing w:after="0" w:line="90" w:lineRule="exact"/>
        <w:rPr>
          <w:rFonts w:ascii="Arial" w:cs="Arial" w:eastAsia="Arial" w:hAnsi="Arial"/>
          <w:sz w:val="18"/>
          <w:szCs w:val="18"/>
          <w:color w:val="auto"/>
        </w:rPr>
      </w:pPr>
    </w:p>
    <w:p>
      <w:pPr>
        <w:ind w:left="1460" w:hanging="439"/>
        <w:spacing w:after="0"/>
        <w:tabs>
          <w:tab w:leader="none" w:pos="1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90" w:lineRule="exact"/>
        <w:rPr>
          <w:rFonts w:ascii="Arial" w:cs="Arial" w:eastAsia="Arial" w:hAnsi="Arial"/>
          <w:sz w:val="18"/>
          <w:szCs w:val="18"/>
          <w:color w:val="auto"/>
        </w:rPr>
      </w:pPr>
    </w:p>
    <w:p>
      <w:pPr>
        <w:ind w:left="1480" w:hanging="459"/>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can now access your Manpower Inc. account online.</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Access your Manpower Inc. account online via Investor ServiceDirect® (ISD).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transfer agent for Manpower Inc., now makes it easy and convenient to get current information on your shareholder account.</w:t>
      </w:r>
    </w:p>
    <w:p>
      <w:pPr>
        <w:spacing w:after="0" w:line="51"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View account status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View certificate history</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View book-entry information</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View payment history for dividends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Make address changes</w:t>
      </w:r>
    </w:p>
    <w:p>
      <w:pPr>
        <w:spacing w:after="0" w:line="90"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Obtain a duplicate 1099 tax form</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12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 xml:space="preserve">The Proxy Statement and the 2011 Annual Report to Shareholders are available at: </w:t>
      </w:r>
      <w:r>
        <w:rPr>
          <w:rFonts w:ascii="Arial" w:cs="Arial" w:eastAsia="Arial" w:hAnsi="Arial"/>
          <w:sz w:val="16"/>
          <w:szCs w:val="16"/>
          <w:b w:val="1"/>
          <w:bCs w:val="1"/>
          <w:u w:val="single" w:color="auto"/>
          <w:color w:val="auto"/>
        </w:rPr>
        <w:t>http://www.manpowergroup.com/annualmeeting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Visit us on the web at</w:t>
      </w:r>
    </w:p>
    <w:p>
      <w:pPr>
        <w:spacing w:after="0" w:line="2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http://www.bnymellon.com/shareowner/equityaccess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For Technical Assistance Call 1-877-978-7778 between</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9am-7pm</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Monday-Friday Eastern Time</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11"/>
          <w:szCs w:val="11"/>
          <w:b w:val="1"/>
          <w:bCs w:val="1"/>
          <w:color w:val="auto"/>
        </w:rPr>
        <w:t>®</w:t>
      </w:r>
    </w:p>
    <w:p>
      <w:pPr>
        <w:spacing w:after="0" w:line="9" w:lineRule="exact"/>
        <w:rPr>
          <w:sz w:val="20"/>
          <w:szCs w:val="20"/>
          <w:color w:val="auto"/>
        </w:rPr>
      </w:pPr>
    </w:p>
    <w:p>
      <w:pPr>
        <w:ind w:left="760" w:right="1220" w:hanging="44"/>
        <w:spacing w:after="0" w:line="361" w:lineRule="auto"/>
        <w:rPr>
          <w:sz w:val="20"/>
          <w:szCs w:val="20"/>
          <w:color w:val="auto"/>
        </w:rPr>
      </w:pPr>
      <w:r>
        <w:rPr>
          <w:rFonts w:ascii="Arial" w:cs="Arial" w:eastAsia="Arial" w:hAnsi="Arial"/>
          <w:sz w:val="15"/>
          <w:szCs w:val="15"/>
          <w:b w:val="1"/>
          <w:bCs w:val="1"/>
          <w:i w:val="1"/>
          <w:iCs w:val="1"/>
          <w:color w:val="auto"/>
        </w:rPr>
        <w:t xml:space="preserve">Available 24 hours per day, 7 days per week </w:t>
      </w:r>
      <w:r>
        <w:rPr>
          <w:rFonts w:ascii="Arial" w:cs="Arial" w:eastAsia="Arial" w:hAnsi="Arial"/>
          <w:sz w:val="15"/>
          <w:szCs w:val="15"/>
          <w:b w:val="1"/>
          <w:bCs w:val="1"/>
          <w:color w:val="auto"/>
        </w:rPr>
        <w:t>TOLL FREE NUMBER: 1-800-370-1163</w:t>
      </w:r>
    </w:p>
    <w:p>
      <w:pPr>
        <w:spacing w:after="0" w:line="117"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color w:val="auto"/>
        </w:rPr>
        <w:t xml:space="preserve">Choose </w:t>
      </w:r>
      <w:r>
        <w:rPr>
          <w:rFonts w:ascii="Arial" w:cs="Arial" w:eastAsia="Arial" w:hAnsi="Arial"/>
          <w:sz w:val="16"/>
          <w:szCs w:val="16"/>
          <w:b w:val="1"/>
          <w:bCs w:val="1"/>
          <w:color w:val="auto"/>
        </w:rPr>
        <w:t>MLink</w:t>
      </w:r>
      <w:r>
        <w:rPr>
          <w:rFonts w:ascii="Arial" w:cs="Arial" w:eastAsia="Arial" w:hAnsi="Arial"/>
          <w:sz w:val="10"/>
          <w:szCs w:val="10"/>
          <w:b w:val="1"/>
          <w:bCs w:val="1"/>
          <w:color w:val="auto"/>
        </w:rPr>
        <w:t>®</w:t>
      </w:r>
      <w:r>
        <w:rPr>
          <w:rFonts w:ascii="Arial" w:cs="Arial" w:eastAsia="Arial" w:hAnsi="Arial"/>
          <w:sz w:val="16"/>
          <w:szCs w:val="16"/>
          <w:color w:val="auto"/>
        </w:rPr>
        <w:t xml:space="preserve"> for fast, easy and secure 24/7 online access to your future proxy materials, investment plan statements, tax documents and more. Simply log on to </w:t>
      </w:r>
      <w:r>
        <w:rPr>
          <w:rFonts w:ascii="Arial" w:cs="Arial" w:eastAsia="Arial" w:hAnsi="Arial"/>
          <w:sz w:val="16"/>
          <w:szCs w:val="16"/>
          <w:b w:val="1"/>
          <w:bCs w:val="1"/>
          <w:color w:val="auto"/>
        </w:rPr>
        <w:t>Investor ServiceDirect</w:t>
      </w:r>
      <w:r>
        <w:rPr>
          <w:rFonts w:ascii="Arial" w:cs="Arial" w:eastAsia="Arial" w:hAnsi="Arial"/>
          <w:sz w:val="10"/>
          <w:szCs w:val="10"/>
          <w:b w:val="1"/>
          <w:bCs w:val="1"/>
          <w:color w:val="auto"/>
        </w:rPr>
        <w:t>®</w:t>
      </w:r>
      <w:r>
        <w:rPr>
          <w:rFonts w:ascii="Arial" w:cs="Arial" w:eastAsia="Arial" w:hAnsi="Arial"/>
          <w:sz w:val="16"/>
          <w:szCs w:val="16"/>
          <w:color w:val="auto"/>
        </w:rPr>
        <w:t xml:space="preserve"> at </w:t>
      </w:r>
      <w:r>
        <w:rPr>
          <w:rFonts w:ascii="Arial" w:cs="Arial" w:eastAsia="Arial" w:hAnsi="Arial"/>
          <w:sz w:val="16"/>
          <w:szCs w:val="16"/>
          <w:u w:val="single" w:color="auto"/>
          <w:color w:val="auto"/>
        </w:rPr>
        <w:t>www.bnymellon.com/shareowner/equityaccess</w:t>
      </w:r>
      <w:r>
        <w:rPr>
          <w:rFonts w:ascii="Arial" w:cs="Arial" w:eastAsia="Arial" w:hAnsi="Arial"/>
          <w:sz w:val="16"/>
          <w:szCs w:val="16"/>
          <w:color w:val="auto"/>
        </w:rPr>
        <w:t xml:space="preserve"> where step-by-step instructions will prompt you through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-719455</wp:posOffset>
            </wp:positionV>
            <wp:extent cx="3061335" cy="702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61335" cy="702945"/>
                    </a:xfrm>
                    <a:prstGeom prst="rect">
                      <a:avLst/>
                    </a:prstGeom>
                    <a:noFill/>
                  </pic:spPr>
                </pic:pic>
              </a:graphicData>
            </a:graphic>
          </wp:anchor>
        </w:drawing>
      </w:r>
    </w:p>
    <w:p>
      <w:pPr>
        <w:spacing w:after="0" w:line="1498" w:lineRule="exact"/>
        <w:rPr>
          <w:sz w:val="20"/>
          <w:szCs w:val="20"/>
          <w:color w:val="auto"/>
        </w:rPr>
      </w:pPr>
    </w:p>
    <w:p>
      <w:pPr>
        <w:sectPr>
          <w:pgSz w:w="11900" w:h="16838" w:orient="portrait"/>
          <w:cols w:equalWidth="0" w:num="2">
            <w:col w:w="5560" w:space="720"/>
            <w:col w:w="5080"/>
          </w:cols>
          <w:pgMar w:left="240" w:top="274" w:right="299" w:bottom="1440" w:gutter="0" w:footer="0" w:header="0"/>
          <w:type w:val="continuous"/>
        </w:sectPr>
      </w:pP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FOLD AND DETACH HERE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(d/b/a ManpowerGroup)</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undersigned hereby appoints Jeffrey A. Joerres, Michael J. Van Handel and Kenneth C. Hunt proxies, each with power to act without the other and with power of substitution, and hereby authorizes them to represent and vote, as designated on the other side, all the shares of stock of Manpower Inc. standing in the name of the undersigned with all powers which the undersigned would possess if present at the Annual Meeting of Shareholders of Manpower Inc. to be held May 2, 2012 or any adjournment thereof.</w:t>
      </w:r>
    </w:p>
    <w:p>
      <w:pPr>
        <w:sectPr>
          <w:pgSz w:w="11900" w:h="16838" w:orient="portrait"/>
          <w:cols w:equalWidth="0" w:num="1">
            <w:col w:w="11360"/>
          </w:cols>
          <w:pgMar w:left="240" w:top="274" w:right="299" w:bottom="1440" w:gutter="0" w:footer="0" w:header="0"/>
          <w:type w:val="continuous"/>
        </w:sectPr>
      </w:pPr>
    </w:p>
    <w:bookmarkStart w:id="86" w:name="page87"/>
    <w:bookmarkEnd w:id="86"/>
    <w:tbl>
      <w:tblPr>
        <w:tblLayout w:type="fixed"/>
        <w:tblInd w:w="10" w:type="dxa"/>
        <w:tblCellMar>
          <w:top w:w="0" w:type="dxa"/>
          <w:left w:w="0" w:type="dxa"/>
          <w:bottom w:w="0" w:type="dxa"/>
          <w:right w:w="0" w:type="dxa"/>
        </w:tblCellMar>
      </w:tblPr>
      <w:tr>
        <w:trPr>
          <w:trHeight w:val="208"/>
        </w:trPr>
        <w:tc>
          <w:tcPr>
            <w:tcW w:w="4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Address Change/Comments</w:t>
            </w:r>
          </w:p>
        </w:tc>
        <w:tc>
          <w:tcPr>
            <w:tcW w:w="5600" w:type="dxa"/>
            <w:vAlign w:val="bottom"/>
          </w:tcPr>
          <w:p>
            <w:pPr>
              <w:ind w:left="600"/>
              <w:spacing w:after="0"/>
              <w:rPr>
                <w:sz w:val="20"/>
                <w:szCs w:val="20"/>
                <w:color w:val="auto"/>
              </w:rPr>
            </w:pPr>
            <w:r>
              <w:rPr>
                <w:rFonts w:ascii="Arial" w:cs="Arial" w:eastAsia="Arial" w:hAnsi="Arial"/>
                <w:sz w:val="18"/>
                <w:szCs w:val="18"/>
                <w:color w:val="auto"/>
              </w:rPr>
              <w:t>SHAREOWNER SERVICES</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(Mark the corresponding box on the reverse side)</w:t>
            </w:r>
          </w:p>
        </w:tc>
        <w:tc>
          <w:tcPr>
            <w:tcW w:w="5600" w:type="dxa"/>
            <w:vAlign w:val="bottom"/>
          </w:tcPr>
          <w:p>
            <w:pPr>
              <w:ind w:left="600"/>
              <w:spacing w:after="0"/>
              <w:rPr>
                <w:sz w:val="20"/>
                <w:szCs w:val="20"/>
                <w:color w:val="auto"/>
              </w:rPr>
            </w:pPr>
            <w:r>
              <w:rPr>
                <w:rFonts w:ascii="Arial" w:cs="Arial" w:eastAsia="Arial" w:hAnsi="Arial"/>
                <w:sz w:val="18"/>
                <w:szCs w:val="18"/>
                <w:color w:val="auto"/>
              </w:rPr>
              <w:t>P.O. BOX 3550</w:t>
            </w:r>
          </w:p>
        </w:tc>
        <w:tc>
          <w:tcPr>
            <w:tcW w:w="0" w:type="dxa"/>
            <w:vAlign w:val="bottom"/>
          </w:tcPr>
          <w:p>
            <w:pPr>
              <w:spacing w:after="0"/>
              <w:rPr>
                <w:sz w:val="1"/>
                <w:szCs w:val="1"/>
                <w:color w:val="auto"/>
              </w:rPr>
            </w:pPr>
          </w:p>
        </w:tc>
      </w:tr>
      <w:tr>
        <w:trPr>
          <w:trHeight w:val="35"/>
        </w:trPr>
        <w:tc>
          <w:tcPr>
            <w:tcW w:w="4940" w:type="dxa"/>
            <w:vAlign w:val="bottom"/>
            <w:tcBorders>
              <w:left w:val="single" w:sz="8" w:color="auto"/>
              <w:bottom w:val="single" w:sz="8" w:color="auto"/>
              <w:right w:val="single" w:sz="8" w:color="auto"/>
            </w:tcBorders>
          </w:tcPr>
          <w:p>
            <w:pPr>
              <w:spacing w:after="0"/>
              <w:rPr>
                <w:sz w:val="3"/>
                <w:szCs w:val="3"/>
                <w:color w:val="auto"/>
              </w:rPr>
            </w:pPr>
          </w:p>
        </w:tc>
        <w:tc>
          <w:tcPr>
            <w:tcW w:w="5600" w:type="dxa"/>
            <w:vAlign w:val="bottom"/>
            <w:vMerge w:val="restart"/>
          </w:tcPr>
          <w:p>
            <w:pPr>
              <w:ind w:left="600"/>
              <w:spacing w:after="0"/>
              <w:rPr>
                <w:sz w:val="20"/>
                <w:szCs w:val="20"/>
                <w:color w:val="auto"/>
              </w:rPr>
            </w:pPr>
            <w:r>
              <w:rPr>
                <w:rFonts w:ascii="Arial" w:cs="Arial" w:eastAsia="Arial" w:hAnsi="Arial"/>
                <w:sz w:val="18"/>
                <w:szCs w:val="18"/>
                <w:color w:val="auto"/>
              </w:rPr>
              <w:t>SOUTH HACKENSACK, NJ 07606-9250</w:t>
            </w:r>
          </w:p>
        </w:tc>
        <w:tc>
          <w:tcPr>
            <w:tcW w:w="0" w:type="dxa"/>
            <w:vAlign w:val="bottom"/>
          </w:tcPr>
          <w:p>
            <w:pPr>
              <w:spacing w:after="0"/>
              <w:rPr>
                <w:sz w:val="1"/>
                <w:szCs w:val="1"/>
                <w:color w:val="auto"/>
              </w:rPr>
            </w:pPr>
          </w:p>
        </w:tc>
      </w:tr>
      <w:tr>
        <w:trPr>
          <w:trHeight w:val="167"/>
        </w:trPr>
        <w:tc>
          <w:tcPr>
            <w:tcW w:w="4940" w:type="dxa"/>
            <w:vAlign w:val="bottom"/>
            <w:tcBorders>
              <w:left w:val="single" w:sz="8" w:color="auto"/>
              <w:right w:val="single" w:sz="8" w:color="auto"/>
            </w:tcBorders>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940" w:type="dxa"/>
            <w:vAlign w:val="bottom"/>
            <w:tcBorders>
              <w:left w:val="single" w:sz="8" w:color="auto"/>
              <w:right w:val="single" w:sz="8" w:color="auto"/>
            </w:tcBorders>
          </w:tcPr>
          <w:p>
            <w:pPr>
              <w:spacing w:after="0"/>
              <w:rPr>
                <w:sz w:val="24"/>
                <w:szCs w:val="24"/>
                <w:color w:val="auto"/>
              </w:rPr>
            </w:pPr>
          </w:p>
        </w:tc>
        <w:tc>
          <w:tcPr>
            <w:tcW w:w="5600" w:type="dxa"/>
            <w:vAlign w:val="bottom"/>
          </w:tcPr>
          <w:p>
            <w:pPr>
              <w:ind w:left="600"/>
              <w:spacing w:after="0"/>
              <w:rPr>
                <w:sz w:val="20"/>
                <w:szCs w:val="20"/>
                <w:color w:val="auto"/>
              </w:rPr>
            </w:pPr>
            <w:r>
              <w:rPr>
                <w:rFonts w:ascii="Arial" w:cs="Arial" w:eastAsia="Arial" w:hAnsi="Arial"/>
                <w:sz w:val="18"/>
                <w:szCs w:val="18"/>
                <w:b w:val="1"/>
                <w:bCs w:val="1"/>
                <w:color w:val="auto"/>
                <w:w w:val="86"/>
              </w:rPr>
              <w:t>(Continued, and to be marked, dated and signed, on the other side)</w:t>
            </w:r>
          </w:p>
        </w:tc>
        <w:tc>
          <w:tcPr>
            <w:tcW w:w="0" w:type="dxa"/>
            <w:vAlign w:val="bottom"/>
          </w:tcPr>
          <w:p>
            <w:pPr>
              <w:spacing w:after="0"/>
              <w:rPr>
                <w:sz w:val="1"/>
                <w:szCs w:val="1"/>
                <w:color w:val="auto"/>
              </w:rPr>
            </w:pPr>
          </w:p>
        </w:tc>
      </w:tr>
      <w:tr>
        <w:trPr>
          <w:trHeight w:val="421"/>
        </w:trPr>
        <w:tc>
          <w:tcPr>
            <w:tcW w:w="49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40"/>
      </w:cols>
      <w:pgMar w:left="520" w:top="36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2)"/>
      <w:numFmt w:val="decimal"/>
      <w:start w:val="1"/>
    </w:lvl>
  </w:abstractNum>
  <w:abstractNum w:abstractNumId="3">
    <w:nsid w:val="4B588F54"/>
    <w:multiLevelType w:val="hybridMultilevel"/>
    <w:lvl w:ilvl="0">
      <w:lvlJc w:val="left"/>
      <w:lvlText w:val="(%1)"/>
      <w:numFmt w:val="decimal"/>
      <w:start w:val="3"/>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lowerRoman"/>
      <w:start w:val="12"/>
    </w:lvl>
  </w:abstractNum>
  <w:abstractNum w:abstractNumId="9">
    <w:nsid w:val="684A481A"/>
    <w:multiLevelType w:val="hybridMultilevel"/>
    <w:lvl w:ilvl="0">
      <w:lvlJc w:val="left"/>
      <w:lvlText w:val="(%1)"/>
      <w:numFmt w:val="lowerRoman"/>
      <w:start w:val="3"/>
    </w:lvl>
  </w:abstractNum>
  <w:abstractNum w:abstractNumId="10">
    <w:nsid w:val="579478FE"/>
    <w:multiLevelType w:val="hybridMultilevel"/>
    <w:lvl w:ilvl="0">
      <w:lvlJc w:val="left"/>
      <w:lvlText w:val="(%1)"/>
      <w:numFmt w:val="lowerRoman"/>
      <w:start w:val="8"/>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2"/>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2"/>
    </w:lvl>
  </w:abstractNum>
  <w:abstractNum w:abstractNumId="22">
    <w:nsid w:val="649BB77C"/>
    <w:multiLevelType w:val="hybridMultilevel"/>
    <w:lvl w:ilvl="0">
      <w:lvlJc w:val="left"/>
      <w:lvlText w:val="(%1)"/>
      <w:numFmt w:val="decimal"/>
    </w:lvl>
    <w:lvl w:ilvl="1">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lvl w:ilvl="1">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lvl w:ilvl="1">
      <w:lvlJc w:val="left"/>
      <w:lvlText w:val="•"/>
      <w:numFmt w:val="bullet"/>
      <w:start w:val="1"/>
    </w:lvl>
  </w:abstractNum>
  <w:abstractNum w:abstractNumId="38">
    <w:nsid w:val="579BE4F1"/>
    <w:multiLevelType w:val="hybridMultilevel"/>
    <w:lvl w:ilvl="0">
      <w:lvlJc w:val="left"/>
      <w:lvlText w:val="•"/>
      <w:numFmt w:val="bullet"/>
      <w:start w:val="1"/>
    </w:lvl>
    <w:lvl w:ilvl="1">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lvl w:ilvl="1">
      <w:lvlJc w:val="left"/>
      <w:lvlText w:val="•"/>
      <w:numFmt w:val="bullet"/>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2"/>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decimal"/>
      <w:start w:val="3"/>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4"/>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2"/>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3"/>
    </w:lvl>
  </w:abstractNum>
  <w:abstractNum w:abstractNumId="61">
    <w:nsid w:val="7BD3EE7B"/>
    <w:multiLevelType w:val="hybridMultilevel"/>
    <w:lvl w:ilvl="0">
      <w:lvlJc w:val="left"/>
      <w:lvlText w:val="(%1)"/>
      <w:numFmt w:val="decimal"/>
      <w:start w:val="16"/>
    </w:lvl>
  </w:abstractNum>
  <w:abstractNum w:abstractNumId="62">
    <w:nsid w:val="51D9C564"/>
    <w:multiLevelType w:val="hybridMultilevel"/>
    <w:lvl w:ilvl="0">
      <w:lvlJc w:val="left"/>
      <w:lvlText w:val="(%1)"/>
      <w:numFmt w:val="decimal"/>
      <w:start w:val="17"/>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lowerRoman"/>
      <w:start w:val="3"/>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7"/>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5"/>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3"/>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3"/>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6"/>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4"/>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3"/>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1."/>
      <w:numFmt w:val="decimal"/>
      <w:start w:val="5"/>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2019-12-09T09:42:03Z</dcterms:created>
  <dcterms:modified xsi:type="dcterms:W3CDTF">2019-12-09T09:42:03Z</dcterms:modified>
</cp:coreProperties>
</file>