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8"/>
          <w:szCs w:val="18"/>
          <w:b w:val="1"/>
          <w:bCs w:val="1"/>
          <w:color w:val="auto"/>
        </w:rPr>
        <w:t>March 31, 2011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(d/b/a ManpowerGroup)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06" w:right="239" w:bottom="1440" w:gutter="0" w:footer="0" w:header="0"/>
        </w:sectPr>
      </w:pPr>
    </w:p>
    <w:p>
      <w:pPr>
        <w:spacing w:after="0" w:line="234"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360" w:space="720"/>
            <w:col w:w="4340"/>
          </w:cols>
          <w:pgMar w:left="240" w:top="206" w:right="239" w:bottom="1440" w:gutter="0" w:footer="0" w:header="0"/>
          <w:type w:val="continuous"/>
        </w:sectPr>
      </w:pPr>
    </w:p>
    <w:p>
      <w:pPr>
        <w:spacing w:after="0" w:line="18"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60" w:space="720"/>
            <w:col w:w="4340"/>
          </w:cols>
          <w:pgMar w:left="240" w:top="206"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1"/>
              </w:rPr>
              <w:t>Large accelerated file</w:t>
            </w:r>
          </w:p>
        </w:tc>
        <w:tc>
          <w:tcPr>
            <w:tcW w:w="2900" w:type="dxa"/>
            <w:vAlign w:val="bottom"/>
          </w:tcPr>
          <w:p>
            <w:pPr>
              <w:jc w:val="center"/>
              <w:ind w:right="2610"/>
              <w:spacing w:after="0"/>
              <w:rPr>
                <w:sz w:val="20"/>
                <w:szCs w:val="20"/>
                <w:color w:val="auto"/>
              </w:rPr>
            </w:pPr>
            <w:r>
              <w:rPr>
                <w:rFonts w:ascii="Arial" w:cs="Arial" w:eastAsia="Arial" w:hAnsi="Arial"/>
                <w:sz w:val="18"/>
                <w:szCs w:val="18"/>
                <w:color w:val="auto"/>
                <w:w w:val="88"/>
              </w:rPr>
              <w:t>x</w:t>
            </w:r>
          </w:p>
        </w:tc>
        <w:tc>
          <w:tcPr>
            <w:tcW w:w="3360" w:type="dxa"/>
            <w:vAlign w:val="bottom"/>
          </w:tcPr>
          <w:p>
            <w:pPr>
              <w:ind w:left="11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9"/>
        </w:trPr>
        <w:tc>
          <w:tcPr>
            <w:tcW w:w="1600" w:type="dxa"/>
            <w:vAlign w:val="bottom"/>
          </w:tcPr>
          <w:p>
            <w:pPr>
              <w:spacing w:after="0"/>
              <w:rPr>
                <w:sz w:val="20"/>
                <w:szCs w:val="20"/>
                <w:color w:val="auto"/>
              </w:rPr>
            </w:pPr>
            <w:r>
              <w:rPr>
                <w:rFonts w:ascii="Arial" w:cs="Arial" w:eastAsia="Arial" w:hAnsi="Arial"/>
                <w:sz w:val="18"/>
                <w:szCs w:val="18"/>
                <w:color w:val="auto"/>
                <w:w w:val="95"/>
              </w:rPr>
              <w:t>Non-accelerated filer</w:t>
            </w:r>
          </w:p>
        </w:tc>
        <w:tc>
          <w:tcPr>
            <w:tcW w:w="2900" w:type="dxa"/>
            <w:vAlign w:val="bottom"/>
          </w:tcPr>
          <w:p>
            <w:pPr>
              <w:jc w:val="center"/>
              <w:ind w:right="2610"/>
              <w:spacing w:after="0" w:line="181" w:lineRule="exact"/>
              <w:rPr>
                <w:sz w:val="20"/>
                <w:szCs w:val="20"/>
                <w:color w:val="auto"/>
              </w:rPr>
            </w:pPr>
            <w:r>
              <w:rPr>
                <w:rFonts w:ascii="MS PGothic" w:cs="MS PGothic" w:eastAsia="MS PGothic" w:hAnsi="MS PGothic"/>
                <w:sz w:val="18"/>
                <w:szCs w:val="18"/>
                <w:color w:val="auto"/>
                <w:w w:val="88"/>
              </w:rPr>
              <w:t>☐</w:t>
            </w:r>
          </w:p>
        </w:tc>
        <w:tc>
          <w:tcPr>
            <w:tcW w:w="3360" w:type="dxa"/>
            <w:vAlign w:val="bottom"/>
          </w:tcPr>
          <w:p>
            <w:pPr>
              <w:ind w:left="1140"/>
              <w:spacing w:after="0" w:line="207" w:lineRule="exact"/>
              <w:rPr>
                <w:sz w:val="20"/>
                <w:szCs w:val="20"/>
                <w:color w:val="auto"/>
              </w:rPr>
            </w:pPr>
            <w:r>
              <w:rPr>
                <w:rFonts w:ascii="Arial" w:cs="Arial" w:eastAsia="Arial" w:hAnsi="Arial"/>
                <w:sz w:val="18"/>
                <w:szCs w:val="18"/>
                <w:color w:val="auto"/>
                <w:w w:val="92"/>
              </w:rPr>
              <w:t xml:space="preserve">Smaller reporting company </w:t>
            </w:r>
            <w:r>
              <w:rPr>
                <w:rFonts w:ascii="MS PGothic" w:cs="MS PGothic" w:eastAsia="MS PGothic" w:hAnsi="MS PGothic"/>
                <w:sz w:val="18"/>
                <w:szCs w:val="18"/>
                <w:color w:val="auto"/>
                <w:w w:val="92"/>
              </w:rPr>
              <w:t>☐</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360" w:type="dxa"/>
            <w:vAlign w:val="bottom"/>
          </w:tcPr>
          <w:p>
            <w:pPr>
              <w:spacing w:after="0"/>
              <w:rPr>
                <w:sz w:val="20"/>
                <w:szCs w:val="20"/>
                <w:color w:val="auto"/>
              </w:rPr>
            </w:pPr>
          </w:p>
        </w:tc>
      </w:tr>
    </w:tbl>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tcPr>
          <w:p>
            <w:pPr>
              <w:spacing w:after="0"/>
              <w:rPr>
                <w:sz w:val="20"/>
                <w:szCs w:val="20"/>
                <w:color w:val="auto"/>
              </w:rPr>
            </w:pPr>
          </w:p>
        </w:tc>
      </w:tr>
      <w:tr>
        <w:trPr>
          <w:trHeight w:val="441"/>
        </w:trPr>
        <w:tc>
          <w:tcPr>
            <w:tcW w:w="19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r>
      <w:tr>
        <w:trPr>
          <w:trHeight w:val="241"/>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w:t>
            </w:r>
          </w:p>
        </w:tc>
        <w:tc>
          <w:tcPr>
            <w:tcW w:w="64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2"/>
              </w:rPr>
              <w:t>at May 3, 2011</w:t>
            </w:r>
          </w:p>
        </w:tc>
      </w:t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rPr>
              <w:t>Common Stock, $.01 par value</w:t>
            </w:r>
          </w:p>
        </w:tc>
        <w:tc>
          <w:tcPr>
            <w:tcW w:w="2440" w:type="dxa"/>
            <w:vAlign w:val="bottom"/>
          </w:tcPr>
          <w:p>
            <w:pPr>
              <w:jc w:val="center"/>
              <w:ind w:right="490"/>
              <w:spacing w:after="0"/>
              <w:rPr>
                <w:sz w:val="20"/>
                <w:szCs w:val="20"/>
                <w:color w:val="auto"/>
              </w:rPr>
            </w:pPr>
            <w:r>
              <w:rPr>
                <w:rFonts w:ascii="Arial" w:cs="Arial" w:eastAsia="Arial" w:hAnsi="Arial"/>
                <w:sz w:val="18"/>
                <w:szCs w:val="18"/>
                <w:color w:val="auto"/>
                <w:w w:val="90"/>
              </w:rPr>
              <w:t>82,194,802</w:t>
            </w:r>
          </w:p>
        </w:tc>
      </w:tr>
      <w:tr>
        <w:trPr>
          <w:trHeight w:val="1171"/>
        </w:trPr>
        <w:tc>
          <w:tcPr>
            <w:tcW w:w="1960" w:type="dxa"/>
            <w:vAlign w:val="bottom"/>
            <w:tcBorders>
              <w:bottom w:val="single" w:sz="8" w:color="808080"/>
            </w:tcBorders>
          </w:tcPr>
          <w:p>
            <w:pPr>
              <w:spacing w:after="0"/>
              <w:rPr>
                <w:sz w:val="24"/>
                <w:szCs w:val="24"/>
                <w:color w:val="auto"/>
              </w:rPr>
            </w:pPr>
          </w:p>
        </w:tc>
        <w:tc>
          <w:tcPr>
            <w:tcW w:w="6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920" w:type="dxa"/>
            <w:vAlign w:val="bottom"/>
            <w:gridSpan w:val="2"/>
          </w:tcPr>
          <w:p>
            <w:pPr>
              <w:jc w:val="center"/>
              <w:ind w:right="3580"/>
              <w:spacing w:after="0"/>
              <w:rPr>
                <w:sz w:val="20"/>
                <w:szCs w:val="20"/>
                <w:color w:val="auto"/>
              </w:rPr>
            </w:pPr>
            <w:r>
              <w:rPr>
                <w:rFonts w:ascii="Arial" w:cs="Arial" w:eastAsia="Arial" w:hAnsi="Arial"/>
                <w:sz w:val="18"/>
                <w:szCs w:val="18"/>
                <w:b w:val="1"/>
                <w:bCs w:val="1"/>
                <w:color w:val="auto"/>
                <w:w w:val="93"/>
              </w:rPr>
              <w:t>ManpowerGroup</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Financial Statements (unaudited)</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Consolidated Balance Sheets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Consolidated Statements of Operations</w:t>
            </w: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Consolidated Statements of Cash Flows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Notes to Consolidated Financial Statements</w:t>
            </w:r>
          </w:p>
        </w:tc>
        <w:tc>
          <w:tcPr>
            <w:tcW w:w="146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Item 3</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Controls and Procedures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OTHER INFORMATION</w:t>
            </w: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Unregistered Sales of Equity Securities and Use of Proceeds</w:t>
            </w: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8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Information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Item 6</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Exhibits</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3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3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2"/>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40" w:type="dxa"/>
            <w:vAlign w:val="bottom"/>
            <w:gridSpan w:val="2"/>
          </w:tcPr>
          <w:p>
            <w:pPr>
              <w:jc w:val="center"/>
              <w:ind w:left="3310"/>
              <w:spacing w:after="0"/>
              <w:rPr>
                <w:sz w:val="20"/>
                <w:szCs w:val="20"/>
                <w:color w:val="auto"/>
              </w:rPr>
            </w:pPr>
            <w:r>
              <w:rPr>
                <w:rFonts w:ascii="Arial" w:cs="Arial" w:eastAsia="Arial" w:hAnsi="Arial"/>
                <w:sz w:val="18"/>
                <w:szCs w:val="18"/>
                <w:color w:val="auto"/>
                <w:w w:val="99"/>
              </w:rPr>
              <w:t>2</w:t>
            </w:r>
          </w:p>
        </w:tc>
        <w:tc>
          <w:tcPr>
            <w:tcW w:w="3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24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08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3"/>
              </w:rPr>
              <w:t>ManpowerGroup</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1"/>
              </w:rPr>
              <w:t>(in millions)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8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649.5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$116.6 and $111.6, respectively</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204.9</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4,874.0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967.8</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$148.5 and $138.1, respectively</w:t>
            </w:r>
          </w:p>
        </w:tc>
        <w:tc>
          <w:tcPr>
            <w:tcW w:w="2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367.9</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ind w:left="560"/>
              <w:spacing w:after="0"/>
              <w:rPr>
                <w:sz w:val="20"/>
                <w:szCs w:val="20"/>
                <w:color w:val="auto"/>
              </w:rPr>
            </w:pPr>
            <w:r>
              <w:rPr>
                <w:rFonts w:ascii="Arial" w:cs="Arial" w:eastAsia="Arial" w:hAnsi="Arial"/>
                <w:sz w:val="18"/>
                <w:szCs w:val="18"/>
                <w:color w:val="auto"/>
              </w:rPr>
              <w:t>Total other assets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16"/>
        </w:trPr>
        <w:tc>
          <w:tcPr>
            <w:tcW w:w="8240" w:type="dxa"/>
            <w:vAlign w:val="bottom"/>
            <w:gridSpan w:val="5"/>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property and equipment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7,017.4</w:t>
            </w:r>
          </w:p>
        </w:tc>
        <w:tc>
          <w:tcPr>
            <w:tcW w:w="240" w:type="dxa"/>
            <w:vAlign w:val="bottom"/>
          </w:tcPr>
          <w:p>
            <w:pPr>
              <w:spacing w:after="0"/>
              <w:rPr>
                <w:sz w:val="18"/>
                <w:szCs w:val="18"/>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6,729.7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1,454.9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195.3</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555.0</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2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512.3</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3,290.1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other liabilities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2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$.01 par value, authorized 125,000,000 shares, issued 108,556,632 and 108,294,605 shares,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820.9</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137.8</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26,566,184 and 26,535,104 shares, respectively</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520"/>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2,397.2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shd w:val="clear" w:color="auto" w:fill="CCEEFF"/>
          </w:tcPr>
          <w:p>
            <w:pPr>
              <w:ind w:left="56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7,017.4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6,729.7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3 Months Ended</w:t>
            </w:r>
          </w:p>
        </w:tc>
      </w:t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5,072.4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4,099.3</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4,214.8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3,397.8</w:t>
            </w: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701.5</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668.9</w:t>
            </w: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Interest and other expenses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70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35.7</w:t>
            </w:r>
          </w:p>
        </w:tc>
        <w:tc>
          <w:tcPr>
            <w:tcW w:w="4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720" w:type="dxa"/>
            <w:vAlign w:val="bottom"/>
            <w:gridSpan w:val="2"/>
          </w:tcPr>
          <w:p>
            <w:pPr>
              <w:spacing w:after="0" w:line="196" w:lineRule="exact"/>
              <w:rPr>
                <w:sz w:val="20"/>
                <w:szCs w:val="20"/>
                <w:color w:val="auto"/>
              </w:rPr>
            </w:pPr>
            <w:r>
              <w:rPr>
                <w:rFonts w:ascii="Arial" w:cs="Arial" w:eastAsia="Arial" w:hAnsi="Arial"/>
                <w:sz w:val="18"/>
                <w:szCs w:val="18"/>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0.44</w:t>
            </w:r>
          </w:p>
        </w:tc>
        <w:tc>
          <w:tcPr>
            <w:tcW w:w="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0.04</w:t>
            </w:r>
          </w:p>
        </w:tc>
      </w:tr>
      <w:tr>
        <w:trPr>
          <w:trHeight w:val="21"/>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0.43</w:t>
            </w:r>
          </w:p>
        </w:tc>
        <w:tc>
          <w:tcPr>
            <w:tcW w:w="4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0.04</w:t>
            </w: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720" w:type="dxa"/>
            <w:vAlign w:val="bottom"/>
            <w:gridSpan w:val="2"/>
          </w:tcPr>
          <w:p>
            <w:pPr>
              <w:spacing w:after="0" w:line="196" w:lineRule="exact"/>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78.6</w:t>
            </w:r>
          </w:p>
        </w:tc>
      </w:tr>
      <w:tr>
        <w:trPr>
          <w:trHeight w:val="21"/>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 diluted</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79.9</w:t>
            </w: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00" w:type="dxa"/>
            <w:vAlign w:val="bottom"/>
          </w:tcPr>
          <w:p>
            <w:pPr>
              <w:jc w:val="center"/>
              <w:ind w:left="2590"/>
              <w:spacing w:after="0"/>
              <w:rPr>
                <w:sz w:val="20"/>
                <w:szCs w:val="20"/>
                <w:color w:val="auto"/>
              </w:rPr>
            </w:pPr>
            <w:r>
              <w:rPr>
                <w:rFonts w:ascii="Arial" w:cs="Arial" w:eastAsia="Arial" w:hAnsi="Arial"/>
                <w:sz w:val="18"/>
                <w:szCs w:val="18"/>
                <w:b w:val="1"/>
                <w:bCs w:val="1"/>
                <w:color w:val="auto"/>
                <w:w w:val="93"/>
              </w:rPr>
              <w:t>ManpowerGroup</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00" w:type="dxa"/>
            <w:vAlign w:val="bottom"/>
          </w:tcPr>
          <w:p>
            <w:pPr>
              <w:jc w:val="center"/>
              <w:ind w:left="261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tcPr>
          <w:p>
            <w:pPr>
              <w:jc w:val="center"/>
              <w:ind w:left="261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2460" w:type="dxa"/>
            <w:vAlign w:val="bottom"/>
            <w:gridSpan w:val="6"/>
            <w:vMerge w:val="restart"/>
          </w:tcPr>
          <w:p>
            <w:pPr>
              <w:jc w:val="center"/>
              <w:ind w:right="380"/>
              <w:spacing w:after="0"/>
              <w:rPr>
                <w:sz w:val="20"/>
                <w:szCs w:val="20"/>
                <w:color w:val="auto"/>
              </w:rPr>
            </w:pPr>
            <w:r>
              <w:rPr>
                <w:rFonts w:ascii="Arial" w:cs="Arial" w:eastAsia="Arial" w:hAnsi="Arial"/>
                <w:sz w:val="18"/>
                <w:szCs w:val="18"/>
                <w:b w:val="1"/>
                <w:bCs w:val="1"/>
                <w:color w:val="auto"/>
                <w:w w:val="92"/>
              </w:rPr>
              <w:t>3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96"/>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Excess tax benefit on exercise of stock options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used in operating activities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4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Acquisitions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7"/>
        </w:trPr>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000" w:space="720"/>
            <w:col w:w="2700"/>
          </w:cols>
          <w:pgMar w:left="240" w:top="14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share-based awards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Excess tax benefit on exercise of stock options</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provided by financing activities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end of period</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649.5</w:t>
            </w:r>
          </w:p>
        </w:tc>
        <w:tc>
          <w:tcPr>
            <w:tcW w:w="160" w:type="dxa"/>
            <w:vAlign w:val="bottom"/>
          </w:tcPr>
          <w:p>
            <w:pPr>
              <w:spacing w:after="0"/>
              <w:rPr>
                <w:sz w:val="18"/>
                <w:szCs w:val="18"/>
                <w:color w:val="auto"/>
              </w:rPr>
            </w:pPr>
          </w:p>
        </w:tc>
        <w:tc>
          <w:tcPr>
            <w:tcW w:w="44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tcPr>
          <w:p>
            <w:pPr>
              <w:spacing w:after="0" w:line="196" w:lineRule="exact"/>
              <w:rPr>
                <w:sz w:val="20"/>
                <w:szCs w:val="20"/>
                <w:color w:val="auto"/>
              </w:rPr>
            </w:pPr>
            <w:r>
              <w:rPr>
                <w:rFonts w:ascii="Arial" w:cs="Arial" w:eastAsia="Arial" w:hAnsi="Arial"/>
                <w:sz w:val="18"/>
                <w:szCs w:val="18"/>
                <w:color w:val="auto"/>
              </w:rPr>
              <w:t>Income taxes paid</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55.3</w:t>
            </w:r>
          </w:p>
        </w:tc>
        <w:tc>
          <w:tcPr>
            <w:tcW w:w="160" w:type="dxa"/>
            <w:vAlign w:val="bottom"/>
          </w:tcPr>
          <w:p>
            <w:pPr>
              <w:spacing w:after="0"/>
              <w:rPr>
                <w:sz w:val="18"/>
                <w:szCs w:val="18"/>
                <w:color w:val="auto"/>
              </w:rPr>
            </w:pPr>
          </w:p>
        </w:tc>
        <w:tc>
          <w:tcPr>
            <w:tcW w:w="44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type w:val="continuous"/>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2011 and 2010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2010 Annual Report to Shareholders.</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w:t>
      </w: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Adopted Accounting Standards</w:t>
      </w:r>
    </w:p>
    <w:p>
      <w:pPr>
        <w:spacing w:after="0" w:line="25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October 2009, the FASB issued new accounting guidance on multiple-deliverable revenue arrangements. The new guidance amends the criteria for separating deliverables as well as how to measure and allocate consideration for such arrangements. The guidance also expands the disclosures related to a vendor’s multiple-deliverable revenue arrangements. We adopted the guidance prospectively as of January 2011, for our multiple-deliverable revenue arrangements entered into or materially modified in 2011. There was no impact of this adoption on our Consolidated Financial Statements.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December 2010, the FASB issued new accounting guidance on goodwill impairment testing. The new guidance modifies Step 1 of the goodwill impairment test for reporting units with zero or negative carrying amounts. We adopted the guidance effective January 1, 2011. There was no impact of this adoption on our Consolidated Financial Statements.</w:t>
      </w:r>
    </w:p>
    <w:p>
      <w:pPr>
        <w:spacing w:after="0" w:line="2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2010, the FASB issued new accounting guidance on business combinations. The new guidance clarifies the acquisition date that should be used for reporting the pro forma financial information disclosures when comparative financial statements are presented. The guidance also expands the supplemental pro forma disclosures. We adopted the guidance prospectively as of January 2011, for our business combinations with an acquisition date on or after January 1, 2011. There was no impact of this adoption on our Consolidated Financial Statements.</w:t>
      </w:r>
    </w:p>
    <w:p>
      <w:pPr>
        <w:spacing w:after="0" w:line="200" w:lineRule="exact"/>
        <w:rPr>
          <w:sz w:val="20"/>
          <w:szCs w:val="20"/>
          <w:color w:val="auto"/>
        </w:rPr>
      </w:pPr>
    </w:p>
    <w:p>
      <w:pPr>
        <w:spacing w:after="0" w:line="24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three months ended March 31, 2011 and 2010, we recognized share-based compensation expense of approximately $8.2 and $5.5, respectively. The expense relates to grants of stock options, deferred stock units, restricted stock units and performance share units. Consideration received from stock-based awards was $7.8 and $5.9 for the three months ended March 31, 2011 and 2010, respectively. We recognize share-based compensation expense related to grants of share-based awards in Selling and Administrative Expenses on a straight-line basis over the service period of each award.</w:t>
      </w: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5" w:right="319" w:bottom="1440" w:gutter="0" w:footer="0" w:header="0"/>
        </w:sectPr>
      </w:pPr>
    </w:p>
    <w:bookmarkStart w:id="7" w:name="page8"/>
    <w:bookmarkEnd w:id="7"/>
    <w:p>
      <w:pPr>
        <w:ind w:right="60"/>
        <w:spacing w:after="0" w:line="342" w:lineRule="auto"/>
        <w:rPr>
          <w:sz w:val="20"/>
          <w:szCs w:val="20"/>
          <w:color w:val="auto"/>
        </w:rPr>
      </w:pPr>
      <w:r>
        <w:rPr>
          <w:rFonts w:ascii="Arial" w:cs="Arial" w:eastAsia="Arial" w:hAnsi="Arial"/>
          <w:sz w:val="16"/>
          <w:szCs w:val="16"/>
          <w:color w:val="auto"/>
        </w:rPr>
        <w:t>Our annual grant of share-based compensation generally takes place during the first quarter of each fiscal year. The number of shares underlying grants to all employees and the weighted-average fair value per share for shares granted during the first quarter of 2011 and 2010 are presented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w w:val="95"/>
              </w:rPr>
              <w:t>3 Months Ended March 31,</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2010</w:t>
            </w:r>
          </w:p>
        </w:tc>
        <w:tc>
          <w:tcPr>
            <w:tcW w:w="1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3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6"/>
              </w:rPr>
              <w:t>Shares</w:t>
            </w:r>
          </w:p>
        </w:tc>
        <w:tc>
          <w:tcPr>
            <w:tcW w:w="11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3"/>
              </w:rPr>
              <w:t>Wtd.-Avg. Per</w:t>
            </w:r>
          </w:p>
        </w:tc>
        <w:tc>
          <w:tcPr>
            <w:tcW w:w="260" w:type="dxa"/>
            <w:vAlign w:val="bottom"/>
          </w:tcPr>
          <w:p>
            <w:pPr>
              <w:spacing w:after="0"/>
              <w:rPr>
                <w:sz w:val="17"/>
                <w:szCs w:val="17"/>
                <w:color w:val="auto"/>
              </w:rPr>
            </w:pPr>
          </w:p>
        </w:tc>
        <w:tc>
          <w:tcPr>
            <w:tcW w:w="126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7"/>
                <w:szCs w:val="17"/>
                <w:color w:val="auto"/>
              </w:rPr>
            </w:pPr>
          </w:p>
        </w:tc>
        <w:tc>
          <w:tcPr>
            <w:tcW w:w="11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Wtd.-Avg. Per</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Granted</w:t>
            </w:r>
          </w:p>
        </w:tc>
        <w:tc>
          <w:tcPr>
            <w:tcW w:w="14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Share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19.26</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Deferred Stock Units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62.76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54.58</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65.23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54.58</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Performance Share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67.12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53.01</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Shares Granted</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52.41</w:t>
            </w: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1,021</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23.59</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we acquire and invest in companies throughout the world, including franchises. No acquisition was made during the first quarter of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2010, the total cash consideration paid for acquisitions, net of cash acquired, was $0.1.</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2011 is expected to be $28.3 and in each of the next five years is expected to be as follows: 2012- $33.6, 2013 - $28.9, 2014 - $23.8, 2015 - $20.5 and 2016 - $17.4.</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April 5, 2010, we acquired COMSYS IT Partners, Inc. (“COMSYS”) from its existing shareholders. The value of the consideration for each outstanding share of COMSYS common stock was approximately $17.65, for a total enterprise value of $427.0, including debt of $47.1, which we repaid upon closing. The consideration was approximately 50% Manpower Inc. common stock (3.2 million shares with a fair value of $188.5 upon closing) and approximately 50% cash (consideration of $191.4).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right="140"/>
        <w:spacing w:after="0" w:line="238" w:lineRule="auto"/>
        <w:rPr>
          <w:sz w:val="20"/>
          <w:szCs w:val="20"/>
          <w:color w:val="auto"/>
        </w:rPr>
      </w:pPr>
      <w:r>
        <w:rPr>
          <w:rFonts w:ascii="Arial" w:cs="Arial" w:eastAsia="Arial" w:hAnsi="Arial"/>
          <w:sz w:val="22"/>
          <w:szCs w:val="22"/>
          <w:color w:val="auto"/>
        </w:rPr>
        <w:t>T</w:t>
      </w:r>
      <w:r>
        <w:rPr>
          <w:rFonts w:ascii="Arial" w:cs="Arial" w:eastAsia="Arial" w:hAnsi="Arial"/>
          <w:sz w:val="18"/>
          <w:szCs w:val="18"/>
          <w:color w:val="auto"/>
        </w:rPr>
        <w:t>he following unaudited pro forma information reflects the results of ManpowerGroup’s operations for the three months ended March 31, 2011 and 2010 as</w:t>
      </w:r>
      <w:r>
        <w:rPr>
          <w:rFonts w:ascii="Arial" w:cs="Arial" w:eastAsia="Arial" w:hAnsi="Arial"/>
          <w:sz w:val="22"/>
          <w:szCs w:val="22"/>
          <w:color w:val="auto"/>
        </w:rPr>
        <w:t xml:space="preserve"> </w:t>
      </w:r>
      <w:r>
        <w:rPr>
          <w:rFonts w:ascii="Arial" w:cs="Arial" w:eastAsia="Arial" w:hAnsi="Arial"/>
          <w:sz w:val="18"/>
          <w:szCs w:val="18"/>
          <w:color w:val="auto"/>
        </w:rPr>
        <w:t>if the COMSYS acquisition had been completed on January 1, 2010. Pro forma adjustments have been made to illustrate the incremental impact on earnings of amortization expense related to the acquired intangible assets, lost interest income that would have been earned on the cash proceeds used to acquire COMSYS and the tax impact of these respective items.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3 Months Ended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line="196" w:lineRule="exact"/>
              <w:rPr>
                <w:sz w:val="20"/>
                <w:szCs w:val="20"/>
                <w:color w:val="auto"/>
              </w:rPr>
            </w:pPr>
            <w:r>
              <w:rPr>
                <w:rFonts w:ascii="Arial" w:cs="Arial" w:eastAsia="Arial" w:hAnsi="Arial"/>
                <w:sz w:val="18"/>
                <w:szCs w:val="18"/>
                <w:color w:val="auto"/>
              </w:rPr>
              <w:t>Pro forma</w:t>
            </w:r>
          </w:p>
        </w:tc>
        <w:tc>
          <w:tcPr>
            <w:tcW w:w="290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5,072.4</w:t>
            </w:r>
          </w:p>
        </w:tc>
        <w:tc>
          <w:tcPr>
            <w:tcW w:w="6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4,268.9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As reported</w:t>
            </w:r>
          </w:p>
        </w:tc>
        <w:tc>
          <w:tcPr>
            <w:tcW w:w="2900" w:type="dxa"/>
            <w:vAlign w:val="bottom"/>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5,072.4</w:t>
            </w:r>
          </w:p>
        </w:tc>
        <w:tc>
          <w:tcPr>
            <w:tcW w:w="68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4,099.3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line="196" w:lineRule="exact"/>
              <w:rPr>
                <w:sz w:val="20"/>
                <w:szCs w:val="20"/>
                <w:color w:val="auto"/>
              </w:rPr>
            </w:pPr>
            <w:r>
              <w:rPr>
                <w:rFonts w:ascii="Arial" w:cs="Arial" w:eastAsia="Arial" w:hAnsi="Arial"/>
                <w:sz w:val="18"/>
                <w:szCs w:val="18"/>
                <w:color w:val="auto"/>
              </w:rPr>
              <w:t>Pro forma</w:t>
            </w:r>
          </w:p>
        </w:tc>
        <w:tc>
          <w:tcPr>
            <w:tcW w:w="290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35.7</w:t>
            </w:r>
          </w:p>
        </w:tc>
        <w:tc>
          <w:tcPr>
            <w:tcW w:w="6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As reported</w:t>
            </w:r>
          </w:p>
        </w:tc>
        <w:tc>
          <w:tcPr>
            <w:tcW w:w="2900" w:type="dxa"/>
            <w:vAlign w:val="bottom"/>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35.7</w:t>
            </w:r>
          </w:p>
        </w:tc>
        <w:tc>
          <w:tcPr>
            <w:tcW w:w="68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2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line="196" w:lineRule="exact"/>
              <w:rPr>
                <w:sz w:val="20"/>
                <w:szCs w:val="20"/>
                <w:color w:val="auto"/>
              </w:rPr>
            </w:pPr>
            <w:r>
              <w:rPr>
                <w:rFonts w:ascii="Arial" w:cs="Arial" w:eastAsia="Arial" w:hAnsi="Arial"/>
                <w:sz w:val="18"/>
                <w:szCs w:val="18"/>
                <w:color w:val="auto"/>
              </w:rPr>
              <w:t>Pro forma</w:t>
            </w:r>
          </w:p>
        </w:tc>
        <w:tc>
          <w:tcPr>
            <w:tcW w:w="290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0.43</w:t>
            </w:r>
          </w:p>
        </w:tc>
        <w:tc>
          <w:tcPr>
            <w:tcW w:w="6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As reported</w:t>
            </w:r>
          </w:p>
        </w:tc>
        <w:tc>
          <w:tcPr>
            <w:tcW w:w="25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unaudited pro forma information is provided for illustrative purposes only and does not represent what our consolidated results of operations would have been if the transaction had actually occurred as of January 1, 2010 and does not represent our expected future consolidated results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9" w:name="page10"/>
    <w:bookmarkEnd w:id="9"/>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Reorganization Costs</w:t>
      </w:r>
    </w:p>
    <w:p>
      <w:pPr>
        <w:spacing w:after="0" w:line="252"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We recorded net reorganization costs of $0.2 and $1.3 in the first quarter of 2011 and 2010, respectively, in Selling and Administrative Expenses, related to severances and office closures and consolidations in several countries. These expenses are net of reversals resulting mainly from larger-than-estimated cost savings from subleasing and lease buyouts as well as lower-than-expected severance costs. During the first quarter of 2011, we made payments of $10.7 out of our reorganization reserve. We expect a majority of the remaining $23.7 will be paid in 2011.</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reorganization reserve by reportable segment and Corporate are shown below. This presentation reflects the realignment of our segments. See Note 14 for further information.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Southern</w:t>
            </w:r>
          </w:p>
        </w:tc>
        <w:tc>
          <w:tcPr>
            <w:tcW w:w="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Northern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Right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line="234" w:lineRule="exact"/>
              <w:rPr>
                <w:sz w:val="20"/>
                <w:szCs w:val="20"/>
                <w:color w:val="auto"/>
              </w:rPr>
            </w:pPr>
            <w:r>
              <w:rPr>
                <w:rFonts w:ascii="Arial" w:cs="Arial" w:eastAsia="Arial" w:hAnsi="Arial"/>
                <w:sz w:val="18"/>
                <w:szCs w:val="18"/>
                <w:b w:val="1"/>
                <w:bCs w:val="1"/>
                <w:color w:val="auto"/>
                <w:w w:val="92"/>
              </w:rPr>
              <w:t>Americas</w:t>
            </w:r>
            <w:r>
              <w:rPr>
                <w:rFonts w:ascii="Arial" w:cs="Arial" w:eastAsia="Arial" w:hAnsi="Arial"/>
                <w:sz w:val="25"/>
                <w:szCs w:val="25"/>
                <w:color w:val="auto"/>
                <w:w w:val="92"/>
                <w:vertAlign w:val="superscript"/>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line="234" w:lineRule="exact"/>
              <w:rPr>
                <w:sz w:val="20"/>
                <w:szCs w:val="20"/>
                <w:color w:val="auto"/>
              </w:rPr>
            </w:pPr>
            <w:r>
              <w:rPr>
                <w:rFonts w:ascii="Arial" w:cs="Arial" w:eastAsia="Arial" w:hAnsi="Arial"/>
                <w:sz w:val="18"/>
                <w:szCs w:val="18"/>
                <w:b w:val="1"/>
                <w:bCs w:val="1"/>
                <w:color w:val="auto"/>
                <w:w w:val="89"/>
              </w:rPr>
              <w:t>Europe</w:t>
            </w:r>
            <w:r>
              <w:rPr>
                <w:rFonts w:ascii="Arial" w:cs="Arial" w:eastAsia="Arial" w:hAnsi="Arial"/>
                <w:sz w:val="25"/>
                <w:szCs w:val="25"/>
                <w:color w:val="auto"/>
                <w:w w:val="89"/>
                <w:vertAlign w:val="superscript"/>
              </w:rPr>
              <w:t>(2)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Europe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APME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9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Severance costs, net</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Office closure costs, net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Costs paid or utilized</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March 31, 2011</w:t>
            </w:r>
          </w:p>
        </w:tc>
        <w:tc>
          <w:tcPr>
            <w:tcW w:w="900" w:type="dxa"/>
            <w:vAlign w:val="bottom"/>
            <w:gridSpan w:val="2"/>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5.5</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5.7</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3.1</w:t>
            </w:r>
          </w:p>
        </w:tc>
        <w:tc>
          <w:tcPr>
            <w:tcW w:w="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0.8</w:t>
            </w: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8.6</w:t>
            </w:r>
          </w:p>
        </w:tc>
        <w:tc>
          <w:tcPr>
            <w:tcW w:w="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23.7</w:t>
            </w: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are related to the United States.</w:t>
      </w:r>
    </w:p>
    <w:p>
      <w:pPr>
        <w:spacing w:after="0" w:line="23" w:lineRule="exact"/>
        <w:rPr>
          <w:rFonts w:ascii="Arial" w:cs="Arial" w:eastAsia="Arial" w:hAnsi="Arial"/>
          <w:sz w:val="18"/>
          <w:szCs w:val="18"/>
          <w:color w:val="auto"/>
        </w:rPr>
      </w:pPr>
    </w:p>
    <w:p>
      <w:pPr>
        <w:ind w:right="40" w:firstLine="8"/>
        <w:spacing w:after="0" w:line="255"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 related to France was $5.6 as of January 1, 2011. In the first quarter of 2011, France recorded office closure costs of $0.1 and paid/utilized $0.9, leaving a $4.8 liability as of March 31, 2011. Italy had no liability as of January 1, 2011 but recorded severance costs of $0.9 in the first quarter of 2011 and made no payments, leaving a $0.9 liability as of March 31, 2011.</w:t>
      </w:r>
    </w:p>
    <w:p>
      <w:pPr>
        <w:spacing w:after="0" w:line="200" w:lineRule="exact"/>
        <w:rPr>
          <w:sz w:val="20"/>
          <w:szCs w:val="20"/>
          <w:color w:val="auto"/>
        </w:rPr>
      </w:pPr>
    </w:p>
    <w:p>
      <w:pPr>
        <w:spacing w:after="0" w:line="23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recorded an income tax expense at an effective rate of 52.1% for the three months ended March 31, 2011, as compared to an effective rate of 85.5% for the three months ended March 31, 2010. The 2011 rate was favorably impacted by a change in the overall mix of earnings, primarily an increase to non-U.S. income while 2010 was unfavorably impacted by valuation allowances related to losses in certain non-U.S. entities. The French Business Tax unfavorably impacted both 2011 and 2010. Excluding the impact of the French Business Tax, our tax rate for the three months ended March 31, 2011 would have been approximately 38%. The 52.1% effective tax rate was higher than the U.S. Federal statutory rate of 35% and we currently expect an annual effective tax rate of approximately 45%, due primarily to the impact of the mix of U.S. and non-U.S. earnings, valuation allowances, other permanent items and the French Business Tax.</w:t>
      </w:r>
    </w:p>
    <w:p>
      <w:pPr>
        <w:spacing w:after="0" w:line="21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of March 31, 2011, we had gross unrecognized tax benefits of $26.7 recorded in accordance with the current accounting guidance on uncertain tax positions. Our uncertain tax position accrual was related to various tax jurisdictions, including $1.5 of interest and penalties, and related tax benefits of $4.3. As of December 31, 2010, we had gross unrecognized tax benefits of $26.4 and related tax benefits of $4.3. The net amount of $22.4 as of March 31, 2011 would favorably affect the effective tax rate if recognized. We do not expect our unrecognized tax benefits to change significantly over the next 12 months.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2007 through 2011 for our major operations in the U.S., France, the United Kingdom, Germany, Japan, and Italy. As of March 31, 2011, we are under audit in France, Belgium, Denmark, Italy, Norway, Spain, and the U.S., and we believe that the resolution of these audits will not have a material impact on earnings. There was no significant change in the total unrecognized tax benefits due to the settlement of audits, the expiration of statute of limitations, or for other items during the quarter ended March 31, 2011.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720" w:type="dxa"/>
            <w:vAlign w:val="bottom"/>
            <w:gridSpan w:val="4"/>
          </w:tcPr>
          <w:p>
            <w:pPr>
              <w:spacing w:after="0"/>
              <w:rPr>
                <w:sz w:val="20"/>
                <w:szCs w:val="20"/>
                <w:color w:val="auto"/>
              </w:rPr>
            </w:pPr>
            <w:r>
              <w:rPr>
                <w:rFonts w:ascii="Arial" w:cs="Arial" w:eastAsia="Arial" w:hAnsi="Arial"/>
                <w:sz w:val="18"/>
                <w:szCs w:val="18"/>
                <w:color w:val="auto"/>
              </w:rPr>
              <w:t>(7) Net Earnings Per Share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8720" w:type="dxa"/>
            <w:vAlign w:val="bottom"/>
            <w:gridSpan w:val="4"/>
          </w:tcPr>
          <w:p>
            <w:pPr>
              <w:spacing w:after="0"/>
              <w:rPr>
                <w:sz w:val="20"/>
                <w:szCs w:val="20"/>
                <w:color w:val="auto"/>
              </w:rPr>
            </w:pPr>
            <w:r>
              <w:rPr>
                <w:rFonts w:ascii="Arial" w:cs="Arial" w:eastAsia="Arial" w:hAnsi="Arial"/>
                <w:sz w:val="18"/>
                <w:szCs w:val="18"/>
                <w:color w:val="auto"/>
              </w:rPr>
              <w:t>The calculation of Net Earnings Per Share – Basic and Net Earnings Per Share – Diluted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3 Months Ended</w:t>
            </w: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earnings available to common shareholders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6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earnings available to common shareholders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w:t>
            </w:r>
          </w:p>
        </w:tc>
      </w:tr>
      <w:tr>
        <w:trPr>
          <w:trHeight w:val="216"/>
        </w:trPr>
        <w:tc>
          <w:tcPr>
            <w:tcW w:w="20" w:type="dxa"/>
            <w:vAlign w:val="bottom"/>
          </w:tcPr>
          <w:p>
            <w:pPr>
              <w:spacing w:after="0"/>
              <w:rPr>
                <w:sz w:val="18"/>
                <w:szCs w:val="18"/>
                <w:color w:val="auto"/>
              </w:rPr>
            </w:pPr>
          </w:p>
        </w:tc>
        <w:tc>
          <w:tcPr>
            <w:tcW w:w="8700" w:type="dxa"/>
            <w:vAlign w:val="bottom"/>
            <w:gridSpan w:val="3"/>
          </w:tcPr>
          <w:p>
            <w:pPr>
              <w:ind w:left="40"/>
              <w:spacing w:after="0"/>
              <w:rPr>
                <w:sz w:val="20"/>
                <w:szCs w:val="20"/>
                <w:color w:val="auto"/>
              </w:rPr>
            </w:pPr>
            <w:r>
              <w:rPr>
                <w:rFonts w:ascii="Arial" w:cs="Arial" w:eastAsia="Arial" w:hAnsi="Arial"/>
                <w:sz w:val="18"/>
                <w:szCs w:val="18"/>
                <w:color w:val="auto"/>
              </w:rPr>
              <w:t>Effect of restricted stock grants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Effect of dilutive securities – stock options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6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7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There were 1.6 million and 2.5 million stock-based awards excluded from the calculation of Net Earnings Per Share – Diluted for the three months ended March 31, 2011 and 2010, respectively, as the exercise price for these awards was greater than the average market price of the common shares during the period.</w:t>
      </w:r>
    </w:p>
    <w:p>
      <w:pPr>
        <w:spacing w:after="0" w:line="200" w:lineRule="exact"/>
        <w:rPr>
          <w:sz w:val="20"/>
          <w:szCs w:val="20"/>
          <w:color w:val="auto"/>
        </w:rPr>
      </w:pPr>
    </w:p>
    <w:p>
      <w:pPr>
        <w:spacing w:after="0" w:line="224"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carrying value of goodwill by reportable segment and Corporate were as follows. This presentation reflects the realignment of our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further information.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Southern</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Northern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Right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line="234" w:lineRule="exact"/>
              <w:rPr>
                <w:sz w:val="20"/>
                <w:szCs w:val="20"/>
                <w:color w:val="auto"/>
              </w:rPr>
            </w:pPr>
            <w:r>
              <w:rPr>
                <w:rFonts w:ascii="Arial" w:cs="Arial" w:eastAsia="Arial" w:hAnsi="Arial"/>
                <w:sz w:val="18"/>
                <w:szCs w:val="18"/>
                <w:b w:val="1"/>
                <w:bCs w:val="1"/>
                <w:color w:val="auto"/>
                <w:w w:val="92"/>
              </w:rPr>
              <w:t>Americas</w:t>
            </w:r>
            <w:r>
              <w:rPr>
                <w:rFonts w:ascii="Arial" w:cs="Arial" w:eastAsia="Arial" w:hAnsi="Arial"/>
                <w:sz w:val="25"/>
                <w:szCs w:val="25"/>
                <w:color w:val="auto"/>
                <w:w w:val="92"/>
                <w:vertAlign w:val="superscript"/>
              </w:rPr>
              <w:t>(1)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line="234" w:lineRule="exact"/>
              <w:rPr>
                <w:sz w:val="20"/>
                <w:szCs w:val="20"/>
                <w:color w:val="auto"/>
              </w:rPr>
            </w:pPr>
            <w:r>
              <w:rPr>
                <w:rFonts w:ascii="Arial" w:cs="Arial" w:eastAsia="Arial" w:hAnsi="Arial"/>
                <w:sz w:val="18"/>
                <w:szCs w:val="18"/>
                <w:b w:val="1"/>
                <w:bCs w:val="1"/>
                <w:color w:val="auto"/>
                <w:w w:val="87"/>
              </w:rPr>
              <w:t>Europe</w:t>
            </w:r>
            <w:r>
              <w:rPr>
                <w:rFonts w:ascii="Arial" w:cs="Arial" w:eastAsia="Arial" w:hAnsi="Arial"/>
                <w:sz w:val="25"/>
                <w:szCs w:val="25"/>
                <w:color w:val="auto"/>
                <w:w w:val="87"/>
                <w:vertAlign w:val="superscript"/>
              </w:rPr>
              <w:t>(2)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Europe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APME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Management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line="234" w:lineRule="exact"/>
              <w:rPr>
                <w:sz w:val="20"/>
                <w:szCs w:val="20"/>
                <w:color w:val="auto"/>
              </w:rPr>
            </w:pPr>
            <w:r>
              <w:rPr>
                <w:rFonts w:ascii="Arial" w:cs="Arial" w:eastAsia="Arial" w:hAnsi="Arial"/>
                <w:sz w:val="18"/>
                <w:szCs w:val="18"/>
                <w:b w:val="1"/>
                <w:bCs w:val="1"/>
                <w:color w:val="auto"/>
                <w:w w:val="97"/>
              </w:rPr>
              <w:t>Corporate</w:t>
            </w:r>
            <w:r>
              <w:rPr>
                <w:rFonts w:ascii="Arial" w:cs="Arial" w:eastAsia="Arial" w:hAnsi="Arial"/>
                <w:sz w:val="25"/>
                <w:szCs w:val="25"/>
                <w:color w:val="auto"/>
                <w:w w:val="97"/>
                <w:vertAlign w:val="superscript"/>
              </w:rPr>
              <w:t>(3)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5"/>
                <w:szCs w:val="25"/>
                <w:color w:val="auto"/>
                <w:vertAlign w:val="superscript"/>
              </w:rPr>
              <w:t>(4)</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954.1</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Goodwill acquired</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Currency and other impacts</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r>
      <w:tr>
        <w:trPr>
          <w:trHeight w:val="27"/>
        </w:trPr>
        <w:tc>
          <w:tcPr>
            <w:tcW w:w="20" w:type="dxa"/>
            <w:vAlign w:val="bottom"/>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760" w:type="dxa"/>
            <w:vAlign w:val="bottom"/>
            <w:gridSpan w:val="2"/>
          </w:tcPr>
          <w:p>
            <w:pPr>
              <w:spacing w:after="0" w:line="196" w:lineRule="exact"/>
              <w:rPr>
                <w:sz w:val="20"/>
                <w:szCs w:val="20"/>
                <w:color w:val="auto"/>
              </w:rPr>
            </w:pPr>
            <w:r>
              <w:rPr>
                <w:rFonts w:ascii="Arial" w:cs="Arial" w:eastAsia="Arial" w:hAnsi="Arial"/>
                <w:sz w:val="18"/>
                <w:szCs w:val="18"/>
                <w:color w:val="auto"/>
              </w:rPr>
              <w:t>Balance, March 31, 2011</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466.1</w:t>
            </w:r>
          </w:p>
        </w:tc>
        <w:tc>
          <w:tcPr>
            <w:tcW w:w="240" w:type="dxa"/>
            <w:vAlign w:val="bottom"/>
          </w:tcPr>
          <w:p>
            <w:pPr>
              <w:spacing w:after="0"/>
              <w:rPr>
                <w:sz w:val="18"/>
                <w:szCs w:val="18"/>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34.7</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276.1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61.8</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64.9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967.8</w:t>
            </w: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 related to the United States was $451.7 for both January 1, 2011 and March 31, 2011.</w:t>
      </w:r>
    </w:p>
    <w:p>
      <w:pPr>
        <w:spacing w:after="0" w:line="23" w:lineRule="exact"/>
        <w:rPr>
          <w:rFonts w:ascii="Arial" w:cs="Arial" w:eastAsia="Arial" w:hAnsi="Arial"/>
          <w:sz w:val="18"/>
          <w:szCs w:val="18"/>
          <w:color w:val="auto"/>
        </w:rPr>
      </w:pPr>
    </w:p>
    <w:p>
      <w:pPr>
        <w:ind w:right="80" w:firstLine="8"/>
        <w:spacing w:after="0" w:line="281" w:lineRule="auto"/>
        <w:tabs>
          <w:tab w:leader="none" w:pos="39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Balances related to France were $15.8 and $16.7 as of January 1, 2011 and March 31, 2011, respectively. The $0.9 change represents a currency impact. Balances related to Italy were $4.6 and $4.8 as of January 1, 2011 and March 31, 2011, respectively. The $0.2 change represents a currency impact.</w:t>
      </w:r>
    </w:p>
    <w:p>
      <w:pPr>
        <w:spacing w:after="0" w:line="1" w:lineRule="exact"/>
        <w:rPr>
          <w:rFonts w:ascii="Arial" w:cs="Arial" w:eastAsia="Arial" w:hAnsi="Arial"/>
          <w:sz w:val="16"/>
          <w:szCs w:val="16"/>
          <w:color w:val="auto"/>
        </w:rPr>
      </w:pPr>
    </w:p>
    <w:p>
      <w:pPr>
        <w:ind w:right="160" w:firstLine="8"/>
        <w:spacing w:after="0" w:line="250" w:lineRule="auto"/>
        <w:tabs>
          <w:tab w:leader="none" w:pos="2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from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January 1, 2011 and March 31, 2011.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January 1,</w:t>
            </w:r>
          </w:p>
        </w:tc>
      </w:tr>
      <w:tr>
        <w:trPr>
          <w:trHeight w:val="241"/>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507.2</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Elan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123.2</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Netherlands (Vitae)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Right Management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reporting units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181.2</w:t>
            </w:r>
          </w:p>
        </w:tc>
      </w:tr>
      <w:tr>
        <w:trPr>
          <w:trHeight w:val="27"/>
        </w:trPr>
        <w:tc>
          <w:tcPr>
            <w:tcW w:w="20" w:type="dxa"/>
            <w:vAlign w:val="bottom"/>
          </w:tcPr>
          <w:p>
            <w:pPr>
              <w:spacing w:after="0"/>
              <w:rPr>
                <w:sz w:val="2"/>
                <w:szCs w:val="2"/>
                <w:color w:val="auto"/>
              </w:rPr>
            </w:pPr>
          </w:p>
        </w:tc>
        <w:tc>
          <w:tcPr>
            <w:tcW w:w="85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
              <w:spacing w:after="0" w:line="196" w:lineRule="exact"/>
              <w:rPr>
                <w:sz w:val="20"/>
                <w:szCs w:val="20"/>
                <w:color w:val="auto"/>
              </w:rPr>
            </w:pPr>
            <w:r>
              <w:rPr>
                <w:rFonts w:ascii="Arial" w:cs="Arial" w:eastAsia="Arial" w:hAnsi="Arial"/>
                <w:sz w:val="18"/>
                <w:szCs w:val="18"/>
                <w:color w:val="auto"/>
              </w:rPr>
              <w:t>Total goodwill</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967.8</w:t>
            </w:r>
          </w:p>
        </w:tc>
        <w:tc>
          <w:tcPr>
            <w:tcW w:w="240" w:type="dxa"/>
            <w:vAlign w:val="bottom"/>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954.1</w:t>
            </w:r>
          </w:p>
        </w:tc>
      </w:tr>
      <w:tr>
        <w:trPr>
          <w:trHeight w:val="21"/>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did not perform an interim impairment test of our goodwill and indefinite-lived intangible assets in the first quarter of 2011 as we noted no significant indicators of impairment as of March 31, 2011.</w:t>
      </w:r>
    </w:p>
    <w:p>
      <w:pPr>
        <w:spacing w:after="0" w:line="200" w:lineRule="exact"/>
        <w:rPr>
          <w:sz w:val="20"/>
          <w:szCs w:val="20"/>
          <w:color w:val="auto"/>
        </w:rPr>
      </w:pPr>
    </w:p>
    <w:p>
      <w:pPr>
        <w:spacing w:after="0" w:line="214"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 Months Ended March 31,</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00" w:type="dxa"/>
            <w:vAlign w:val="bottom"/>
            <w:gridSpan w:val="3"/>
          </w:tcPr>
          <w:p>
            <w:pPr>
              <w:jc w:val="right"/>
              <w:ind w:right="397"/>
              <w:spacing w:after="0" w:line="198" w:lineRule="exact"/>
              <w:rPr>
                <w:sz w:val="20"/>
                <w:szCs w:val="20"/>
                <w:color w:val="auto"/>
              </w:rPr>
            </w:pPr>
            <w:r>
              <w:rPr>
                <w:rFonts w:ascii="Arial" w:cs="Arial" w:eastAsia="Arial" w:hAnsi="Arial"/>
                <w:sz w:val="18"/>
                <w:szCs w:val="18"/>
                <w:b w:val="1"/>
                <w:bCs w:val="1"/>
                <w:color w:val="auto"/>
                <w:w w:val="90"/>
              </w:rPr>
              <w:t>Defined Benefit</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97"/>
              </w:rPr>
              <w:t>Retiree Health</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8"/>
                <w:szCs w:val="18"/>
                <w:b w:val="1"/>
                <w:bCs w:val="1"/>
                <w:color w:val="auto"/>
                <w:w w:val="92"/>
              </w:rPr>
              <w:t>Pension Plans</w:t>
            </w:r>
          </w:p>
        </w:tc>
        <w:tc>
          <w:tcPr>
            <w:tcW w:w="4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8"/>
                <w:szCs w:val="18"/>
                <w:b w:val="1"/>
                <w:bCs w:val="1"/>
                <w:color w:val="auto"/>
              </w:rPr>
              <w:t>Care Plan</w:t>
            </w: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2010</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7"/>
              </w:rPr>
              <w:t>2.6</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8"/>
                <w:szCs w:val="18"/>
                <w:color w:val="auto"/>
              </w:rPr>
            </w:pPr>
          </w:p>
        </w:tc>
        <w:tc>
          <w:tcPr>
            <w:tcW w:w="420" w:type="dxa"/>
            <w:vAlign w:val="bottom"/>
          </w:tcPr>
          <w:p>
            <w:pPr>
              <w:jc w:val="center"/>
              <w:ind w:left="110"/>
              <w:spacing w:after="0"/>
              <w:rPr>
                <w:sz w:val="20"/>
                <w:szCs w:val="20"/>
                <w:color w:val="auto"/>
              </w:rPr>
            </w:pPr>
            <w:r>
              <w:rPr>
                <w:rFonts w:ascii="Arial" w:cs="Arial" w:eastAsia="Arial" w:hAnsi="Arial"/>
                <w:sz w:val="18"/>
                <w:szCs w:val="18"/>
                <w:color w:val="auto"/>
                <w:w w:val="87"/>
              </w:rPr>
              <w:t>3.9</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88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(3.8)</w:t>
            </w:r>
          </w:p>
        </w:tc>
        <w:tc>
          <w:tcPr>
            <w:tcW w:w="10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420" w:type="dxa"/>
            <w:vAlign w:val="bottom"/>
          </w:tcPr>
          <w:p>
            <w:pPr>
              <w:jc w:val="center"/>
              <w:ind w:left="110"/>
              <w:spacing w:after="0"/>
              <w:rPr>
                <w:sz w:val="20"/>
                <w:szCs w:val="20"/>
                <w:color w:val="auto"/>
              </w:rPr>
            </w:pPr>
            <w:r>
              <w:rPr>
                <w:rFonts w:ascii="Arial" w:cs="Arial" w:eastAsia="Arial" w:hAnsi="Arial"/>
                <w:sz w:val="18"/>
                <w:szCs w:val="18"/>
                <w:color w:val="auto"/>
                <w:w w:val="87"/>
              </w:rPr>
              <w:t>0.1</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Net periodic benefit cost</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7"/>
              </w:rPr>
              <w:t>2.8</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0.3</w:t>
            </w: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During the three months ended March 31, 2011, contributions made to our pension plans were $5.0 and contributions made to our retiree health care plan were $0.5. During 2011, we expect to make total contributions of $20.0 to our pension plans and to fund our retiree health care payments as incurred.</w:t>
      </w:r>
    </w:p>
    <w:p>
      <w:pPr>
        <w:spacing w:after="0" w:line="39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Shareholders’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(Loss), net of tax,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18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3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2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35.7</w:t>
            </w:r>
          </w:p>
        </w:tc>
        <w:tc>
          <w:tcPr>
            <w:tcW w:w="9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4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49.3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(64.1)</w:t>
            </w:r>
          </w:p>
        </w:tc>
      </w:tr>
      <w:tr>
        <w:trPr>
          <w:trHeight w:val="216"/>
        </w:trPr>
        <w:tc>
          <w:tcPr>
            <w:tcW w:w="20" w:type="dxa"/>
            <w:vAlign w:val="bottom"/>
          </w:tcPr>
          <w:p>
            <w:pPr>
              <w:spacing w:after="0"/>
              <w:rPr>
                <w:sz w:val="18"/>
                <w:szCs w:val="18"/>
                <w:color w:val="auto"/>
              </w:rPr>
            </w:pPr>
          </w:p>
        </w:tc>
        <w:tc>
          <w:tcPr>
            <w:tcW w:w="4260" w:type="dxa"/>
            <w:vAlign w:val="bottom"/>
          </w:tcPr>
          <w:p>
            <w:pPr>
              <w:ind w:left="40"/>
              <w:spacing w:after="0"/>
              <w:rPr>
                <w:sz w:val="20"/>
                <w:szCs w:val="20"/>
                <w:color w:val="auto"/>
              </w:rPr>
            </w:pPr>
            <w:r>
              <w:rPr>
                <w:rFonts w:ascii="Arial" w:cs="Arial" w:eastAsia="Arial" w:hAnsi="Arial"/>
                <w:sz w:val="18"/>
                <w:szCs w:val="18"/>
                <w:color w:val="auto"/>
              </w:rPr>
              <w:t>Unrealized gain on investments</w:t>
            </w:r>
          </w:p>
        </w:tc>
        <w:tc>
          <w:tcPr>
            <w:tcW w:w="4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4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tcPr>
          <w:p>
            <w:pPr>
              <w:ind w:left="40"/>
              <w:spacing w:after="0"/>
              <w:rPr>
                <w:sz w:val="20"/>
                <w:szCs w:val="20"/>
                <w:color w:val="auto"/>
              </w:rPr>
            </w:pPr>
            <w:r>
              <w:rPr>
                <w:rFonts w:ascii="Arial" w:cs="Arial" w:eastAsia="Arial" w:hAnsi="Arial"/>
                <w:sz w:val="18"/>
                <w:szCs w:val="18"/>
                <w:color w:val="auto"/>
              </w:rPr>
              <w:t>Retiree health care plan</w:t>
            </w:r>
          </w:p>
        </w:tc>
        <w:tc>
          <w:tcPr>
            <w:tcW w:w="4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260" w:type="dxa"/>
            <w:vAlign w:val="bottom"/>
            <w:shd w:val="clear" w:color="auto" w:fill="CCEEFF"/>
          </w:tcPr>
          <w:p>
            <w:pPr>
              <w:ind w:left="760"/>
              <w:spacing w:after="0" w:line="196" w:lineRule="exact"/>
              <w:rPr>
                <w:sz w:val="20"/>
                <w:szCs w:val="20"/>
                <w:color w:val="auto"/>
              </w:rPr>
            </w:pPr>
            <w:r>
              <w:rPr>
                <w:rFonts w:ascii="Arial" w:cs="Arial" w:eastAsia="Arial" w:hAnsi="Arial"/>
                <w:sz w:val="18"/>
                <w:szCs w:val="18"/>
                <w:color w:val="auto"/>
              </w:rPr>
              <w:t>Comprehensive income (loss)</w:t>
            </w:r>
          </w:p>
        </w:tc>
        <w:tc>
          <w:tcPr>
            <w:tcW w:w="5240" w:type="dxa"/>
            <w:vAlign w:val="bottom"/>
            <w:gridSpan w:val="2"/>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6"/>
              </w:rPr>
              <w:t>86.5</w:t>
            </w:r>
          </w:p>
        </w:tc>
        <w:tc>
          <w:tcPr>
            <w:tcW w:w="900" w:type="dxa"/>
            <w:vAlign w:val="bottom"/>
            <w:gridSpan w:val="2"/>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89"/>
              </w:rPr>
              <w:t>(60.2)</w:t>
            </w:r>
          </w:p>
        </w:tc>
      </w:tr>
      <w:tr>
        <w:trPr>
          <w:trHeight w:val="844"/>
        </w:trPr>
        <w:tc>
          <w:tcPr>
            <w:tcW w:w="20" w:type="dxa"/>
            <w:vAlign w:val="bottom"/>
          </w:tcPr>
          <w:p>
            <w:pPr>
              <w:spacing w:after="0"/>
              <w:rPr>
                <w:sz w:val="24"/>
                <w:szCs w:val="24"/>
                <w:color w:val="auto"/>
              </w:rPr>
            </w:pPr>
          </w:p>
        </w:tc>
        <w:tc>
          <w:tcPr>
            <w:tcW w:w="4260" w:type="dxa"/>
            <w:vAlign w:val="bottom"/>
            <w:tcBorders>
              <w:top w:val="single" w:sz="8" w:color="CCEEFF"/>
            </w:tcBorders>
          </w:tcPr>
          <w:p>
            <w:pPr>
              <w:spacing w:after="0"/>
              <w:rPr>
                <w:sz w:val="24"/>
                <w:szCs w:val="24"/>
                <w:color w:val="auto"/>
              </w:rPr>
            </w:pPr>
          </w:p>
        </w:tc>
        <w:tc>
          <w:tcPr>
            <w:tcW w:w="4440" w:type="dxa"/>
            <w:vAlign w:val="bottom"/>
            <w:tcBorders>
              <w:top w:val="single" w:sz="8" w:color="CCEEFF"/>
            </w:tcBorders>
          </w:tcPr>
          <w:p>
            <w:pPr>
              <w:jc w:val="right"/>
              <w:ind w:right="2830"/>
              <w:spacing w:after="0"/>
              <w:rPr>
                <w:sz w:val="20"/>
                <w:szCs w:val="20"/>
                <w:color w:val="auto"/>
              </w:rPr>
            </w:pPr>
            <w:r>
              <w:rPr>
                <w:rFonts w:ascii="Arial" w:cs="Arial" w:eastAsia="Arial" w:hAnsi="Arial"/>
                <w:sz w:val="18"/>
                <w:szCs w:val="18"/>
                <w:color w:val="auto"/>
              </w:rPr>
              <w:t>12</w:t>
            </w:r>
          </w:p>
        </w:tc>
        <w:tc>
          <w:tcPr>
            <w:tcW w:w="8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components of Accumulated Other Comprehensive Income, net of tax, were as follows: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 on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Retiree health care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53"/>
        <w:spacing w:after="0"/>
        <w:rPr>
          <w:sz w:val="20"/>
          <w:szCs w:val="20"/>
          <w:color w:val="auto"/>
        </w:rPr>
      </w:pPr>
      <w:r>
        <w:rPr>
          <w:rFonts w:ascii="Arial" w:cs="Arial" w:eastAsia="Arial" w:hAnsi="Arial"/>
          <w:sz w:val="18"/>
          <w:szCs w:val="18"/>
          <w:b w:val="1"/>
          <w:bCs w:val="1"/>
          <w:color w:val="auto"/>
        </w:rPr>
        <w:t>March 31,</w:t>
      </w:r>
    </w:p>
    <w:p>
      <w:pPr>
        <w:spacing w:after="0" w:line="27" w:lineRule="exact"/>
        <w:rPr>
          <w:sz w:val="20"/>
          <w:szCs w:val="20"/>
          <w:color w:val="auto"/>
        </w:rPr>
      </w:pPr>
    </w:p>
    <w:p>
      <w:pPr>
        <w:jc w:val="center"/>
        <w:ind w:right="53"/>
        <w:spacing w:after="0"/>
        <w:rPr>
          <w:sz w:val="20"/>
          <w:szCs w:val="20"/>
          <w:color w:val="auto"/>
        </w:rPr>
      </w:pPr>
      <w:r>
        <w:rPr>
          <w:rFonts w:ascii="Arial" w:cs="Arial" w:eastAsia="Arial" w:hAnsi="Arial"/>
          <w:sz w:val="18"/>
          <w:szCs w:val="18"/>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921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92175" cy="17145"/>
                    </a:xfrm>
                    <a:prstGeom prst="rect">
                      <a:avLst/>
                    </a:prstGeom>
                    <a:noFill/>
                  </pic:spPr>
                </pic:pic>
              </a:graphicData>
            </a:graphic>
          </wp:anchor>
        </w:drawing>
      </w:r>
    </w:p>
    <w:p>
      <w:pPr>
        <w:spacing w:after="0" w:line="2" w:lineRule="exact"/>
        <w:rPr>
          <w:sz w:val="20"/>
          <w:szCs w:val="20"/>
          <w:color w:val="auto"/>
        </w:rPr>
      </w:pPr>
    </w:p>
    <w:p>
      <w:pPr>
        <w:ind w:left="1007" w:hanging="1007"/>
        <w:spacing w:after="0"/>
        <w:tabs>
          <w:tab w:leader="none" w:pos="10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145.9</w:t>
      </w:r>
    </w:p>
    <w:p>
      <w:pPr>
        <w:spacing w:after="0" w:line="23"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Arial" w:cs="Arial" w:eastAsia="Arial" w:hAnsi="Arial"/>
          <w:sz w:val="18"/>
          <w:szCs w:val="18"/>
          <w:color w:val="auto"/>
        </w:rPr>
        <w:t>8.8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921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92175" cy="17145"/>
                    </a:xfrm>
                    <a:prstGeom prst="rect">
                      <a:avLst/>
                    </a:prstGeom>
                    <a:noFill/>
                  </pic:spPr>
                </pic:pic>
              </a:graphicData>
            </a:graphic>
          </wp:anchor>
        </w:drawing>
      </w:r>
    </w:p>
    <w:p>
      <w:pPr>
        <w:spacing w:after="0" w:line="2" w:lineRule="exact"/>
        <w:rPr>
          <w:sz w:val="20"/>
          <w:szCs w:val="20"/>
          <w:color w:val="auto"/>
        </w:rPr>
      </w:pPr>
    </w:p>
    <w:p>
      <w:pPr>
        <w:ind w:left="1007" w:hanging="1007"/>
        <w:spacing w:after="0"/>
        <w:tabs>
          <w:tab w:leader="none" w:pos="10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921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92175" cy="17145"/>
                    </a:xfrm>
                    <a:prstGeom prst="rect">
                      <a:avLst/>
                    </a:prstGeom>
                    <a:noFill/>
                  </pic:spPr>
                </pic:pic>
              </a:graphicData>
            </a:graphic>
          </wp:anchor>
        </w:drawing>
      </w:r>
    </w:p>
    <w:p>
      <w:pPr>
        <w:spacing w:after="0" w:line="2" w:lineRule="exact"/>
        <w:rPr>
          <w:sz w:val="20"/>
          <w:szCs w:val="20"/>
          <w:color w:val="auto"/>
        </w:rPr>
      </w:pPr>
    </w:p>
    <w:p>
      <w:pPr>
        <w:ind w:left="1100" w:hanging="1100"/>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96.6</w:t>
      </w:r>
    </w:p>
    <w:p>
      <w:pPr>
        <w:spacing w:after="0" w:line="23"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8.0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(19.1)</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921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92175" cy="17145"/>
                    </a:xfrm>
                    <a:prstGeom prst="rect">
                      <a:avLst/>
                    </a:prstGeom>
                    <a:noFill/>
                  </pic:spPr>
                </pic:pic>
              </a:graphicData>
            </a:graphic>
          </wp:anchor>
        </w:drawing>
      </w:r>
    </w:p>
    <w:p>
      <w:pPr>
        <w:spacing w:after="0" w:line="2" w:lineRule="exact"/>
        <w:rPr>
          <w:sz w:val="20"/>
          <w:szCs w:val="20"/>
          <w:color w:val="auto"/>
        </w:rPr>
      </w:pPr>
    </w:p>
    <w:p>
      <w:pPr>
        <w:ind w:left="1100" w:hanging="1100"/>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87.0</w:t>
      </w:r>
    </w:p>
    <w:p>
      <w:pPr>
        <w:spacing w:after="0" w:line="254" w:lineRule="exact"/>
        <w:rPr>
          <w:sz w:val="20"/>
          <w:szCs w:val="20"/>
          <w:color w:val="auto"/>
        </w:rPr>
      </w:pPr>
    </w:p>
    <w:p>
      <w:pPr>
        <w:sectPr>
          <w:pgSz w:w="11900" w:h="16838" w:orient="portrait"/>
          <w:cols w:equalWidth="0" w:num="3">
            <w:col w:w="7513" w:space="720"/>
            <w:col w:w="1467" w:space="180"/>
            <w:col w:w="1520"/>
          </w:cols>
          <w:pgMar w:left="240" w:top="274" w:right="259" w:bottom="1440" w:gutter="0" w:footer="0" w:header="0"/>
        </w:sectPr>
      </w:pPr>
    </w:p>
    <w:p>
      <w:pPr>
        <w:spacing w:after="0" w:line="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3, 2011, the Board of Directors declared a cash dividend of $0.40 per share, which is payable on June 15, 2011 to shareholders of record on June 1, 2011.</w:t>
      </w:r>
    </w:p>
    <w:p>
      <w:pPr>
        <w:sectPr>
          <w:pgSz w:w="11900" w:h="16838" w:orient="portrait"/>
          <w:cols w:equalWidth="0" w:num="1">
            <w:col w:w="11400"/>
          </w:cols>
          <w:pgMar w:left="240" w:top="274" w:right="259" w:bottom="1440" w:gutter="0" w:footer="0" w:header="0"/>
          <w:type w:val="continuous"/>
        </w:sectPr>
      </w:pPr>
    </w:p>
    <w:p>
      <w:pPr>
        <w:spacing w:after="0" w:line="38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Miscellaneous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and other expenses</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Derivative Financial Instruments and 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3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20"/>
                <w:szCs w:val="20"/>
                <w:color w:val="auto"/>
              </w:rPr>
            </w:pPr>
          </w:p>
        </w:tc>
      </w:tr>
      <w:tr>
        <w:trPr>
          <w:trHeight w:val="202"/>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11.1</w:t>
            </w:r>
          </w:p>
        </w:tc>
        <w:tc>
          <w:tcPr>
            <w:tcW w:w="6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37"/>
        </w:trPr>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28" w:lineRule="exact"/>
        <w:rPr>
          <w:sz w:val="20"/>
          <w:szCs w:val="20"/>
          <w:color w:val="auto"/>
        </w:rPr>
      </w:pPr>
    </w:p>
    <w:p>
      <w:pPr>
        <w:sectPr>
          <w:pgSz w:w="11900" w:h="16838" w:orient="portrait"/>
          <w:cols w:equalWidth="0" w:num="2">
            <w:col w:w="8000" w:space="720"/>
            <w:col w:w="2680"/>
          </w:cols>
          <w:pgMar w:left="240" w:top="274" w:right="259" w:bottom="1440" w:gutter="0" w:footer="0" w:header="0"/>
          <w:type w:val="continuous"/>
        </w:sectPr>
      </w:pPr>
    </w:p>
    <w:p>
      <w:pPr>
        <w:spacing w:after="0" w:line="7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Among these risks are foreign currency exchange rate risk and interest rate risk, which are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€300.0 ($424.4) Notes and the €200.0 ($282.7) Notes were designated as economic hedges of our net investment in our foreign subsidiaries with a Euro functional currency as of March 31, 2011. For derivatives designated as an economic hedge of the foreign currency exposure of a net investment in a foreign operation, the gain or loss associated with foreign currency translation is recorded as a component of Accumulated Other Comprehensive Income, net of taxes. As of March 31, 2011, we had a $79.8 loss included in Accumulated Other Comprehensive Income, net of taxes, as the net investment hedge was deemed effective.</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an insignificant gain associated with our forward contracts in Interest and Other Expenses for the quarter ended March 31, 2011, which offset the losses recorded for the items noted above.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March 31, 2011 and December 31, 2010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9"/>
          </w:tcPr>
          <w:p>
            <w:pPr>
              <w:jc w:val="right"/>
              <w:ind w:right="1360"/>
              <w:spacing w:after="0"/>
              <w:rPr>
                <w:sz w:val="20"/>
                <w:szCs w:val="20"/>
                <w:color w:val="auto"/>
              </w:rPr>
            </w:pPr>
            <w:r>
              <w:rPr>
                <w:rFonts w:ascii="Arial" w:cs="Arial" w:eastAsia="Arial" w:hAnsi="Arial"/>
                <w:sz w:val="18"/>
                <w:szCs w:val="18"/>
                <w:b w:val="1"/>
                <w:bCs w:val="1"/>
                <w:color w:val="auto"/>
              </w:rPr>
              <w:t>Fair Value Measurements Using</w:t>
            </w:r>
          </w:p>
        </w:tc>
      </w:tr>
      <w:tr>
        <w:trPr>
          <w:trHeight w:val="198"/>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Active Markets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Observable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March 31, 2011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9"/>
          </w:tcPr>
          <w:p>
            <w:pPr>
              <w:jc w:val="right"/>
              <w:ind w:right="1360"/>
              <w:spacing w:after="0"/>
              <w:rPr>
                <w:sz w:val="20"/>
                <w:szCs w:val="20"/>
                <w:color w:val="auto"/>
              </w:rPr>
            </w:pPr>
            <w:r>
              <w:rPr>
                <w:rFonts w:ascii="Arial" w:cs="Arial" w:eastAsia="Arial" w:hAnsi="Arial"/>
                <w:sz w:val="18"/>
                <w:szCs w:val="18"/>
                <w:b w:val="1"/>
                <w:bCs w:val="1"/>
                <w:color w:val="auto"/>
              </w:rPr>
              <w:t>Fair Value Measurements Using</w:t>
            </w:r>
          </w:p>
        </w:tc>
      </w:tr>
      <w:tr>
        <w:trPr>
          <w:trHeight w:val="198"/>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Active Markets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Observable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carrying value of Long-Term Debt approximates fair value, except for the Euro-denominated notes. The fair value of the Euro-denominated notes was $722.9 and $686.3 as of March 31, 2011 and December 31, 2010, respectively, compared to a carrying value of $707.1 and $668.3, respectively.</w:t>
      </w:r>
    </w:p>
    <w:p>
      <w:pPr>
        <w:spacing w:after="0" w:line="340"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February 2009, the French Competition Council rendered its decision and levied a fine of €42.0 ($55.9)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appealed the Competition Council’s decision to the Cour de Cassation. In March 2011, the Cour de Cassation, France’s highest court of appeal, confirmed the decision.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3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Americas: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(a)</w:t>
            </w:r>
          </w:p>
        </w:tc>
        <w:tc>
          <w:tcPr>
            <w:tcW w:w="4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Other Americas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France</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1,353.8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Italy</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Other Southern Europe</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APME</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2"/>
          </w:tcPr>
          <w:p>
            <w:pPr>
              <w:spacing w:after="0" w:line="196" w:lineRule="exact"/>
              <w:rPr>
                <w:sz w:val="20"/>
                <w:szCs w:val="20"/>
                <w:color w:val="auto"/>
              </w:rPr>
            </w:pPr>
            <w:r>
              <w:rPr>
                <w:rFonts w:ascii="Arial" w:cs="Arial" w:eastAsia="Arial" w:hAnsi="Arial"/>
                <w:sz w:val="18"/>
                <w:szCs w:val="18"/>
                <w:color w:val="auto"/>
              </w:rPr>
              <w:t>Consolidated (b)</w:t>
            </w:r>
          </w:p>
        </w:tc>
        <w:tc>
          <w:tcPr>
            <w:tcW w:w="4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5,072.4</w:t>
            </w:r>
          </w:p>
        </w:tc>
        <w:tc>
          <w:tcPr>
            <w:tcW w:w="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4,099.3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Unit Profit (Loss): (c)</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4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Americas</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Southern Europe:</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Italy</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Southern Europe</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Northern Europe</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APME</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Corporate expenses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Reclassification of French Business Tax (d)</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Interest and other expenses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Earnings before income taxes</w:t>
            </w:r>
          </w:p>
        </w:tc>
        <w:tc>
          <w:tcPr>
            <w:tcW w:w="4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74.5</w:t>
            </w:r>
          </w:p>
        </w:tc>
        <w:tc>
          <w:tcPr>
            <w:tcW w:w="4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4340" w:type="dxa"/>
            <w:vAlign w:val="bottom"/>
            <w:tcBorders>
              <w:top w:val="single" w:sz="8" w:color="CCEEFF"/>
            </w:tcBorders>
          </w:tcPr>
          <w:p>
            <w:pPr>
              <w:jc w:val="right"/>
              <w:ind w:right="283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ind w:left="652" w:right="40" w:hanging="652"/>
        <w:spacing w:after="0" w:line="286"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United States, where a majority of our franchises operate, Revenues from Services included fees received from the related franchise offices of $2.7 and $2.5 for the three months ended March 31, 2011 and 2010, respectively. These fees are primarily based on revenues generated by the franchise offices, which were $148.5 and $132.2 for the three months ended March 31, 2011 and 2010, respectively.</w:t>
      </w:r>
    </w:p>
    <w:p>
      <w:pPr>
        <w:spacing w:after="0" w:line="165" w:lineRule="exact"/>
        <w:rPr>
          <w:rFonts w:ascii="Arial" w:cs="Arial" w:eastAsia="Arial" w:hAnsi="Arial"/>
          <w:sz w:val="17"/>
          <w:szCs w:val="17"/>
          <w:color w:val="auto"/>
        </w:rPr>
      </w:pPr>
    </w:p>
    <w:p>
      <w:pPr>
        <w:jc w:val="both"/>
        <w:ind w:left="652" w:right="220" w:hanging="652"/>
        <w:spacing w:after="0" w:line="264"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$5.9 and $4.6 for the three months ended March 31, 2011 and 2010, respectively. These fees are primarily based on revenues generated by the franchise offices, which were $274.5 and $193.9 for the three months ended March 31, 2011 and 2010, respectively.</w:t>
      </w:r>
    </w:p>
    <w:p>
      <w:pPr>
        <w:spacing w:after="0" w:line="208" w:lineRule="exact"/>
        <w:rPr>
          <w:rFonts w:ascii="Arial" w:cs="Arial" w:eastAsia="Arial" w:hAnsi="Arial"/>
          <w:sz w:val="18"/>
          <w:szCs w:val="18"/>
          <w:color w:val="auto"/>
        </w:rPr>
      </w:pPr>
    </w:p>
    <w:p>
      <w:pPr>
        <w:ind w:left="652" w:right="40" w:hanging="652"/>
        <w:spacing w:after="0" w:line="264"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8" w:lineRule="exact"/>
        <w:rPr>
          <w:rFonts w:ascii="Arial" w:cs="Arial" w:eastAsia="Arial" w:hAnsi="Arial"/>
          <w:sz w:val="18"/>
          <w:szCs w:val="18"/>
          <w:color w:val="auto"/>
        </w:rPr>
      </w:pPr>
    </w:p>
    <w:p>
      <w:pPr>
        <w:ind w:left="652" w:hanging="652"/>
        <w:spacing w:after="0" w:line="302" w:lineRule="auto"/>
        <w:tabs>
          <w:tab w:leader="none" w:pos="6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French Business Tax, as disclosed in Note 6 to the Consolidated Financial Statements, was reported in Provision for Income Taxes rather than in Cost of Services, in accordance with the current accounting guidance on income taxes. However, we view this tax as operational in nature. Accordingly, the financial information reviewed internally continues to include the French Business Tax within the OUP of our France reportable segment. Therefore, we have shown the amount of the French Business Tax separately to be able to reconcile to our Earnings before Income Taxes.</w:t>
      </w:r>
    </w:p>
    <w:p>
      <w:pPr>
        <w:spacing w:after="0" w:line="200" w:lineRule="exact"/>
        <w:rPr>
          <w:sz w:val="20"/>
          <w:szCs w:val="20"/>
          <w:color w:val="auto"/>
        </w:rPr>
      </w:pPr>
    </w:p>
    <w:p>
      <w:pPr>
        <w:spacing w:after="0" w:line="37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7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Measures section on page 22 for further information on constant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March 31, 2011 and 2010</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first quarter of 2011, we continued to see improvement in most of our markets. This allowed us to utilize our operating leverage and improve our operating results during the quarter. The improved operating leverage resulted from being able to utilize excess capacity in the network to support the revenue growth without a similar increase in our expenses. This leverage was possible as we made strategic cost reductions during the economic downturn, which reduced the adverse impact of the economy during the period yet preserved capacity within our network to handle the increased demand that we experienced during the current period. As expected, we also experienced a decline in our operating cash flows as our working capital needs increased with our revenue growth.</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and workforce solutions businesses. During periods of increasing demand, we are generally able to improve operating profitability and operating leverage as our current cost base can support some increase in business without a similar increase in selling and administrative expense. During these periods, we also see an increase in our working capital needs, resulting from an increase in our accounts receivable balance in-line with the revenue growth, which may result in a decline in operating cash flows.</w:t>
      </w:r>
    </w:p>
    <w:p>
      <w:pPr>
        <w:spacing w:after="0" w:line="22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April 5, 2010, we completed our acquisition of COMSYS IT Partners, Inc. (“COMSYS”) from its existing shareholders. COMSYS’s operating results have been included within our consolidated results from April 5, 2010 forward. In the first quarter of 2011, COMSYS had been fully integrated into our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March 31, 2011 as compared to 2010.</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millions except per share data</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Revenues from services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profit</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Gross profit margin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Selling and administrative expenses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profit</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Operating profit margin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Earnings before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80" w:type="dxa"/>
            <w:vAlign w:val="bottom"/>
          </w:tcPr>
          <w:p>
            <w:pPr>
              <w:spacing w:after="0"/>
              <w:rPr>
                <w:sz w:val="20"/>
                <w:szCs w:val="20"/>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Variance</w:t>
            </w:r>
          </w:p>
        </w:tc>
      </w:tr>
      <w:tr>
        <w:trPr>
          <w:trHeight w:val="23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5,072.4</w:t>
            </w:r>
          </w:p>
        </w:tc>
        <w:tc>
          <w:tcPr>
            <w:tcW w:w="28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4,099.3</w:t>
            </w: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1360" w:type="dxa"/>
            <w:vAlign w:val="bottom"/>
          </w:tcPr>
          <w:p>
            <w:pPr>
              <w:ind w:left="820"/>
              <w:spacing w:after="0"/>
              <w:rPr>
                <w:sz w:val="20"/>
                <w:szCs w:val="20"/>
                <w:color w:val="auto"/>
              </w:rPr>
            </w:pPr>
            <w:r>
              <w:rPr>
                <w:rFonts w:ascii="Arial" w:cs="Arial" w:eastAsia="Arial" w:hAnsi="Arial"/>
                <w:sz w:val="18"/>
                <w:szCs w:val="18"/>
                <w:color w:val="auto"/>
                <w:w w:val="92"/>
              </w:rPr>
              <w:t>21.8 %</w:t>
            </w:r>
          </w:p>
        </w:tc>
      </w:tr>
      <w:tr>
        <w:trPr>
          <w:trHeight w:val="425"/>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4,214.8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3,397.8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24.0</w:t>
            </w:r>
          </w:p>
        </w:tc>
        <w:tc>
          <w:tcPr>
            <w:tcW w:w="1360" w:type="dxa"/>
            <w:vAlign w:val="bottom"/>
          </w:tcPr>
          <w:p>
            <w:pPr>
              <w:ind w:left="820"/>
              <w:spacing w:after="0"/>
              <w:rPr>
                <w:sz w:val="20"/>
                <w:szCs w:val="20"/>
                <w:color w:val="auto"/>
              </w:rPr>
            </w:pPr>
            <w:r>
              <w:rPr>
                <w:rFonts w:ascii="Arial" w:cs="Arial" w:eastAsia="Arial" w:hAnsi="Arial"/>
                <w:sz w:val="18"/>
                <w:szCs w:val="18"/>
                <w:color w:val="auto"/>
              </w:rPr>
              <w:t>22.1</w:t>
            </w:r>
          </w:p>
        </w:tc>
      </w:tr>
      <w:tr>
        <w:trPr>
          <w:trHeight w:val="220"/>
        </w:trPr>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857.6</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701.5</w:t>
            </w:r>
          </w:p>
        </w:tc>
        <w:tc>
          <w:tcPr>
            <w:tcW w:w="2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1360" w:type="dxa"/>
            <w:vAlign w:val="bottom"/>
          </w:tcPr>
          <w:p>
            <w:pPr>
              <w:ind w:left="820"/>
              <w:spacing w:after="0"/>
              <w:rPr>
                <w:sz w:val="20"/>
                <w:szCs w:val="20"/>
                <w:color w:val="auto"/>
              </w:rPr>
            </w:pPr>
            <w:r>
              <w:rPr>
                <w:rFonts w:ascii="Arial" w:cs="Arial" w:eastAsia="Arial" w:hAnsi="Arial"/>
                <w:sz w:val="18"/>
                <w:szCs w:val="18"/>
                <w:color w:val="auto"/>
              </w:rPr>
              <w:t>20.1</w:t>
            </w:r>
          </w:p>
        </w:tc>
      </w:tr>
      <w:tr>
        <w:trPr>
          <w:trHeight w:val="206"/>
        </w:trPr>
        <w:tc>
          <w:tcPr>
            <w:tcW w:w="2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16.9</w:t>
            </w: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17.1</w:t>
            </w: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45"/>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668.9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1360" w:type="dxa"/>
            <w:vAlign w:val="bottom"/>
          </w:tcPr>
          <w:p>
            <w:pPr>
              <w:ind w:left="820"/>
              <w:spacing w:after="0"/>
              <w:rPr>
                <w:sz w:val="20"/>
                <w:szCs w:val="20"/>
                <w:color w:val="auto"/>
              </w:rPr>
            </w:pPr>
            <w:r>
              <w:rPr>
                <w:rFonts w:ascii="Arial" w:cs="Arial" w:eastAsia="Arial" w:hAnsi="Arial"/>
                <w:sz w:val="18"/>
                <w:szCs w:val="18"/>
                <w:color w:val="auto"/>
              </w:rPr>
              <w:t>13.7</w:t>
            </w:r>
          </w:p>
        </w:tc>
      </w:tr>
      <w:tr>
        <w:trPr>
          <w:trHeight w:val="220"/>
        </w:trPr>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2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1.7</w:t>
            </w: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0.8</w:t>
            </w: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45"/>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360" w:type="dxa"/>
            <w:vAlign w:val="bottom"/>
          </w:tcPr>
          <w:p>
            <w:pPr>
              <w:spacing w:after="0"/>
              <w:rPr>
                <w:sz w:val="24"/>
                <w:szCs w:val="24"/>
                <w:color w:val="auto"/>
              </w:rPr>
            </w:pPr>
          </w:p>
        </w:tc>
      </w:tr>
      <w:tr>
        <w:trPr>
          <w:trHeight w:val="230"/>
        </w:trPr>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6"/>
        </w:trPr>
        <w:tc>
          <w:tcPr>
            <w:tcW w:w="24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-1970405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-1696085</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-1404620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-1130300</wp:posOffset>
            </wp:positionV>
            <wp:extent cx="72466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-838835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-563880</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-272415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00" w:space="720"/>
            <w:col w:w="56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40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Effective income tax rate</w:t>
            </w:r>
          </w:p>
        </w:tc>
        <w:tc>
          <w:tcPr>
            <w:tcW w:w="1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i w:val="1"/>
                <w:iCs w:val="1"/>
                <w:color w:val="auto"/>
              </w:rPr>
              <w:t>52.1%</w:t>
            </w:r>
          </w:p>
        </w:tc>
        <w:tc>
          <w:tcPr>
            <w:tcW w:w="4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i w:val="1"/>
                <w:iCs w:val="1"/>
                <w:color w:val="auto"/>
              </w:rPr>
              <w:t>85.5%</w:t>
            </w: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Pr>
          <w:p>
            <w:pPr>
              <w:ind w:left="60"/>
              <w:spacing w:after="0" w:line="196" w:lineRule="exact"/>
              <w:rPr>
                <w:sz w:val="20"/>
                <w:szCs w:val="20"/>
                <w:color w:val="auto"/>
              </w:rPr>
            </w:pPr>
            <w:r>
              <w:rPr>
                <w:rFonts w:ascii="Arial" w:cs="Arial" w:eastAsia="Arial" w:hAnsi="Arial"/>
                <w:sz w:val="18"/>
                <w:szCs w:val="18"/>
                <w:color w:val="auto"/>
              </w:rPr>
              <w:t>Net earnings</w:t>
            </w:r>
          </w:p>
        </w:tc>
        <w:tc>
          <w:tcPr>
            <w:tcW w:w="1780" w:type="dxa"/>
            <w:vAlign w:val="bottom"/>
          </w:tcPr>
          <w:p>
            <w:pPr>
              <w:spacing w:after="0"/>
              <w:rPr>
                <w:sz w:val="18"/>
                <w:szCs w:val="18"/>
                <w:color w:val="auto"/>
              </w:rPr>
            </w:pP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35.7</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2.8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 – diluted</w:t>
            </w:r>
          </w:p>
        </w:tc>
        <w:tc>
          <w:tcPr>
            <w:tcW w:w="17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0.43</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0.04</w:t>
            </w:r>
          </w:p>
        </w:tc>
        <w:tc>
          <w:tcPr>
            <w:tcW w:w="2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line="196" w:lineRule="exact"/>
              <w:rPr>
                <w:sz w:val="20"/>
                <w:szCs w:val="20"/>
                <w:color w:val="auto"/>
              </w:rPr>
            </w:pPr>
            <w:r>
              <w:rPr>
                <w:rFonts w:ascii="Arial" w:cs="Arial" w:eastAsia="Arial" w:hAnsi="Arial"/>
                <w:sz w:val="18"/>
                <w:szCs w:val="18"/>
                <w:color w:val="auto"/>
              </w:rPr>
              <w:t>Weighted average shares – diluted</w:t>
            </w: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83.6</w:t>
            </w:r>
          </w:p>
        </w:tc>
        <w:tc>
          <w:tcPr>
            <w:tcW w:w="440" w:type="dxa"/>
            <w:vAlign w:val="bottom"/>
          </w:tcPr>
          <w:p>
            <w:pPr>
              <w:spacing w:after="0"/>
              <w:rPr>
                <w:sz w:val="18"/>
                <w:szCs w:val="18"/>
                <w:color w:val="auto"/>
              </w:rPr>
            </w:pPr>
          </w:p>
        </w:tc>
        <w:tc>
          <w:tcPr>
            <w:tcW w:w="134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79.9</w:t>
            </w:r>
          </w:p>
        </w:tc>
        <w:tc>
          <w:tcPr>
            <w:tcW w:w="2400" w:type="dxa"/>
            <w:vAlign w:val="bottom"/>
          </w:tcPr>
          <w:p>
            <w:pPr>
              <w:jc w:val="right"/>
              <w:ind w:right="141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0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4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7" w:name="page18"/>
    <w:bookmarkEnd w:id="17"/>
    <w:p>
      <w:pPr>
        <w:jc w:val="both"/>
        <w:ind w:right="320"/>
        <w:spacing w:after="0" w:line="264" w:lineRule="auto"/>
        <w:rPr>
          <w:sz w:val="20"/>
          <w:szCs w:val="20"/>
          <w:color w:val="auto"/>
        </w:rPr>
      </w:pPr>
      <w:r>
        <w:rPr>
          <w:rFonts w:ascii="Arial" w:cs="Arial" w:eastAsia="Arial" w:hAnsi="Arial"/>
          <w:sz w:val="18"/>
          <w:szCs w:val="18"/>
          <w:color w:val="auto"/>
        </w:rPr>
        <w:t>We have continued to see improvements in most markets with regard to our staffing and workforce solutions businesses during the first quarter of 2011 as economic conditions have improved globally. At Right Management, we have seen a decline in demand for the counter-cyclical outplacement services as expected with the improving economic conditions and growth in our staffing and solutions businesses.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was primarily attributed to:</w:t>
      </w:r>
    </w:p>
    <w:p>
      <w:pPr>
        <w:spacing w:after="0" w:line="225" w:lineRule="exact"/>
        <w:rPr>
          <w:sz w:val="20"/>
          <w:szCs w:val="20"/>
          <w:color w:val="auto"/>
        </w:rPr>
      </w:pPr>
    </w:p>
    <w:p>
      <w:pPr>
        <w:ind w:left="660" w:right="20" w:hanging="184"/>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demand for services in most of our markets, including the Americas, Southern Europe, Northern Europe and APME, where revenues increased 41.9%, 22.0%, 16.7% and 11.2%, respectively, on a constant currency basis;</w:t>
      </w:r>
    </w:p>
    <w:p>
      <w:pPr>
        <w:spacing w:after="0" w:line="197" w:lineRule="exact"/>
        <w:rPr>
          <w:rFonts w:ascii="Arial" w:cs="Arial" w:eastAsia="Arial" w:hAnsi="Arial"/>
          <w:sz w:val="18"/>
          <w:szCs w:val="18"/>
          <w:color w:val="auto"/>
        </w:rPr>
      </w:pPr>
    </w:p>
    <w:p>
      <w:pPr>
        <w:ind w:left="660" w:hanging="18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acquisition of COMSYS in April 2010;</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1.9% increase due to the impact of currency exchange rates;</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partially offset by decreased demand for services for Right Management, where revenues decreased 22.7%, on a constant currency basis.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Gross Profit Margin was primarily attributed to:</w:t>
      </w:r>
    </w:p>
    <w:p>
      <w:pPr>
        <w:spacing w:after="0" w:line="225" w:lineRule="exact"/>
        <w:rPr>
          <w:sz w:val="20"/>
          <w:szCs w:val="20"/>
          <w:color w:val="auto"/>
        </w:rPr>
      </w:pPr>
    </w:p>
    <w:p>
      <w:pPr>
        <w:ind w:left="660" w:hanging="18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50 basis point (-0.50%) decline due to the outplacement revenue decline of Right Management, where the gross profit margin was higher than our Company average, offset by</w:t>
      </w:r>
    </w:p>
    <w:p>
      <w:pPr>
        <w:spacing w:after="0" w:line="170" w:lineRule="exact"/>
        <w:rPr>
          <w:rFonts w:ascii="Arial" w:cs="Arial" w:eastAsia="Arial" w:hAnsi="Arial"/>
          <w:sz w:val="18"/>
          <w:szCs w:val="18"/>
          <w:color w:val="auto"/>
        </w:rPr>
      </w:pPr>
    </w:p>
    <w:p>
      <w:pPr>
        <w:ind w:left="660" w:hanging="18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basis point (0.10%) improvement in our temporary staffing business which was favorably impacted by our COMSYS acquisition;</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basis point (0.10%) favorable impact due to an increase in the permanent recruitment business; and</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basis point (0.10%) favorable impact due to an increase in our workforce solutions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15.4% increase in Selling and Administrative Expenses for the current quarter (13.7% increase in constant currency) was attributed to:</w:t>
      </w:r>
    </w:p>
    <w:p>
      <w:pPr>
        <w:spacing w:after="0" w:line="225" w:lineRule="exact"/>
        <w:rPr>
          <w:sz w:val="20"/>
          <w:szCs w:val="20"/>
          <w:color w:val="auto"/>
        </w:rPr>
      </w:pPr>
    </w:p>
    <w:p>
      <w:pPr>
        <w:ind w:left="660" w:hanging="18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 of COMSYS’s recurring selling and administrative costs as well as $5.2 million of intangible asset amortization expense as a result of the acquisition;</w:t>
      </w:r>
    </w:p>
    <w:p>
      <w:pPr>
        <w:spacing w:after="0" w:line="197"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our organic salary-related costs due to an increase in headcount, as well as an increase in our variable incentive-based costs due to our improved operating results; and</w:t>
      </w:r>
    </w:p>
    <w:p>
      <w:pPr>
        <w:spacing w:after="0" w:line="197" w:lineRule="exact"/>
        <w:rPr>
          <w:rFonts w:ascii="Arial" w:cs="Arial" w:eastAsia="Arial" w:hAnsi="Arial"/>
          <w:sz w:val="18"/>
          <w:szCs w:val="18"/>
          <w:color w:val="auto"/>
        </w:rPr>
      </w:pPr>
    </w:p>
    <w:p>
      <w:pPr>
        <w:ind w:left="660" w:hanging="18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1.7% increase due to the impact of currency exchange rates.</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Selling and Administrative Expenses as a percent of revenues decreased 110 basis points (-1.1%) in the first quarter of 2011 compared to 2010 due primarily to productivity enhancements and expense leveraging, as this 15.4% increase in expense supported the 23.7% increase in revenues (or 21.8% in constant currency) in the first quarter of 2011 as compared to 2010.</w:t>
      </w:r>
    </w:p>
    <w:p>
      <w:pPr>
        <w:spacing w:after="0" w:line="20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Interest and Other Expenses were $11.1 million for the first quarter of 2011 compared to $12.9 million in 2010. Net Interest Expense decreased $0.7 million in the first quarter of 2011 to $8.8 million due to lower subsidiary borrowings and higher interest rates earned on our cash balances. Translation losses in the first quarter of 2011 were $0.5 million compared to $1.9 million in the first quarter of 2010. This decrease was primarily related to a translation loss in January 2010 of $1.2 million for Venezuela, as a result of the Venezuela reporting unit’s currency (Bolivar Fuerte) being devalued as well as changing the functional currency of our Venezuela reporting unit to the U.S. Dollar as the result of its current economy being deemed hyperinflationary.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ind w:right="60"/>
        <w:spacing w:after="0" w:line="255" w:lineRule="auto"/>
        <w:rPr>
          <w:sz w:val="20"/>
          <w:szCs w:val="20"/>
          <w:color w:val="auto"/>
        </w:rPr>
      </w:pPr>
      <w:r>
        <w:rPr>
          <w:rFonts w:ascii="Arial" w:cs="Arial" w:eastAsia="Arial" w:hAnsi="Arial"/>
          <w:sz w:val="18"/>
          <w:szCs w:val="18"/>
          <w:color w:val="auto"/>
        </w:rPr>
        <w:t>We recorded an income tax expense at an effective rate of 52.1% for the three months ended March 31, 2011, as compared to an effective rate of 85.5% for the three months ended March 31, 2010. The 2011 rate was favorably impacted by a change in the overall mix of earnings, primarily an increase to non-U.S. income while 2010 was unfavorably impacted by valuation allowances related to losses in certain non-U.S. entities. Both the 2011 and the 2010 rate were unfavorably impacted by the French Business Tax. Excluding the impact of the French Business Tax, our tax rate for the three months ended March 31, 2011 would have been approximately 38%. The 52.1% effective tax rate was higher than the U.S. Federal statutory rate of 35%, and we currently expect an annual effective tax rate of approximately 45%, due primarily to the impact of the mix of U.S. and non-U.S. earnings, valuation allowances, other permanent items and the French Business Tax.</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Earnings Per Share – Diluted increased to $0.43 in the first quarter of 2011 compared to a Net Earnings Per Share – Diluted of $0.04 in the first quarter of 2010. Exchange rates had a positive impact of $0.03 on Net Earnings Per Share – Diluted. Weighted Average Shares – Diluted were 83.6 million for the first quarter of 2011 as compared to 79.9 million in the first quarter of 2010. This increase was primarily a result of the issuance of 3.2 million shares as part of the COMSYS acquisition on April 5, 2010.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have changed the name of our Asia Pacific reportable segment to APME; the results of this reportable segment have not been restated as only the name has changed.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Americas, Revenues from Services increased 43.2% (41.9% in constant currency) for the first quarter of 2011 compared to 2010. In the United States (which represents 67.5% of the America’s revenues), Revenues from Services improved 55.6% in the first quarter of 2011 compared to 2010. These revenue improvements were primarily due to the acquisition of COMSYS as well as an increase in our staffing volumes in our core temporary staffing business, particularly in the light industrial sector. These increases were also helped by an increase in our permanent recruitment revenues of 126.5% in constant currency for the Americas and of 160.4% in the United States. In Other Americas, Revenues from Services improved 22.8% (19.4% in constant currency) in the first quarter of 2011 compared to 2010.</w:t>
      </w:r>
    </w:p>
    <w:p>
      <w:pPr>
        <w:spacing w:after="0" w:line="22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Gross Profit Margin increased during the first quarter of 2011 compared to the first quarter of 2010 due to an improvement in temporary staffing margins, which were aided by price increases, the COMSYS acquisition and by the increase in our permanent recruitment business. We were able to pass on to our clients the impact of increased SUTA taxes, which were effective in 2011.</w:t>
      </w:r>
    </w:p>
    <w:p>
      <w:pPr>
        <w:spacing w:after="0" w:line="2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Selling and Administrative Expenses increased during the first quarter of 2011 compared to 2010, due to the addition of COMSYS’s recurring selling and administrative costs subsequent to April 5, 2010. In addition, organic salary-related costs increased due to additional headcount required to meet our higher demand for our services as well as incurring additional variable incentive-based compensation costs due to improved operating results. Selling and Administrative Expenses as a percent of revenues was relatively flat in the first quarter of 2011 compared to 2010 as we were able to support the increase in revenues without a similar increase in expenses.</w:t>
      </w:r>
    </w:p>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Unit Profit (“OUP”) Margin in the Americas was 1.9% and -0.3% for the first quarter of 2011 and 2010, respectively. This increase was primarily due to the improvement in the United States, where OUP Margin was 1.2% in the first quarter of 2011 compared to -2.5% in 2010. Other Americas OUP Margin was 3.5% in the first quarter of 2011 compared to 3.3% in the first quarter of 2010. The improvements in OUP margin were the result of improved Gross Profit Margin and better expense leverage.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Southern Europe</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Southern Europe, which includes operations in France and Italy, Revenues from Services increased 21.2% (22.0% in constant currency) during the first quarter of 2011 compared to 2010. In France (which represents 74.5% of Southern Europe’s revenues), Revenues from Services increased 23.2% in constant currency during the first quarter of 2011 compared to 2010. In Italy (which represents 15.7% of Southern Europe’s revenues), Revenues from Services improved 22.4% in constant currency during the current period compared to 2010. In Other Southern Europe, Revenues from Services increased 13.7%</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(13.1% in constant currency) during the first quarter of 2011 compared to 2010. Southern Europe had strong growth in the temporary staffing business, while permanent recruitment revenues increased 13.5% in constant currency in the first quarter.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Margin decreased in the first quarter of 2011 compared to the first quarter of 2010 due primarily to the reduction in French payroll tax subsidies that was effective in January 2011 and the timing of the corresponding price increases to our clients. In France, we estimate this had a net unfavorable impact on our margin of approximately 45 basis points in the first quarter, however we expect the entire impact to be fully recovered by the end of 2011. For further information on the French payroll tax subsidies, see the Legal Regulations section on page 24.</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and Administrative Expenses increased during the first quarter of 2011 compared to 2010 due to an increase in salary-related costs including variable incentive-based compensation as a result of the improved operating results. Selling and Administrative Expenses as a percent of revenues decreased in the first quarter of 2011 as compared to the first quarter of 2010 due to the improved expense leveraging as revenues have increased at a higher rate than our expenses.</w:t>
      </w:r>
    </w:p>
    <w:p>
      <w:pPr>
        <w:spacing w:after="0" w:line="2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OUP Margin in Southern Europe was 1.5% and 0.4% for the first quarter of 2011 and 2010, respectively. This increase was due to the improvement in France, where OUP Margin was 0.9% in the first quarter of 2011 compared to 0% in 2010. In addition, Italy improved its OUP Margin to 4.5% in the first quarter of 2011 compared to 2.9% in 2010. Other Southern Europe OUP Margin was 1.2% in the first quarter of 2011 compared to -0.6% in the first quarter of 2010. The improvements in OUP margin were the result of improved leveraging of expenses as revenues expanded.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Northern Europe, which includes operations in the Nordics, the United Kingdom, Germany and the Netherlands, Revenues from Services increased 19.3% (16.7% in constant currency) in the first quarter of 2011 as compared to the first quarter of 2010. While the primary increase in revenues came from within our temporary staffing business across all of our major markets, our permanent recruitment revenues increased 32.2% in constant currency as well during the current period.</w:t>
      </w: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Gross Profit Margin increased slightly in the first quarter of 2011 compared to the first quarter of 2010 primarily due to the increase in the permanent recruitment business.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Selling and Administrative Expenses increased during the first quarter of 2011 compared to the first quarter of 2010 due to additional headcount required to meet the higher demand for our services as well as additional variable incentive-based compensation costs due to improved operating results. Selling and Administrative Expenses as a percent of revenues decreased in the first quarter of 2011 as compared to the first quarter of 2010 due to the improved expense leveraging as revenues have increased at a higher rate than our expenses.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OUP Margin for Northern Europe was 2.9% and 1.6% for the first quarter of 2011 and 2010, respectively. The improvements in OUP Margin were the result of gaining operating leverage to support higher revenue levels without a similar increase in expenses.</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APME</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Revenues from Services for APME increased 21.2% (11.2% in constant currency) during the first quarter of 2011 compared to 2010. Revenue increases for the first quarter of 2011 were experienced in most major markets. In Japan (which represented 47.7% of APME’s revenues), Revenues from Services were up slightly at 0.4% in constant currency. Our Japan financial results were not significantly impacted by the earthquake and the tragic events that followed during March 2011 as any losses were offset by overtime in other parts of Japan resulting from these events, and an increase in our workforce solutions business. There was strong year-over-year growth in Australia, China, and India. In Australia, the significant revenue increase was partly a result of a full quarter of revenues from the Australian Defence Force (“ADF”) in the current period as the ADF contract started in February 2010.</w:t>
      </w:r>
    </w:p>
    <w:p>
      <w:pPr>
        <w:spacing w:after="0" w:line="1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Margin increased slightly in the first quarter of 2011 compared to the first quarter of 2010 primarily due to the growth in the permanent recruitment business, driven in part by the ADF contract. Our staffing gross margins continued to show year-over-year declines due to a change in our mix of business.</w:t>
      </w:r>
    </w:p>
    <w:p>
      <w:pPr>
        <w:spacing w:after="0" w:line="20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Selling and Administrative Expenses increased in the first quarter of 2011 compared to 2010 primarily due to increased compensation costs arising from a headcount increase and an increase in variable incentive-based compensation as a result of the improved results. Selling and Administrative Expenses as a percent of revenues decreased in the first quarter of 2011 as compared to the first quarter of 2010 due to the improved expense leveraging as revenues have increased at a higher rate than our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OUP Margin for APME was 2.7% in the first quarter of 2011 compared to 2.5% in the first quarter of 2010 for the reasons noted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Revenues from Services for Right Management in the first quarter of 2011 decreased 20.9% (22.7% in constant currency) compared to the first quarter of 2010. This decrease in revenues was due to a decline in the demand for the counter-cyclical outplacement services, where revenues generally decline as we experience an economic recovery. The decline in outplacement services was partly offset by a 25% increase in our talent management business.</w:t>
      </w:r>
    </w:p>
    <w:p>
      <w:pPr>
        <w:spacing w:after="0" w:line="17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Gross Profit Margin decreased in the first quarter of 2011 compared to the first quarter of 2010 as a result of a change in the mix of business, as we saw a decline in the higher margin outplacement services and an increase in the lower margin talent management business.</w:t>
      </w:r>
    </w:p>
    <w:p>
      <w:pPr>
        <w:spacing w:after="0" w:line="17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Selling and Administrative Expenses decreased in the first quarter of 2011 compared to the first quarter of 2010, as costs were reduced in response to the lower 2011 volumes. As a percentage of revenue, Selling and Administrative Expenses increased in the first quarter of 2011 compared to 2010, as our fixed costs are now supporting a lower revenue amount.</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OUP Margin for Right Management was 4.0% in the first quarter of 2011 compared to 12.1% in the first quarter of 2010 due to the net impact of these volume and expense changes. The prior year margin was higher given the strong growth in the outplacement business in 2009 and early 2010 as a result of the economic downturn.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Reconciliation</w:t>
      </w:r>
    </w:p>
    <w:p>
      <w:pPr>
        <w:spacing w:after="0" w:line="252"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Changes in our financial results include the impact of changes in foreign currency exchange rates. We provide “constant currency” calculations in this quarterly report to remove the impact of these items. We express year-over-year variances that were calculated in constant currency as a percentage.</w:t>
      </w:r>
    </w:p>
    <w:p>
      <w:pPr>
        <w:spacing w:after="0" w:line="15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to the percent variances calculated based on our financial results is provided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4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8"/>
                <w:szCs w:val="18"/>
                <w:color w:val="auto"/>
              </w:rPr>
              <w:t>3 Months Ended March 31, 2011 Compared to 2010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8"/>
              </w:rPr>
              <w:t>Variance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Reported</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Reported</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Amount (a)</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Variance</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750.9</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Other Americas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361.8</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22.8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1,112.7</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700"/>
              <w:spacing w:after="0"/>
              <w:rPr>
                <w:sz w:val="20"/>
                <w:szCs w:val="20"/>
                <w:color w:val="auto"/>
              </w:rPr>
            </w:pPr>
            <w:r>
              <w:rPr>
                <w:rFonts w:ascii="Arial" w:cs="Arial" w:eastAsia="Arial" w:hAnsi="Arial"/>
                <w:sz w:val="18"/>
                <w:szCs w:val="18"/>
                <w:color w:val="auto"/>
              </w:rPr>
              <w:t>France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1,353.8</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Italy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284.6</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700"/>
              <w:spacing w:after="0"/>
              <w:rPr>
                <w:sz w:val="20"/>
                <w:szCs w:val="20"/>
                <w:color w:val="auto"/>
              </w:rPr>
            </w:pPr>
            <w:r>
              <w:rPr>
                <w:rFonts w:ascii="Arial" w:cs="Arial" w:eastAsia="Arial" w:hAnsi="Arial"/>
                <w:sz w:val="18"/>
                <w:szCs w:val="18"/>
                <w:color w:val="auto"/>
              </w:rPr>
              <w:t>Other Southern Europe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1,818.4</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1,456.6</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APME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602.9</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81.8</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tcPr>
          <w:p>
            <w:pPr>
              <w:spacing w:after="0" w:line="196" w:lineRule="exact"/>
              <w:rPr>
                <w:sz w:val="20"/>
                <w:szCs w:val="20"/>
                <w:color w:val="auto"/>
              </w:rPr>
            </w:pPr>
            <w:r>
              <w:rPr>
                <w:rFonts w:ascii="Arial" w:cs="Arial" w:eastAsia="Arial" w:hAnsi="Arial"/>
                <w:sz w:val="18"/>
                <w:szCs w:val="18"/>
                <w:color w:val="auto"/>
              </w:rPr>
              <w:t>ManpowerGroup</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5,072.4</w:t>
            </w:r>
          </w:p>
        </w:tc>
        <w:tc>
          <w:tcPr>
            <w:tcW w:w="144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23.7</w:t>
            </w:r>
          </w:p>
        </w:tc>
        <w:tc>
          <w:tcPr>
            <w:tcW w:w="14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1.9</w:t>
            </w:r>
          </w:p>
        </w:tc>
        <w:tc>
          <w:tcPr>
            <w:tcW w:w="13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857.6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772.0</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85.6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162.7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March 31, 2011.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Cash used in operating activities was $159.7 million during the first quarter of 2011 compared to $43.0 million during the first quarter of 2010. This increase was primarily attributable to increased working capital needs as a result of the growth in the business and the timing of tax payments. Working capital needs increased $232.0 million during the first quarter of 2011 compared to $67.2 million during the first quarter of 2010.</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Accounts receivable increased to $4,201.0 million as of March 31, 2011 from $3,844.1 million as of December 31, 2010. This increase was due primarily to increased business volumes and changes in foreign currency exchange rates. At constant exchange rates, the March 31, 2011 balance would have been approximately $149.9 million lower than reported.</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Capital expenditures were $11.2 million in the first quarter of 2011 compared to $7.8 million in the first quarter of 2010. These expenditures were primarily comprised of purchases of computer equipment, office furniture and other costs related to office openings and refurbishments.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Cash from net debt borrowings was $9.6 million in the first quarter of 2011 compared to $1.0 million in the first quarter of 2010.</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local credit lines to meet funding needs and allocate our capital resources among our various entities.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€300.0 million notes are due June 2012, our $400.0 million revolving credit agreement expires in November 2012, and our €200.0 million notes are due June 2013. When these facilities mature, we plan to repay these amounts with available cash or refinance them with new long-term facilities. In the event that the economy slows again and declines for an extended period of time, we may be unable to repay these amounts with available cash and, as such,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22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March 31, 2011, we had letters of credit totaling $2.2 million issued under our $400.0 million revolving credit agreement. Additional borrowings of $397.8 million were available to us under the credit agreement as of March 31, 2011.</w:t>
      </w:r>
    </w:p>
    <w:p>
      <w:pPr>
        <w:spacing w:after="0" w:line="19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$400.0 million revolving credit agreement requires that we comply with a maximum Debt-to-EBITDA ratio of 4.50 to 1 and a minimum fixed charge ratio of 1.25 to 1 for the quarter ended March 31, 2011. As defined in the agreement, we had a Debt-to-EBITDA ratio of 1.52 to 1 and a fixed charge ratio of 2.61 to 1 for the quarter. Based on our current forecast, we expect to be in compliance with our financial covenants for the next 12 months.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March 31, 2011, such credit lines totaled $415.6 million, of which $378.1 million was unused. Under the revolving credit agreement, total subsidiary borrowings cannot exceed $300.0 million in the first, second and fourth quarters, and $600.0 million in the third quarter of each year. Due to limitations on subsidiary borrowings in our revolving credit agreement, additional borrowings of $262.4 million could currently be made under these lines.</w:t>
      </w:r>
    </w:p>
    <w:p>
      <w:pPr>
        <w:spacing w:after="0" w:line="2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December 2010, the Board of Directors authorized the repurchase of 3.0 million shares of our common stock. This authorization is in addition to the 2007 authorization to repurchase 5.0 million shares of our common stock, not to exceed a total purchase price of $400.0 million. The authorizations permit share repurchases from time to time through a variety of methods, including open market purchases, block transactions, privately negotiated transactions, accelerated share repurchase programs, forward repurchase agreements or similar facilities. Under the 2007 authorization, we have repurchased 4.8 million shares at a total cost of $252.7 million, none of which were repurchased in the first quarter of 2011 or 2010. There were 0.2 million shares, at a cost of up to $147.3 million, remaining authorized for repurchase under this authorization as of March 31, 2011. No shares have been repurchased under the 2010 authorization.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auto"/>
        </w:rPr>
        <w:t>On May 3, 2011, the Board of Directors declared a cash dividend of $0.40 per share, which is payable on June 15, 2011 to shareholders of record on June 1, 2011.</w:t>
      </w:r>
    </w:p>
    <w:p>
      <w:pPr>
        <w:spacing w:after="0" w:line="19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had aggregate commitments related to debt repayments, operating leases, severances and office closure costs, and certain other commitments of $1,722.3 million as of March 31, 2011 compared to $1,680.6 million as of December 31, 2010. These balances exclude our liability for unrecognized tax benefits, including related interest and penalties, of $22.4 million and $22.1 million as of March 31, 2011 and December 31, 2010, respectively.</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entered into guarantee contracts and letters of credit that total approximately $167.5 million and $168.1 million as of March 31, 2011 and December 31, 2010, respectively, consisting of $130.8 million and $131.4 million for guarantees, respectively, and $36.7 million for letters of credit for both periods.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$0.4 million and $0.6 million in the first quarter of 2011 and 2010, respectively.</w:t>
      </w:r>
    </w:p>
    <w:p>
      <w:pPr>
        <w:spacing w:after="0" w:line="21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recorded net reorganization costs of $0.2 million and $1.3 million in the first quarter of 2011 and 2010, respectively, in Selling and Administrative Expenses, related to severances and office closures and consolidations in several countries. These expenses are net of reversals resulting mainly from larger-than-estimated cost savings from subleasing and lease buyouts as well as lower-than-expected severance costs. During the first quarter of 2011, we made payments of $10.7 million out of our reorganization reserve. We expect a majority of the remaining $23.7 million will be paid in 2011. Change in the reorganization reserve by reportable segment and Corporate are shown in Note 5 to the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February 2009, the French Competition Council rendered its decision and levied a fine of €42.0 million ($55.9 million)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appealed the Competition Council’s decision to the Cour de Cassation. In March 2011, the Cour de Cassation, France’s highest court of appeal confirmed the decision.</w:t>
      </w:r>
    </w:p>
    <w:p>
      <w:pPr>
        <w:spacing w:after="0" w:line="22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French government announced new legislation in 2011 that reduces employer payroll tax subsidies that are received under their social programs aimed at reducing the cost of labor and encouraging employment of low-wage workers. In France, this new legislation is expected to increase our direct costs, unfavorably impacting our margin by approximately 90 basis points in 2011. We currently expect to pass on this additional cost through higher bill rates, however, we had an unfavorable impact on margins in the first quarter of 2011 due to the timing of some price increases.</w:t>
      </w:r>
    </w:p>
    <w:p>
      <w:pPr>
        <w:spacing w:after="0" w:line="19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Agency Workers Directive (“AWD”) impacts all EU member states and was passed to ensure “equal treatment” to agency (temporary) workers. It also requires all member states to review and address unnecessary prohibitions and restrictions on the use of agency workers. Equal treatment is already in place by law in many countries, and so we do not expect any significant changes other than the removal of some restrictions in certain of these countries, which could have a favorable impact on our business. The United Kingdom, however, is currently the least regulated staffing market in Europe, and so AWD may have an unfavorable impact on our business as various regulations are put in force in October 2011. We cannot currently estimate the impact, if any, that the changes will have on our business.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2010,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2010 Annual Report on Form 10-K contains certain disclosures about market risks affecting us. There have been no material changes to the information provided which would require additional disclosures as of the date of this filing.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2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5" w:name="page26"/>
    <w:bookmarkEnd w:id="25"/>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2010, the Board of Directors authorized the repurchase of 3.0 million shares of our common stock. This authorization is in addition to the 2007 authorization to repurchase 5.0 million shares of our common stock, not to exceed a total purchase price of $400.0 million. The authorizations permit share repurchases from time to time through a variety of methods, including open market purchases, block transactions, privately negotiated transactions, accelerated share repurchase programs, forward repurchase agreements or similar facilities. The following table shows the total amount of shares repurchased under these authorizations during the first quarter of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8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ISSUER PURCHASES OF EQUITY SECURITIES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2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Maximum</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w:t>
            </w:r>
          </w:p>
        </w:tc>
        <w:tc>
          <w:tcPr>
            <w:tcW w:w="2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22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 that</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of shares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paid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22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yet be</w:t>
            </w:r>
          </w:p>
        </w:tc>
      </w:tr>
      <w:tr>
        <w:trPr>
          <w:trHeight w:val="241"/>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 share</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w:t>
            </w:r>
          </w:p>
        </w:tc>
        <w:tc>
          <w:tcPr>
            <w:tcW w:w="220" w:type="dxa"/>
            <w:vAlign w:val="bottom"/>
          </w:tcPr>
          <w:p>
            <w:pPr>
              <w:spacing w:after="0"/>
              <w:rPr>
                <w:sz w:val="20"/>
                <w:szCs w:val="20"/>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purchased</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January 1- 31, 2011</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3,236,790</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February 1 - 28, 2011</w:t>
            </w:r>
          </w:p>
        </w:tc>
        <w:tc>
          <w:tcPr>
            <w:tcW w:w="4660" w:type="dxa"/>
            <w:vAlign w:val="bottom"/>
            <w:gridSpan w:val="3"/>
          </w:tcPr>
          <w:p>
            <w:pPr>
              <w:jc w:val="right"/>
              <w:ind w:right="20"/>
              <w:spacing w:after="0" w:line="216" w:lineRule="exact"/>
              <w:rPr>
                <w:sz w:val="20"/>
                <w:szCs w:val="20"/>
                <w:color w:val="auto"/>
              </w:rPr>
            </w:pPr>
            <w:r>
              <w:rPr>
                <w:rFonts w:ascii="Arial" w:cs="Arial" w:eastAsia="Arial" w:hAnsi="Arial"/>
                <w:sz w:val="18"/>
                <w:szCs w:val="18"/>
                <w:color w:val="auto"/>
              </w:rPr>
              <w:t xml:space="preserve">38,074 </w:t>
            </w:r>
            <w:r>
              <w:rPr>
                <w:rFonts w:ascii="Arial" w:cs="Arial" w:eastAsia="Arial" w:hAnsi="Arial"/>
                <w:sz w:val="25"/>
                <w:szCs w:val="25"/>
                <w:color w:val="auto"/>
                <w:vertAlign w:val="superscript"/>
              </w:rPr>
              <w:t>(1)</w:t>
            </w:r>
          </w:p>
        </w:tc>
        <w:tc>
          <w:tcPr>
            <w:tcW w:w="116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ind w:left="700"/>
              <w:spacing w:after="0"/>
              <w:rPr>
                <w:sz w:val="20"/>
                <w:szCs w:val="20"/>
                <w:color w:val="auto"/>
              </w:rPr>
            </w:pPr>
            <w:r>
              <w:rPr>
                <w:rFonts w:ascii="Arial" w:cs="Arial" w:eastAsia="Arial" w:hAnsi="Arial"/>
                <w:sz w:val="18"/>
                <w:szCs w:val="18"/>
                <w:color w:val="auto"/>
              </w:rPr>
              <w:t>3,236,790</w:t>
            </w: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March 1 - 31, 2011</w:t>
            </w:r>
          </w:p>
        </w:tc>
        <w:tc>
          <w:tcPr>
            <w:tcW w:w="4660" w:type="dxa"/>
            <w:vAlign w:val="bottom"/>
            <w:gridSpan w:val="3"/>
            <w:shd w:val="clear" w:color="auto" w:fill="CCEEFF"/>
          </w:tcPr>
          <w:p>
            <w:pPr>
              <w:jc w:val="right"/>
              <w:ind w:right="20"/>
              <w:spacing w:after="0" w:line="216" w:lineRule="exact"/>
              <w:rPr>
                <w:sz w:val="20"/>
                <w:szCs w:val="20"/>
                <w:color w:val="auto"/>
              </w:rPr>
            </w:pPr>
            <w:r>
              <w:rPr>
                <w:rFonts w:ascii="Arial" w:cs="Arial" w:eastAsia="Arial" w:hAnsi="Arial"/>
                <w:sz w:val="18"/>
                <w:szCs w:val="18"/>
                <w:color w:val="auto"/>
              </w:rPr>
              <w:t xml:space="preserve">126 </w:t>
            </w:r>
            <w:r>
              <w:rPr>
                <w:rFonts w:ascii="Arial" w:cs="Arial" w:eastAsia="Arial" w:hAnsi="Arial"/>
                <w:sz w:val="25"/>
                <w:szCs w:val="25"/>
                <w:color w:val="auto"/>
                <w:vertAlign w:val="superscript"/>
              </w:rPr>
              <w:t>(2)</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88"/>
              </w:rPr>
              <w:t>3,236,790</w:t>
            </w:r>
            <w:r>
              <w:rPr>
                <w:rFonts w:ascii="Arial" w:cs="Arial" w:eastAsia="Arial" w:hAnsi="Arial"/>
                <w:sz w:val="12"/>
                <w:szCs w:val="12"/>
                <w:color w:val="auto"/>
                <w:w w:val="88"/>
              </w:rPr>
              <w:t>(3)</w:t>
            </w:r>
          </w:p>
        </w:tc>
      </w:tr>
    </w:tbl>
    <w:p>
      <w:pPr>
        <w:spacing w:after="0" w:line="202" w:lineRule="exact"/>
        <w:rPr>
          <w:sz w:val="20"/>
          <w:szCs w:val="20"/>
          <w:color w:val="auto"/>
        </w:rPr>
      </w:pPr>
    </w:p>
    <w:p>
      <w:pPr>
        <w:ind w:right="580" w:firstLine="8"/>
        <w:spacing w:after="0" w:line="258"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of common stock withheld by ManpowerGroup to satisfy tax withholding obligations on shares acquired by certain officers in settlement of restricted stock and restricted stock units.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of restricted stock delivered by a director to ManpowerGroup, upon vesting, to satisfy tax withholding requirements.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which 236,790 under the 2007 authorization must not exceed a cost of $147.3 million.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2011:</w:t>
      </w:r>
    </w:p>
    <w:p>
      <w:pPr>
        <w:spacing w:after="0" w:line="197"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52" w:lineRule="exact"/>
        <w:rPr>
          <w:rFonts w:ascii="Arial" w:cs="Arial" w:eastAsia="Arial" w:hAnsi="Arial"/>
          <w:sz w:val="18"/>
          <w:szCs w:val="18"/>
          <w:color w:val="auto"/>
        </w:rPr>
      </w:pPr>
    </w:p>
    <w:p>
      <w:pPr>
        <w:jc w:val="both"/>
        <w:ind w:left="380" w:right="480" w:hanging="372"/>
        <w:spacing w:after="0" w:line="26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208" w:lineRule="exact"/>
        <w:rPr>
          <w:rFonts w:ascii="Arial" w:cs="Arial" w:eastAsia="Arial" w:hAnsi="Arial"/>
          <w:sz w:val="18"/>
          <w:szCs w:val="18"/>
          <w:color w:val="auto"/>
        </w:rPr>
      </w:pPr>
    </w:p>
    <w:p>
      <w:pPr>
        <w:ind w:left="380" w:right="900" w:hanging="372"/>
        <w:spacing w:after="0" w:line="308"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73" w:lineRule="exact"/>
        <w:rPr>
          <w:rFonts w:ascii="Arial" w:cs="Arial" w:eastAsia="Arial" w:hAnsi="Arial"/>
          <w:sz w:val="17"/>
          <w:szCs w:val="17"/>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consultation regarding implementation of new foreign laws and expatriate services; and</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Item 6 – Exhibits</w:t>
      </w:r>
    </w:p>
    <w:p>
      <w:pPr>
        <w:spacing w:after="0" w:line="25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Severance Agreement between Darryl Green and Manpower Inc. dated as of December 31, 2010.</w:t>
      </w:r>
    </w:p>
    <w:p>
      <w:pPr>
        <w:spacing w:after="0" w:line="25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Offer Letter Agreement between Hans Leentjes and Manpower Inc. dated as of January 10, 2011.</w:t>
      </w:r>
    </w:p>
    <w:p>
      <w:pPr>
        <w:spacing w:after="0" w:line="25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Severance Agreement between Hans Leentjes and Manpower Inc. dated as of February 16, 2011.</w:t>
      </w:r>
    </w:p>
    <w:p>
      <w:pPr>
        <w:spacing w:after="0" w:line="25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Severance Agreement between Kenneth Hunt and Manpower Inc. dated as of February 17, 2011.</w:t>
      </w:r>
    </w:p>
    <w:p>
      <w:pPr>
        <w:spacing w:after="0" w:line="25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2011 Performance Share Unit Agreement.</w:t>
      </w:r>
    </w:p>
    <w:p>
      <w:pPr>
        <w:spacing w:after="0" w:line="225" w:lineRule="exact"/>
        <w:rPr>
          <w:sz w:val="20"/>
          <w:szCs w:val="20"/>
          <w:color w:val="auto"/>
        </w:rPr>
      </w:pPr>
    </w:p>
    <w:p>
      <w:pPr>
        <w:ind w:left="1300" w:right="220" w:hanging="769"/>
        <w:spacing w:after="0" w:line="277" w:lineRule="auto"/>
        <w:tabs>
          <w:tab w:leader="none" w:pos="12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Manpower Inc. Compensation for Non-Employee Directors (Amended and Restated February 16, 2011), incorporated by reference to the Company’s Current Report on Form 8-K/A dated February 16, 2011.</w:t>
      </w:r>
    </w:p>
    <w:p>
      <w:pPr>
        <w:spacing w:after="0" w:line="170" w:lineRule="exact"/>
        <w:rPr>
          <w:sz w:val="20"/>
          <w:szCs w:val="20"/>
          <w:color w:val="auto"/>
        </w:rPr>
      </w:pPr>
    </w:p>
    <w:p>
      <w:pPr>
        <w:ind w:left="1300" w:right="120" w:hanging="769"/>
        <w:spacing w:after="0" w:line="264" w:lineRule="auto"/>
        <w:tabs>
          <w:tab w:leader="none" w:pos="12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Terms and Conditions Regarding the Grant of Awards to Non-Employee Directors under the 2003 Equity Incentive Plan of Manpower Inc. (Amended and Restated Effective February 16, 2011), incorporated by reference to the Company’s Current Report on Form 8-K/A dated February 16, 2011.</w:t>
      </w:r>
    </w:p>
    <w:p>
      <w:pPr>
        <w:spacing w:after="0" w:line="181" w:lineRule="exact"/>
        <w:rPr>
          <w:sz w:val="20"/>
          <w:szCs w:val="20"/>
          <w:color w:val="auto"/>
        </w:rPr>
      </w:pPr>
    </w:p>
    <w:p>
      <w:pPr>
        <w:ind w:left="1300" w:right="240" w:hanging="769"/>
        <w:spacing w:after="0" w:line="277" w:lineRule="auto"/>
        <w:tabs>
          <w:tab w:leader="none" w:pos="12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Compensation Agreement between Jeffrey A. Joerres and Manpower Inc. dated as of February 16, 2011, incorporated by reference to the Company’s Current Report on Form 8-K/A dated February 16, 2011.</w:t>
      </w:r>
    </w:p>
    <w:p>
      <w:pPr>
        <w:spacing w:after="0" w:line="197" w:lineRule="exact"/>
        <w:rPr>
          <w:sz w:val="20"/>
          <w:szCs w:val="20"/>
          <w:color w:val="auto"/>
        </w:rPr>
      </w:pPr>
    </w:p>
    <w:p>
      <w:pPr>
        <w:ind w:left="1300" w:right="540" w:hanging="769"/>
        <w:spacing w:after="0" w:line="277" w:lineRule="auto"/>
        <w:tabs>
          <w:tab w:leader="none" w:pos="12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Severance Agreement between Jeffrey A. Joerres and Manpower Inc. dated as of February 16, 2011, incorporated by reference to the Company’s Current Report on Form 8-K/A dated February 16, 2011.</w:t>
      </w:r>
    </w:p>
    <w:p>
      <w:pPr>
        <w:spacing w:after="0" w:line="197" w:lineRule="exact"/>
        <w:rPr>
          <w:sz w:val="20"/>
          <w:szCs w:val="20"/>
          <w:color w:val="auto"/>
        </w:rPr>
      </w:pPr>
    </w:p>
    <w:p>
      <w:pPr>
        <w:ind w:left="1300" w:right="140" w:hanging="769"/>
        <w:spacing w:after="0" w:line="277" w:lineRule="auto"/>
        <w:tabs>
          <w:tab w:leader="none" w:pos="12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Compensation Agreement between Michael J. Van Handel and Manpower Inc. dated as of February 16, 2011, incorporated by reference to the Company’s Current Report on Form 8-K/A dated February 16, 2011.</w:t>
      </w:r>
    </w:p>
    <w:p>
      <w:pPr>
        <w:spacing w:after="0" w:line="197" w:lineRule="exact"/>
        <w:rPr>
          <w:sz w:val="20"/>
          <w:szCs w:val="20"/>
          <w:color w:val="auto"/>
        </w:rPr>
      </w:pPr>
    </w:p>
    <w:p>
      <w:pPr>
        <w:ind w:left="1300" w:right="160" w:hanging="769"/>
        <w:spacing w:after="0" w:line="277" w:lineRule="auto"/>
        <w:tabs>
          <w:tab w:leader="none" w:pos="12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Severance Agreement between Michael J. Van Handel and Manpower Inc. dated as of February 16, 2011, incorporated by reference to the Company’s Current Report on Form 8-K/A dated February 16, 2011.</w:t>
      </w:r>
    </w:p>
    <w:p>
      <w:pPr>
        <w:spacing w:after="0" w:line="197" w:lineRule="exact"/>
        <w:rPr>
          <w:sz w:val="20"/>
          <w:szCs w:val="20"/>
          <w:color w:val="auto"/>
        </w:rPr>
      </w:pPr>
    </w:p>
    <w:p>
      <w:pPr>
        <w:ind w:left="1300" w:right="400" w:hanging="769"/>
        <w:spacing w:after="0" w:line="277" w:lineRule="auto"/>
        <w:tabs>
          <w:tab w:leader="none" w:pos="12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to Assignment Agreement between the Company and Jonas Prising dated March 7, 2011, incorporated by reference to the Company’s Current Report on Form 8-K/A dated March 7, 2011.</w:t>
      </w:r>
    </w:p>
    <w:p>
      <w:pPr>
        <w:spacing w:after="0" w:line="197"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300" w:right="720" w:hanging="769"/>
        <w:spacing w:after="0" w:line="277"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ind w:left="1300" w:hanging="779"/>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materials from ManpowerGroup’s Quarterly Report on Form 10-Q for the quarter ended March 31, 2011, formatted in XBRL (Extensible Business Reporting Language): (i) Consolidated Balance Sheets, (ii) Consolidated Statements of Operations, (iii) Consolidated Statements of Cash Flows, and (iv) Notes to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7" w:name="page28"/>
    <w:bookmarkEnd w:id="27"/>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(d/b/a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5715</wp:posOffset>
            </wp:positionV>
            <wp:extent cx="20751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75180" cy="17145"/>
                    </a:xfrm>
                    <a:prstGeom prst="rect">
                      <a:avLst/>
                    </a:prstGeom>
                    <a:noFill/>
                  </pic:spPr>
                </pic:pic>
              </a:graphicData>
            </a:graphic>
          </wp:anchor>
        </w:drawing>
      </w:r>
    </w:p>
    <w:p>
      <w:pPr>
        <w:spacing w:after="0" w:line="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14605</wp:posOffset>
            </wp:positionV>
            <wp:extent cx="34131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(Signing on behalf of the Registrant and as the Principal Financial Officer</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86" w:right="3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4"/>
                <w:szCs w:val="24"/>
                <w:color w:val="auto"/>
              </w:rPr>
            </w:pPr>
          </w:p>
        </w:tc>
        <w:tc>
          <w:tcPr>
            <w:tcW w:w="10120" w:type="dxa"/>
            <w:vAlign w:val="bottom"/>
            <w:tcBorders>
              <w:bottom w:val="single" w:sz="8" w:color="auto"/>
            </w:tcBorders>
          </w:tcPr>
          <w:p>
            <w:pPr>
              <w:ind w:left="4640"/>
              <w:spacing w:after="0"/>
              <w:rPr>
                <w:sz w:val="20"/>
                <w:szCs w:val="20"/>
                <w:color w:val="auto"/>
              </w:rPr>
            </w:pPr>
            <w:r>
              <w:rPr>
                <w:rFonts w:ascii="Arial" w:cs="Arial" w:eastAsia="Arial" w:hAnsi="Arial"/>
                <w:sz w:val="18"/>
                <w:szCs w:val="18"/>
                <w:color w:val="auto"/>
              </w:rPr>
              <w:t>Description</w:t>
            </w:r>
          </w:p>
        </w:tc>
      </w:tr>
      <w:tr>
        <w:trPr>
          <w:trHeight w:val="459"/>
        </w:trPr>
        <w:tc>
          <w:tcPr>
            <w:tcW w:w="1180" w:type="dxa"/>
            <w:vAlign w:val="bottom"/>
          </w:tcPr>
          <w:p>
            <w:pPr>
              <w:ind w:left="520"/>
              <w:spacing w:after="0"/>
              <w:rPr>
                <w:sz w:val="20"/>
                <w:szCs w:val="20"/>
                <w:color w:val="auto"/>
              </w:rPr>
            </w:pPr>
            <w:r>
              <w:rPr>
                <w:rFonts w:ascii="Arial" w:cs="Arial" w:eastAsia="Arial" w:hAnsi="Arial"/>
                <w:sz w:val="18"/>
                <w:szCs w:val="18"/>
                <w:color w:val="auto"/>
              </w:rPr>
              <w:t>10.1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Severance Agreement between Darryl Green and Manpower Inc. dated as of December 31, 2010.</w:t>
            </w:r>
          </w:p>
        </w:tc>
      </w:tr>
      <w:tr>
        <w:trPr>
          <w:trHeight w:val="459"/>
        </w:trPr>
        <w:tc>
          <w:tcPr>
            <w:tcW w:w="1180" w:type="dxa"/>
            <w:vAlign w:val="bottom"/>
          </w:tcPr>
          <w:p>
            <w:pPr>
              <w:ind w:left="520"/>
              <w:spacing w:after="0"/>
              <w:rPr>
                <w:sz w:val="20"/>
                <w:szCs w:val="20"/>
                <w:color w:val="auto"/>
              </w:rPr>
            </w:pPr>
            <w:r>
              <w:rPr>
                <w:rFonts w:ascii="Arial" w:cs="Arial" w:eastAsia="Arial" w:hAnsi="Arial"/>
                <w:sz w:val="18"/>
                <w:szCs w:val="18"/>
                <w:color w:val="auto"/>
              </w:rPr>
              <w:t>10.2</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Offer Letter Agreement between Hans Leentjes and Manpower Inc. dated as of January 10, 2011.</w:t>
            </w:r>
          </w:p>
        </w:tc>
      </w:tr>
      <w:tr>
        <w:trPr>
          <w:trHeight w:val="459"/>
        </w:trPr>
        <w:tc>
          <w:tcPr>
            <w:tcW w:w="1180" w:type="dxa"/>
            <w:vAlign w:val="bottom"/>
          </w:tcPr>
          <w:p>
            <w:pPr>
              <w:ind w:left="520"/>
              <w:spacing w:after="0"/>
              <w:rPr>
                <w:sz w:val="20"/>
                <w:szCs w:val="20"/>
                <w:color w:val="auto"/>
              </w:rPr>
            </w:pPr>
            <w:r>
              <w:rPr>
                <w:rFonts w:ascii="Arial" w:cs="Arial" w:eastAsia="Arial" w:hAnsi="Arial"/>
                <w:sz w:val="18"/>
                <w:szCs w:val="18"/>
                <w:color w:val="auto"/>
              </w:rPr>
              <w:t>10.3</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Severance Agreement between Hans Leentjes and Manpower Inc. dated as of February 16, 2011.</w:t>
            </w:r>
          </w:p>
        </w:tc>
      </w:tr>
      <w:tr>
        <w:trPr>
          <w:trHeight w:val="459"/>
        </w:trPr>
        <w:tc>
          <w:tcPr>
            <w:tcW w:w="1180" w:type="dxa"/>
            <w:vAlign w:val="bottom"/>
          </w:tcPr>
          <w:p>
            <w:pPr>
              <w:ind w:left="520"/>
              <w:spacing w:after="0"/>
              <w:rPr>
                <w:sz w:val="20"/>
                <w:szCs w:val="20"/>
                <w:color w:val="auto"/>
              </w:rPr>
            </w:pPr>
            <w:r>
              <w:rPr>
                <w:rFonts w:ascii="Arial" w:cs="Arial" w:eastAsia="Arial" w:hAnsi="Arial"/>
                <w:sz w:val="18"/>
                <w:szCs w:val="18"/>
                <w:color w:val="auto"/>
              </w:rPr>
              <w:t>10.4</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Severance Agreement between Kenneth Hunt and Manpower Inc. dated as of February 17, 2011.</w:t>
            </w:r>
          </w:p>
        </w:tc>
      </w:tr>
      <w:tr>
        <w:trPr>
          <w:trHeight w:val="459"/>
        </w:trPr>
        <w:tc>
          <w:tcPr>
            <w:tcW w:w="1180" w:type="dxa"/>
            <w:vAlign w:val="bottom"/>
          </w:tcPr>
          <w:p>
            <w:pPr>
              <w:ind w:left="520"/>
              <w:spacing w:after="0"/>
              <w:rPr>
                <w:sz w:val="20"/>
                <w:szCs w:val="20"/>
                <w:color w:val="auto"/>
              </w:rPr>
            </w:pPr>
            <w:r>
              <w:rPr>
                <w:rFonts w:ascii="Arial" w:cs="Arial" w:eastAsia="Arial" w:hAnsi="Arial"/>
                <w:sz w:val="18"/>
                <w:szCs w:val="18"/>
                <w:color w:val="auto"/>
              </w:rPr>
              <w:t>10.5</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Form of 2011 Performance Share Unit Agreement.</w:t>
            </w:r>
          </w:p>
        </w:tc>
      </w:tr>
      <w:tr>
        <w:trPr>
          <w:trHeight w:val="418"/>
        </w:trPr>
        <w:tc>
          <w:tcPr>
            <w:tcW w:w="1180" w:type="dxa"/>
            <w:vAlign w:val="bottom"/>
          </w:tcPr>
          <w:p>
            <w:pPr>
              <w:ind w:left="520"/>
              <w:spacing w:after="0"/>
              <w:rPr>
                <w:sz w:val="20"/>
                <w:szCs w:val="20"/>
                <w:color w:val="auto"/>
              </w:rPr>
            </w:pPr>
            <w:r>
              <w:rPr>
                <w:rFonts w:ascii="Arial" w:cs="Arial" w:eastAsia="Arial" w:hAnsi="Arial"/>
                <w:sz w:val="18"/>
                <w:szCs w:val="18"/>
                <w:color w:val="auto"/>
              </w:rPr>
              <w:t>10.6</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2"/>
              </w:rPr>
              <w:t>Manpower Inc. Compensation for Non-Employee Directors (Amended and Restated February 16, 2011), incorporated by reference to the</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Company’s Current Report on Form 8-K/A dated February 16, 2011.</w:t>
            </w:r>
          </w:p>
        </w:tc>
      </w:tr>
      <w:tr>
        <w:trPr>
          <w:trHeight w:val="418"/>
        </w:trPr>
        <w:tc>
          <w:tcPr>
            <w:tcW w:w="1180" w:type="dxa"/>
            <w:vAlign w:val="bottom"/>
          </w:tcPr>
          <w:p>
            <w:pPr>
              <w:ind w:left="520"/>
              <w:spacing w:after="0"/>
              <w:rPr>
                <w:sz w:val="20"/>
                <w:szCs w:val="20"/>
                <w:color w:val="auto"/>
              </w:rPr>
            </w:pPr>
            <w:r>
              <w:rPr>
                <w:rFonts w:ascii="Arial" w:cs="Arial" w:eastAsia="Arial" w:hAnsi="Arial"/>
                <w:sz w:val="18"/>
                <w:szCs w:val="18"/>
                <w:color w:val="auto"/>
              </w:rPr>
              <w:t>10.7</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2"/>
              </w:rPr>
              <w:t>Terms and Conditions Regarding the Grant of Awards to Non-Employee Directors under the 2003 Equity Incentive Plan of Manpower Inc.</w:t>
            </w: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3"/>
              </w:rPr>
              <w:t>(Amended and Restated Effective February 16, 2011), incorporated by reference to the Company’s Current Report on Form 8-K/A dated</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February 16, 2011.</w:t>
            </w:r>
          </w:p>
        </w:tc>
      </w:tr>
      <w:tr>
        <w:trPr>
          <w:trHeight w:val="418"/>
        </w:trPr>
        <w:tc>
          <w:tcPr>
            <w:tcW w:w="1180" w:type="dxa"/>
            <w:vAlign w:val="bottom"/>
          </w:tcPr>
          <w:p>
            <w:pPr>
              <w:ind w:left="520"/>
              <w:spacing w:after="0"/>
              <w:rPr>
                <w:sz w:val="20"/>
                <w:szCs w:val="20"/>
                <w:color w:val="auto"/>
              </w:rPr>
            </w:pPr>
            <w:r>
              <w:rPr>
                <w:rFonts w:ascii="Arial" w:cs="Arial" w:eastAsia="Arial" w:hAnsi="Arial"/>
                <w:sz w:val="18"/>
                <w:szCs w:val="18"/>
                <w:color w:val="auto"/>
              </w:rPr>
              <w:t>10.8</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2"/>
              </w:rPr>
              <w:t>Compensation Agreement between Jeffrey A. Joerres and Manpower Inc. dated as of February 16, 2011, incorporated by reference to the</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Company’s Current Report on Form 8-K/A dated February 16, 2011.</w:t>
            </w:r>
          </w:p>
        </w:tc>
      </w:tr>
      <w:tr>
        <w:trPr>
          <w:trHeight w:val="445"/>
        </w:trPr>
        <w:tc>
          <w:tcPr>
            <w:tcW w:w="1180" w:type="dxa"/>
            <w:vAlign w:val="bottom"/>
          </w:tcPr>
          <w:p>
            <w:pPr>
              <w:ind w:left="520"/>
              <w:spacing w:after="0"/>
              <w:rPr>
                <w:sz w:val="20"/>
                <w:szCs w:val="20"/>
                <w:color w:val="auto"/>
              </w:rPr>
            </w:pPr>
            <w:r>
              <w:rPr>
                <w:rFonts w:ascii="Arial" w:cs="Arial" w:eastAsia="Arial" w:hAnsi="Arial"/>
                <w:sz w:val="18"/>
                <w:szCs w:val="18"/>
                <w:color w:val="auto"/>
              </w:rPr>
              <w:t>10.9</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4"/>
              </w:rPr>
              <w:t>Severance Agreement between Jeffrey A. Joerres and Manpower Inc. dated as of February 16, 2011, incorporated by reference to the</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Company’s Current Report on Form 8-K/A dated February 16, 2011.</w:t>
            </w:r>
          </w:p>
        </w:tc>
      </w:tr>
      <w:tr>
        <w:trPr>
          <w:trHeight w:val="445"/>
        </w:trPr>
        <w:tc>
          <w:tcPr>
            <w:tcW w:w="1180" w:type="dxa"/>
            <w:vAlign w:val="bottom"/>
          </w:tcPr>
          <w:p>
            <w:pPr>
              <w:ind w:left="520"/>
              <w:spacing w:after="0"/>
              <w:rPr>
                <w:sz w:val="20"/>
                <w:szCs w:val="20"/>
                <w:color w:val="auto"/>
              </w:rPr>
            </w:pPr>
            <w:r>
              <w:rPr>
                <w:rFonts w:ascii="Arial" w:cs="Arial" w:eastAsia="Arial" w:hAnsi="Arial"/>
                <w:sz w:val="18"/>
                <w:szCs w:val="18"/>
                <w:color w:val="auto"/>
              </w:rPr>
              <w:t>10.10</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1"/>
              </w:rPr>
              <w:t>Compensation Agreement between Michael J. Van Handel and Manpower Inc. dated as of February 16, 2011, incorporated by reference to</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the Company’s Current Report on Form 8-K/A dated February 16, 2011.</w:t>
            </w:r>
          </w:p>
        </w:tc>
      </w:tr>
      <w:tr>
        <w:trPr>
          <w:trHeight w:val="445"/>
        </w:trPr>
        <w:tc>
          <w:tcPr>
            <w:tcW w:w="1180" w:type="dxa"/>
            <w:vAlign w:val="bottom"/>
          </w:tcPr>
          <w:p>
            <w:pPr>
              <w:ind w:left="520"/>
              <w:spacing w:after="0"/>
              <w:rPr>
                <w:sz w:val="20"/>
                <w:szCs w:val="20"/>
                <w:color w:val="auto"/>
              </w:rPr>
            </w:pPr>
            <w:r>
              <w:rPr>
                <w:rFonts w:ascii="Arial" w:cs="Arial" w:eastAsia="Arial" w:hAnsi="Arial"/>
                <w:sz w:val="18"/>
                <w:szCs w:val="18"/>
                <w:color w:val="auto"/>
              </w:rPr>
              <w:t>10.11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1"/>
              </w:rPr>
              <w:t>Severance Agreement between Michael J. Van Handel and Manpower Inc. dated as of February 16, 2011, incorporated by reference to the</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Company’s Current Report on Form 8-K/A dated February 16, 2011.</w:t>
            </w:r>
          </w:p>
        </w:tc>
      </w:tr>
      <w:tr>
        <w:trPr>
          <w:trHeight w:val="445"/>
        </w:trPr>
        <w:tc>
          <w:tcPr>
            <w:tcW w:w="1180" w:type="dxa"/>
            <w:vAlign w:val="bottom"/>
          </w:tcPr>
          <w:p>
            <w:pPr>
              <w:ind w:left="520"/>
              <w:spacing w:after="0"/>
              <w:rPr>
                <w:sz w:val="20"/>
                <w:szCs w:val="20"/>
                <w:color w:val="auto"/>
              </w:rPr>
            </w:pPr>
            <w:r>
              <w:rPr>
                <w:rFonts w:ascii="Arial" w:cs="Arial" w:eastAsia="Arial" w:hAnsi="Arial"/>
                <w:sz w:val="18"/>
                <w:szCs w:val="18"/>
                <w:color w:val="auto"/>
              </w:rPr>
              <w:t>10.12</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3"/>
              </w:rPr>
              <w:t>Amendment to Assignment Agreement between the Company and Jonas Prising dated March 7, 2011, incorporated by reference to the</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Company’s Current Report on Form 8-K/A dated March 7, 2011.</w:t>
            </w:r>
          </w:p>
        </w:tc>
      </w:tr>
      <w:tr>
        <w:trPr>
          <w:trHeight w:val="459"/>
        </w:trPr>
        <w:tc>
          <w:tcPr>
            <w:tcW w:w="1180" w:type="dxa"/>
            <w:vAlign w:val="bottom"/>
          </w:tcPr>
          <w:p>
            <w:pPr>
              <w:ind w:left="520"/>
              <w:spacing w:after="0"/>
              <w:rPr>
                <w:sz w:val="20"/>
                <w:szCs w:val="20"/>
                <w:color w:val="auto"/>
              </w:rPr>
            </w:pPr>
            <w:r>
              <w:rPr>
                <w:rFonts w:ascii="Arial" w:cs="Arial" w:eastAsia="Arial" w:hAnsi="Arial"/>
                <w:sz w:val="18"/>
                <w:szCs w:val="18"/>
                <w:color w:val="auto"/>
              </w:rPr>
              <w:t>12.1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45"/>
        </w:trPr>
        <w:tc>
          <w:tcPr>
            <w:tcW w:w="1180" w:type="dxa"/>
            <w:vAlign w:val="bottom"/>
          </w:tcPr>
          <w:p>
            <w:pPr>
              <w:ind w:left="520"/>
              <w:spacing w:after="0"/>
              <w:rPr>
                <w:sz w:val="20"/>
                <w:szCs w:val="20"/>
                <w:color w:val="auto"/>
              </w:rPr>
            </w:pPr>
            <w:r>
              <w:rPr>
                <w:rFonts w:ascii="Arial" w:cs="Arial" w:eastAsia="Arial" w:hAnsi="Arial"/>
                <w:sz w:val="18"/>
                <w:szCs w:val="18"/>
                <w:color w:val="auto"/>
              </w:rPr>
              <w:t>31.1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2"/>
              </w:rPr>
              <w:t>Certification of Jeffrey A. Joerres, Chairman and Chief Executive Officer, pursuant to Section 13a-14(a) of the Securities Exchange Act of</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1934.</w:t>
            </w:r>
          </w:p>
        </w:tc>
      </w:tr>
      <w:tr>
        <w:trPr>
          <w:trHeight w:val="445"/>
        </w:trPr>
        <w:tc>
          <w:tcPr>
            <w:tcW w:w="1180" w:type="dxa"/>
            <w:vAlign w:val="bottom"/>
          </w:tcPr>
          <w:p>
            <w:pPr>
              <w:ind w:left="520"/>
              <w:spacing w:after="0"/>
              <w:rPr>
                <w:sz w:val="20"/>
                <w:szCs w:val="20"/>
                <w:color w:val="auto"/>
              </w:rPr>
            </w:pPr>
            <w:r>
              <w:rPr>
                <w:rFonts w:ascii="Arial" w:cs="Arial" w:eastAsia="Arial" w:hAnsi="Arial"/>
                <w:sz w:val="18"/>
                <w:szCs w:val="18"/>
                <w:color w:val="auto"/>
              </w:rPr>
              <w:t>31.2</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8"/>
              </w:rPr>
              <w:t>Certification of Michael J. Van Handel, Executive Vice President and Chief Financial Officer, pursuant to Section 13a-14(a) of the</w:t>
            </w: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Securities Exchange Act of 1934.</w:t>
            </w:r>
          </w:p>
        </w:tc>
      </w:tr>
      <w:tr>
        <w:trPr>
          <w:trHeight w:val="459"/>
        </w:trPr>
        <w:tc>
          <w:tcPr>
            <w:tcW w:w="1180" w:type="dxa"/>
            <w:vAlign w:val="bottom"/>
          </w:tcPr>
          <w:p>
            <w:pPr>
              <w:ind w:left="520"/>
              <w:spacing w:after="0"/>
              <w:rPr>
                <w:sz w:val="20"/>
                <w:szCs w:val="20"/>
                <w:color w:val="auto"/>
              </w:rPr>
            </w:pPr>
            <w:r>
              <w:rPr>
                <w:rFonts w:ascii="Arial" w:cs="Arial" w:eastAsia="Arial" w:hAnsi="Arial"/>
                <w:sz w:val="18"/>
                <w:szCs w:val="18"/>
                <w:color w:val="auto"/>
              </w:rPr>
              <w:t>32.1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459"/>
        </w:trPr>
        <w:tc>
          <w:tcPr>
            <w:tcW w:w="1180" w:type="dxa"/>
            <w:vAlign w:val="bottom"/>
          </w:tcPr>
          <w:p>
            <w:pPr>
              <w:ind w:left="520"/>
              <w:spacing w:after="0"/>
              <w:rPr>
                <w:sz w:val="20"/>
                <w:szCs w:val="20"/>
                <w:color w:val="auto"/>
              </w:rPr>
            </w:pPr>
            <w:r>
              <w:rPr>
                <w:rFonts w:ascii="Arial" w:cs="Arial" w:eastAsia="Arial" w:hAnsi="Arial"/>
                <w:sz w:val="18"/>
                <w:szCs w:val="18"/>
                <w:color w:val="auto"/>
              </w:rPr>
              <w:t>32.2</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229" w:lineRule="exact"/>
        <w:rPr>
          <w:sz w:val="20"/>
          <w:szCs w:val="20"/>
          <w:color w:val="auto"/>
        </w:rPr>
      </w:pPr>
    </w:p>
    <w:p>
      <w:pPr>
        <w:ind w:left="1300" w:right="20" w:hanging="779"/>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materials from ManpowerGroup’s Quarterly Report on Form 10-Q for the quarter ended March 31, 2011, formatted in XBRL (Extensible Business Reporting Language): (i) Consolidated Balance Sheets, (ii) Consolidated Statements of Operations, (iii) Consolidated Statements of Cash Flows, and (iv)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December 31, 2010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Mr. Darryl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Asia Pacific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Darryl:</w:t>
      </w:r>
    </w:p>
    <w:p>
      <w:pPr>
        <w:spacing w:after="0" w:line="25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193" w:lineRule="exact"/>
        <w:rPr>
          <w:sz w:val="20"/>
          <w:szCs w:val="20"/>
          <w:color w:val="auto"/>
        </w:rPr>
      </w:pPr>
    </w:p>
    <w:p>
      <w:pPr>
        <w:ind w:left="660" w:hanging="22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ind w:left="1300" w:right="20" w:hanging="285"/>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97" w:lineRule="exact"/>
        <w:rPr>
          <w:rFonts w:ascii="Arial" w:cs="Arial" w:eastAsia="Arial" w:hAnsi="Arial"/>
          <w:sz w:val="18"/>
          <w:szCs w:val="18"/>
          <w:color w:val="auto"/>
        </w:rPr>
      </w:pPr>
    </w:p>
    <w:p>
      <w:pPr>
        <w:ind w:left="1300" w:hanging="295"/>
        <w:spacing w:after="0"/>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Termination by the Manpower Group of your employment with the Manpower Group for “Cause” will mean termination upon</w:t>
      </w:r>
    </w:p>
    <w:p>
      <w:pPr>
        <w:spacing w:after="0" w:line="34" w:lineRule="exact"/>
        <w:rPr>
          <w:rFonts w:ascii="Arial" w:cs="Arial" w:eastAsia="Arial" w:hAnsi="Arial"/>
          <w:sz w:val="17"/>
          <w:szCs w:val="17"/>
          <w:color w:val="auto"/>
        </w:rPr>
      </w:pPr>
    </w:p>
    <w:p>
      <w:pPr>
        <w:jc w:val="both"/>
        <w:ind w:left="1300"/>
        <w:spacing w:after="0" w:line="267" w:lineRule="auto"/>
        <w:rPr>
          <w:rFonts w:ascii="Arial" w:cs="Arial" w:eastAsia="Arial" w:hAnsi="Arial"/>
          <w:sz w:val="17"/>
          <w:szCs w:val="17"/>
          <w:color w:val="auto"/>
        </w:rPr>
      </w:pPr>
      <w:r>
        <w:rPr>
          <w:rFonts w:ascii="Arial" w:cs="Arial" w:eastAsia="Arial" w:hAnsi="Arial"/>
          <w:sz w:val="17"/>
          <w:szCs w:val="17"/>
          <w:color w:val="auto"/>
        </w:rPr>
        <w:t>(i) 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Manpower Group, (iv) any violation by you of a Manpower Group policy of material import, (v) any act by 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441960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1300" w:hanging="28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52" w:lineRule="exact"/>
        <w:rPr>
          <w:rFonts w:ascii="Arial" w:cs="Arial" w:eastAsia="Arial" w:hAnsi="Arial"/>
          <w:sz w:val="18"/>
          <w:szCs w:val="18"/>
          <w:color w:val="auto"/>
        </w:rPr>
      </w:pPr>
    </w:p>
    <w:p>
      <w:pPr>
        <w:jc w:val="both"/>
        <w:ind w:left="1960" w:hanging="267"/>
        <w:spacing w:after="0" w:line="286"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1960" w:hanging="317"/>
        <w:spacing w:after="0" w:line="272"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1960" w:hanging="367"/>
        <w:spacing w:after="0" w:line="277"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1960" w:hanging="357"/>
        <w:spacing w:after="0" w:line="255"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16" w:lineRule="exact"/>
        <w:rPr>
          <w:rFonts w:ascii="Arial" w:cs="Arial" w:eastAsia="Arial" w:hAnsi="Arial"/>
          <w:sz w:val="18"/>
          <w:szCs w:val="18"/>
          <w:color w:val="auto"/>
        </w:rPr>
      </w:pPr>
    </w:p>
    <w:p>
      <w:pPr>
        <w:jc w:val="both"/>
        <w:ind w:left="1960" w:hanging="307"/>
        <w:spacing w:after="0" w:line="259"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21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ind w:left="1300" w:hanging="295"/>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material dimunition in your authority, duties or responsibilities;</w:t>
      </w:r>
    </w:p>
    <w:p>
      <w:pPr>
        <w:spacing w:after="0" w:line="252" w:lineRule="exact"/>
        <w:rPr>
          <w:rFonts w:ascii="Arial" w:cs="Arial" w:eastAsia="Arial" w:hAnsi="Arial"/>
          <w:sz w:val="18"/>
          <w:szCs w:val="18"/>
          <w:color w:val="auto"/>
        </w:rPr>
      </w:pPr>
    </w:p>
    <w:p>
      <w:pPr>
        <w:ind w:left="1960" w:right="60" w:hanging="655"/>
        <w:spacing w:after="0" w:line="277"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material breach of this agreement by the Corporation or of any material obligation of any member of the Manpower Group for the payment or provision of compensation or other benefits to you;</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material dimunition in your base salary or a failure by the Manpower Group to provide an arrangement for you for any fiscal year of the Manpower Group giving you the opportunity to earn an incentive bonus for such year; or</w:t>
      </w:r>
    </w:p>
    <w:p>
      <w:pPr>
        <w:spacing w:after="0" w:line="197" w:lineRule="exact"/>
        <w:rPr>
          <w:rFonts w:ascii="Arial" w:cs="Arial" w:eastAsia="Arial" w:hAnsi="Arial"/>
          <w:sz w:val="18"/>
          <w:szCs w:val="18"/>
          <w:color w:val="auto"/>
        </w:rPr>
      </w:pPr>
    </w:p>
    <w:p>
      <w:pPr>
        <w:ind w:left="1960" w:right="100" w:hanging="655"/>
        <w:spacing w:after="0" w:line="264"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material dimunition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Notwithstanding Subsections 1(d)(i) – (iv) above, Good Reason does not exist unless (i) you object to any material dimunition or breach described above by written notice to the Corporation within twenty (20) business days after such dimunition or breach occurs, (ii) the Corporation fails to cure such dimunition or breach within thirty (30) days after such notice is given and (iii) your employment with the Manpower Group is terminated by you within ninety (90) days after such dimunition or breach occurs. Further, notwithstanding Subsections 1(d)(i)-(iv),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93" w:lineRule="exact"/>
        <w:rPr>
          <w:sz w:val="20"/>
          <w:szCs w:val="20"/>
          <w:color w:val="auto"/>
        </w:rPr>
      </w:pPr>
    </w:p>
    <w:p>
      <w:pPr>
        <w:jc w:val="both"/>
        <w:ind w:left="1300" w:hanging="285"/>
        <w:spacing w:after="0" w:line="25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15" w:lineRule="exact"/>
        <w:rPr>
          <w:rFonts w:ascii="Arial" w:cs="Arial" w:eastAsia="Arial" w:hAnsi="Arial"/>
          <w:sz w:val="18"/>
          <w:szCs w:val="18"/>
          <w:color w:val="auto"/>
        </w:rPr>
      </w:pPr>
    </w:p>
    <w:p>
      <w:pPr>
        <w:ind w:left="1300" w:right="20" w:hanging="265"/>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50" w:lineRule="exact"/>
        <w:rPr>
          <w:rFonts w:ascii="Arial" w:cs="Arial" w:eastAsia="Arial" w:hAnsi="Arial"/>
          <w:sz w:val="16"/>
          <w:szCs w:val="16"/>
          <w:color w:val="auto"/>
        </w:rPr>
      </w:pPr>
    </w:p>
    <w:p>
      <w:pPr>
        <w:ind w:left="1300" w:hanging="29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jc w:val="both"/>
        <w:ind w:left="1960" w:hanging="267"/>
        <w:spacing w:after="0" w:line="259"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jc w:val="both"/>
        <w:ind w:left="1960" w:hanging="317"/>
        <w:spacing w:after="0" w:line="259"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 w:name="page33"/>
    <w:bookmarkEnd w:id="32"/>
    <w:p>
      <w:pPr>
        <w:jc w:val="both"/>
        <w:ind w:left="1529" w:hanging="367"/>
        <w:spacing w:after="0" w:line="264" w:lineRule="auto"/>
        <w:tabs>
          <w:tab w:leader="none" w:pos="1529" w:val="left"/>
        </w:tabs>
        <w:numPr>
          <w:ilvl w:val="2"/>
          <w:numId w:val="34"/>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8" w:lineRule="exact"/>
        <w:rPr>
          <w:rFonts w:ascii="Arial" w:cs="Arial" w:eastAsia="Arial" w:hAnsi="Arial"/>
          <w:sz w:val="18"/>
          <w:szCs w:val="18"/>
          <w:color w:val="auto"/>
        </w:rPr>
      </w:pPr>
    </w:p>
    <w:p>
      <w:pPr>
        <w:jc w:val="both"/>
        <w:ind w:left="869" w:hanging="295"/>
        <w:spacing w:after="0" w:line="259" w:lineRule="auto"/>
        <w:tabs>
          <w:tab w:leader="none" w:pos="869"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of this letter listed above and ending on the first to occur of the following: (a) the date which is the two-year anniversary of the occurrence of a Change of Control; (b) the date which is the three-year anniversary of August 1, 2010 if no Change of Control occurs between the effective date of this letter listed above and such three-year anniversary; or (c) the Date of Termination.</w:t>
      </w:r>
    </w:p>
    <w:p>
      <w:pPr>
        <w:spacing w:after="0" w:line="213" w:lineRule="exact"/>
        <w:rPr>
          <w:rFonts w:ascii="Arial" w:cs="Arial" w:eastAsia="Arial" w:hAnsi="Arial"/>
          <w:sz w:val="18"/>
          <w:szCs w:val="18"/>
          <w:color w:val="auto"/>
        </w:rPr>
      </w:pPr>
    </w:p>
    <w:p>
      <w:pPr>
        <w:ind w:left="229" w:hanging="229"/>
        <w:spacing w:after="0"/>
        <w:tabs>
          <w:tab w:leader="none" w:pos="22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69" w:hanging="285"/>
        <w:spacing w:after="0" w:line="255" w:lineRule="auto"/>
        <w:tabs>
          <w:tab w:leader="none" w:pos="869"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by the Manpower Group for Cause or by You Other Than for Good Reason</w:t>
      </w:r>
      <w:r>
        <w:rPr>
          <w:rFonts w:ascii="Arial" w:cs="Arial" w:eastAsia="Arial" w:hAnsi="Arial"/>
          <w:sz w:val="18"/>
          <w:szCs w:val="18"/>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20" w:lineRule="exact"/>
        <w:rPr>
          <w:rFonts w:ascii="Arial" w:cs="Arial" w:eastAsia="Arial" w:hAnsi="Arial"/>
          <w:sz w:val="18"/>
          <w:szCs w:val="18"/>
          <w:color w:val="auto"/>
        </w:rPr>
      </w:pPr>
    </w:p>
    <w:p>
      <w:pPr>
        <w:jc w:val="both"/>
        <w:ind w:left="869" w:hanging="295"/>
        <w:spacing w:after="0" w:line="287" w:lineRule="auto"/>
        <w:tabs>
          <w:tab w:leader="none" w:pos="869"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 or Death</w:t>
      </w:r>
      <w:r>
        <w:rPr>
          <w:rFonts w:ascii="Arial" w:cs="Arial" w:eastAsia="Arial" w:hAnsi="Arial"/>
          <w:sz w:val="16"/>
          <w:szCs w:val="16"/>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195" w:lineRule="exact"/>
        <w:rPr>
          <w:rFonts w:ascii="Arial" w:cs="Arial" w:eastAsia="Arial" w:hAnsi="Arial"/>
          <w:sz w:val="16"/>
          <w:szCs w:val="16"/>
          <w:color w:val="auto"/>
        </w:rPr>
      </w:pPr>
    </w:p>
    <w:p>
      <w:pPr>
        <w:ind w:left="869" w:hanging="285"/>
        <w:spacing w:after="0"/>
        <w:tabs>
          <w:tab w:leader="none" w:pos="869"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529" w:hanging="267"/>
        <w:spacing w:after="0" w:line="264" w:lineRule="auto"/>
        <w:tabs>
          <w:tab w:leader="none" w:pos="1529" w:val="left"/>
        </w:tabs>
        <w:numPr>
          <w:ilvl w:val="2"/>
          <w:numId w:val="36"/>
        </w:numPr>
        <w:rPr>
          <w:rFonts w:ascii="Arial" w:cs="Arial" w:eastAsia="Arial" w:hAnsi="Arial"/>
          <w:sz w:val="18"/>
          <w:szCs w:val="18"/>
          <w:color w:val="auto"/>
        </w:rPr>
      </w:pPr>
      <w:r>
        <w:rPr>
          <w:rFonts w:ascii="Arial" w:cs="Arial" w:eastAsia="Arial" w:hAnsi="Arial"/>
          <w:sz w:val="18"/>
          <w:szCs w:val="18"/>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208" w:lineRule="exact"/>
        <w:rPr>
          <w:rFonts w:ascii="Arial" w:cs="Arial" w:eastAsia="Arial" w:hAnsi="Arial"/>
          <w:sz w:val="18"/>
          <w:szCs w:val="18"/>
          <w:color w:val="auto"/>
        </w:rPr>
      </w:pPr>
    </w:p>
    <w:p>
      <w:pPr>
        <w:ind w:left="2169" w:right="20" w:hanging="339"/>
        <w:spacing w:after="0" w:line="277" w:lineRule="auto"/>
        <w:tabs>
          <w:tab w:leader="none" w:pos="2169" w:val="left"/>
        </w:tabs>
        <w:numPr>
          <w:ilvl w:val="3"/>
          <w:numId w:val="36"/>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2169" w:right="20" w:hanging="329"/>
        <w:spacing w:after="0" w:line="277" w:lineRule="auto"/>
        <w:tabs>
          <w:tab w:leader="none" w:pos="2169" w:val="left"/>
        </w:tabs>
        <w:numPr>
          <w:ilvl w:val="3"/>
          <w:numId w:val="36"/>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Manpower Group ended before the Date of Termination;</w:t>
      </w:r>
    </w:p>
    <w:p>
      <w:pPr>
        <w:spacing w:after="0" w:line="197" w:lineRule="exact"/>
        <w:rPr>
          <w:rFonts w:ascii="Arial" w:cs="Arial" w:eastAsia="Arial" w:hAnsi="Arial"/>
          <w:sz w:val="18"/>
          <w:szCs w:val="18"/>
          <w:color w:val="auto"/>
        </w:rPr>
      </w:pPr>
    </w:p>
    <w:p>
      <w:pPr>
        <w:jc w:val="both"/>
        <w:ind w:left="2169" w:hanging="329"/>
        <w:spacing w:after="0" w:line="297" w:lineRule="auto"/>
        <w:tabs>
          <w:tab w:leader="none" w:pos="2169" w:val="left"/>
        </w:tabs>
        <w:numPr>
          <w:ilvl w:val="3"/>
          <w:numId w:val="36"/>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w:t>
      </w:r>
    </w:p>
    <w:p>
      <w:pPr>
        <w:spacing w:after="0" w:line="334"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274" w:right="239" w:bottom="1440" w:gutter="0" w:footer="0" w:header="0"/>
        </w:sectPr>
      </w:pPr>
    </w:p>
    <w:bookmarkStart w:id="33" w:name="page34"/>
    <w:bookmarkEnd w:id="33"/>
    <w:p>
      <w:pPr>
        <w:jc w:val="both"/>
        <w:ind w:left="1400" w:hanging="339"/>
        <w:spacing w:after="0" w:line="255"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Committee of the Board approves a bona fide target annual bonus for the fiscal year in which the Change of Control occurs, your target annual bonus for the fiscal year prior to the fiscal year in which the Change of Control occurs);</w:t>
      </w:r>
    </w:p>
    <w:p>
      <w:pPr>
        <w:spacing w:after="0" w:line="220" w:lineRule="exact"/>
        <w:rPr>
          <w:rFonts w:ascii="Arial" w:cs="Arial" w:eastAsia="Arial" w:hAnsi="Arial"/>
          <w:sz w:val="18"/>
          <w:szCs w:val="18"/>
          <w:color w:val="auto"/>
        </w:rPr>
      </w:pPr>
    </w:p>
    <w:p>
      <w:pPr>
        <w:jc w:val="both"/>
        <w:ind w:left="1400" w:hanging="319"/>
        <w:spacing w:after="0" w:line="290" w:lineRule="auto"/>
        <w:tabs>
          <w:tab w:leader="none" w:pos="1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up to an eighteen-month period after the Date of Termination, the Corporation will arrange to provide you and your eligible dependents, at the Manpower Group’s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93" w:lineRule="exact"/>
        <w:rPr>
          <w:rFonts w:ascii="Arial" w:cs="Arial" w:eastAsia="Arial" w:hAnsi="Arial"/>
          <w:sz w:val="16"/>
          <w:szCs w:val="16"/>
          <w:color w:val="auto"/>
        </w:rPr>
      </w:pPr>
    </w:p>
    <w:p>
      <w:pPr>
        <w:ind w:left="1400" w:right="180"/>
        <w:spacing w:after="0" w:line="267" w:lineRule="auto"/>
        <w:rPr>
          <w:rFonts w:ascii="Arial" w:cs="Arial" w:eastAsia="Arial" w:hAnsi="Arial"/>
          <w:sz w:val="16"/>
          <w:szCs w:val="16"/>
          <w:color w:val="auto"/>
        </w:rPr>
      </w:pPr>
      <w:r>
        <w:rPr>
          <w:rFonts w:ascii="Arial" w:cs="Arial" w:eastAsia="Arial" w:hAnsi="Arial"/>
          <w:sz w:val="17"/>
          <w:szCs w:val="17"/>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219" w:lineRule="exact"/>
        <w:rPr>
          <w:rFonts w:ascii="Arial" w:cs="Arial" w:eastAsia="Arial" w:hAnsi="Arial"/>
          <w:sz w:val="16"/>
          <w:szCs w:val="16"/>
          <w:color w:val="auto"/>
        </w:rPr>
      </w:pPr>
    </w:p>
    <w:p>
      <w:pPr>
        <w:ind w:left="1400" w:right="20" w:hanging="309"/>
        <w:spacing w:after="0" w:line="272" w:lineRule="auto"/>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34" w:name="page35"/>
    <w:bookmarkEnd w:id="34"/>
    <w:p>
      <w:pPr>
        <w:ind w:left="760" w:hanging="317"/>
        <w:spacing w:after="0" w:line="308" w:lineRule="auto"/>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173" w:lineRule="exact"/>
        <w:rPr>
          <w:rFonts w:ascii="Arial" w:cs="Arial" w:eastAsia="Arial" w:hAnsi="Arial"/>
          <w:sz w:val="17"/>
          <w:szCs w:val="17"/>
          <w:color w:val="auto"/>
        </w:rPr>
      </w:pPr>
    </w:p>
    <w:p>
      <w:pPr>
        <w:ind w:left="1400" w:right="20" w:hanging="339"/>
        <w:spacing w:after="0" w:line="277"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1400" w:right="20" w:hanging="329"/>
        <w:spacing w:after="0" w:line="277"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Manpower Group ended before the Date of Termination;</w:t>
      </w:r>
    </w:p>
    <w:p>
      <w:pPr>
        <w:spacing w:after="0" w:line="197" w:lineRule="exact"/>
        <w:rPr>
          <w:rFonts w:ascii="Arial" w:cs="Arial" w:eastAsia="Arial" w:hAnsi="Arial"/>
          <w:sz w:val="18"/>
          <w:szCs w:val="18"/>
          <w:color w:val="auto"/>
        </w:rPr>
      </w:pPr>
    </w:p>
    <w:p>
      <w:pPr>
        <w:jc w:val="both"/>
        <w:ind w:left="1400" w:hanging="329"/>
        <w:spacing w:after="0" w:line="297" w:lineRule="auto"/>
        <w:tabs>
          <w:tab w:leader="none" w:pos="14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1400" w:hanging="339"/>
        <w:spacing w:after="0" w:line="255"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Committee of the Board approves a bona fide target annual bonus for you for the fiscal year in which the Date of Termination occurs, your target annual bonus for the fiscal year prior to the fiscal year in which the Date of Termination occurs);</w:t>
      </w:r>
    </w:p>
    <w:p>
      <w:pPr>
        <w:spacing w:after="0" w:line="220" w:lineRule="exact"/>
        <w:rPr>
          <w:rFonts w:ascii="Arial" w:cs="Arial" w:eastAsia="Arial" w:hAnsi="Arial"/>
          <w:sz w:val="18"/>
          <w:szCs w:val="18"/>
          <w:color w:val="auto"/>
        </w:rPr>
      </w:pPr>
    </w:p>
    <w:p>
      <w:pPr>
        <w:jc w:val="both"/>
        <w:ind w:left="1400" w:hanging="319"/>
        <w:spacing w:after="0" w:line="255" w:lineRule="auto"/>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3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35" w:name="page36"/>
    <w:bookmarkEnd w:id="35"/>
    <w:p>
      <w:pPr>
        <w:ind w:left="1400"/>
        <w:spacing w:after="0" w:line="284" w:lineRule="auto"/>
        <w:rPr>
          <w:sz w:val="20"/>
          <w:szCs w:val="20"/>
          <w:color w:val="auto"/>
        </w:rPr>
      </w:pPr>
      <w:r>
        <w:rPr>
          <w:rFonts w:ascii="Arial" w:cs="Arial" w:eastAsia="Arial" w:hAnsi="Arial"/>
          <w:sz w:val="16"/>
          <w:szCs w:val="16"/>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207" w:lineRule="exact"/>
        <w:rPr>
          <w:sz w:val="20"/>
          <w:szCs w:val="20"/>
          <w:color w:val="auto"/>
        </w:rPr>
      </w:pPr>
    </w:p>
    <w:p>
      <w:pPr>
        <w:ind w:left="1400" w:right="40" w:hanging="309"/>
        <w:spacing w:after="0" w:line="272" w:lineRule="auto"/>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2(c)(ii)(F).</w:t>
      </w: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274" w:right="279" w:bottom="1440" w:gutter="0" w:footer="0" w:header="0"/>
        </w:sectPr>
      </w:pPr>
    </w:p>
    <w:bookmarkStart w:id="36" w:name="page37"/>
    <w:bookmarkEnd w:id="36"/>
    <w:p>
      <w:pPr>
        <w:ind w:right="360" w:firstLine="648"/>
        <w:spacing w:after="0" w:line="287" w:lineRule="auto"/>
        <w:rPr>
          <w:sz w:val="20"/>
          <w:szCs w:val="20"/>
          <w:color w:val="auto"/>
        </w:rPr>
      </w:pPr>
      <w:r>
        <w:rPr>
          <w:rFonts w:ascii="Arial" w:cs="Arial" w:eastAsia="Arial" w:hAnsi="Arial"/>
          <w:sz w:val="16"/>
          <w:szCs w:val="16"/>
          <w:color w:val="auto"/>
        </w:rPr>
        <w:t>The amounts paid to you pursuant to Subsection 2(c)(i)(D) or 2(c)(ii)(D) will not be included as compensation for purposes of any qualified or nonqualified pension or welfare benefit plan of the Manpower 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196" w:lineRule="exact"/>
        <w:rPr>
          <w:sz w:val="20"/>
          <w:szCs w:val="20"/>
          <w:color w:val="auto"/>
        </w:rPr>
      </w:pPr>
    </w:p>
    <w:p>
      <w:pPr>
        <w:jc w:val="both"/>
        <w:ind w:left="1300" w:hanging="295"/>
        <w:spacing w:after="0" w:line="268"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on the thirtieth (30th) day after the Date of Termination. The bonus payment provided for in Subsection 2(c)(ii)(C) will between January 1 and March 15 of the calendar year following the Date of Termination. The severance benefit provided for in Subsection 2(c)(i)(D) or 2(c)(ii)(D)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Midwest edition (or, if not so reported, as reported in such other similar source(s) as the Corporation shall select).</w:t>
      </w:r>
    </w:p>
    <w:p>
      <w:pPr>
        <w:spacing w:after="0" w:line="210" w:lineRule="exact"/>
        <w:rPr>
          <w:rFonts w:ascii="Arial" w:cs="Arial" w:eastAsia="Arial" w:hAnsi="Arial"/>
          <w:sz w:val="17"/>
          <w:szCs w:val="17"/>
          <w:color w:val="auto"/>
        </w:rPr>
      </w:pPr>
    </w:p>
    <w:p>
      <w:pPr>
        <w:jc w:val="both"/>
        <w:ind w:left="1300" w:hanging="285"/>
        <w:spacing w:after="0" w:line="289"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Notwithstanding the foregoing, you will have no right to receive any payment or benefit described in Subsections 2(c) (i)(C)-(F) or 2(c)(ii)(C)-(F), above, unless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7" w:name="page38"/>
    <w:bookmarkEnd w:id="37"/>
    <w:p>
      <w:pPr>
        <w:jc w:val="both"/>
        <w:ind w:left="1300" w:hanging="265"/>
        <w:spacing w:after="0" w:line="259" w:lineRule="auto"/>
        <w:tabs>
          <w:tab w:leader="none" w:pos="1300" w:val="left"/>
        </w:tabs>
        <w:numPr>
          <w:ilvl w:val="2"/>
          <w:numId w:val="41"/>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3-5, below, and upon your breach of any such obligations, you will immediately return to the Corporation the amount of such payments and benefits and you will no longer have any right to receive any such payments or benefits.</w:t>
      </w:r>
    </w:p>
    <w:p>
      <w:pPr>
        <w:spacing w:after="0" w:line="186"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191" w:lineRule="exact"/>
        <w:rPr>
          <w:rFonts w:ascii="Arial" w:cs="Arial" w:eastAsia="Arial" w:hAnsi="Arial"/>
          <w:sz w:val="16"/>
          <w:szCs w:val="16"/>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Customer Nonsolicitation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480" w:hanging="644"/>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During the term of your employment with the Manpower Group, you will not assist any competitor of any company in the Manpower Group in any capacity anywhere the Manpower Group does business.</w:t>
      </w:r>
    </w:p>
    <w:p>
      <w:pPr>
        <w:spacing w:after="0" w:line="197" w:lineRule="exact"/>
        <w:rPr>
          <w:rFonts w:ascii="Arial" w:cs="Arial" w:eastAsia="Arial" w:hAnsi="Arial"/>
          <w:sz w:val="18"/>
          <w:szCs w:val="18"/>
          <w:color w:val="auto"/>
        </w:rPr>
      </w:pPr>
    </w:p>
    <w:p>
      <w:pPr>
        <w:ind w:left="1300" w:right="80" w:hanging="644"/>
        <w:spacing w:after="0" w:line="255"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220" w:lineRule="exact"/>
        <w:rPr>
          <w:rFonts w:ascii="Arial" w:cs="Arial" w:eastAsia="Arial" w:hAnsi="Arial"/>
          <w:sz w:val="18"/>
          <w:szCs w:val="18"/>
          <w:color w:val="auto"/>
        </w:rPr>
      </w:pPr>
    </w:p>
    <w:p>
      <w:pPr>
        <w:ind w:left="660" w:right="20" w:hanging="652"/>
        <w:spacing w:after="0" w:line="287"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in any country for which you have responsibility during the Term and in which the Manpower Group conducts business as of the Date of Termination which has, together with its affiliated entities, annual revenues from its worldwide business in excess of US $500,000,000 or (ii) engaged in the business of providing permanent placement, professional staffing, outplacement or human resources consulting services in any country for which you have responsibility during the Term and in which the Manpower Group conducts business as of the Date of Termination which has, together with its affiliated entities, annual revenues from its worldwide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199" w:lineRule="exact"/>
        <w:rPr>
          <w:rFonts w:ascii="Arial" w:cs="Arial" w:eastAsia="Arial" w:hAnsi="Arial"/>
          <w:sz w:val="16"/>
          <w:szCs w:val="16"/>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40" w:hanging="644"/>
        <w:spacing w:after="0" w:line="291"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Manpower Group and its businesses and properties in the event of your breach of any of the restrictions imposed by Sections 3-5,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8" w:name="page39"/>
    <w:bookmarkEnd w:id="38"/>
    <w:p>
      <w:pPr>
        <w:ind w:left="1292" w:right="100" w:hanging="644"/>
        <w:spacing w:after="0" w:line="277" w:lineRule="auto"/>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3-5, above, will be extended by any period during which such restriction is violated by you.</w:t>
      </w:r>
    </w:p>
    <w:p>
      <w:pPr>
        <w:spacing w:after="0" w:line="197" w:lineRule="exact"/>
        <w:rPr>
          <w:rFonts w:ascii="Arial" w:cs="Arial" w:eastAsia="Arial" w:hAnsi="Arial"/>
          <w:sz w:val="18"/>
          <w:szCs w:val="18"/>
          <w:color w:val="auto"/>
        </w:rPr>
      </w:pPr>
    </w:p>
    <w:p>
      <w:pPr>
        <w:jc w:val="both"/>
        <w:ind w:left="1292" w:right="420" w:hanging="644"/>
        <w:spacing w:after="0" w:line="264" w:lineRule="auto"/>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4 and 5, above, will not apply if your employment with the Manpower Group is terminated by you for Good Reason or by the Corporation without Cause either during a Protected Period or within two years after the occurrence of a Change of Control.</w:t>
      </w:r>
    </w:p>
    <w:p>
      <w:pPr>
        <w:spacing w:after="0" w:line="208" w:lineRule="exact"/>
        <w:rPr>
          <w:rFonts w:ascii="Arial" w:cs="Arial" w:eastAsia="Arial" w:hAnsi="Arial"/>
          <w:sz w:val="18"/>
          <w:szCs w:val="18"/>
          <w:color w:val="auto"/>
        </w:rPr>
      </w:pPr>
    </w:p>
    <w:p>
      <w:pPr>
        <w:ind w:left="652" w:right="120" w:hanging="652"/>
        <w:spacing w:after="0" w:line="259"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213" w:lineRule="exact"/>
        <w:rPr>
          <w:rFonts w:ascii="Arial" w:cs="Arial" w:eastAsia="Arial" w:hAnsi="Arial"/>
          <w:sz w:val="18"/>
          <w:szCs w:val="18"/>
          <w:color w:val="auto"/>
        </w:rPr>
      </w:pPr>
    </w:p>
    <w:p>
      <w:pPr>
        <w:ind w:left="652" w:hanging="652"/>
        <w:spacing w:after="0" w:line="290" w:lineRule="auto"/>
        <w:tabs>
          <w:tab w:leader="none" w:pos="65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93" w:lineRule="exact"/>
        <w:rPr>
          <w:rFonts w:ascii="Arial" w:cs="Arial" w:eastAsia="Arial" w:hAnsi="Arial"/>
          <w:sz w:val="16"/>
          <w:szCs w:val="16"/>
          <w:color w:val="auto"/>
        </w:rPr>
      </w:pPr>
    </w:p>
    <w:p>
      <w:pPr>
        <w:ind w:left="652" w:right="160" w:hanging="652"/>
        <w:spacing w:after="0" w:line="277"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ind w:left="652" w:right="20" w:hanging="652"/>
        <w:spacing w:after="0" w:line="264"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ind w:left="652" w:right="80" w:hanging="652"/>
        <w:spacing w:after="0" w:line="312" w:lineRule="auto"/>
        <w:tabs>
          <w:tab w:leader="none" w:pos="65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73" w:lineRule="exact"/>
        <w:rPr>
          <w:rFonts w:ascii="Arial" w:cs="Arial" w:eastAsia="Arial" w:hAnsi="Arial"/>
          <w:sz w:val="16"/>
          <w:szCs w:val="16"/>
          <w:color w:val="auto"/>
        </w:rPr>
      </w:pPr>
    </w:p>
    <w:p>
      <w:pPr>
        <w:ind w:left="652" w:right="520" w:hanging="652"/>
        <w:spacing w:after="0" w:line="277"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652" w:right="160" w:hanging="652"/>
        <w:spacing w:after="0" w:line="277"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652" w:right="480" w:hanging="652"/>
        <w:spacing w:after="0" w:line="277"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3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74" w:right="259" w:bottom="1440" w:gutter="0" w:footer="0" w:header="0"/>
        </w:sectPr>
      </w:pPr>
    </w:p>
    <w:bookmarkStart w:id="39" w:name="page40"/>
    <w:bookmarkEnd w:id="39"/>
    <w:p>
      <w:pPr>
        <w:ind w:left="660" w:right="80" w:hanging="652"/>
        <w:spacing w:after="0" w:line="27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9" w:lineRule="exact"/>
        <w:rPr>
          <w:rFonts w:ascii="Arial" w:cs="Arial" w:eastAsia="Arial" w:hAnsi="Arial"/>
          <w:sz w:val="17"/>
          <w:szCs w:val="17"/>
          <w:color w:val="auto"/>
        </w:rPr>
      </w:pPr>
    </w:p>
    <w:p>
      <w:pPr>
        <w:ind w:left="660" w:right="80" w:hanging="652"/>
        <w:spacing w:after="0" w:line="293"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Previous Agreements</w:t>
      </w:r>
      <w:r>
        <w:rPr>
          <w:rFonts w:ascii="Arial" w:cs="Arial" w:eastAsia="Arial" w:hAnsi="Arial"/>
          <w:sz w:val="16"/>
          <w:szCs w:val="16"/>
          <w:color w:val="auto"/>
        </w:rPr>
        <w:t>. To the extent your Date of Termination does not occur prior to the effective date of this letter indicated above and you accept this letter with your signature below, this letter, upon its effective date indicated above, expressly supersedes any and all previous agreements or understandings relating to your employment by the Corporation or the Manpower Group, except for the letter from the Corporation to you dated April 4, 2007, regarding the Corporation’s offer of employment to you (provided this letter will supersede the sections of that prior letter concerning severance protection and restrictive covenants) and the Nondisclosure Agreement between you and the Corporation date May 12, 2007, or the termination of such employment, and any such agreements or understandings shall have no further force or effect.</w:t>
      </w:r>
    </w:p>
    <w:p>
      <w:pPr>
        <w:spacing w:after="0" w:line="191" w:lineRule="exact"/>
        <w:rPr>
          <w:rFonts w:ascii="Arial" w:cs="Arial" w:eastAsia="Arial" w:hAnsi="Arial"/>
          <w:sz w:val="16"/>
          <w:szCs w:val="16"/>
          <w:color w:val="auto"/>
        </w:rPr>
      </w:pPr>
    </w:p>
    <w:p>
      <w:pPr>
        <w:ind w:left="660" w:right="200" w:hanging="652"/>
        <w:spacing w:after="0" w:line="25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6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17, the party initiating arbitration shall be denominated the “Claimant” and the other party shall be denominated the “Respondent.”</w:t>
      </w:r>
    </w:p>
    <w:p>
      <w:pPr>
        <w:spacing w:after="0" w:line="215" w:lineRule="exact"/>
        <w:rPr>
          <w:rFonts w:ascii="Arial" w:cs="Arial" w:eastAsia="Arial" w:hAnsi="Arial"/>
          <w:sz w:val="18"/>
          <w:szCs w:val="18"/>
          <w:color w:val="auto"/>
        </w:rPr>
      </w:pPr>
    </w:p>
    <w:p>
      <w:pPr>
        <w:ind w:left="1300" w:right="40" w:hanging="644"/>
        <w:spacing w:after="0" w:line="287"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jc w:val="both"/>
        <w:ind w:left="1300" w:hanging="295"/>
        <w:spacing w:after="0" w:line="269" w:lineRule="auto"/>
        <w:tabs>
          <w:tab w:leader="none" w:pos="1300" w:val="left"/>
        </w:tabs>
        <w:numPr>
          <w:ilvl w:val="2"/>
          <w:numId w:val="45"/>
        </w:numPr>
        <w:rPr>
          <w:rFonts w:ascii="Arial" w:cs="Arial" w:eastAsia="Arial" w:hAnsi="Arial"/>
          <w:sz w:val="17"/>
          <w:szCs w:val="17"/>
          <w:color w:val="auto"/>
        </w:rPr>
      </w:pPr>
      <w:r>
        <w:rPr>
          <w:rFonts w:ascii="Arial" w:cs="Arial" w:eastAsia="Arial" w:hAnsi="Arial"/>
          <w:sz w:val="17"/>
          <w:szCs w:val="17"/>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0" w:name="page41"/>
    <w:bookmarkEnd w:id="40"/>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19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200" w:lineRule="exact"/>
        <w:rPr>
          <w:sz w:val="20"/>
          <w:szCs w:val="20"/>
          <w:color w:val="auto"/>
        </w:rPr>
      </w:pPr>
    </w:p>
    <w:p>
      <w:pPr>
        <w:spacing w:after="0" w:line="214"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14605</wp:posOffset>
            </wp:positionV>
            <wp:extent cx="14490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Jeffrey A. Joerres, President</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31st day of December, 2010.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Darryl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Darryl Green</w:t>
      </w:r>
    </w:p>
    <w:p>
      <w:pPr>
        <w:sectPr>
          <w:pgSz w:w="11900" w:h="16838" w:orient="portrait"/>
          <w:cols w:equalWidth="0" w:num="1">
            <w:col w:w="11420"/>
          </w:cols>
          <w:pgMar w:left="240" w:top="27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10, 2011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Mr. Hans Leentjes:</w:t>
      </w:r>
    </w:p>
    <w:p>
      <w:pPr>
        <w:spacing w:after="0" w:line="25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 am very pleased that you have decided to join Manpower Inc. (the “Corporation”) as President – Northern Europe. In this role you will report directly to me and will be part of our Executive Management Team.</w:t>
      </w:r>
    </w:p>
    <w:p>
      <w:pPr>
        <w:spacing w:after="0" w:line="224" w:lineRule="exact"/>
        <w:rPr>
          <w:sz w:val="20"/>
          <w:szCs w:val="20"/>
          <w:color w:val="auto"/>
        </w:rPr>
      </w:pPr>
    </w:p>
    <w:p>
      <w:pPr>
        <w:ind w:right="120" w:firstLine="656"/>
        <w:spacing w:after="0" w:line="293" w:lineRule="auto"/>
        <w:tabs>
          <w:tab w:leader="none" w:pos="108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Position</w:t>
      </w:r>
      <w:r>
        <w:rPr>
          <w:rFonts w:ascii="Arial" w:cs="Arial" w:eastAsia="Arial" w:hAnsi="Arial"/>
          <w:sz w:val="16"/>
          <w:szCs w:val="16"/>
          <w:color w:val="auto"/>
        </w:rPr>
        <w:t>. Effective as of January 7, 2011, your employment by the Corporation will be as President – Northern Europe. Reporting to the CEO, you will be responsible for the leadership of the region through the application of Manpower’s vision, values and strategies. In addition, subject to the approval of the Board of Directors at the Corporation’s next meeting, you will also be appointed as an Executive Vice President of the Corporation. You agree to devote your best efforts and full business time to the performance of the duties assigned to you. In your role as President – Northern Europe, from time to time you will be appointed as a director of certain of the Corporation’s subsidiary companies located in the region and you agree to accept such appointments. Your base of operations for the performance of your duties to the Corporation will be Diemen, The Netherlands.</w:t>
      </w:r>
    </w:p>
    <w:p>
      <w:pPr>
        <w:spacing w:after="0" w:line="218" w:lineRule="exact"/>
        <w:rPr>
          <w:rFonts w:ascii="Arial" w:cs="Arial" w:eastAsia="Arial" w:hAnsi="Arial"/>
          <w:sz w:val="16"/>
          <w:szCs w:val="16"/>
          <w:color w:val="auto"/>
        </w:rPr>
      </w:pPr>
    </w:p>
    <w:p>
      <w:pPr>
        <w:ind w:right="80" w:firstLine="656"/>
        <w:spacing w:after="0" w:line="289" w:lineRule="auto"/>
        <w:tabs>
          <w:tab w:leader="none" w:pos="99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Your base salary will be 290,000€ per year, inclusive of holiday allowance. You also will be eligible to receive an incentive bonus for each full calendar year during the term of your employment, starting with calendar year 2011. This annual bonus under our current practice would be determined using a “balanced scorecard” approach. Although it is subject to change, under this current approach, the amount of the bonus would be based on a comparison of actual performance-to-performance goals established for you at the beginning of each year. Currently, there are two components to the balanced scorecard. The first component is based on financial goals established at the beginning of each year. The second component under this current approach would include both measurable and discretionary objectives in your role as head of the Northern Europe region that you and I would formulate at the beginning of each year. Depending upon achievement of these goals and objectives, the total bonus under the current practice would range from zero to 150 percent of base salary, with the target bonus at 75 percent of base salary. To the extent permitted by applicable law, your base salary and incentive bonus will be paid to you through the payroll system of Manpower Management b.v., subject to applicable withholding taxes.</w:t>
      </w:r>
    </w:p>
    <w:p>
      <w:pPr>
        <w:spacing w:after="0" w:line="220" w:lineRule="exact"/>
        <w:rPr>
          <w:rFonts w:ascii="Arial" w:cs="Arial" w:eastAsia="Arial" w:hAnsi="Arial"/>
          <w:sz w:val="16"/>
          <w:szCs w:val="16"/>
          <w:color w:val="auto"/>
        </w:rPr>
      </w:pPr>
    </w:p>
    <w:p>
      <w:pPr>
        <w:ind w:right="40" w:firstLine="656"/>
        <w:spacing w:after="0" w:line="272" w:lineRule="auto"/>
        <w:tabs>
          <w:tab w:leader="none" w:pos="999"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To the extent permitted by applicable law and except as otherwise provided in this letter agreement, the Corporation will provide you with, and you will be eligible for, all benefits of employment generally made available to senior executives of the Corporation from time to time (collectively, the “Benefit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senior executives of the Corporation. You also will be entitled to vacations and perquisites in accordance with the Corporation’s policies as in effect from time to time for senior executives of the Corporation. The Corporation also would reimburse you for all expense incurred by you in the performance of your duties according to the Corporation’s regulations and procedures for expense reimbursement.</w:t>
      </w:r>
    </w:p>
    <w:p>
      <w:pPr>
        <w:spacing w:after="0" w:line="231" w:lineRule="exact"/>
        <w:rPr>
          <w:rFonts w:ascii="Arial" w:cs="Arial" w:eastAsia="Arial" w:hAnsi="Arial"/>
          <w:sz w:val="17"/>
          <w:szCs w:val="17"/>
          <w:color w:val="auto"/>
        </w:rPr>
      </w:pPr>
    </w:p>
    <w:p>
      <w:pPr>
        <w:ind w:right="60" w:firstLine="656"/>
        <w:spacing w:after="0" w:line="279" w:lineRule="auto"/>
        <w:tabs>
          <w:tab w:leader="none" w:pos="999"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Severance Protection</w:t>
      </w:r>
      <w:r>
        <w:rPr>
          <w:rFonts w:ascii="Arial" w:cs="Arial" w:eastAsia="Arial" w:hAnsi="Arial"/>
          <w:sz w:val="17"/>
          <w:szCs w:val="17"/>
          <w:color w:val="auto"/>
        </w:rPr>
        <w:t>. While we look forward to a long and productive relationship, both you and the Corporation will be entitled to end the employment relationship at any time, for any reasons and with or without notice. However, subject to the approval of the Executive Compensation &amp; Human Resources Committee of the Board of Directors at its next meeting, the Corporation would enter into a severance agreement with you on terms similar to those severance agreements it has entered into with the other members of the Executive Management Team.</w:t>
      </w:r>
    </w:p>
    <w:p>
      <w:pPr>
        <w:spacing w:after="0" w:line="225" w:lineRule="exact"/>
        <w:rPr>
          <w:rFonts w:ascii="Arial" w:cs="Arial" w:eastAsia="Arial" w:hAnsi="Arial"/>
          <w:sz w:val="17"/>
          <w:szCs w:val="17"/>
          <w:color w:val="auto"/>
        </w:rPr>
      </w:pPr>
    </w:p>
    <w:p>
      <w:pPr>
        <w:ind w:right="180" w:firstLine="656"/>
        <w:spacing w:after="0" w:line="255" w:lineRule="auto"/>
        <w:tabs>
          <w:tab w:leader="none" w:pos="99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Car Program</w:t>
      </w:r>
      <w:r>
        <w:rPr>
          <w:rFonts w:ascii="Arial" w:cs="Arial" w:eastAsia="Arial" w:hAnsi="Arial"/>
          <w:sz w:val="18"/>
          <w:szCs w:val="18"/>
          <w:color w:val="auto"/>
        </w:rPr>
        <w:t>. The Corporation will provide you with access to the current automobile you have been driving in connection with your employment by Manpower Management b.v. until the date that is approximately four (4) years from the initial date that Manpower Management b.v. first purchased the automobile and will continue to provide you with a new automobile approximately every four years while you are employed by the Corporation. The Corporation shall pay for the fuel and maintenance costs for the automobile. Any taxes owed on the value of this automobile benefit shall be incurred by you. Your participation in this car program shall be in lieu of any participation in a similar Benefit Plan offered to senior executives of the Corporation.</w:t>
      </w:r>
    </w:p>
    <w:p>
      <w:pPr>
        <w:spacing w:after="0" w:line="247" w:lineRule="exact"/>
        <w:rPr>
          <w:rFonts w:ascii="Arial" w:cs="Arial" w:eastAsia="Arial" w:hAnsi="Arial"/>
          <w:sz w:val="18"/>
          <w:szCs w:val="18"/>
          <w:color w:val="auto"/>
        </w:rPr>
      </w:pPr>
    </w:p>
    <w:p>
      <w:pPr>
        <w:ind w:right="180" w:firstLine="656"/>
        <w:spacing w:after="0" w:line="276" w:lineRule="auto"/>
        <w:tabs>
          <w:tab w:leader="none" w:pos="999"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Pension</w:t>
      </w:r>
      <w:r>
        <w:rPr>
          <w:rFonts w:ascii="Arial" w:cs="Arial" w:eastAsia="Arial" w:hAnsi="Arial"/>
          <w:sz w:val="17"/>
          <w:szCs w:val="17"/>
          <w:color w:val="auto"/>
        </w:rPr>
        <w:t>. To the extent permitted by applicable law and any necessary third parties (i.e. the pension insurer and the pension administrator), the Corporation will agree to participate in the pension scheme described in Article 14 of your employment agreement with Manpower Management b.v. dated July 19, 2004 (the “2004 Agreement”). The Corporation will participate in the pension scheme on the conditions set forth in the pension scheme and your participation in the pension scheme will be treated as beginning as of March 1, 2005. Your participation in this pension scheme shall be in lieu of any participation in a similar Benefit Plan offered to senior executives of the Corporation.</w:t>
      </w:r>
    </w:p>
    <w:p>
      <w:pPr>
        <w:spacing w:after="0" w:line="226" w:lineRule="exact"/>
        <w:rPr>
          <w:rFonts w:ascii="Arial" w:cs="Arial" w:eastAsia="Arial" w:hAnsi="Arial"/>
          <w:sz w:val="17"/>
          <w:szCs w:val="17"/>
          <w:color w:val="auto"/>
        </w:rPr>
      </w:pPr>
    </w:p>
    <w:p>
      <w:pPr>
        <w:ind w:firstLine="656"/>
        <w:spacing w:after="0" w:line="271" w:lineRule="auto"/>
        <w:tabs>
          <w:tab w:leader="none" w:pos="999"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Disability and Supplementary Invalidity Insurance</w:t>
      </w:r>
      <w:r>
        <w:rPr>
          <w:rFonts w:ascii="Arial" w:cs="Arial" w:eastAsia="Arial" w:hAnsi="Arial"/>
          <w:sz w:val="17"/>
          <w:szCs w:val="17"/>
          <w:color w:val="auto"/>
        </w:rPr>
        <w:t>. The Corporation shall provide you with salary continuation in the event of your illness for up to two years. The rate of this salary continuation shall be as follows: 100% of your base salary during the first year of illness and 70% of your base salary during the second year of illness. Reference is made to the statutory exceptions listed in Clause 7:629 of the Dutch Civil Code. Further, to the extent permitted by applicable law and the insurance carrier, the Corporation shall either (i) become a party to the collective invalidity insurance policy described in Article 15 of the 2004 Agreement or (ii) purchase a similar invalidity insurance policy for the purpose of supplementing the legal benefit under the Invalidity Insurance Act to 70% of the average daily wage for WAO (Wet Arbeidsongeschik-theidsverzekering) purposes until the retirement age (i.e., age 65). The cost of the premium for such insurance coverage shall be borne by you. Your participation in the programs described in this Paragraph 7 shall be in lieu of any participation in a similar Benefit Plan offered to senior executives of the Corporation.</w:t>
      </w:r>
    </w:p>
    <w:p>
      <w:pPr>
        <w:spacing w:after="0" w:line="232" w:lineRule="exact"/>
        <w:rPr>
          <w:rFonts w:ascii="Arial" w:cs="Arial" w:eastAsia="Arial" w:hAnsi="Arial"/>
          <w:sz w:val="17"/>
          <w:szCs w:val="17"/>
          <w:color w:val="auto"/>
        </w:rPr>
      </w:pPr>
    </w:p>
    <w:p>
      <w:pPr>
        <w:ind w:right="360" w:firstLine="656"/>
        <w:spacing w:after="0" w:line="342" w:lineRule="auto"/>
        <w:tabs>
          <w:tab w:leader="none" w:pos="99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Nondisclosure</w:t>
      </w:r>
      <w:r>
        <w:rPr>
          <w:rFonts w:ascii="Arial" w:cs="Arial" w:eastAsia="Arial" w:hAnsi="Arial"/>
          <w:sz w:val="16"/>
          <w:szCs w:val="16"/>
          <w:color w:val="auto"/>
        </w:rPr>
        <w:t>. As a condition to your employment with the Corporation, simultaneous with the execution of this agreement, you will be required to sign a nondisclosure agreement that will include provisions related to the protection of Corporation confidential information and trade secrets.</w:t>
      </w:r>
    </w:p>
    <w:p>
      <w:pPr>
        <w:sectPr>
          <w:pgSz w:w="11900" w:h="16838" w:orient="portrait"/>
          <w:cols w:equalWidth="0" w:num="1">
            <w:col w:w="11420"/>
          </w:cols>
          <w:pgMar w:left="240" w:top="121" w:right="239" w:bottom="79" w:gutter="0" w:footer="0" w:header="0"/>
        </w:sectPr>
      </w:pPr>
    </w:p>
    <w:bookmarkStart w:id="42" w:name="page43"/>
    <w:bookmarkEnd w:id="42"/>
    <w:p>
      <w:pPr>
        <w:ind w:left="-656" w:firstLine="656"/>
        <w:spacing w:after="0" w:line="277" w:lineRule="auto"/>
        <w:tabs>
          <w:tab w:leader="none" w:pos="34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224" w:lineRule="exact"/>
        <w:rPr>
          <w:rFonts w:ascii="Arial" w:cs="Arial" w:eastAsia="Arial" w:hAnsi="Arial"/>
          <w:sz w:val="18"/>
          <w:szCs w:val="18"/>
          <w:color w:val="auto"/>
        </w:rPr>
      </w:pPr>
    </w:p>
    <w:p>
      <w:pPr>
        <w:ind w:left="-656" w:right="380" w:firstLine="656"/>
        <w:spacing w:after="0" w:line="264" w:lineRule="auto"/>
        <w:tabs>
          <w:tab w:leader="none" w:pos="43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You agree that this letter agreement shall supersede any prior obligations of the Corporation or any member of the Manpower Group with respect to benefits payable to you upon the termination of your employment by the Corporation or any member of the Manpower Group, specifically those obligations set forth in the 2004 Agreement.</w:t>
      </w:r>
    </w:p>
    <w:p>
      <w:pPr>
        <w:spacing w:after="0" w:line="235" w:lineRule="exact"/>
        <w:rPr>
          <w:rFonts w:ascii="Arial" w:cs="Arial" w:eastAsia="Arial" w:hAnsi="Arial"/>
          <w:sz w:val="18"/>
          <w:szCs w:val="18"/>
          <w:color w:val="auto"/>
        </w:rPr>
      </w:pPr>
    </w:p>
    <w:p>
      <w:pPr>
        <w:jc w:val="both"/>
        <w:ind w:left="-656" w:right="140" w:firstLine="656"/>
        <w:spacing w:after="0" w:line="259" w:lineRule="auto"/>
        <w:tabs>
          <w:tab w:leader="none" w:pos="42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registered or certified mail, return receipt requested, postage prepaid, and properly addressed to the other party. All notices to the Corporation shall be to the Corporation’s United States headquarters and should be addressed to the attention of the Corporation’s Secretary and General Counsel.</w:t>
      </w:r>
    </w:p>
    <w:p>
      <w:pPr>
        <w:spacing w:after="0" w:line="240" w:lineRule="exact"/>
        <w:rPr>
          <w:rFonts w:ascii="Arial" w:cs="Arial" w:eastAsia="Arial" w:hAnsi="Arial"/>
          <w:sz w:val="18"/>
          <w:szCs w:val="18"/>
          <w:color w:val="auto"/>
        </w:rPr>
      </w:pPr>
    </w:p>
    <w:p>
      <w:pPr>
        <w:ind w:left="-656" w:right="60" w:firstLine="656"/>
        <w:spacing w:after="0" w:line="277" w:lineRule="auto"/>
        <w:tabs>
          <w:tab w:leader="none" w:pos="43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224" w:lineRule="exact"/>
        <w:rPr>
          <w:rFonts w:ascii="Arial" w:cs="Arial" w:eastAsia="Arial" w:hAnsi="Arial"/>
          <w:sz w:val="18"/>
          <w:szCs w:val="18"/>
          <w:color w:val="auto"/>
        </w:rPr>
      </w:pPr>
    </w:p>
    <w:p>
      <w:pPr>
        <w:ind w:left="-656" w:right="20" w:firstLine="656"/>
        <w:spacing w:after="0" w:line="277" w:lineRule="auto"/>
        <w:tabs>
          <w:tab w:leader="none" w:pos="43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would deduct from all amounts payable to you any required withholding or other charges and all such amounts stated above are before any such deductions.</w:t>
      </w:r>
    </w:p>
    <w:p>
      <w:pPr>
        <w:spacing w:after="0" w:line="224" w:lineRule="exact"/>
        <w:rPr>
          <w:rFonts w:ascii="Arial" w:cs="Arial" w:eastAsia="Arial" w:hAnsi="Arial"/>
          <w:sz w:val="18"/>
          <w:szCs w:val="18"/>
          <w:color w:val="auto"/>
        </w:rPr>
      </w:pPr>
    </w:p>
    <w:p>
      <w:pPr>
        <w:ind w:left="444" w:hanging="444"/>
        <w:spacing w:after="0"/>
        <w:tabs>
          <w:tab w:leader="none" w:pos="4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the internal laws of the Netherlands, without regard to the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579120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4"/>
          </w:cols>
          <w:pgMar w:left="896" w:top="152" w:right="279" w:bottom="1440" w:gutter="0" w:footer="0" w:header="0"/>
        </w:sectPr>
      </w:pPr>
    </w:p>
    <w:bookmarkStart w:id="43" w:name="page44"/>
    <w:bookmarkEnd w:id="43"/>
    <w:p>
      <w:pPr>
        <w:ind w:firstLine="324"/>
        <w:spacing w:after="0" w:line="308" w:lineRule="auto"/>
        <w:rPr>
          <w:sz w:val="20"/>
          <w:szCs w:val="20"/>
          <w:color w:val="auto"/>
        </w:rPr>
      </w:pPr>
      <w:r>
        <w:rPr>
          <w:rFonts w:ascii="Arial" w:cs="Arial" w:eastAsia="Arial" w:hAnsi="Arial"/>
          <w:sz w:val="17"/>
          <w:szCs w:val="17"/>
          <w:color w:val="auto"/>
        </w:rPr>
        <w:t>I am very excited about you joining our Executive Management Team. Please do not hesitate to call me if you have any questions. If the foregoing is acceptable, please sign both originals below and return one to Mara Swan, Executive Vice President – Global Strategy and Talent.</w:t>
      </w:r>
    </w:p>
    <w:p>
      <w:pPr>
        <w:spacing w:after="0" w:line="14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14605</wp:posOffset>
            </wp:positionV>
            <wp:extent cx="14490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Jeffrey A. Joerres, President</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15th day of February, 2011.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Hans Leentjes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Hans Leentjes</w:t>
      </w:r>
    </w:p>
    <w:p>
      <w:pPr>
        <w:sectPr>
          <w:pgSz w:w="11900" w:h="16838" w:orient="portrait"/>
          <w:cols w:equalWidth="0" w:num="1">
            <w:col w:w="11140"/>
          </w:cols>
          <w:pgMar w:left="240" w:top="490" w:right="519" w:bottom="1440" w:gutter="0" w:footer="0" w:header="0"/>
        </w:sectPr>
      </w:pPr>
    </w:p>
    <w:bookmarkStart w:id="44" w:name="page45"/>
    <w:bookmarkEnd w:id="44"/>
    <w:p>
      <w:pPr>
        <w:ind w:left="10480"/>
        <w:spacing w:after="0"/>
        <w:rPr>
          <w:sz w:val="20"/>
          <w:szCs w:val="20"/>
          <w:color w:val="auto"/>
        </w:rPr>
      </w:pPr>
      <w:r>
        <w:rPr>
          <w:rFonts w:ascii="Arial" w:cs="Arial" w:eastAsia="Arial" w:hAnsi="Arial"/>
          <w:sz w:val="16"/>
          <w:szCs w:val="16"/>
          <w:b w:val="1"/>
          <w:bCs w:val="1"/>
          <w:color w:val="auto"/>
        </w:rPr>
        <w:t>Exhibit 10.3</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16,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Hans Leentjes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 Northern Europe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 Frankstraat 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1018 BZ Amsterdam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Hans:</w:t>
      </w:r>
    </w:p>
    <w:p>
      <w:pPr>
        <w:spacing w:after="0" w:line="25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193" w:lineRule="exact"/>
        <w:rPr>
          <w:sz w:val="20"/>
          <w:szCs w:val="20"/>
          <w:color w:val="auto"/>
        </w:rPr>
      </w:pPr>
    </w:p>
    <w:p>
      <w:pPr>
        <w:ind w:left="660" w:hanging="229"/>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ind w:left="1300" w:right="20" w:hanging="285"/>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97" w:lineRule="exact"/>
        <w:rPr>
          <w:rFonts w:ascii="Arial" w:cs="Arial" w:eastAsia="Arial" w:hAnsi="Arial"/>
          <w:sz w:val="18"/>
          <w:szCs w:val="18"/>
          <w:color w:val="auto"/>
        </w:rPr>
      </w:pPr>
    </w:p>
    <w:p>
      <w:pPr>
        <w:ind w:left="1300" w:hanging="295"/>
        <w:spacing w:after="0"/>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Termination by the Manpower Group of your employment with the Manpower Group for “Cause” will mean termination upon</w:t>
      </w:r>
    </w:p>
    <w:p>
      <w:pPr>
        <w:spacing w:after="0" w:line="34" w:lineRule="exact"/>
        <w:rPr>
          <w:rFonts w:ascii="Arial" w:cs="Arial" w:eastAsia="Arial" w:hAnsi="Arial"/>
          <w:sz w:val="17"/>
          <w:szCs w:val="17"/>
          <w:color w:val="auto"/>
        </w:rPr>
      </w:pPr>
    </w:p>
    <w:p>
      <w:pPr>
        <w:jc w:val="both"/>
        <w:ind w:left="1300" w:firstLine="5"/>
        <w:spacing w:after="0" w:line="267" w:lineRule="auto"/>
        <w:tabs>
          <w:tab w:leader="none" w:pos="1526" w:val="left"/>
        </w:tabs>
        <w:numPr>
          <w:ilvl w:val="2"/>
          <w:numId w:val="49"/>
        </w:numPr>
        <w:rPr>
          <w:rFonts w:ascii="Arial" w:cs="Arial" w:eastAsia="Arial" w:hAnsi="Arial"/>
          <w:sz w:val="17"/>
          <w:szCs w:val="17"/>
          <w:color w:val="auto"/>
        </w:rPr>
      </w:pPr>
      <w:r>
        <w:rPr>
          <w:rFonts w:ascii="Arial" w:cs="Arial" w:eastAsia="Arial" w:hAnsi="Arial"/>
          <w:sz w:val="17"/>
          <w:szCs w:val="17"/>
          <w:color w:val="auto"/>
        </w:rPr>
        <w:t>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Manpower Group, (iv) any violation by you of a Manpower Group policy of material import, (v) any act by 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212" w:lineRule="exact"/>
        <w:rPr>
          <w:rFonts w:ascii="Arial" w:cs="Arial" w:eastAsia="Arial" w:hAnsi="Arial"/>
          <w:sz w:val="17"/>
          <w:szCs w:val="17"/>
          <w:color w:val="auto"/>
        </w:rPr>
      </w:pPr>
    </w:p>
    <w:p>
      <w:pPr>
        <w:ind w:left="1300" w:hanging="285"/>
        <w:spacing w:after="0"/>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52" w:lineRule="exact"/>
        <w:rPr>
          <w:rFonts w:ascii="Arial" w:cs="Arial" w:eastAsia="Arial" w:hAnsi="Arial"/>
          <w:sz w:val="18"/>
          <w:szCs w:val="18"/>
          <w:color w:val="auto"/>
        </w:rPr>
      </w:pPr>
    </w:p>
    <w:p>
      <w:pPr>
        <w:jc w:val="both"/>
        <w:ind w:left="1960" w:hanging="267"/>
        <w:spacing w:after="0" w:line="286" w:lineRule="auto"/>
        <w:tabs>
          <w:tab w:leader="none" w:pos="1960" w:val="left"/>
        </w:tabs>
        <w:numPr>
          <w:ilvl w:val="3"/>
          <w:numId w:val="49"/>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1960" w:hanging="317"/>
        <w:spacing w:after="0" w:line="272" w:lineRule="auto"/>
        <w:tabs>
          <w:tab w:leader="none" w:pos="1960" w:val="left"/>
        </w:tabs>
        <w:numPr>
          <w:ilvl w:val="3"/>
          <w:numId w:val="49"/>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1960" w:hanging="367"/>
        <w:spacing w:after="0" w:line="277" w:lineRule="auto"/>
        <w:tabs>
          <w:tab w:leader="none" w:pos="1960" w:val="left"/>
        </w:tabs>
        <w:numPr>
          <w:ilvl w:val="3"/>
          <w:numId w:val="49"/>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1960" w:hanging="357"/>
        <w:spacing w:after="0" w:line="255" w:lineRule="auto"/>
        <w:tabs>
          <w:tab w:leader="none" w:pos="1960" w:val="left"/>
        </w:tabs>
        <w:numPr>
          <w:ilvl w:val="3"/>
          <w:numId w:val="49"/>
        </w:numPr>
        <w:rPr>
          <w:rFonts w:ascii="Arial" w:cs="Arial" w:eastAsia="Arial" w:hAnsi="Arial"/>
          <w:sz w:val="18"/>
          <w:szCs w:val="18"/>
          <w:color w:val="auto"/>
        </w:rPr>
      </w:pPr>
      <w:r>
        <w:rPr>
          <w:rFonts w:ascii="Arial" w:cs="Arial" w:eastAsia="Arial" w:hAnsi="Arial"/>
          <w:sz w:val="18"/>
          <w:szCs w:val="18"/>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ectPr>
          <w:pgSz w:w="11900" w:h="16838" w:orient="portrait"/>
          <w:cols w:equalWidth="0" w:num="1">
            <w:col w:w="11420"/>
          </w:cols>
          <w:pgMar w:left="240" w:top="121" w:right="239" w:bottom="0" w:gutter="0" w:footer="0" w:header="0"/>
        </w:sectPr>
      </w:pPr>
    </w:p>
    <w:bookmarkStart w:id="45" w:name="page46"/>
    <w:bookmarkEnd w:id="45"/>
    <w:p>
      <w:pPr>
        <w:jc w:val="both"/>
        <w:ind w:left="1960" w:hanging="307"/>
        <w:spacing w:after="0" w:line="259"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21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93"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w:t>
      </w:r>
    </w:p>
    <w:p>
      <w:pPr>
        <w:spacing w:after="0" w:line="252" w:lineRule="exact"/>
        <w:rPr>
          <w:rFonts w:ascii="Arial" w:cs="Arial" w:eastAsia="Arial" w:hAnsi="Arial"/>
          <w:sz w:val="18"/>
          <w:szCs w:val="18"/>
          <w:color w:val="auto"/>
        </w:rPr>
      </w:pPr>
    </w:p>
    <w:p>
      <w:pPr>
        <w:ind w:left="1960" w:right="60" w:hanging="655"/>
        <w:spacing w:after="0" w:line="277"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material breach of this agreement by the Corporation or of any material obligation of any member of the Manpower Group for the payment or provision of compensation or other benefits to you;</w:t>
      </w:r>
    </w:p>
    <w:p>
      <w:pPr>
        <w:sectPr>
          <w:pgSz w:w="11900" w:h="16838" w:orient="portrait"/>
          <w:cols w:equalWidth="0" w:num="1">
            <w:col w:w="11420"/>
          </w:cols>
          <w:pgMar w:left="240" w:top="368" w:right="239" w:bottom="0" w:gutter="0" w:footer="0" w:header="0"/>
        </w:sectPr>
      </w:pPr>
    </w:p>
    <w:p>
      <w:pPr>
        <w:spacing w:after="0" w:line="197" w:lineRule="exact"/>
        <w:rPr>
          <w:sz w:val="20"/>
          <w:szCs w:val="20"/>
          <w:color w:val="auto"/>
        </w:rPr>
      </w:pPr>
    </w:p>
    <w:p>
      <w:pPr>
        <w:ind w:left="1960" w:hanging="659"/>
        <w:spacing w:after="0" w:line="277" w:lineRule="auto"/>
        <w:tabs>
          <w:tab w:leader="none" w:pos="19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a material diminution in your base salary or a failure by the Manpower Group to provide an arrangement for you for any fiscal year of the Manpower Group giving you the opportunity to earn an incentive bonus for such year;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or</w:t>
      </w:r>
    </w:p>
    <w:p>
      <w:pPr>
        <w:spacing w:after="0" w:line="502" w:lineRule="exact"/>
        <w:rPr>
          <w:sz w:val="20"/>
          <w:szCs w:val="20"/>
          <w:color w:val="auto"/>
        </w:rPr>
      </w:pPr>
    </w:p>
    <w:p>
      <w:pPr>
        <w:sectPr>
          <w:pgSz w:w="11900" w:h="16838" w:orient="portrait"/>
          <w:cols w:equalWidth="0" w:num="2">
            <w:col w:w="11060" w:space="200"/>
            <w:col w:w="160"/>
          </w:cols>
          <w:pgMar w:left="240" w:top="368" w:right="239" w:bottom="0" w:gutter="0" w:footer="0" w:header="0"/>
          <w:type w:val="continuous"/>
        </w:sectPr>
      </w:pPr>
    </w:p>
    <w:p>
      <w:pPr>
        <w:ind w:left="1960" w:right="100" w:hanging="655"/>
        <w:spacing w:after="0" w:line="264" w:lineRule="auto"/>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material diminution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8" w:lineRule="exact"/>
        <w:rPr>
          <w:sz w:val="20"/>
          <w:szCs w:val="20"/>
          <w:color w:val="auto"/>
        </w:rPr>
      </w:pPr>
    </w:p>
    <w:p>
      <w:pPr>
        <w:ind w:left="660" w:right="60"/>
        <w:spacing w:after="0" w:line="270" w:lineRule="auto"/>
        <w:rPr>
          <w:sz w:val="20"/>
          <w:szCs w:val="20"/>
          <w:color w:val="auto"/>
        </w:rPr>
      </w:pPr>
      <w:r>
        <w:rPr>
          <w:rFonts w:ascii="Arial" w:cs="Arial" w:eastAsia="Arial" w:hAnsi="Arial"/>
          <w:sz w:val="17"/>
          <w:szCs w:val="17"/>
          <w:color w:val="auto"/>
        </w:rPr>
        <w:t>Notwithstanding Subsections 1(d)(i) – (iv)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Manpower Group is terminated by you within ninety (90) days after such diminution or breach occurs. Further, notwithstanding Subsections 1(d)(i)-(iv),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09" w:lineRule="exact"/>
        <w:rPr>
          <w:sz w:val="20"/>
          <w:szCs w:val="20"/>
          <w:color w:val="auto"/>
        </w:rPr>
      </w:pPr>
    </w:p>
    <w:p>
      <w:pPr>
        <w:ind w:left="1300" w:right="40" w:hanging="644"/>
        <w:spacing w:after="0" w:line="25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15" w:lineRule="exact"/>
        <w:rPr>
          <w:rFonts w:ascii="Arial" w:cs="Arial" w:eastAsia="Arial" w:hAnsi="Arial"/>
          <w:sz w:val="18"/>
          <w:szCs w:val="18"/>
          <w:color w:val="auto"/>
        </w:rPr>
      </w:pPr>
    </w:p>
    <w:p>
      <w:pPr>
        <w:ind w:left="1300" w:right="140" w:hanging="644"/>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ind w:left="1960" w:right="40" w:hanging="655"/>
        <w:spacing w:after="0" w:line="259" w:lineRule="auto"/>
        <w:tabs>
          <w:tab w:leader="none" w:pos="1960" w:val="left"/>
        </w:tabs>
        <w:numPr>
          <w:ilvl w:val="3"/>
          <w:numId w:val="53"/>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ind w:left="1960" w:right="20" w:hanging="655"/>
        <w:spacing w:after="0" w:line="279" w:lineRule="auto"/>
        <w:tabs>
          <w:tab w:leader="none" w:pos="1960" w:val="left"/>
        </w:tabs>
        <w:numPr>
          <w:ilvl w:val="3"/>
          <w:numId w:val="53"/>
        </w:numPr>
        <w:rPr>
          <w:rFonts w:ascii="Arial" w:cs="Arial" w:eastAsia="Arial" w:hAnsi="Arial"/>
          <w:sz w:val="17"/>
          <w:szCs w:val="17"/>
          <w:color w:val="auto"/>
        </w:rPr>
      </w:pPr>
      <w:r>
        <w:rPr>
          <w:rFonts w:ascii="Arial" w:cs="Arial" w:eastAsia="Arial" w:hAnsi="Arial"/>
          <w:sz w:val="17"/>
          <w:szCs w:val="17"/>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98" w:lineRule="exact"/>
        <w:rPr>
          <w:rFonts w:ascii="Arial" w:cs="Arial" w:eastAsia="Arial" w:hAnsi="Arial"/>
          <w:sz w:val="17"/>
          <w:szCs w:val="17"/>
          <w:color w:val="auto"/>
        </w:rPr>
      </w:pPr>
    </w:p>
    <w:p>
      <w:pPr>
        <w:ind w:left="1960" w:right="240" w:hanging="655"/>
        <w:spacing w:after="0" w:line="264" w:lineRule="auto"/>
        <w:tabs>
          <w:tab w:leader="none" w:pos="1960" w:val="left"/>
        </w:tabs>
        <w:numPr>
          <w:ilvl w:val="3"/>
          <w:numId w:val="53"/>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8" w:lineRule="exact"/>
        <w:rPr>
          <w:rFonts w:ascii="Arial" w:cs="Arial" w:eastAsia="Arial" w:hAnsi="Arial"/>
          <w:sz w:val="18"/>
          <w:szCs w:val="18"/>
          <w:color w:val="auto"/>
        </w:rPr>
      </w:pPr>
    </w:p>
    <w:p>
      <w:pPr>
        <w:ind w:left="1300" w:right="60" w:hanging="644"/>
        <w:spacing w:after="0" w:line="259"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of this letter indicated above and ending on the first to occur of the following: (a) the date which is the two-year anniversary of the occurrence of a Change of Control; (b) the date which is the three-year anniversary of the date of this letter indicated above if no Change of Control occurs between the date of this letter indicated above and such three-year anniversary; or (c) the Date of Termination.</w:t>
      </w:r>
    </w:p>
    <w:p>
      <w:pPr>
        <w:spacing w:after="0" w:line="213" w:lineRule="exact"/>
        <w:rPr>
          <w:rFonts w:ascii="Arial" w:cs="Arial" w:eastAsia="Arial" w:hAnsi="Arial"/>
          <w:sz w:val="18"/>
          <w:szCs w:val="18"/>
          <w:color w:val="auto"/>
        </w:rPr>
      </w:pPr>
    </w:p>
    <w:p>
      <w:pPr>
        <w:ind w:left="660" w:hanging="229"/>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285"/>
        <w:spacing w:after="0" w:line="255" w:lineRule="auto"/>
        <w:tabs>
          <w:tab w:leader="none" w:pos="1300"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by the Manpower Group for Cause or by You Other Than for Good Reason</w:t>
      </w:r>
      <w:r>
        <w:rPr>
          <w:rFonts w:ascii="Arial" w:cs="Arial" w:eastAsia="Arial" w:hAnsi="Arial"/>
          <w:sz w:val="18"/>
          <w:szCs w:val="18"/>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20" w:lineRule="exact"/>
        <w:rPr>
          <w:rFonts w:ascii="Arial" w:cs="Arial" w:eastAsia="Arial" w:hAnsi="Arial"/>
          <w:sz w:val="18"/>
          <w:szCs w:val="18"/>
          <w:color w:val="auto"/>
        </w:rPr>
      </w:pPr>
    </w:p>
    <w:p>
      <w:pPr>
        <w:ind w:left="1300" w:hanging="295"/>
        <w:spacing w:after="0"/>
        <w:tabs>
          <w:tab w:leader="none" w:pos="1300" w:val="left"/>
        </w:tabs>
        <w:numPr>
          <w:ilvl w:val="2"/>
          <w:numId w:val="54"/>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 or Death</w:t>
      </w:r>
      <w:r>
        <w:rPr>
          <w:rFonts w:ascii="Arial" w:cs="Arial" w:eastAsia="Arial" w:hAnsi="Arial"/>
          <w:sz w:val="17"/>
          <w:szCs w:val="17"/>
          <w:color w:val="auto"/>
        </w:rPr>
        <w:t>.  If your employment with the Manpower Group terminates during the Term by reason of</w:t>
      </w:r>
    </w:p>
    <w:p>
      <w:pPr>
        <w:sectPr>
          <w:pgSz w:w="11900" w:h="16838" w:orient="portrait"/>
          <w:cols w:equalWidth="0" w:num="1">
            <w:col w:w="11420"/>
          </w:cols>
          <w:pgMar w:left="240" w:top="368" w:right="239" w:bottom="0" w:gutter="0" w:footer="0" w:header="0"/>
          <w:type w:val="continuous"/>
        </w:sectPr>
      </w:pPr>
    </w:p>
    <w:bookmarkStart w:id="46" w:name="page47"/>
    <w:bookmarkEnd w:id="46"/>
    <w:p>
      <w:pPr>
        <w:jc w:val="both"/>
        <w:ind w:left="285"/>
        <w:spacing w:after="0" w:line="287" w:lineRule="auto"/>
        <w:rPr>
          <w:sz w:val="20"/>
          <w:szCs w:val="20"/>
          <w:color w:val="auto"/>
        </w:rPr>
      </w:pPr>
      <w:r>
        <w:rPr>
          <w:rFonts w:ascii="Arial" w:cs="Arial" w:eastAsia="Arial" w:hAnsi="Arial"/>
          <w:sz w:val="16"/>
          <w:szCs w:val="16"/>
          <w:color w:val="auto"/>
        </w:rPr>
        <w:t>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200" w:lineRule="exact"/>
        <w:rPr>
          <w:sz w:val="20"/>
          <w:szCs w:val="20"/>
          <w:color w:val="auto"/>
        </w:rPr>
      </w:pPr>
    </w:p>
    <w:p>
      <w:pPr>
        <w:ind w:left="285" w:hanging="285"/>
        <w:spacing w:after="0"/>
        <w:tabs>
          <w:tab w:leader="none" w:pos="28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45" w:hanging="267"/>
        <w:spacing w:after="0" w:line="264" w:lineRule="auto"/>
        <w:tabs>
          <w:tab w:leader="none" w:pos="945"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208" w:lineRule="exact"/>
        <w:rPr>
          <w:rFonts w:ascii="Arial" w:cs="Arial" w:eastAsia="Arial" w:hAnsi="Arial"/>
          <w:sz w:val="18"/>
          <w:szCs w:val="18"/>
          <w:color w:val="auto"/>
        </w:rPr>
      </w:pPr>
    </w:p>
    <w:p>
      <w:pPr>
        <w:ind w:left="1585" w:hanging="339"/>
        <w:spacing w:after="0" w:line="277" w:lineRule="auto"/>
        <w:tabs>
          <w:tab w:leader="none" w:pos="1585"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1585" w:hanging="329"/>
        <w:spacing w:after="0" w:line="277" w:lineRule="auto"/>
        <w:tabs>
          <w:tab w:leader="none" w:pos="1585"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Manpower Group ended before the Date of Termination;</w:t>
      </w:r>
    </w:p>
    <w:p>
      <w:pPr>
        <w:spacing w:after="0" w:line="197" w:lineRule="exact"/>
        <w:rPr>
          <w:rFonts w:ascii="Arial" w:cs="Arial" w:eastAsia="Arial" w:hAnsi="Arial"/>
          <w:sz w:val="18"/>
          <w:szCs w:val="18"/>
          <w:color w:val="auto"/>
        </w:rPr>
      </w:pPr>
    </w:p>
    <w:p>
      <w:pPr>
        <w:jc w:val="both"/>
        <w:ind w:left="1585" w:hanging="329"/>
        <w:spacing w:after="0" w:line="291" w:lineRule="auto"/>
        <w:tabs>
          <w:tab w:leader="none" w:pos="1585" w:val="left"/>
        </w:tabs>
        <w:numPr>
          <w:ilvl w:val="3"/>
          <w:numId w:val="55"/>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and Human Resources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 and further provided, however, that the bonus payable hereunder will be prorated for the actual number of days you were employed during the fiscal year during which the Date of Termination occurs;</w:t>
      </w:r>
    </w:p>
    <w:p>
      <w:pPr>
        <w:spacing w:after="0" w:line="194" w:lineRule="exact"/>
        <w:rPr>
          <w:rFonts w:ascii="Arial" w:cs="Arial" w:eastAsia="Arial" w:hAnsi="Arial"/>
          <w:sz w:val="16"/>
          <w:szCs w:val="16"/>
          <w:color w:val="auto"/>
        </w:rPr>
      </w:pPr>
    </w:p>
    <w:p>
      <w:pPr>
        <w:jc w:val="both"/>
        <w:ind w:left="1585" w:hanging="339"/>
        <w:spacing w:after="0" w:line="255" w:lineRule="auto"/>
        <w:tabs>
          <w:tab w:leader="none" w:pos="1585"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and Human Resources Committee of the Board approves a bona fide target annual bonus for the fiscal year in which the Change of Control occurs, your target annual bonus for the fiscal year prior to the fiscal year in which the Change of Control occurs); and</w:t>
      </w:r>
    </w:p>
    <w:p>
      <w:pPr>
        <w:spacing w:after="0" w:line="220" w:lineRule="exact"/>
        <w:rPr>
          <w:rFonts w:ascii="Arial" w:cs="Arial" w:eastAsia="Arial" w:hAnsi="Arial"/>
          <w:sz w:val="18"/>
          <w:szCs w:val="18"/>
          <w:color w:val="auto"/>
        </w:rPr>
      </w:pPr>
    </w:p>
    <w:p>
      <w:pPr>
        <w:ind w:left="1585" w:right="40" w:hanging="647"/>
        <w:spacing w:after="0" w:line="272" w:lineRule="auto"/>
        <w:tabs>
          <w:tab w:leader="none" w:pos="1585"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2(c)(i)(E), you will be solely responsible for payment of any additional costs incurred as a result of your use of such outplacement services. The Corporation will not substitute cash or other compensation in lieu of the outplacement service program specified in this Subsection 2(c)(i)(E).</w:t>
      </w:r>
    </w:p>
    <w:p>
      <w:pPr>
        <w:spacing w:after="0" w:line="204" w:lineRule="exact"/>
        <w:rPr>
          <w:rFonts w:ascii="Arial" w:cs="Arial" w:eastAsia="Arial" w:hAnsi="Arial"/>
          <w:sz w:val="17"/>
          <w:szCs w:val="17"/>
          <w:color w:val="auto"/>
        </w:rPr>
      </w:pPr>
    </w:p>
    <w:p>
      <w:pPr>
        <w:ind w:left="945" w:hanging="317"/>
        <w:spacing w:after="0" w:line="308" w:lineRule="auto"/>
        <w:tabs>
          <w:tab w:leader="none" w:pos="945" w:val="left"/>
        </w:tabs>
        <w:numPr>
          <w:ilvl w:val="1"/>
          <w:numId w:val="55"/>
        </w:numPr>
        <w:rPr>
          <w:rFonts w:ascii="Arial" w:cs="Arial" w:eastAsia="Arial" w:hAnsi="Arial"/>
          <w:sz w:val="17"/>
          <w:szCs w:val="17"/>
          <w:color w:val="auto"/>
        </w:rPr>
      </w:pPr>
      <w:r>
        <w:rPr>
          <w:rFonts w:ascii="Arial" w:cs="Arial" w:eastAsia="Arial" w:hAnsi="Arial"/>
          <w:sz w:val="17"/>
          <w:szCs w:val="17"/>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173" w:lineRule="exact"/>
        <w:rPr>
          <w:rFonts w:ascii="Arial" w:cs="Arial" w:eastAsia="Arial" w:hAnsi="Arial"/>
          <w:sz w:val="17"/>
          <w:szCs w:val="17"/>
          <w:color w:val="auto"/>
        </w:rPr>
      </w:pPr>
    </w:p>
    <w:p>
      <w:pPr>
        <w:ind w:left="1585" w:hanging="339"/>
        <w:spacing w:after="0" w:line="277" w:lineRule="auto"/>
        <w:tabs>
          <w:tab w:leader="none" w:pos="1585"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1585" w:hanging="329"/>
        <w:spacing w:after="0" w:line="277" w:lineRule="auto"/>
        <w:tabs>
          <w:tab w:leader="none" w:pos="1585"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Manpower Group ended before the Date of Termination;</w:t>
      </w:r>
    </w:p>
    <w:p>
      <w:pPr>
        <w:spacing w:after="0" w:line="197" w:lineRule="exact"/>
        <w:rPr>
          <w:rFonts w:ascii="Arial" w:cs="Arial" w:eastAsia="Arial" w:hAnsi="Arial"/>
          <w:sz w:val="18"/>
          <w:szCs w:val="18"/>
          <w:color w:val="auto"/>
        </w:rPr>
      </w:pPr>
    </w:p>
    <w:p>
      <w:pPr>
        <w:jc w:val="both"/>
        <w:ind w:left="1585" w:hanging="329"/>
        <w:spacing w:after="0" w:line="297" w:lineRule="auto"/>
        <w:tabs>
          <w:tab w:leader="none" w:pos="1585" w:val="left"/>
        </w:tabs>
        <w:numPr>
          <w:ilvl w:val="3"/>
          <w:numId w:val="55"/>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1585" w:hanging="339"/>
        <w:spacing w:after="0" w:line="255" w:lineRule="auto"/>
        <w:tabs>
          <w:tab w:leader="none" w:pos="1585"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and Human Resources Committee of the Board approves a bona fide target annual bonus for you for the fiscal year in which the Date of Termination occurs, your target annual bonus for the fiscal year prior to the fiscal year in which the Date of Termination occurs); and</w:t>
      </w:r>
    </w:p>
    <w:p>
      <w:pPr>
        <w:spacing w:after="0" w:line="220" w:lineRule="exact"/>
        <w:rPr>
          <w:rFonts w:ascii="Arial" w:cs="Arial" w:eastAsia="Arial" w:hAnsi="Arial"/>
          <w:sz w:val="18"/>
          <w:szCs w:val="18"/>
          <w:color w:val="auto"/>
        </w:rPr>
      </w:pPr>
    </w:p>
    <w:p>
      <w:pPr>
        <w:ind w:left="1585" w:right="80" w:hanging="647"/>
        <w:spacing w:after="0" w:line="297" w:lineRule="auto"/>
        <w:tabs>
          <w:tab w:leader="none" w:pos="1585" w:val="left"/>
        </w:tabs>
        <w:numPr>
          <w:ilvl w:val="2"/>
          <w:numId w:val="56"/>
        </w:numPr>
        <w:rPr>
          <w:rFonts w:ascii="Arial" w:cs="Arial" w:eastAsia="Arial" w:hAnsi="Arial"/>
          <w:sz w:val="16"/>
          <w:szCs w:val="16"/>
          <w:color w:val="auto"/>
        </w:rPr>
      </w:pPr>
      <w:r>
        <w:rPr>
          <w:rFonts w:ascii="Arial" w:cs="Arial" w:eastAsia="Arial" w:hAnsi="Arial"/>
          <w:sz w:val="16"/>
          <w:szCs w:val="16"/>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2(c)(ii)(E), you will be solely responsible for payment of any additional costs incurred as a result of your use</w:t>
      </w:r>
    </w:p>
    <w:p>
      <w:pPr>
        <w:sectPr>
          <w:pgSz w:w="11900" w:h="16838" w:orient="portrait"/>
          <w:cols w:equalWidth="0" w:num="1">
            <w:col w:w="10405"/>
          </w:cols>
          <w:pgMar w:left="1255" w:top="125" w:right="239" w:bottom="0" w:gutter="0" w:footer="0" w:header="0"/>
        </w:sectPr>
      </w:pPr>
    </w:p>
    <w:bookmarkStart w:id="47" w:name="page48"/>
    <w:bookmarkEnd w:id="47"/>
    <w:p>
      <w:pPr>
        <w:spacing w:after="0" w:line="137" w:lineRule="exact"/>
        <w:rPr>
          <w:sz w:val="20"/>
          <w:szCs w:val="20"/>
          <w:color w:val="auto"/>
        </w:rPr>
      </w:pPr>
    </w:p>
    <w:p>
      <w:pPr>
        <w:ind w:left="2600" w:right="1020"/>
        <w:spacing w:after="0" w:line="277" w:lineRule="auto"/>
        <w:rPr>
          <w:sz w:val="20"/>
          <w:szCs w:val="20"/>
          <w:color w:val="auto"/>
        </w:rPr>
      </w:pPr>
      <w:r>
        <w:rPr>
          <w:rFonts w:ascii="Arial" w:cs="Arial" w:eastAsia="Arial" w:hAnsi="Arial"/>
          <w:sz w:val="18"/>
          <w:szCs w:val="18"/>
          <w:color w:val="auto"/>
        </w:rPr>
        <w:t>of such outplacement services. The Corporation will not substitute cash or other compensation in lieu of the outplacement service program specified in this Subsection 2(c)(ii)(E).</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amounts paid to you pursuant to Subsection 2(c)(i)(D) or 2(c)(ii)(D) will not be included as compensation for purposes of any qualified or nonqualified pension or welfare benefit plan of the Manpower Group.</w:t>
      </w:r>
    </w:p>
    <w:p>
      <w:pPr>
        <w:spacing w:after="0" w:line="197" w:lineRule="exact"/>
        <w:rPr>
          <w:sz w:val="20"/>
          <w:szCs w:val="20"/>
          <w:color w:val="auto"/>
        </w:rPr>
      </w:pPr>
    </w:p>
    <w:p>
      <w:pPr>
        <w:jc w:val="both"/>
        <w:ind w:left="1300" w:hanging="295"/>
        <w:spacing w:after="0" w:line="270" w:lineRule="auto"/>
        <w:tabs>
          <w:tab w:leader="none" w:pos="1300" w:val="left"/>
        </w:tabs>
        <w:numPr>
          <w:ilvl w:val="3"/>
          <w:numId w:val="57"/>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on the thirtieth (30th) day after the Date of Termination. The bonus payment provided for in Subsection 2(c)(ii)(C) will between January 1 and March 15 of the calendar year following the Date of Termination. The severance benefit provided for in Subsection 2(c)(i)(D) or 2(c)(ii)(D) will be paid in one lump sum on the thirtieth (30th) day after the Date of Termination. If any of such payment is not made when due (hereinafter a “Delinquent Payment”), in addition to such principal sum, the Corporation will pay you interest on any and all such Delinquent Payments from the date due computed at the prime rate, compounded annually. Such prime rate shall be the prime rate (currently the base rate on corporate loans posted by at least 75% of the 30 largest U.S. banks) in effect from time to time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Midwest edition (or, if not so reported, as reported in such other similar source(s) as the Corporation shall select).</w:t>
      </w:r>
    </w:p>
    <w:p>
      <w:pPr>
        <w:spacing w:after="0" w:line="204" w:lineRule="exact"/>
        <w:rPr>
          <w:rFonts w:ascii="Arial" w:cs="Arial" w:eastAsia="Arial" w:hAnsi="Arial"/>
          <w:sz w:val="17"/>
          <w:szCs w:val="17"/>
          <w:color w:val="auto"/>
        </w:rPr>
      </w:pPr>
    </w:p>
    <w:p>
      <w:pPr>
        <w:jc w:val="both"/>
        <w:ind w:left="1300" w:hanging="285"/>
        <w:spacing w:after="0" w:line="293" w:lineRule="auto"/>
        <w:tabs>
          <w:tab w:leader="none" w:pos="1300" w:val="left"/>
        </w:tabs>
        <w:numPr>
          <w:ilvl w:val="3"/>
          <w:numId w:val="57"/>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Notwithstanding the foregoing, you will have no right to receive any payment or benefit described in Subsections 2(c) (i)(C)-(E) or 2(c)(ii)(C)-(E),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w:t>
      </w:r>
    </w:p>
    <w:p>
      <w:pPr>
        <w:spacing w:after="0" w:line="191" w:lineRule="exact"/>
        <w:rPr>
          <w:rFonts w:ascii="Arial" w:cs="Arial" w:eastAsia="Arial" w:hAnsi="Arial"/>
          <w:sz w:val="16"/>
          <w:szCs w:val="16"/>
          <w:color w:val="auto"/>
        </w:rPr>
      </w:pPr>
    </w:p>
    <w:p>
      <w:pPr>
        <w:jc w:val="both"/>
        <w:ind w:left="1300" w:hanging="265"/>
        <w:spacing w:after="0" w:line="259" w:lineRule="auto"/>
        <w:tabs>
          <w:tab w:leader="none" w:pos="1300" w:val="left"/>
        </w:tabs>
        <w:numPr>
          <w:ilvl w:val="3"/>
          <w:numId w:val="57"/>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3-5, below, and upon your breach of any such obligations, you will immediately return to the Corporation the amount of such payments and benefits and you will no longer have any right to receive any such payments or benefits.</w:t>
      </w:r>
    </w:p>
    <w:p>
      <w:pPr>
        <w:spacing w:after="0" w:line="213" w:lineRule="exact"/>
        <w:rPr>
          <w:rFonts w:ascii="Arial" w:cs="Arial" w:eastAsia="Arial" w:hAnsi="Arial"/>
          <w:sz w:val="18"/>
          <w:szCs w:val="18"/>
          <w:color w:val="auto"/>
        </w:rPr>
      </w:pPr>
    </w:p>
    <w:p>
      <w:pPr>
        <w:jc w:val="both"/>
        <w:ind w:left="660" w:hanging="229"/>
        <w:spacing w:after="0" w:line="293" w:lineRule="auto"/>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191" w:lineRule="exact"/>
        <w:rPr>
          <w:rFonts w:ascii="Arial" w:cs="Arial" w:eastAsia="Arial" w:hAnsi="Arial"/>
          <w:sz w:val="16"/>
          <w:szCs w:val="16"/>
          <w:color w:val="auto"/>
        </w:rPr>
      </w:pPr>
    </w:p>
    <w:p>
      <w:pPr>
        <w:ind w:left="640" w:hanging="63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Customer Nonsolicitation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480" w:hanging="644"/>
        <w:spacing w:after="0" w:line="277" w:lineRule="auto"/>
        <w:tabs>
          <w:tab w:leader="none" w:pos="13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During the term of your employment with the Manpower Group, you will not assist any competitor of any company in the Manpower Group in any capacity anywhere the Manpower Group does business.</w:t>
      </w:r>
    </w:p>
    <w:p>
      <w:pPr>
        <w:spacing w:after="0" w:line="197" w:lineRule="exact"/>
        <w:rPr>
          <w:rFonts w:ascii="Arial" w:cs="Arial" w:eastAsia="Arial" w:hAnsi="Arial"/>
          <w:sz w:val="18"/>
          <w:szCs w:val="18"/>
          <w:color w:val="auto"/>
        </w:rPr>
      </w:pPr>
    </w:p>
    <w:p>
      <w:pPr>
        <w:ind w:left="1300" w:right="80" w:hanging="644"/>
        <w:spacing w:after="0" w:line="255" w:lineRule="auto"/>
        <w:tabs>
          <w:tab w:leader="none" w:pos="13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220" w:lineRule="exact"/>
        <w:rPr>
          <w:rFonts w:ascii="Arial" w:cs="Arial" w:eastAsia="Arial" w:hAnsi="Arial"/>
          <w:sz w:val="18"/>
          <w:szCs w:val="18"/>
          <w:color w:val="auto"/>
        </w:rPr>
      </w:pPr>
    </w:p>
    <w:p>
      <w:pPr>
        <w:ind w:left="660" w:right="20" w:hanging="652"/>
        <w:spacing w:after="0" w:line="269"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in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outplacement or human resources consulting services anywhere in the United 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209" w:lineRule="exact"/>
        <w:rPr>
          <w:rFonts w:ascii="Arial" w:cs="Arial" w:eastAsia="Arial" w:hAnsi="Arial"/>
          <w:sz w:val="17"/>
          <w:szCs w:val="17"/>
          <w:color w:val="auto"/>
        </w:rPr>
      </w:pPr>
    </w:p>
    <w:p>
      <w:pPr>
        <w:ind w:left="640" w:hanging="63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40" w:hanging="644"/>
        <w:spacing w:after="0" w:line="291" w:lineRule="auto"/>
        <w:tabs>
          <w:tab w:leader="none" w:pos="1300"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Manpower Group and its businesses and properties in the event of your breach of any of the restrictions imposed by Sections 3-5,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4" w:lineRule="exact"/>
        <w:rPr>
          <w:rFonts w:ascii="Arial" w:cs="Arial" w:eastAsia="Arial" w:hAnsi="Arial"/>
          <w:sz w:val="16"/>
          <w:szCs w:val="16"/>
          <w:color w:val="auto"/>
        </w:rPr>
      </w:pPr>
    </w:p>
    <w:p>
      <w:pPr>
        <w:ind w:left="1300" w:right="180" w:hanging="644"/>
        <w:spacing w:after="0" w:line="277" w:lineRule="auto"/>
        <w:tabs>
          <w:tab w:leader="none" w:pos="1300" w:val="left"/>
        </w:tabs>
        <w:numPr>
          <w:ilvl w:val="2"/>
          <w:numId w:val="59"/>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3-5 above, will be extended by any period during which such restriction is violated by you.</w:t>
      </w:r>
    </w:p>
    <w:p>
      <w:pPr>
        <w:spacing w:after="0" w:line="197" w:lineRule="exact"/>
        <w:rPr>
          <w:rFonts w:ascii="Arial" w:cs="Arial" w:eastAsia="Arial" w:hAnsi="Arial"/>
          <w:sz w:val="18"/>
          <w:szCs w:val="18"/>
          <w:color w:val="auto"/>
        </w:rPr>
      </w:pPr>
    </w:p>
    <w:p>
      <w:pPr>
        <w:jc w:val="both"/>
        <w:ind w:left="1300" w:right="440" w:hanging="644"/>
        <w:spacing w:after="0" w:line="342" w:lineRule="auto"/>
        <w:tabs>
          <w:tab w:leader="none" w:pos="1300"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Nonapplication</w:t>
      </w:r>
      <w:r>
        <w:rPr>
          <w:rFonts w:ascii="Arial" w:cs="Arial" w:eastAsia="Arial" w:hAnsi="Arial"/>
          <w:sz w:val="16"/>
          <w:szCs w:val="16"/>
          <w:color w:val="auto"/>
        </w:rPr>
        <w:t>. Notwithstanding the above, Sections 4 and 5, above, will not apply if your employment with the Manpower Group is terminated by you for Good Reason or by the Corporation without Cause either during a Protected Period or within two years after the</w:t>
      </w:r>
    </w:p>
    <w:p>
      <w:pPr>
        <w:sectPr>
          <w:pgSz w:w="11900" w:h="16975" w:orient="portrait"/>
          <w:cols w:equalWidth="0" w:num="1">
            <w:col w:w="11420"/>
          </w:cols>
          <w:pgMar w:left="240" w:top="125" w:right="239" w:bottom="0" w:gutter="0" w:footer="0" w:header="0"/>
        </w:sectPr>
      </w:pPr>
    </w:p>
    <w:bookmarkStart w:id="48" w:name="page49"/>
    <w:bookmarkEnd w:id="48"/>
    <w:p>
      <w:pPr>
        <w:spacing w:after="0" w:line="94"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occurrence of a Change of Control.</w:t>
      </w:r>
    </w:p>
    <w:p>
      <w:pPr>
        <w:spacing w:after="0" w:line="252" w:lineRule="exact"/>
        <w:rPr>
          <w:sz w:val="20"/>
          <w:szCs w:val="20"/>
          <w:color w:val="auto"/>
        </w:rPr>
      </w:pPr>
    </w:p>
    <w:p>
      <w:pPr>
        <w:ind w:left="652" w:right="140" w:hanging="652"/>
        <w:spacing w:after="0" w:line="259"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213" w:lineRule="exact"/>
        <w:rPr>
          <w:rFonts w:ascii="Arial" w:cs="Arial" w:eastAsia="Arial" w:hAnsi="Arial"/>
          <w:sz w:val="18"/>
          <w:szCs w:val="18"/>
          <w:color w:val="auto"/>
        </w:rPr>
      </w:pPr>
    </w:p>
    <w:p>
      <w:pPr>
        <w:ind w:left="652" w:right="20" w:hanging="652"/>
        <w:spacing w:after="0" w:line="290" w:lineRule="auto"/>
        <w:tabs>
          <w:tab w:leader="none" w:pos="65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93" w:lineRule="exact"/>
        <w:rPr>
          <w:rFonts w:ascii="Arial" w:cs="Arial" w:eastAsia="Arial" w:hAnsi="Arial"/>
          <w:sz w:val="16"/>
          <w:szCs w:val="16"/>
          <w:color w:val="auto"/>
        </w:rPr>
      </w:pPr>
    </w:p>
    <w:p>
      <w:pPr>
        <w:ind w:left="652" w:right="180" w:hanging="652"/>
        <w:spacing w:after="0" w:line="277"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ind w:left="652" w:right="100" w:hanging="652"/>
        <w:spacing w:after="0" w:line="264"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ind w:left="652" w:right="100" w:hanging="652"/>
        <w:spacing w:after="0" w:line="312" w:lineRule="auto"/>
        <w:tabs>
          <w:tab w:leader="none" w:pos="65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73" w:lineRule="exact"/>
        <w:rPr>
          <w:rFonts w:ascii="Arial" w:cs="Arial" w:eastAsia="Arial" w:hAnsi="Arial"/>
          <w:sz w:val="16"/>
          <w:szCs w:val="16"/>
          <w:color w:val="auto"/>
        </w:rPr>
      </w:pPr>
    </w:p>
    <w:p>
      <w:pPr>
        <w:ind w:left="652" w:right="540" w:hanging="652"/>
        <w:spacing w:after="0" w:line="277"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652" w:right="180" w:hanging="652"/>
        <w:spacing w:after="0" w:line="277"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652" w:right="500" w:hanging="652"/>
        <w:spacing w:after="0" w:line="277"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97" w:lineRule="exact"/>
        <w:rPr>
          <w:rFonts w:ascii="Arial" w:cs="Arial" w:eastAsia="Arial" w:hAnsi="Arial"/>
          <w:sz w:val="18"/>
          <w:szCs w:val="18"/>
          <w:color w:val="auto"/>
        </w:rPr>
      </w:pPr>
    </w:p>
    <w:p>
      <w:pPr>
        <w:ind w:left="652" w:right="80" w:hanging="652"/>
        <w:spacing w:after="0" w:line="279" w:lineRule="auto"/>
        <w:tabs>
          <w:tab w:leader="none" w:pos="652"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In the event you are terminated without notice and you would otherwise be entitled to a severance payment hereunder, such severance payment will be considered to be payment in lieu of such notice.</w:t>
      </w:r>
    </w:p>
    <w:p>
      <w:pPr>
        <w:spacing w:after="0" w:line="198" w:lineRule="exact"/>
        <w:rPr>
          <w:rFonts w:ascii="Arial" w:cs="Arial" w:eastAsia="Arial" w:hAnsi="Arial"/>
          <w:sz w:val="17"/>
          <w:szCs w:val="17"/>
          <w:color w:val="auto"/>
        </w:rPr>
      </w:pPr>
    </w:p>
    <w:p>
      <w:pPr>
        <w:ind w:left="652" w:right="100" w:hanging="652"/>
        <w:spacing w:after="0" w:line="257"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Previous Agreements</w:t>
      </w:r>
      <w:r>
        <w:rPr>
          <w:rFonts w:ascii="Arial" w:cs="Arial" w:eastAsia="Arial" w:hAnsi="Arial"/>
          <w:sz w:val="18"/>
          <w:szCs w:val="18"/>
          <w:color w:val="auto"/>
        </w:rPr>
        <w:t>. This letter, upon acceptance by you, expressly supersedes any and all previous agreements or understandings relating to your employment by the Corporation or the Manpower Group, or the termination of such employment (except for the letter from the Corporation to you dated February 16, 2011 regarding the terms of your employment with the Corporation and the nondisclosure agreement between you and the Corporation dated as of the same date) and any such agreements or understandings shall, as of the date of your acceptance, have no further force or effect.</w:t>
      </w:r>
    </w:p>
    <w:p>
      <w:pPr>
        <w:spacing w:after="0" w:line="215" w:lineRule="exact"/>
        <w:rPr>
          <w:rFonts w:ascii="Arial" w:cs="Arial" w:eastAsia="Arial" w:hAnsi="Arial"/>
          <w:sz w:val="18"/>
          <w:szCs w:val="18"/>
          <w:color w:val="auto"/>
        </w:rPr>
      </w:pPr>
    </w:p>
    <w:p>
      <w:pPr>
        <w:ind w:left="652" w:right="200" w:hanging="652"/>
        <w:spacing w:after="0" w:line="257"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6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17, the party initiating arbitration shall be denominated the “Claimant” and the other party shall be denominated the “Respondent.”</w:t>
      </w:r>
    </w:p>
    <w:p>
      <w:pPr>
        <w:spacing w:after="0" w:line="215" w:lineRule="exact"/>
        <w:rPr>
          <w:rFonts w:ascii="Arial" w:cs="Arial" w:eastAsia="Arial" w:hAnsi="Arial"/>
          <w:sz w:val="18"/>
          <w:szCs w:val="18"/>
          <w:color w:val="auto"/>
        </w:rPr>
      </w:pPr>
    </w:p>
    <w:p>
      <w:pPr>
        <w:ind w:left="1292" w:right="40" w:hanging="644"/>
        <w:spacing w:after="0" w:line="287" w:lineRule="auto"/>
        <w:tabs>
          <w:tab w:leader="none" w:pos="1292"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5" w:lineRule="exact"/>
        <w:rPr>
          <w:rFonts w:ascii="Arial" w:cs="Arial" w:eastAsia="Arial" w:hAnsi="Arial"/>
          <w:sz w:val="16"/>
          <w:szCs w:val="16"/>
          <w:color w:val="auto"/>
        </w:rPr>
      </w:pPr>
    </w:p>
    <w:p>
      <w:pPr>
        <w:jc w:val="both"/>
        <w:ind w:left="1292" w:hanging="295"/>
        <w:spacing w:after="0" w:line="289" w:lineRule="auto"/>
        <w:tabs>
          <w:tab w:leader="none" w:pos="1292" w:val="left"/>
        </w:tabs>
        <w:numPr>
          <w:ilvl w:val="2"/>
          <w:numId w:val="60"/>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w:t>
      </w:r>
    </w:p>
    <w:p>
      <w:pPr>
        <w:sectPr>
          <w:pgSz w:w="11900" w:h="16932" w:orient="portrait"/>
          <w:cols w:equalWidth="0" w:num="1">
            <w:col w:w="11412"/>
          </w:cols>
          <w:pgMar w:left="248" w:top="125" w:right="239" w:bottom="0" w:gutter="0" w:footer="0" w:header="0"/>
        </w:sectPr>
      </w:pPr>
    </w:p>
    <w:bookmarkStart w:id="49" w:name="page50"/>
    <w:bookmarkEnd w:id="49"/>
    <w:p>
      <w:pPr>
        <w:jc w:val="both"/>
        <w:ind w:left="1292"/>
        <w:spacing w:after="0" w:line="264" w:lineRule="auto"/>
        <w:rPr>
          <w:sz w:val="20"/>
          <w:szCs w:val="20"/>
          <w:color w:val="auto"/>
        </w:rPr>
      </w:pPr>
      <w:r>
        <w:rPr>
          <w:rFonts w:ascii="Arial" w:cs="Arial" w:eastAsia="Arial" w:hAnsi="Arial"/>
          <w:sz w:val="18"/>
          <w:szCs w:val="18"/>
          <w:color w:val="auto"/>
        </w:rPr>
        <w:t>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8" w:lineRule="exact"/>
        <w:rPr>
          <w:sz w:val="20"/>
          <w:szCs w:val="20"/>
          <w:color w:val="auto"/>
        </w:rPr>
      </w:pPr>
    </w:p>
    <w:p>
      <w:pPr>
        <w:ind w:left="652" w:hanging="652"/>
        <w:spacing w:after="0" w:line="277" w:lineRule="auto"/>
        <w:tabs>
          <w:tab w:leader="none" w:pos="65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200" w:lineRule="exact"/>
        <w:rPr>
          <w:sz w:val="20"/>
          <w:szCs w:val="20"/>
          <w:color w:val="auto"/>
        </w:rPr>
      </w:pPr>
    </w:p>
    <w:p>
      <w:pPr>
        <w:spacing w:after="0" w:line="214"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14605</wp:posOffset>
            </wp:positionV>
            <wp:extent cx="14490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Jeffrey A. Joerres, President</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28th day of February, 2011.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Hans Leentjes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Hans Leentjes</w:t>
      </w:r>
    </w:p>
    <w:p>
      <w:pPr>
        <w:sectPr>
          <w:pgSz w:w="11900" w:h="16838" w:orient="portrait"/>
          <w:cols w:equalWidth="0" w:num="1">
            <w:col w:w="11400"/>
          </w:cols>
          <w:pgMar w:left="240" w:top="517" w:right="259" w:bottom="1440" w:gutter="0" w:footer="0" w:header="0"/>
        </w:sectPr>
      </w:pPr>
    </w:p>
    <w:bookmarkStart w:id="51" w:name="page52"/>
    <w:bookmarkEnd w:id="51"/>
    <w:p>
      <w:pPr>
        <w:spacing w:after="0" w:line="38"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10.4</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17,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Kenneth Hunt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&amp;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Ken:</w:t>
      </w:r>
    </w:p>
    <w:p>
      <w:pPr>
        <w:spacing w:after="0" w:line="25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193" w:lineRule="exact"/>
        <w:rPr>
          <w:sz w:val="20"/>
          <w:szCs w:val="20"/>
          <w:color w:val="auto"/>
        </w:rPr>
      </w:pPr>
    </w:p>
    <w:p>
      <w:pPr>
        <w:ind w:left="660" w:hanging="229"/>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ind w:left="1300" w:right="20" w:hanging="285"/>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97" w:lineRule="exact"/>
        <w:rPr>
          <w:rFonts w:ascii="Arial" w:cs="Arial" w:eastAsia="Arial" w:hAnsi="Arial"/>
          <w:sz w:val="18"/>
          <w:szCs w:val="18"/>
          <w:color w:val="auto"/>
        </w:rPr>
      </w:pPr>
    </w:p>
    <w:p>
      <w:pPr>
        <w:ind w:left="1300" w:hanging="295"/>
        <w:spacing w:after="0"/>
        <w:tabs>
          <w:tab w:leader="none" w:pos="1300"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Termination by the Manpower Group of your employment with the Manpower Group for “Cause” will mean termination upon</w:t>
      </w:r>
    </w:p>
    <w:p>
      <w:pPr>
        <w:spacing w:after="0" w:line="34" w:lineRule="exact"/>
        <w:rPr>
          <w:rFonts w:ascii="Arial" w:cs="Arial" w:eastAsia="Arial" w:hAnsi="Arial"/>
          <w:sz w:val="17"/>
          <w:szCs w:val="17"/>
          <w:color w:val="auto"/>
        </w:rPr>
      </w:pPr>
    </w:p>
    <w:p>
      <w:pPr>
        <w:jc w:val="both"/>
        <w:ind w:left="1300" w:firstLine="5"/>
        <w:spacing w:after="0" w:line="267" w:lineRule="auto"/>
        <w:tabs>
          <w:tab w:leader="none" w:pos="1526" w:val="left"/>
        </w:tabs>
        <w:numPr>
          <w:ilvl w:val="2"/>
          <w:numId w:val="62"/>
        </w:numPr>
        <w:rPr>
          <w:rFonts w:ascii="Arial" w:cs="Arial" w:eastAsia="Arial" w:hAnsi="Arial"/>
          <w:sz w:val="17"/>
          <w:szCs w:val="17"/>
          <w:color w:val="auto"/>
        </w:rPr>
      </w:pPr>
      <w:r>
        <w:rPr>
          <w:rFonts w:ascii="Arial" w:cs="Arial" w:eastAsia="Arial" w:hAnsi="Arial"/>
          <w:sz w:val="17"/>
          <w:szCs w:val="17"/>
          <w:color w:val="auto"/>
        </w:rPr>
        <w:t>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Manpower Group, (iv) any violation by you of a Manpower Group policy of material import, (v) any act by 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212" w:lineRule="exact"/>
        <w:rPr>
          <w:rFonts w:ascii="Arial" w:cs="Arial" w:eastAsia="Arial" w:hAnsi="Arial"/>
          <w:sz w:val="17"/>
          <w:szCs w:val="17"/>
          <w:color w:val="auto"/>
        </w:rPr>
      </w:pPr>
    </w:p>
    <w:p>
      <w:pPr>
        <w:ind w:left="1300" w:hanging="285"/>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52" w:lineRule="exact"/>
        <w:rPr>
          <w:rFonts w:ascii="Arial" w:cs="Arial" w:eastAsia="Arial" w:hAnsi="Arial"/>
          <w:sz w:val="18"/>
          <w:szCs w:val="18"/>
          <w:color w:val="auto"/>
        </w:rPr>
      </w:pPr>
    </w:p>
    <w:p>
      <w:pPr>
        <w:jc w:val="both"/>
        <w:ind w:left="1960" w:hanging="267"/>
        <w:spacing w:after="0" w:line="286" w:lineRule="auto"/>
        <w:tabs>
          <w:tab w:leader="none" w:pos="1960" w:val="left"/>
        </w:tabs>
        <w:numPr>
          <w:ilvl w:val="3"/>
          <w:numId w:val="62"/>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1960" w:hanging="317"/>
        <w:spacing w:after="0" w:line="272" w:lineRule="auto"/>
        <w:tabs>
          <w:tab w:leader="none" w:pos="1960" w:val="left"/>
        </w:tabs>
        <w:numPr>
          <w:ilvl w:val="3"/>
          <w:numId w:val="62"/>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1960" w:hanging="367"/>
        <w:spacing w:after="0" w:line="277" w:lineRule="auto"/>
        <w:tabs>
          <w:tab w:leader="none" w:pos="1960" w:val="left"/>
        </w:tabs>
        <w:numPr>
          <w:ilvl w:val="3"/>
          <w:numId w:val="62"/>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1960" w:hanging="357"/>
        <w:spacing w:after="0" w:line="255" w:lineRule="auto"/>
        <w:tabs>
          <w:tab w:leader="none" w:pos="1960" w:val="left"/>
        </w:tabs>
        <w:numPr>
          <w:ilvl w:val="3"/>
          <w:numId w:val="62"/>
        </w:numPr>
        <w:rPr>
          <w:rFonts w:ascii="Arial" w:cs="Arial" w:eastAsia="Arial" w:hAnsi="Arial"/>
          <w:sz w:val="18"/>
          <w:szCs w:val="18"/>
          <w:color w:val="auto"/>
        </w:rPr>
      </w:pPr>
      <w:r>
        <w:rPr>
          <w:rFonts w:ascii="Arial" w:cs="Arial" w:eastAsia="Arial" w:hAnsi="Arial"/>
          <w:sz w:val="18"/>
          <w:szCs w:val="18"/>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16" w:lineRule="exact"/>
        <w:rPr>
          <w:rFonts w:ascii="Arial" w:cs="Arial" w:eastAsia="Arial" w:hAnsi="Arial"/>
          <w:sz w:val="18"/>
          <w:szCs w:val="18"/>
          <w:color w:val="auto"/>
        </w:rPr>
      </w:pPr>
    </w:p>
    <w:p>
      <w:pPr>
        <w:ind w:left="1960" w:hanging="307"/>
        <w:spacing w:after="0"/>
        <w:tabs>
          <w:tab w:leader="none" w:pos="1960" w:val="left"/>
        </w:tabs>
        <w:numPr>
          <w:ilvl w:val="3"/>
          <w:numId w:val="62"/>
        </w:numPr>
        <w:rPr>
          <w:rFonts w:ascii="Arial" w:cs="Arial" w:eastAsia="Arial" w:hAnsi="Arial"/>
          <w:sz w:val="17"/>
          <w:szCs w:val="17"/>
          <w:color w:val="auto"/>
        </w:rPr>
      </w:pPr>
      <w:r>
        <w:rPr>
          <w:rFonts w:ascii="Arial" w:cs="Arial" w:eastAsia="Arial" w:hAnsi="Arial"/>
          <w:sz w:val="17"/>
          <w:szCs w:val="17"/>
          <w:color w:val="auto"/>
        </w:rPr>
        <w:t>whether or not conditioned on shareholder approval, the issuance by the Corporation of common stock of the Corporation</w:t>
      </w:r>
    </w:p>
    <w:p>
      <w:pPr>
        <w:sectPr>
          <w:pgSz w:w="11900" w:h="16876" w:orient="portrait"/>
          <w:cols w:equalWidth="0" w:num="1">
            <w:col w:w="11420"/>
          </w:cols>
          <w:pgMar w:left="240" w:top="121" w:right="239" w:bottom="0" w:gutter="0" w:footer="0" w:header="0"/>
        </w:sectPr>
      </w:pPr>
    </w:p>
    <w:bookmarkStart w:id="52" w:name="page53"/>
    <w:bookmarkEnd w:id="52"/>
    <w:p>
      <w:pPr>
        <w:jc w:val="both"/>
        <w:ind w:left="1960"/>
        <w:spacing w:after="0" w:line="264" w:lineRule="auto"/>
        <w:rPr>
          <w:sz w:val="20"/>
          <w:szCs w:val="20"/>
          <w:color w:val="auto"/>
        </w:rPr>
      </w:pPr>
      <w:r>
        <w:rPr>
          <w:rFonts w:ascii="Arial" w:cs="Arial" w:eastAsia="Arial" w:hAnsi="Arial"/>
          <w:sz w:val="18"/>
          <w:szCs w:val="18"/>
          <w:color w:val="auto"/>
        </w:rPr>
        <w:t>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20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93"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w:t>
      </w:r>
    </w:p>
    <w:p>
      <w:pPr>
        <w:spacing w:after="0" w:line="252" w:lineRule="exact"/>
        <w:rPr>
          <w:rFonts w:ascii="Arial" w:cs="Arial" w:eastAsia="Arial" w:hAnsi="Arial"/>
          <w:sz w:val="18"/>
          <w:szCs w:val="18"/>
          <w:color w:val="auto"/>
        </w:rPr>
      </w:pPr>
    </w:p>
    <w:p>
      <w:pPr>
        <w:ind w:left="1960" w:right="60" w:hanging="655"/>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material breach of this agreement by the Corporation or of any material obligation of any member of the Manpower Group for the payment or provision of compensation or other benefits to you;</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material diminution in your base salary or a failure by the Manpower Group to provide an arrangement for you for any fiscal year of the Manpower Group giving you the opportunity to earn an incentive bonus for such year;</w:t>
      </w:r>
    </w:p>
    <w:p>
      <w:pPr>
        <w:spacing w:after="0" w:line="197" w:lineRule="exact"/>
        <w:rPr>
          <w:rFonts w:ascii="Arial" w:cs="Arial" w:eastAsia="Arial" w:hAnsi="Arial"/>
          <w:sz w:val="18"/>
          <w:szCs w:val="18"/>
          <w:color w:val="auto"/>
        </w:rPr>
      </w:pPr>
    </w:p>
    <w:p>
      <w:pPr>
        <w:ind w:left="1960" w:right="280" w:hanging="655"/>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197" w:lineRule="exact"/>
        <w:rPr>
          <w:rFonts w:ascii="Arial" w:cs="Arial" w:eastAsia="Arial" w:hAnsi="Arial"/>
          <w:sz w:val="18"/>
          <w:szCs w:val="18"/>
          <w:color w:val="auto"/>
        </w:rPr>
      </w:pPr>
    </w:p>
    <w:p>
      <w:pPr>
        <w:ind w:left="1960" w:right="100" w:hanging="655"/>
        <w:spacing w:after="0" w:line="264"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material diminution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8" w:lineRule="exact"/>
        <w:rPr>
          <w:sz w:val="20"/>
          <w:szCs w:val="20"/>
          <w:color w:val="auto"/>
        </w:rPr>
      </w:pPr>
    </w:p>
    <w:p>
      <w:pPr>
        <w:ind w:left="660" w:right="60"/>
        <w:spacing w:after="0" w:line="270" w:lineRule="auto"/>
        <w:rPr>
          <w:sz w:val="20"/>
          <w:szCs w:val="20"/>
          <w:color w:val="auto"/>
        </w:rPr>
      </w:pPr>
      <w:r>
        <w:rPr>
          <w:rFonts w:ascii="Arial" w:cs="Arial" w:eastAsia="Arial" w:hAnsi="Arial"/>
          <w:sz w:val="17"/>
          <w:szCs w:val="17"/>
          <w:color w:val="auto"/>
        </w:rPr>
        <w:t>Notwithstanding Subsections 1(d)(i) – (v)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Manpower Group is terminated by you within ninety (90) days after such diminution or breach occurs. Further, notwithstanding Subsections 1(d)(i)-(v),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09" w:lineRule="exact"/>
        <w:rPr>
          <w:sz w:val="20"/>
          <w:szCs w:val="20"/>
          <w:color w:val="auto"/>
        </w:rPr>
      </w:pPr>
    </w:p>
    <w:p>
      <w:pPr>
        <w:ind w:left="1300" w:right="40" w:hanging="644"/>
        <w:spacing w:after="0" w:line="257"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15" w:lineRule="exact"/>
        <w:rPr>
          <w:rFonts w:ascii="Arial" w:cs="Arial" w:eastAsia="Arial" w:hAnsi="Arial"/>
          <w:sz w:val="18"/>
          <w:szCs w:val="18"/>
          <w:color w:val="auto"/>
        </w:rPr>
      </w:pPr>
    </w:p>
    <w:p>
      <w:pPr>
        <w:ind w:left="1300" w:right="140" w:hanging="644"/>
        <w:spacing w:after="0" w:line="342"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ind w:left="1960" w:right="40" w:hanging="655"/>
        <w:spacing w:after="0" w:line="259" w:lineRule="auto"/>
        <w:tabs>
          <w:tab w:leader="none" w:pos="1960" w:val="left"/>
        </w:tabs>
        <w:numPr>
          <w:ilvl w:val="3"/>
          <w:numId w:val="64"/>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ind w:left="1960" w:right="20" w:hanging="655"/>
        <w:spacing w:after="0" w:line="279" w:lineRule="auto"/>
        <w:tabs>
          <w:tab w:leader="none" w:pos="1960" w:val="left"/>
        </w:tabs>
        <w:numPr>
          <w:ilvl w:val="3"/>
          <w:numId w:val="64"/>
        </w:numPr>
        <w:rPr>
          <w:rFonts w:ascii="Arial" w:cs="Arial" w:eastAsia="Arial" w:hAnsi="Arial"/>
          <w:sz w:val="17"/>
          <w:szCs w:val="17"/>
          <w:color w:val="auto"/>
        </w:rPr>
      </w:pPr>
      <w:r>
        <w:rPr>
          <w:rFonts w:ascii="Arial" w:cs="Arial" w:eastAsia="Arial" w:hAnsi="Arial"/>
          <w:sz w:val="17"/>
          <w:szCs w:val="17"/>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98" w:lineRule="exact"/>
        <w:rPr>
          <w:rFonts w:ascii="Arial" w:cs="Arial" w:eastAsia="Arial" w:hAnsi="Arial"/>
          <w:sz w:val="17"/>
          <w:szCs w:val="17"/>
          <w:color w:val="auto"/>
        </w:rPr>
      </w:pPr>
    </w:p>
    <w:p>
      <w:pPr>
        <w:ind w:left="1960" w:right="240" w:hanging="655"/>
        <w:spacing w:after="0" w:line="264" w:lineRule="auto"/>
        <w:tabs>
          <w:tab w:leader="none" w:pos="1960" w:val="left"/>
        </w:tabs>
        <w:numPr>
          <w:ilvl w:val="3"/>
          <w:numId w:val="64"/>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8" w:lineRule="exact"/>
        <w:rPr>
          <w:rFonts w:ascii="Arial" w:cs="Arial" w:eastAsia="Arial" w:hAnsi="Arial"/>
          <w:sz w:val="18"/>
          <w:szCs w:val="18"/>
          <w:color w:val="auto"/>
        </w:rPr>
      </w:pPr>
    </w:p>
    <w:p>
      <w:pPr>
        <w:jc w:val="both"/>
        <w:ind w:left="1300" w:right="20" w:hanging="644"/>
        <w:spacing w:after="0" w:line="286" w:lineRule="auto"/>
        <w:tabs>
          <w:tab w:leader="none" w:pos="1300"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will be a period beginning on the date of this letter indicated above and ending on the first to occur of the following: (a) the date which is the two-year anniversary of the occurrence of a Change of Control; (b) December 31, 2013 if no Change of Control occurs between the date of this letter indicated above and December 31, 2013; or (c) the Date of Termination.</w:t>
      </w:r>
    </w:p>
    <w:p>
      <w:pPr>
        <w:spacing w:after="0" w:line="192" w:lineRule="exact"/>
        <w:rPr>
          <w:rFonts w:ascii="Arial" w:cs="Arial" w:eastAsia="Arial" w:hAnsi="Arial"/>
          <w:sz w:val="17"/>
          <w:szCs w:val="17"/>
          <w:color w:val="auto"/>
        </w:rPr>
      </w:pPr>
    </w:p>
    <w:p>
      <w:pPr>
        <w:ind w:left="660" w:hanging="2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285"/>
        <w:spacing w:after="0" w:line="255" w:lineRule="auto"/>
        <w:tabs>
          <w:tab w:leader="none" w:pos="1300"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by the Manpower Group for Cause or by You Other Than for Good Reason</w:t>
      </w:r>
      <w:r>
        <w:rPr>
          <w:rFonts w:ascii="Arial" w:cs="Arial" w:eastAsia="Arial" w:hAnsi="Arial"/>
          <w:sz w:val="18"/>
          <w:szCs w:val="18"/>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20" w:lineRule="exact"/>
        <w:rPr>
          <w:rFonts w:ascii="Arial" w:cs="Arial" w:eastAsia="Arial" w:hAnsi="Arial"/>
          <w:sz w:val="18"/>
          <w:szCs w:val="18"/>
          <w:color w:val="auto"/>
        </w:rPr>
      </w:pPr>
    </w:p>
    <w:p>
      <w:pPr>
        <w:ind w:left="1300" w:hanging="295"/>
        <w:spacing w:after="0"/>
        <w:tabs>
          <w:tab w:leader="none" w:pos="1300" w:val="left"/>
        </w:tabs>
        <w:numPr>
          <w:ilvl w:val="2"/>
          <w:numId w:val="65"/>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 or Death</w:t>
      </w:r>
      <w:r>
        <w:rPr>
          <w:rFonts w:ascii="Arial" w:cs="Arial" w:eastAsia="Arial" w:hAnsi="Arial"/>
          <w:sz w:val="17"/>
          <w:szCs w:val="17"/>
          <w:color w:val="auto"/>
        </w:rPr>
        <w:t>.  If your employment with the Manpower Group terminates during the Term by reason of</w:t>
      </w:r>
    </w:p>
    <w:p>
      <w:pPr>
        <w:sectPr>
          <w:pgSz w:w="11900" w:h="16838" w:orient="portrait"/>
          <w:cols w:equalWidth="0" w:num="1">
            <w:col w:w="11420"/>
          </w:cols>
          <w:pgMar w:left="240" w:top="125" w:right="239" w:bottom="0" w:gutter="0" w:footer="0" w:header="0"/>
        </w:sectPr>
      </w:pPr>
    </w:p>
    <w:bookmarkStart w:id="53" w:name="page54"/>
    <w:bookmarkEnd w:id="53"/>
    <w:p>
      <w:pPr>
        <w:jc w:val="both"/>
        <w:ind w:left="285"/>
        <w:spacing w:after="0" w:line="287" w:lineRule="auto"/>
        <w:rPr>
          <w:sz w:val="20"/>
          <w:szCs w:val="20"/>
          <w:color w:val="auto"/>
        </w:rPr>
      </w:pPr>
      <w:r>
        <w:rPr>
          <w:rFonts w:ascii="Arial" w:cs="Arial" w:eastAsia="Arial" w:hAnsi="Arial"/>
          <w:sz w:val="16"/>
          <w:szCs w:val="16"/>
          <w:color w:val="auto"/>
        </w:rPr>
        <w:t>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200" w:lineRule="exact"/>
        <w:rPr>
          <w:sz w:val="20"/>
          <w:szCs w:val="20"/>
          <w:color w:val="auto"/>
        </w:rPr>
      </w:pPr>
    </w:p>
    <w:p>
      <w:pPr>
        <w:ind w:left="285" w:hanging="285"/>
        <w:spacing w:after="0"/>
        <w:tabs>
          <w:tab w:leader="none" w:pos="28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45" w:hanging="267"/>
        <w:spacing w:after="0" w:line="264" w:lineRule="auto"/>
        <w:tabs>
          <w:tab w:leader="none" w:pos="945"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208" w:lineRule="exact"/>
        <w:rPr>
          <w:rFonts w:ascii="Arial" w:cs="Arial" w:eastAsia="Arial" w:hAnsi="Arial"/>
          <w:sz w:val="18"/>
          <w:szCs w:val="18"/>
          <w:color w:val="auto"/>
        </w:rPr>
      </w:pPr>
    </w:p>
    <w:p>
      <w:pPr>
        <w:ind w:left="1585" w:right="20" w:hanging="339"/>
        <w:spacing w:after="0" w:line="277" w:lineRule="auto"/>
        <w:tabs>
          <w:tab w:leader="none" w:pos="1585" w:val="left"/>
        </w:tabs>
        <w:numPr>
          <w:ilvl w:val="3"/>
          <w:numId w:val="66"/>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1585" w:right="20" w:hanging="329"/>
        <w:spacing w:after="0" w:line="277" w:lineRule="auto"/>
        <w:tabs>
          <w:tab w:leader="none" w:pos="1585" w:val="left"/>
        </w:tabs>
        <w:numPr>
          <w:ilvl w:val="3"/>
          <w:numId w:val="66"/>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Manpower Group ended before the Date of Termination;</w:t>
      </w:r>
    </w:p>
    <w:p>
      <w:pPr>
        <w:spacing w:after="0" w:line="197" w:lineRule="exact"/>
        <w:rPr>
          <w:rFonts w:ascii="Arial" w:cs="Arial" w:eastAsia="Arial" w:hAnsi="Arial"/>
          <w:sz w:val="18"/>
          <w:szCs w:val="18"/>
          <w:color w:val="auto"/>
        </w:rPr>
      </w:pPr>
    </w:p>
    <w:p>
      <w:pPr>
        <w:jc w:val="both"/>
        <w:ind w:left="1585" w:hanging="329"/>
        <w:spacing w:after="0" w:line="291" w:lineRule="auto"/>
        <w:tabs>
          <w:tab w:leader="none" w:pos="1585" w:val="left"/>
        </w:tabs>
        <w:numPr>
          <w:ilvl w:val="3"/>
          <w:numId w:val="66"/>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and Human Resources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 and further provided, however, that the bonus payable hereunder will be prorated for the actual number of days you were employed during the fiscal year during which the Date of Termination occurs;</w:t>
      </w:r>
    </w:p>
    <w:p>
      <w:pPr>
        <w:spacing w:after="0" w:line="194" w:lineRule="exact"/>
        <w:rPr>
          <w:rFonts w:ascii="Arial" w:cs="Arial" w:eastAsia="Arial" w:hAnsi="Arial"/>
          <w:sz w:val="16"/>
          <w:szCs w:val="16"/>
          <w:color w:val="auto"/>
        </w:rPr>
      </w:pPr>
    </w:p>
    <w:p>
      <w:pPr>
        <w:jc w:val="both"/>
        <w:ind w:left="1585" w:hanging="339"/>
        <w:spacing w:after="0" w:line="255" w:lineRule="auto"/>
        <w:tabs>
          <w:tab w:leader="none" w:pos="1585" w:val="left"/>
        </w:tabs>
        <w:numPr>
          <w:ilvl w:val="3"/>
          <w:numId w:val="66"/>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and Human Resources Committee of the Board approves a bona fide target annual bonus for the fiscal year in which the Change of Control occurs, your target annual bonus for the fiscal year prior to the fiscal year in which the Change of Control occurs);</w:t>
      </w:r>
    </w:p>
    <w:p>
      <w:pPr>
        <w:spacing w:after="0" w:line="220" w:lineRule="exact"/>
        <w:rPr>
          <w:rFonts w:ascii="Arial" w:cs="Arial" w:eastAsia="Arial" w:hAnsi="Arial"/>
          <w:sz w:val="18"/>
          <w:szCs w:val="18"/>
          <w:color w:val="auto"/>
        </w:rPr>
      </w:pPr>
    </w:p>
    <w:p>
      <w:pPr>
        <w:jc w:val="both"/>
        <w:ind w:left="1585" w:hanging="319"/>
        <w:spacing w:after="0" w:line="290" w:lineRule="auto"/>
        <w:tabs>
          <w:tab w:leader="none" w:pos="1585" w:val="left"/>
        </w:tabs>
        <w:numPr>
          <w:ilvl w:val="3"/>
          <w:numId w:val="66"/>
        </w:numPr>
        <w:rPr>
          <w:rFonts w:ascii="Arial" w:cs="Arial" w:eastAsia="Arial" w:hAnsi="Arial"/>
          <w:sz w:val="16"/>
          <w:szCs w:val="16"/>
          <w:color w:val="auto"/>
        </w:rPr>
      </w:pPr>
      <w:r>
        <w:rPr>
          <w:rFonts w:ascii="Arial" w:cs="Arial" w:eastAsia="Arial" w:hAnsi="Arial"/>
          <w:sz w:val="16"/>
          <w:szCs w:val="16"/>
          <w:color w:val="auto"/>
        </w:rPr>
        <w:t>for up to an eighteen-month period after the Date of Termination, the Corporation will arrange to provide you and your eligible dependents, at the Manpower Group’s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93" w:lineRule="exact"/>
        <w:rPr>
          <w:rFonts w:ascii="Arial" w:cs="Arial" w:eastAsia="Arial" w:hAnsi="Arial"/>
          <w:sz w:val="16"/>
          <w:szCs w:val="16"/>
          <w:color w:val="auto"/>
        </w:rPr>
      </w:pPr>
    </w:p>
    <w:p>
      <w:pPr>
        <w:ind w:left="1585" w:right="180"/>
        <w:spacing w:after="0" w:line="267" w:lineRule="auto"/>
        <w:rPr>
          <w:rFonts w:ascii="Arial" w:cs="Arial" w:eastAsia="Arial" w:hAnsi="Arial"/>
          <w:sz w:val="16"/>
          <w:szCs w:val="16"/>
          <w:color w:val="auto"/>
        </w:rPr>
      </w:pPr>
      <w:r>
        <w:rPr>
          <w:rFonts w:ascii="Arial" w:cs="Arial" w:eastAsia="Arial" w:hAnsi="Arial"/>
          <w:sz w:val="17"/>
          <w:szCs w:val="17"/>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219" w:lineRule="exact"/>
        <w:rPr>
          <w:rFonts w:ascii="Arial" w:cs="Arial" w:eastAsia="Arial" w:hAnsi="Arial"/>
          <w:sz w:val="16"/>
          <w:szCs w:val="16"/>
          <w:color w:val="auto"/>
        </w:rPr>
      </w:pPr>
    </w:p>
    <w:p>
      <w:pPr>
        <w:ind w:left="1585" w:right="20" w:hanging="647"/>
        <w:spacing w:after="0" w:line="272" w:lineRule="auto"/>
        <w:tabs>
          <w:tab w:leader="none" w:pos="1585" w:val="left"/>
        </w:tabs>
        <w:numPr>
          <w:ilvl w:val="2"/>
          <w:numId w:val="66"/>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204" w:lineRule="exact"/>
        <w:rPr>
          <w:rFonts w:ascii="Arial" w:cs="Arial" w:eastAsia="Arial" w:hAnsi="Arial"/>
          <w:sz w:val="17"/>
          <w:szCs w:val="17"/>
          <w:color w:val="auto"/>
        </w:rPr>
      </w:pPr>
    </w:p>
    <w:p>
      <w:pPr>
        <w:ind w:left="945" w:hanging="317"/>
        <w:spacing w:after="0"/>
        <w:tabs>
          <w:tab w:leader="none" w:pos="945"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your employment with the Manpower Group is terminated during the Term for any reason not specified in Subsections 2(a) or</w:t>
      </w:r>
    </w:p>
    <w:p>
      <w:pPr>
        <w:sectPr>
          <w:pgSz w:w="11900" w:h="16838" w:orient="portrait"/>
          <w:cols w:equalWidth="0" w:num="1">
            <w:col w:w="10405"/>
          </w:cols>
          <w:pgMar w:left="1255" w:top="125" w:right="239" w:bottom="0" w:gutter="0" w:footer="0" w:header="0"/>
        </w:sectPr>
      </w:pPr>
    </w:p>
    <w:bookmarkStart w:id="54" w:name="page55"/>
    <w:bookmarkEnd w:id="54"/>
    <w:p>
      <w:pPr>
        <w:ind w:left="1960"/>
        <w:spacing w:after="0"/>
        <w:rPr>
          <w:sz w:val="20"/>
          <w:szCs w:val="20"/>
          <w:color w:val="auto"/>
        </w:rPr>
      </w:pPr>
      <w:r>
        <w:rPr>
          <w:rFonts w:ascii="Arial" w:cs="Arial" w:eastAsia="Arial" w:hAnsi="Arial"/>
          <w:sz w:val="18"/>
          <w:szCs w:val="18"/>
          <w:color w:val="auto"/>
        </w:rPr>
        <w:t>(b), above, and Subsection 2(c)(i), above, does not apply to the termination, you will be entitled to the following:</w:t>
      </w:r>
    </w:p>
    <w:p>
      <w:pPr>
        <w:spacing w:after="0" w:line="252" w:lineRule="exact"/>
        <w:rPr>
          <w:sz w:val="20"/>
          <w:szCs w:val="20"/>
          <w:color w:val="auto"/>
        </w:rPr>
      </w:pPr>
    </w:p>
    <w:p>
      <w:pPr>
        <w:ind w:left="2600" w:right="20" w:hanging="339"/>
        <w:spacing w:after="0" w:line="277" w:lineRule="auto"/>
        <w:tabs>
          <w:tab w:leader="none" w:pos="26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2600" w:right="20" w:hanging="329"/>
        <w:spacing w:after="0" w:line="277" w:lineRule="auto"/>
        <w:tabs>
          <w:tab w:leader="none" w:pos="26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Manpower Group ended before the Date of Termination;</w:t>
      </w:r>
    </w:p>
    <w:p>
      <w:pPr>
        <w:spacing w:after="0" w:line="197" w:lineRule="exact"/>
        <w:rPr>
          <w:rFonts w:ascii="Arial" w:cs="Arial" w:eastAsia="Arial" w:hAnsi="Arial"/>
          <w:sz w:val="18"/>
          <w:szCs w:val="18"/>
          <w:color w:val="auto"/>
        </w:rPr>
      </w:pPr>
    </w:p>
    <w:p>
      <w:pPr>
        <w:jc w:val="both"/>
        <w:ind w:left="2600" w:hanging="329"/>
        <w:spacing w:after="0" w:line="297" w:lineRule="auto"/>
        <w:tabs>
          <w:tab w:leader="none" w:pos="26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2600" w:hanging="339"/>
        <w:spacing w:after="0" w:line="255" w:lineRule="auto"/>
        <w:tabs>
          <w:tab w:leader="none" w:pos="26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and Human Resources Committee of the Board approves a bona fide target annual bonus for you for the fiscal year in which the Date of Termination occurs, your target annual bonus for the fiscal year prior to the fiscal year in which the Date of Termination occurs);</w:t>
      </w:r>
    </w:p>
    <w:p>
      <w:pPr>
        <w:spacing w:after="0" w:line="220" w:lineRule="exact"/>
        <w:rPr>
          <w:rFonts w:ascii="Arial" w:cs="Arial" w:eastAsia="Arial" w:hAnsi="Arial"/>
          <w:sz w:val="18"/>
          <w:szCs w:val="18"/>
          <w:color w:val="auto"/>
        </w:rPr>
      </w:pPr>
    </w:p>
    <w:p>
      <w:pPr>
        <w:jc w:val="both"/>
        <w:ind w:left="2600" w:hanging="319"/>
        <w:spacing w:after="0" w:line="255" w:lineRule="auto"/>
        <w:tabs>
          <w:tab w:leader="none" w:pos="26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16" w:lineRule="exact"/>
        <w:rPr>
          <w:rFonts w:ascii="Arial" w:cs="Arial" w:eastAsia="Arial" w:hAnsi="Arial"/>
          <w:sz w:val="18"/>
          <w:szCs w:val="18"/>
          <w:color w:val="auto"/>
        </w:rPr>
      </w:pPr>
    </w:p>
    <w:p>
      <w:pPr>
        <w:ind w:left="2600" w:right="40"/>
        <w:spacing w:after="0" w:line="284" w:lineRule="auto"/>
        <w:rPr>
          <w:rFonts w:ascii="Arial" w:cs="Arial" w:eastAsia="Arial" w:hAnsi="Arial"/>
          <w:sz w:val="18"/>
          <w:szCs w:val="18"/>
          <w:color w:val="auto"/>
        </w:rPr>
      </w:pPr>
      <w:r>
        <w:rPr>
          <w:rFonts w:ascii="Arial" w:cs="Arial" w:eastAsia="Arial" w:hAnsi="Arial"/>
          <w:sz w:val="16"/>
          <w:szCs w:val="16"/>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207" w:lineRule="exact"/>
        <w:rPr>
          <w:rFonts w:ascii="Arial" w:cs="Arial" w:eastAsia="Arial" w:hAnsi="Arial"/>
          <w:sz w:val="18"/>
          <w:szCs w:val="18"/>
          <w:color w:val="auto"/>
        </w:rPr>
      </w:pPr>
    </w:p>
    <w:p>
      <w:pPr>
        <w:ind w:left="2600" w:right="80" w:hanging="647"/>
        <w:spacing w:after="0" w:line="272" w:lineRule="auto"/>
        <w:tabs>
          <w:tab w:leader="none" w:pos="26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2(c)(ii)(F).</w:t>
      </w:r>
    </w:p>
    <w:p>
      <w:pPr>
        <w:spacing w:after="0" w:line="20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amounts paid to you pursuant to Subsection 2(c)(i)(D) or 2(c)(ii)(D) will not be included as compensation for purposes of any qualified or nonqualified pension or welfare benefit plan of the Manpower Group.</w:t>
      </w:r>
    </w:p>
    <w:p>
      <w:pPr>
        <w:spacing w:after="0" w:line="197" w:lineRule="exact"/>
        <w:rPr>
          <w:sz w:val="20"/>
          <w:szCs w:val="20"/>
          <w:color w:val="auto"/>
        </w:rPr>
      </w:pPr>
    </w:p>
    <w:p>
      <w:pPr>
        <w:ind w:right="400" w:firstLine="648"/>
        <w:spacing w:after="0" w:line="287" w:lineRule="auto"/>
        <w:rPr>
          <w:sz w:val="20"/>
          <w:szCs w:val="20"/>
          <w:color w:val="auto"/>
        </w:rPr>
      </w:pPr>
      <w:r>
        <w:rPr>
          <w:rFonts w:ascii="Arial" w:cs="Arial" w:eastAsia="Arial" w:hAnsi="Arial"/>
          <w:sz w:val="16"/>
          <w:szCs w:val="16"/>
          <w:color w:val="auto"/>
        </w:rPr>
        <w:t>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ectPr>
          <w:pgSz w:w="11900" w:h="16838" w:orient="portrait"/>
          <w:cols w:equalWidth="0" w:num="1">
            <w:col w:w="11420"/>
          </w:cols>
          <w:pgMar w:left="240" w:top="125" w:right="239" w:bottom="0" w:gutter="0" w:footer="0" w:header="0"/>
        </w:sectPr>
      </w:pPr>
    </w:p>
    <w:bookmarkStart w:id="55" w:name="page56"/>
    <w:bookmarkEnd w:id="55"/>
    <w:p>
      <w:pPr>
        <w:spacing w:after="0" w:line="9" w:lineRule="exact"/>
        <w:rPr>
          <w:sz w:val="20"/>
          <w:szCs w:val="20"/>
          <w:color w:val="auto"/>
        </w:rPr>
      </w:pPr>
    </w:p>
    <w:p>
      <w:pPr>
        <w:jc w:val="both"/>
        <w:ind w:left="1292" w:hanging="295"/>
        <w:spacing w:after="0" w:line="268" w:lineRule="auto"/>
        <w:tabs>
          <w:tab w:leader="none" w:pos="1292" w:val="left"/>
        </w:tabs>
        <w:numPr>
          <w:ilvl w:val="3"/>
          <w:numId w:val="69"/>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on the thirtieth (30th) day after the Date of Termination. The bonus payment provided for in Subsection 2(c)(ii)(C) will between January 1 and March 15 of the calendar year following the Date of Termination. The severance benefit provided for in Subsection 2(c)(i)(D) or 2(c)(ii)(D)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Midwest edition (or, if not so reported, as reported in such other similar source(s) as the Corporation shall select).</w:t>
      </w:r>
    </w:p>
    <w:p>
      <w:pPr>
        <w:spacing w:after="0" w:line="210" w:lineRule="exact"/>
        <w:rPr>
          <w:rFonts w:ascii="Arial" w:cs="Arial" w:eastAsia="Arial" w:hAnsi="Arial"/>
          <w:sz w:val="17"/>
          <w:szCs w:val="17"/>
          <w:color w:val="auto"/>
        </w:rPr>
      </w:pPr>
    </w:p>
    <w:p>
      <w:pPr>
        <w:jc w:val="both"/>
        <w:ind w:left="1292" w:hanging="285"/>
        <w:spacing w:after="0" w:line="270" w:lineRule="auto"/>
        <w:tabs>
          <w:tab w:leader="none" w:pos="1292" w:val="left"/>
        </w:tabs>
        <w:numPr>
          <w:ilvl w:val="3"/>
          <w:numId w:val="69"/>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will have no right to receive any payment or benefit described in Subsections 2(c) (i)(C)-(F) or 2(c)(ii)(C)-(F),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204" w:lineRule="exact"/>
        <w:rPr>
          <w:rFonts w:ascii="Arial" w:cs="Arial" w:eastAsia="Arial" w:hAnsi="Arial"/>
          <w:sz w:val="17"/>
          <w:szCs w:val="17"/>
          <w:color w:val="auto"/>
        </w:rPr>
      </w:pPr>
    </w:p>
    <w:p>
      <w:pPr>
        <w:jc w:val="both"/>
        <w:ind w:left="1292" w:hanging="265"/>
        <w:spacing w:after="0" w:line="259" w:lineRule="auto"/>
        <w:tabs>
          <w:tab w:leader="none" w:pos="1292" w:val="left"/>
        </w:tabs>
        <w:numPr>
          <w:ilvl w:val="3"/>
          <w:numId w:val="69"/>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3-5, below, and upon your breach of any such obligations, you will immediately return to the Corporation the amount of such payments and benefits and you will no longer have any right to receive any such payments or benefits.</w:t>
      </w:r>
    </w:p>
    <w:p>
      <w:pPr>
        <w:spacing w:after="0" w:line="213" w:lineRule="exact"/>
        <w:rPr>
          <w:rFonts w:ascii="Arial" w:cs="Arial" w:eastAsia="Arial" w:hAnsi="Arial"/>
          <w:sz w:val="18"/>
          <w:szCs w:val="18"/>
          <w:color w:val="auto"/>
        </w:rPr>
      </w:pPr>
    </w:p>
    <w:p>
      <w:pPr>
        <w:jc w:val="both"/>
        <w:ind w:left="652" w:hanging="229"/>
        <w:spacing w:after="0" w:line="293" w:lineRule="auto"/>
        <w:tabs>
          <w:tab w:leader="none" w:pos="652"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191" w:lineRule="exact"/>
        <w:rPr>
          <w:rFonts w:ascii="Arial" w:cs="Arial" w:eastAsia="Arial" w:hAnsi="Arial"/>
          <w:sz w:val="16"/>
          <w:szCs w:val="16"/>
          <w:color w:val="auto"/>
        </w:rPr>
      </w:pPr>
    </w:p>
    <w:p>
      <w:pPr>
        <w:ind w:left="632" w:hanging="632"/>
        <w:spacing w:after="0"/>
        <w:tabs>
          <w:tab w:leader="none" w:pos="63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Customer Nonsolicitation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480" w:hanging="644"/>
        <w:spacing w:after="0" w:line="277" w:lineRule="auto"/>
        <w:tabs>
          <w:tab w:leader="none" w:pos="1292" w:val="left"/>
        </w:tabs>
        <w:numPr>
          <w:ilvl w:val="2"/>
          <w:numId w:val="71"/>
        </w:numPr>
        <w:rPr>
          <w:rFonts w:ascii="Arial" w:cs="Arial" w:eastAsia="Arial" w:hAnsi="Arial"/>
          <w:sz w:val="18"/>
          <w:szCs w:val="18"/>
          <w:color w:val="auto"/>
        </w:rPr>
      </w:pPr>
      <w:r>
        <w:rPr>
          <w:rFonts w:ascii="Arial" w:cs="Arial" w:eastAsia="Arial" w:hAnsi="Arial"/>
          <w:sz w:val="18"/>
          <w:szCs w:val="18"/>
          <w:color w:val="auto"/>
        </w:rPr>
        <w:t>During the term of your employment with the Manpower Group, you will not assist any competitor of any company in the Manpower Group in any capacity anywhere the Manpower Group does business.</w:t>
      </w:r>
    </w:p>
    <w:p>
      <w:pPr>
        <w:spacing w:after="0" w:line="197" w:lineRule="exact"/>
        <w:rPr>
          <w:rFonts w:ascii="Arial" w:cs="Arial" w:eastAsia="Arial" w:hAnsi="Arial"/>
          <w:sz w:val="18"/>
          <w:szCs w:val="18"/>
          <w:color w:val="auto"/>
        </w:rPr>
      </w:pPr>
    </w:p>
    <w:p>
      <w:pPr>
        <w:ind w:left="1292" w:right="80" w:hanging="644"/>
        <w:spacing w:after="0" w:line="255" w:lineRule="auto"/>
        <w:tabs>
          <w:tab w:leader="none" w:pos="1292" w:val="left"/>
        </w:tabs>
        <w:numPr>
          <w:ilvl w:val="2"/>
          <w:numId w:val="71"/>
        </w:numPr>
        <w:rPr>
          <w:rFonts w:ascii="Arial" w:cs="Arial" w:eastAsia="Arial" w:hAnsi="Arial"/>
          <w:sz w:val="18"/>
          <w:szCs w:val="18"/>
          <w:color w:val="auto"/>
        </w:rPr>
      </w:pPr>
      <w:r>
        <w:rPr>
          <w:rFonts w:ascii="Arial" w:cs="Arial" w:eastAsia="Arial" w:hAnsi="Arial"/>
          <w:sz w:val="18"/>
          <w:szCs w:val="18"/>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220" w:lineRule="exact"/>
        <w:rPr>
          <w:rFonts w:ascii="Arial" w:cs="Arial" w:eastAsia="Arial" w:hAnsi="Arial"/>
          <w:sz w:val="18"/>
          <w:szCs w:val="18"/>
          <w:color w:val="auto"/>
        </w:rPr>
      </w:pPr>
    </w:p>
    <w:p>
      <w:pPr>
        <w:ind w:left="652" w:right="20" w:hanging="652"/>
        <w:spacing w:after="0" w:line="287" w:lineRule="auto"/>
        <w:tabs>
          <w:tab w:leader="none" w:pos="65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outplacement, or human resource services (including consulting, task-based services, recruitment or other talent solutions) anywhere in the United 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199" w:lineRule="exact"/>
        <w:rPr>
          <w:rFonts w:ascii="Arial" w:cs="Arial" w:eastAsia="Arial" w:hAnsi="Arial"/>
          <w:sz w:val="16"/>
          <w:szCs w:val="16"/>
          <w:color w:val="auto"/>
        </w:rPr>
      </w:pPr>
    </w:p>
    <w:p>
      <w:pPr>
        <w:ind w:left="632" w:hanging="632"/>
        <w:spacing w:after="0"/>
        <w:tabs>
          <w:tab w:leader="none" w:pos="63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40" w:hanging="644"/>
        <w:spacing w:after="0" w:line="291" w:lineRule="auto"/>
        <w:tabs>
          <w:tab w:leader="none" w:pos="1292" w:val="left"/>
        </w:tabs>
        <w:numPr>
          <w:ilvl w:val="2"/>
          <w:numId w:val="71"/>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Manpower Group and its businesses and properties in the event of your breach of any of the restrictions imposed by Sections 3-5,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4" w:lineRule="exact"/>
        <w:rPr>
          <w:rFonts w:ascii="Arial" w:cs="Arial" w:eastAsia="Arial" w:hAnsi="Arial"/>
          <w:sz w:val="16"/>
          <w:szCs w:val="16"/>
          <w:color w:val="auto"/>
        </w:rPr>
      </w:pPr>
    </w:p>
    <w:p>
      <w:pPr>
        <w:ind w:left="1292" w:right="180" w:hanging="644"/>
        <w:spacing w:after="0" w:line="277" w:lineRule="auto"/>
        <w:tabs>
          <w:tab w:leader="none" w:pos="1292" w:val="left"/>
        </w:tabs>
        <w:numPr>
          <w:ilvl w:val="2"/>
          <w:numId w:val="71"/>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3-5 above, will be extended by any period during which such restriction is violated by you.</w:t>
      </w:r>
    </w:p>
    <w:p>
      <w:pPr>
        <w:sectPr>
          <w:pgSz w:w="11900" w:h="16848" w:orient="portrait"/>
          <w:cols w:equalWidth="0" w:num="1">
            <w:col w:w="11412"/>
          </w:cols>
          <w:pgMar w:left="248" w:top="125" w:right="239" w:bottom="0" w:gutter="0" w:footer="0" w:header="0"/>
        </w:sectPr>
      </w:pPr>
    </w:p>
    <w:bookmarkStart w:id="56" w:name="page57"/>
    <w:bookmarkEnd w:id="56"/>
    <w:p>
      <w:pPr>
        <w:jc w:val="both"/>
        <w:ind w:left="1292" w:right="440" w:hanging="644"/>
        <w:spacing w:after="0" w:line="264" w:lineRule="auto"/>
        <w:tabs>
          <w:tab w:leader="none" w:pos="1292"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4 and 5, above, will not apply if your employment with the Manpower Group is terminated by you for Good Reason or by the Corporation without Cause either during a Protected Period or within two years after the occurrence of a Change of Control.</w:t>
      </w:r>
    </w:p>
    <w:p>
      <w:pPr>
        <w:spacing w:after="0" w:line="208" w:lineRule="exact"/>
        <w:rPr>
          <w:rFonts w:ascii="Arial" w:cs="Arial" w:eastAsia="Arial" w:hAnsi="Arial"/>
          <w:sz w:val="18"/>
          <w:szCs w:val="18"/>
          <w:color w:val="auto"/>
        </w:rPr>
      </w:pPr>
    </w:p>
    <w:p>
      <w:pPr>
        <w:ind w:left="652" w:right="140" w:hanging="652"/>
        <w:spacing w:after="0" w:line="259" w:lineRule="auto"/>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213" w:lineRule="exact"/>
        <w:rPr>
          <w:rFonts w:ascii="Arial" w:cs="Arial" w:eastAsia="Arial" w:hAnsi="Arial"/>
          <w:sz w:val="18"/>
          <w:szCs w:val="18"/>
          <w:color w:val="auto"/>
        </w:rPr>
      </w:pPr>
    </w:p>
    <w:p>
      <w:pPr>
        <w:ind w:left="652" w:right="20" w:hanging="652"/>
        <w:spacing w:after="0" w:line="290" w:lineRule="auto"/>
        <w:tabs>
          <w:tab w:leader="none" w:pos="65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93" w:lineRule="exact"/>
        <w:rPr>
          <w:rFonts w:ascii="Arial" w:cs="Arial" w:eastAsia="Arial" w:hAnsi="Arial"/>
          <w:sz w:val="16"/>
          <w:szCs w:val="16"/>
          <w:color w:val="auto"/>
        </w:rPr>
      </w:pPr>
    </w:p>
    <w:p>
      <w:pPr>
        <w:ind w:left="652" w:right="180" w:hanging="652"/>
        <w:spacing w:after="0" w:line="277" w:lineRule="auto"/>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ind w:left="652" w:right="40" w:hanging="652"/>
        <w:spacing w:after="0" w:line="264" w:lineRule="auto"/>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ind w:left="652" w:right="100" w:hanging="652"/>
        <w:spacing w:after="0" w:line="312" w:lineRule="auto"/>
        <w:tabs>
          <w:tab w:leader="none" w:pos="65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73" w:lineRule="exact"/>
        <w:rPr>
          <w:rFonts w:ascii="Arial" w:cs="Arial" w:eastAsia="Arial" w:hAnsi="Arial"/>
          <w:sz w:val="16"/>
          <w:szCs w:val="16"/>
          <w:color w:val="auto"/>
        </w:rPr>
      </w:pPr>
    </w:p>
    <w:p>
      <w:pPr>
        <w:ind w:left="652" w:right="540" w:hanging="652"/>
        <w:spacing w:after="0" w:line="277" w:lineRule="auto"/>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652" w:right="180" w:hanging="652"/>
        <w:spacing w:after="0" w:line="277" w:lineRule="auto"/>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652" w:right="500" w:hanging="652"/>
        <w:spacing w:after="0" w:line="277" w:lineRule="auto"/>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97" w:lineRule="exact"/>
        <w:rPr>
          <w:rFonts w:ascii="Arial" w:cs="Arial" w:eastAsia="Arial" w:hAnsi="Arial"/>
          <w:sz w:val="18"/>
          <w:szCs w:val="18"/>
          <w:color w:val="auto"/>
        </w:rPr>
      </w:pPr>
    </w:p>
    <w:p>
      <w:pPr>
        <w:ind w:left="652" w:right="80" w:hanging="652"/>
        <w:spacing w:after="0" w:line="276" w:lineRule="auto"/>
        <w:tabs>
          <w:tab w:leader="none" w:pos="65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9" w:lineRule="exact"/>
        <w:rPr>
          <w:rFonts w:ascii="Arial" w:cs="Arial" w:eastAsia="Arial" w:hAnsi="Arial"/>
          <w:sz w:val="17"/>
          <w:szCs w:val="17"/>
          <w:color w:val="auto"/>
        </w:rPr>
      </w:pPr>
    </w:p>
    <w:p>
      <w:pPr>
        <w:ind w:left="652" w:right="100" w:hanging="652"/>
        <w:spacing w:after="0" w:line="297" w:lineRule="auto"/>
        <w:tabs>
          <w:tab w:leader="none" w:pos="65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Previous Agreements</w:t>
      </w:r>
      <w:r>
        <w:rPr>
          <w:rFonts w:ascii="Arial" w:cs="Arial" w:eastAsia="Arial" w:hAnsi="Arial"/>
          <w:sz w:val="16"/>
          <w:szCs w:val="16"/>
          <w:color w:val="auto"/>
        </w:rPr>
        <w:t>. This letter, upon acceptance by you, expressly supersedes any and all previous agreements or understandings relating to your employment by the Corporation or the Manpower Group, except for the letter from the Corporation to you dated November 28, 2007 regarding the Corporation’s offer of employment to you (provided this letter will supersede the sections of that prior letter concerning severance protection and restrictive covenants) and the nondisclosure agreement between you and the Corporation dated December 31, 2007, or the termination of such employment, and any such agreements or understandings shall, as of the date of your acceptance, have no further force or effect.</w:t>
      </w:r>
    </w:p>
    <w:p>
      <w:pPr>
        <w:spacing w:after="0" w:line="185" w:lineRule="exact"/>
        <w:rPr>
          <w:rFonts w:ascii="Arial" w:cs="Arial" w:eastAsia="Arial" w:hAnsi="Arial"/>
          <w:sz w:val="16"/>
          <w:szCs w:val="16"/>
          <w:color w:val="auto"/>
        </w:rPr>
      </w:pPr>
    </w:p>
    <w:p>
      <w:pPr>
        <w:ind w:left="652" w:right="200" w:hanging="652"/>
        <w:spacing w:after="0" w:line="257" w:lineRule="auto"/>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6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17, the party initiating arbitration shall be denominated the “Claimant” and the other party shall be denominated the “Respondent.”</w:t>
      </w:r>
    </w:p>
    <w:p>
      <w:pPr>
        <w:spacing w:after="0" w:line="215" w:lineRule="exact"/>
        <w:rPr>
          <w:rFonts w:ascii="Arial" w:cs="Arial" w:eastAsia="Arial" w:hAnsi="Arial"/>
          <w:sz w:val="18"/>
          <w:szCs w:val="18"/>
          <w:color w:val="auto"/>
        </w:rPr>
      </w:pPr>
    </w:p>
    <w:p>
      <w:pPr>
        <w:ind w:left="1292" w:right="40" w:hanging="644"/>
        <w:spacing w:after="0" w:line="287" w:lineRule="auto"/>
        <w:tabs>
          <w:tab w:leader="none" w:pos="1292"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5" w:lineRule="exact"/>
        <w:rPr>
          <w:rFonts w:ascii="Arial" w:cs="Arial" w:eastAsia="Arial" w:hAnsi="Arial"/>
          <w:sz w:val="16"/>
          <w:szCs w:val="16"/>
          <w:color w:val="auto"/>
        </w:rPr>
      </w:pPr>
    </w:p>
    <w:p>
      <w:pPr>
        <w:jc w:val="both"/>
        <w:ind w:left="1292" w:hanging="295"/>
        <w:spacing w:after="0" w:line="302" w:lineRule="auto"/>
        <w:tabs>
          <w:tab w:leader="none" w:pos="1292" w:val="left"/>
        </w:tabs>
        <w:numPr>
          <w:ilvl w:val="2"/>
          <w:numId w:val="73"/>
        </w:numPr>
        <w:rPr>
          <w:rFonts w:ascii="Arial" w:cs="Arial" w:eastAsia="Arial" w:hAnsi="Arial"/>
          <w:sz w:val="16"/>
          <w:szCs w:val="16"/>
          <w:color w:val="auto"/>
        </w:rPr>
      </w:pPr>
      <w:r>
        <w:rPr>
          <w:rFonts w:ascii="Arial" w:cs="Arial" w:eastAsia="Arial" w:hAnsi="Arial"/>
          <w:sz w:val="16"/>
          <w:szCs w:val="16"/>
          <w:color w:val="auto"/>
        </w:rPr>
        <w:t>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w:t>
      </w:r>
    </w:p>
    <w:p>
      <w:pPr>
        <w:sectPr>
          <w:pgSz w:w="11900" w:h="16838" w:orient="portrait"/>
          <w:cols w:equalWidth="0" w:num="1">
            <w:col w:w="11412"/>
          </w:cols>
          <w:pgMar w:left="248" w:top="368" w:right="239" w:bottom="0" w:gutter="0" w:footer="0" w:header="0"/>
        </w:sectPr>
      </w:pPr>
    </w:p>
    <w:bookmarkStart w:id="57" w:name="page58"/>
    <w:bookmarkEnd w:id="57"/>
    <w:p>
      <w:pPr>
        <w:jc w:val="both"/>
        <w:ind w:left="1292"/>
        <w:spacing w:after="0" w:line="271" w:lineRule="auto"/>
        <w:rPr>
          <w:sz w:val="20"/>
          <w:szCs w:val="20"/>
          <w:color w:val="auto"/>
        </w:rPr>
      </w:pPr>
      <w:r>
        <w:rPr>
          <w:rFonts w:ascii="Arial" w:cs="Arial" w:eastAsia="Arial" w:hAnsi="Arial"/>
          <w:sz w:val="17"/>
          <w:szCs w:val="17"/>
          <w:color w:val="auto"/>
        </w:rPr>
        <w:t xml:space="preserve">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6" w:lineRule="exact"/>
        <w:rPr>
          <w:sz w:val="20"/>
          <w:szCs w:val="20"/>
          <w:color w:val="auto"/>
        </w:rPr>
      </w:pPr>
    </w:p>
    <w:p>
      <w:pPr>
        <w:ind w:left="652" w:hanging="652"/>
        <w:spacing w:after="0" w:line="277" w:lineRule="auto"/>
        <w:tabs>
          <w:tab w:leader="none" w:pos="6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58" w:name="page59"/>
    <w:bookmarkEnd w:id="58"/>
    <w:p>
      <w:pPr>
        <w:ind w:firstLine="648"/>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7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4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14605</wp:posOffset>
            </wp:positionV>
            <wp:extent cx="14490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Jeffrey A. Joerres, President</w:t>
      </w:r>
    </w:p>
    <w:p>
      <w:pPr>
        <w:spacing w:after="0" w:line="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and Chief Executive Officer</w:t>
      </w:r>
    </w:p>
    <w:p>
      <w:pPr>
        <w:spacing w:after="0"/>
        <w:rPr>
          <w:sz w:val="20"/>
          <w:szCs w:val="20"/>
          <w:color w:val="auto"/>
        </w:rPr>
      </w:pPr>
      <w:r>
        <w:rPr>
          <w:rFonts w:ascii="Arial" w:cs="Arial" w:eastAsia="Arial" w:hAnsi="Arial"/>
          <w:sz w:val="18"/>
          <w:szCs w:val="18"/>
          <w:color w:val="auto"/>
        </w:rPr>
        <w:t>Agreed as of the 17th day of February, 2011.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C. Hunt</w:t>
      </w:r>
    </w:p>
    <w:p>
      <w:pPr>
        <w:sectPr>
          <w:pgSz w:w="11900" w:h="16838" w:orient="portrait"/>
          <w:cols w:equalWidth="0" w:num="1">
            <w:col w:w="11000"/>
          </w:cols>
          <w:pgMar w:left="240" w:top="517" w:right="659" w:bottom="1440" w:gutter="0" w:footer="0" w:header="0"/>
        </w:sectPr>
      </w:pPr>
    </w:p>
    <w:bookmarkStart w:id="59" w:name="page60"/>
    <w:bookmarkEnd w:id="59"/>
    <w:p>
      <w:pPr>
        <w:ind w:left="10480"/>
        <w:spacing w:after="0"/>
        <w:rPr>
          <w:sz w:val="20"/>
          <w:szCs w:val="20"/>
          <w:color w:val="auto"/>
        </w:rPr>
      </w:pPr>
      <w:r>
        <w:rPr>
          <w:rFonts w:ascii="Arial" w:cs="Arial" w:eastAsia="Arial" w:hAnsi="Arial"/>
          <w:sz w:val="16"/>
          <w:szCs w:val="16"/>
          <w:b w:val="1"/>
          <w:bCs w:val="1"/>
          <w:color w:val="auto"/>
        </w:rPr>
        <w:t>Exhibit 10.5</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jc w:val="center"/>
        <w:spacing w:after="0"/>
        <w:rPr>
          <w:sz w:val="20"/>
          <w:szCs w:val="20"/>
          <w:color w:val="auto"/>
        </w:rPr>
      </w:pPr>
      <w:r>
        <w:rPr>
          <w:rFonts w:ascii="Arial" w:cs="Arial" w:eastAsia="Arial" w:hAnsi="Arial"/>
          <w:sz w:val="18"/>
          <w:szCs w:val="18"/>
          <w:b w:val="1"/>
          <w:bCs w:val="1"/>
          <w:color w:val="auto"/>
        </w:rPr>
        <w:t>(d/b/a ManpowerGroup)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AGREEMENT</w:t>
      </w:r>
    </w:p>
    <w:p>
      <w:pPr>
        <w:spacing w:after="0" w:line="200" w:lineRule="exact"/>
        <w:rPr>
          <w:sz w:val="20"/>
          <w:szCs w:val="20"/>
          <w:color w:val="auto"/>
        </w:rPr>
      </w:pPr>
    </w:p>
    <w:p>
      <w:pPr>
        <w:spacing w:after="0" w:line="205" w:lineRule="exact"/>
        <w:rPr>
          <w:sz w:val="20"/>
          <w:szCs w:val="20"/>
          <w:color w:val="auto"/>
        </w:rPr>
      </w:pPr>
    </w:p>
    <w:p>
      <w:pPr>
        <w:ind w:right="400" w:firstLine="648"/>
        <w:spacing w:after="0" w:line="262" w:lineRule="auto"/>
        <w:rPr>
          <w:sz w:val="20"/>
          <w:szCs w:val="20"/>
          <w:color w:val="auto"/>
        </w:rPr>
      </w:pPr>
      <w:r>
        <w:rPr>
          <w:rFonts w:ascii="Arial" w:cs="Arial" w:eastAsia="Arial" w:hAnsi="Arial"/>
          <w:sz w:val="18"/>
          <w:szCs w:val="18"/>
          <w:color w:val="auto"/>
        </w:rPr>
        <w:t>This Performance Share Unit Agreement (this “Agreement”) is executed as of by and between MANPOWER INC. (d/b/a ManpowerGroup), a Wisconsin corporation (the “Corporation”), and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-165735</wp:posOffset>
            </wp:positionV>
            <wp:extent cx="28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-36830</wp:posOffset>
            </wp:positionV>
            <wp:extent cx="285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98" w:lineRule="exact"/>
        <w:rPr>
          <w:sz w:val="20"/>
          <w:szCs w:val="20"/>
          <w:color w:val="auto"/>
        </w:rPr>
      </w:pPr>
    </w:p>
    <w:p>
      <w:pPr>
        <w:ind w:right="780" w:firstLine="648"/>
        <w:spacing w:after="0" w:line="262" w:lineRule="auto"/>
        <w:rPr>
          <w:sz w:val="20"/>
          <w:szCs w:val="20"/>
          <w:color w:val="auto"/>
        </w:rPr>
      </w:pPr>
      <w:r>
        <w:rPr>
          <w:rFonts w:ascii="Arial" w:cs="Arial" w:eastAsia="Arial" w:hAnsi="Arial"/>
          <w:sz w:val="18"/>
          <w:szCs w:val="18"/>
          <w:color w:val="auto"/>
        </w:rPr>
        <w:t>WHEREAS the Board of Directors of the Corporation has established the 2003 Equity Incentive Plan (the “Plan”) with the approval of the shareholders of the Corporation; and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Employee has been granted Performance Share Units under the Plan subject to the terms provided in this Agreement and the Plan.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Corporation and the Employee hereby agree as follows:</w:t>
      </w:r>
    </w:p>
    <w:p>
      <w:pPr>
        <w:spacing w:after="0" w:line="198" w:lineRule="exact"/>
        <w:rPr>
          <w:sz w:val="20"/>
          <w:szCs w:val="20"/>
          <w:color w:val="auto"/>
        </w:rPr>
      </w:pPr>
    </w:p>
    <w:p>
      <w:pPr>
        <w:ind w:right="40" w:firstLine="656"/>
        <w:spacing w:after="0" w:line="284" w:lineRule="auto"/>
        <w:tabs>
          <w:tab w:leader="none" w:pos="1053"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Provisions of Plan Control</w:t>
      </w:r>
      <w:r>
        <w:rPr>
          <w:rFonts w:ascii="Arial" w:cs="Arial" w:eastAsia="Arial" w:hAnsi="Arial"/>
          <w:sz w:val="16"/>
          <w:szCs w:val="16"/>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38" w:lineRule="exact"/>
        <w:rPr>
          <w:rFonts w:ascii="Arial" w:cs="Arial" w:eastAsia="Arial" w:hAnsi="Arial"/>
          <w:sz w:val="16"/>
          <w:szCs w:val="16"/>
          <w:color w:val="auto"/>
        </w:rPr>
      </w:pPr>
    </w:p>
    <w:p>
      <w:pPr>
        <w:ind w:right="20" w:firstLine="656"/>
        <w:spacing w:after="0" w:line="254" w:lineRule="auto"/>
        <w:tabs>
          <w:tab w:leader="none" w:pos="105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Terms of Award and Performance Goal</w:t>
      </w:r>
      <w:r>
        <w:rPr>
          <w:rFonts w:ascii="Arial" w:cs="Arial" w:eastAsia="Arial" w:hAnsi="Arial"/>
          <w:sz w:val="17"/>
          <w:szCs w:val="17"/>
          <w:color w:val="auto"/>
        </w:rPr>
        <w:t xml:space="preserve">. The Employee has been granted a Target Grant of </w:t>
      </w:r>
      <w:r>
        <w:rPr>
          <w:rFonts w:ascii="Arial" w:cs="Arial" w:eastAsia="Arial" w:hAnsi="Arial"/>
          <w:sz w:val="17"/>
          <w:szCs w:val="17"/>
          <w:b w:val="1"/>
          <w:bCs w:val="1"/>
          <w:color w:val="auto"/>
        </w:rPr>
        <w:t>[___________]</w:t>
      </w:r>
      <w:r>
        <w:rPr>
          <w:rFonts w:ascii="Arial" w:cs="Arial" w:eastAsia="Arial" w:hAnsi="Arial"/>
          <w:sz w:val="17"/>
          <w:szCs w:val="17"/>
          <w:color w:val="auto"/>
        </w:rPr>
        <w:t xml:space="preserve"> Performance Share Units under the Plan. The actual number of Performance Share Units that may be earned by Employee will be determined as described below, based upon the actual results for the Performance Period compared to the Performance Goal, subject to the vesting conditions (the “Conditions”) that (1) the Employee must remain an employee of the Corporation or its direct and indirect subsidiaries (collectively, “ManpowerGroup”) continuously from the date of this Award until the last day of the First Service Period in order to vest in one-half of the Performance Share Units earned and (2) the Employee must continue to remain an employee of ManpowerGroup until the last day of the Second Service Period in order to vest in the remaining one-half of the Performance Share Units earned. If the vesting Conditions are not satisfied, then except as otherwise provided in this Agreement, or the Plan (to the extent not superseded by this Agreement), no Performance Share Units shall be vested. The Performance Goal and the number of Performance Share Units that may be earned based on actual results for OPMP for the Performance Period will be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OPMP for the Performance Period</w:t>
            </w:r>
          </w:p>
        </w:tc>
        <w:tc>
          <w:tcPr>
            <w:tcW w:w="90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Resulting Performance Share Units Earned</w:t>
            </w:r>
          </w:p>
        </w:tc>
      </w:tr>
      <w:tr>
        <w:trPr>
          <w:trHeight w:val="414"/>
        </w:trPr>
        <w:tc>
          <w:tcPr>
            <w:tcW w:w="5040" w:type="dxa"/>
            <w:vAlign w:val="bottom"/>
          </w:tcPr>
          <w:p>
            <w:pPr>
              <w:spacing w:after="0"/>
              <w:rPr>
                <w:sz w:val="20"/>
                <w:szCs w:val="20"/>
                <w:color w:val="auto"/>
              </w:rPr>
            </w:pPr>
            <w:r>
              <w:rPr>
                <w:rFonts w:ascii="Arial" w:cs="Arial" w:eastAsia="Arial" w:hAnsi="Arial"/>
                <w:sz w:val="18"/>
                <w:szCs w:val="18"/>
                <w:color w:val="auto"/>
              </w:rPr>
              <w:t>Threshold OPMP (</w:t>
            </w:r>
            <w:r>
              <w:rPr>
                <w:rFonts w:ascii="Arial" w:cs="Arial" w:eastAsia="Arial" w:hAnsi="Arial"/>
                <w:sz w:val="18"/>
                <w:szCs w:val="18"/>
                <w:b w:val="1"/>
                <w:bCs w:val="1"/>
                <w:color w:val="auto"/>
              </w:rPr>
              <w:t>__%</w:t>
            </w: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0"/>
              </w:rPr>
              <w:t>50% of Target Grant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Target OPMP (</w:t>
            </w:r>
            <w:r>
              <w:rPr>
                <w:rFonts w:ascii="Arial" w:cs="Arial" w:eastAsia="Arial" w:hAnsi="Arial"/>
                <w:sz w:val="18"/>
                <w:szCs w:val="18"/>
                <w:b w:val="1"/>
                <w:bCs w:val="1"/>
                <w:color w:val="auto"/>
              </w:rPr>
              <w:t>__%</w:t>
            </w: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0"/>
              </w:rPr>
              <w:t>100% of Target Grant</w:t>
            </w:r>
          </w:p>
        </w:tc>
      </w:tr>
      <w:tr>
        <w:trPr>
          <w:trHeight w:val="234"/>
        </w:trPr>
        <w:tc>
          <w:tcPr>
            <w:tcW w:w="5040" w:type="dxa"/>
            <w:vAlign w:val="bottom"/>
          </w:tcPr>
          <w:p>
            <w:pPr>
              <w:spacing w:after="0"/>
              <w:rPr>
                <w:sz w:val="20"/>
                <w:szCs w:val="20"/>
                <w:color w:val="auto"/>
              </w:rPr>
            </w:pPr>
            <w:r>
              <w:rPr>
                <w:rFonts w:ascii="Arial" w:cs="Arial" w:eastAsia="Arial" w:hAnsi="Arial"/>
                <w:sz w:val="18"/>
                <w:szCs w:val="18"/>
                <w:color w:val="auto"/>
              </w:rPr>
              <w:t>Outstanding OPMP (</w:t>
            </w:r>
            <w:r>
              <w:rPr>
                <w:rFonts w:ascii="Arial" w:cs="Arial" w:eastAsia="Arial" w:hAnsi="Arial"/>
                <w:sz w:val="18"/>
                <w:szCs w:val="18"/>
                <w:b w:val="1"/>
                <w:bCs w:val="1"/>
                <w:color w:val="auto"/>
              </w:rPr>
              <w:t>__%</w:t>
            </w: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0"/>
              </w:rPr>
              <w:t>200% of Target Grant</w:t>
            </w:r>
          </w:p>
        </w:tc>
      </w:tr>
    </w:tbl>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If actual OPMP for the Performance Period is below Threshold OPMP specified above, no Performance Share Units will be earned, and if actual OPMP for the Performance Period exceeds Outstanding OPMP specified above, the number of Performance Share Units earned will equal the number earned for Outstanding OPMP. Actual OPMP for the Performance Period between Threshold OPMP and Target OPMP, or between Target OPMP and Outstanding OPMP shall result in a number of Performance Share Units earned determined on a linear basis. Notwithstanding the foregoing, if the Annual OP Dollar Gate of $______________ is not achieved during the Performance Period, the maximum number of Performance Share Units that can be earned will not exceed</w:t>
      </w:r>
    </w:p>
    <w:p>
      <w:pPr>
        <w:spacing w:after="0" w:line="2"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the Target Grant. Further, notwithstanding the foregoing, the Committee retains the discretion to decrease the number of Performance Share Units earned under this Award.</w:t>
      </w:r>
    </w:p>
    <w:p>
      <w:pPr>
        <w:spacing w:after="0" w:line="173" w:lineRule="exact"/>
        <w:rPr>
          <w:sz w:val="20"/>
          <w:szCs w:val="20"/>
          <w:color w:val="auto"/>
        </w:rPr>
      </w:pPr>
    </w:p>
    <w:p>
      <w:pPr>
        <w:ind w:firstLine="656"/>
        <w:spacing w:after="0" w:line="253" w:lineRule="auto"/>
        <w:tabs>
          <w:tab w:leader="none" w:pos="1053"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Award Payment</w:t>
      </w:r>
      <w:r>
        <w:rPr>
          <w:rFonts w:ascii="Arial" w:cs="Arial" w:eastAsia="Arial" w:hAnsi="Arial"/>
          <w:sz w:val="17"/>
          <w:szCs w:val="17"/>
          <w:color w:val="auto"/>
        </w:rPr>
        <w:t>. Following the Committee’s approval and certification of the number of Performance Share Units that have been earned hereunder, the Performance Share Units vested after the end of each of the First and Second Service Period shall be settled in Shares as soon as administratively practicable after the end of the last day of the applicable Service Period. Notwithstanding the foregoing, Awards of Performance Share Units that become earned and vested upon the Employee’s death, Disability, a Triggering Event, or a termination of employment following a Triggering Event in accordance with Paragraph 5(b)(i) below shall be settled in Shares as soon as administratively practicable after such death, Disability, Triggering Event or termination of employment. Further, to the extent that Performance Share Units granted hereunder become earned and vested upon the Employee’s Retirement and are nonqualified deferred compensation subject to Section 409A of the Code, such Performance Share Units shall be settled in Shares after the Performance Period on the date that is the later of (i) six (6) months after the date of the Employee’s “separation of service” as such term is defined under Section 409A of the Code, or (ii) as soon as administratively practicable after the date the Committee, following the Performance Period, has certified and approved the number of Performance Share Units that have been earned hereunder.</w:t>
      </w:r>
    </w:p>
    <w:p>
      <w:pPr>
        <w:spacing w:after="0" w:line="167" w:lineRule="exact"/>
        <w:rPr>
          <w:rFonts w:ascii="Arial" w:cs="Arial" w:eastAsia="Arial" w:hAnsi="Arial"/>
          <w:sz w:val="17"/>
          <w:szCs w:val="17"/>
          <w:color w:val="auto"/>
        </w:rPr>
      </w:pPr>
    </w:p>
    <w:p>
      <w:pPr>
        <w:ind w:right="20" w:firstLine="656"/>
        <w:spacing w:after="0" w:line="268" w:lineRule="auto"/>
        <w:tabs>
          <w:tab w:leader="none" w:pos="1053"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Except as otherwise provided in the Plan and except as otherwise provided in this Agreement, Employee must be an employee of ManpowerGroup continuously from the date of this Award until the last day of each of the First Service Period and Second Service Period in order for Employee to become vested in any Performance Share Units he or she may earn hereunder. Notwithstanding the foregoing, Section 10(d)(2) of the Plan, regarding the earning and accelerated vesting of Awards upon a death, Disability or Retirement, shall not apply to this Agreement. Instead, upon a participant’s death or Disability during the Performance Period, Employee will immediately earn and become vested in the number of Performance Share Units the participant would have otherwise earned if 100% of the Target Performance Goal had been achieved at the end of the Performance Period. Upon a Participant’s death or Disability during either of the Service Periods, Employee will immediately become vested in the actual number of Performance Share Units earned based on attainment of the Performance Goal, determined in accordance with the actual OPMP achieved at the end of the Performance Period, less any Performance Share Units settled in Shares to Employee under this Agreement prior to the date of such death or Disability. In the event of Employee’s Retirement prior to the either of the Service Periods, Employee shall earn and become vested in a prorated number of Performance Share Units. The number of Performance Share Units earned and vested in connection with a Retirement shall be number of Performance Share Units determined by multiplying the number of Performance Share Units that would have been earned, taking into account the achievement of the Annual OP Dollar Gate during the Performance Period, if Employee had remained an Employee until the last day of the Second Service Period, determined in accordance with the actual OPMP achieved at the end of the Performance Period, by the quotient of (x) the number of days between and including the date of this Agreement and the date of the Employee’s Retirement divided by (y) for the portion of the Award that vests during the First Service Period (if not already vested at the time of the Retirement), 684 days, and for the portion of the Award that vests during the Second Service Period, 1,049 days , less any Performance Share Units settled in Shares to Employee under this Agreement prior to the date of such Retirement.</w:t>
      </w:r>
    </w:p>
    <w:p>
      <w:pPr>
        <w:spacing w:after="0" w:line="153" w:lineRule="exact"/>
        <w:rPr>
          <w:rFonts w:ascii="Arial" w:cs="Arial" w:eastAsia="Arial" w:hAnsi="Arial"/>
          <w:sz w:val="16"/>
          <w:szCs w:val="16"/>
          <w:color w:val="auto"/>
        </w:rPr>
      </w:pPr>
    </w:p>
    <w:p>
      <w:pPr>
        <w:ind w:right="500" w:firstLine="656"/>
        <w:spacing w:after="0" w:line="262" w:lineRule="auto"/>
        <w:tabs>
          <w:tab w:leader="none" w:pos="100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Triggering Event.</w:t>
      </w:r>
      <w:r>
        <w:rPr>
          <w:rFonts w:ascii="Arial" w:cs="Arial" w:eastAsia="Arial" w:hAnsi="Arial"/>
          <w:sz w:val="18"/>
          <w:szCs w:val="18"/>
          <w:color w:val="auto"/>
        </w:rPr>
        <w:t xml:space="preserve"> Section 10(e) of the Plan, regarding the earning and accelerated vesting of Awards after a Triggering Event or during a Protected Period, shall not apply to this Agreement. Instead,</w:t>
      </w:r>
    </w:p>
    <w:p>
      <w:pPr>
        <w:spacing w:after="0" w:line="155" w:lineRule="exact"/>
        <w:rPr>
          <w:rFonts w:ascii="Arial" w:cs="Arial" w:eastAsia="Arial" w:hAnsi="Arial"/>
          <w:sz w:val="18"/>
          <w:szCs w:val="18"/>
          <w:color w:val="auto"/>
        </w:rPr>
      </w:pPr>
    </w:p>
    <w:p>
      <w:pPr>
        <w:ind w:left="1620" w:hanging="315"/>
        <w:spacing w:after="0"/>
        <w:tabs>
          <w:tab w:leader="none" w:pos="16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upon a Triggering Event during the Performance Period while Employee is employed by ManpowerGroup or following a termination</w:t>
      </w:r>
    </w:p>
    <w:p>
      <w:pPr>
        <w:sectPr>
          <w:pgSz w:w="11900" w:h="16838" w:orient="portrait"/>
          <w:cols w:equalWidth="0" w:num="1">
            <w:col w:w="11420"/>
          </w:cols>
          <w:pgMar w:left="240" w:top="121" w:right="239" w:bottom="0" w:gutter="0" w:footer="0" w:header="0"/>
        </w:sectPr>
      </w:pPr>
    </w:p>
    <w:bookmarkStart w:id="60" w:name="page61"/>
    <w:bookmarkEnd w:id="60"/>
    <w:p>
      <w:pPr>
        <w:ind w:left="1612" w:right="80"/>
        <w:spacing w:after="0" w:line="290" w:lineRule="auto"/>
        <w:rPr>
          <w:sz w:val="20"/>
          <w:szCs w:val="20"/>
          <w:color w:val="auto"/>
        </w:rPr>
      </w:pPr>
      <w:r>
        <w:rPr>
          <w:rFonts w:ascii="Arial" w:cs="Arial" w:eastAsia="Arial" w:hAnsi="Arial"/>
          <w:sz w:val="16"/>
          <w:szCs w:val="16"/>
          <w:color w:val="auto"/>
        </w:rPr>
        <w:t>of Employee’s employment during a Protected Period, Employee shall earn and become vested in a prorated number of Performance Share Units in accordance with this paragraph 5(a). The number of Performance Share Units earned upon such Triggering Event shall be the number of Performance Share Units determined by multiplying (i) the resulting number of Performance Share Units that would have been earned at the end of the Performance Period, determined by adjusting the OPMP targets (and/or the Annual OP Dollar Gate) on a pro rata basis for less than the entire Performance Period and then applying the actual OPMP (and/or Annual OP Dollar Gate) achieved as of the date immediately prior to the date of the Triggering Event, by (ii) the quotient of: (x) the number of days between and including the date of this Agreement and the date of the Triggering Event divided by (y) for the portion of the Award that vests during the First Service Period, 684 days, and for the portion of the Award that vests during the Second Service Period, 1,049 days.</w:t>
      </w:r>
    </w:p>
    <w:p>
      <w:pPr>
        <w:spacing w:after="0" w:line="153" w:lineRule="exact"/>
        <w:rPr>
          <w:sz w:val="20"/>
          <w:szCs w:val="20"/>
          <w:color w:val="auto"/>
        </w:rPr>
      </w:pPr>
    </w:p>
    <w:p>
      <w:pPr>
        <w:ind w:left="1612" w:right="100" w:hanging="315"/>
        <w:spacing w:after="0" w:line="259" w:lineRule="auto"/>
        <w:tabs>
          <w:tab w:leader="none" w:pos="1612"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where a Triggering Event occurs during either of the Service Periods while Employee is employed by ManpowerGroup, upon either of the events below, Employee shall become vested in the actual number Performance Share Units earned based on attainment of the Performance Goal at the end of the Performance Period (after subtracting the number of Performance Share Units settled in Shares to Employee under this Agreement prior to such event):</w:t>
      </w:r>
    </w:p>
    <w:p>
      <w:pPr>
        <w:spacing w:after="0" w:line="173" w:lineRule="exact"/>
        <w:rPr>
          <w:sz w:val="20"/>
          <w:szCs w:val="20"/>
          <w:color w:val="auto"/>
        </w:rPr>
      </w:pPr>
    </w:p>
    <w:p>
      <w:pPr>
        <w:ind w:left="1952" w:hanging="331"/>
        <w:spacing w:after="0"/>
        <w:tabs>
          <w:tab w:leader="none" w:pos="19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the Employee’s termination of employment by ManpowerGroup other than for</w:t>
      </w:r>
    </w:p>
    <w:p>
      <w:pPr>
        <w:spacing w:after="0" w:line="23" w:lineRule="exact"/>
        <w:rPr>
          <w:sz w:val="20"/>
          <w:szCs w:val="20"/>
          <w:color w:val="auto"/>
        </w:rPr>
      </w:pPr>
    </w:p>
    <w:p>
      <w:pPr>
        <w:ind w:left="2272" w:right="220"/>
        <w:spacing w:after="0" w:line="290" w:lineRule="auto"/>
        <w:rPr>
          <w:sz w:val="20"/>
          <w:szCs w:val="20"/>
          <w:color w:val="auto"/>
        </w:rPr>
      </w:pPr>
      <w:r>
        <w:rPr>
          <w:rFonts w:ascii="Arial" w:cs="Arial" w:eastAsia="Arial" w:hAnsi="Arial"/>
          <w:sz w:val="17"/>
          <w:szCs w:val="17"/>
          <w:color w:val="auto"/>
        </w:rPr>
        <w:t>Cause or upon the Employee’s voluntary termination of employment for Good Reason if such termination occurs during the two-year period following the Triggering Event (but not later than the end of the Second Service Period); or</w:t>
      </w:r>
    </w:p>
    <w:p>
      <w:pPr>
        <w:spacing w:after="0" w:line="148" w:lineRule="exact"/>
        <w:rPr>
          <w:sz w:val="20"/>
          <w:szCs w:val="20"/>
          <w:color w:val="auto"/>
        </w:rPr>
      </w:pPr>
    </w:p>
    <w:p>
      <w:pPr>
        <w:jc w:val="both"/>
        <w:ind w:left="2272" w:right="260" w:hanging="327"/>
        <w:spacing w:after="0" w:line="342" w:lineRule="auto"/>
        <w:tabs>
          <w:tab w:leader="none" w:pos="2272" w:val="left"/>
        </w:tabs>
        <w:numPr>
          <w:ilvl w:val="5"/>
          <w:numId w:val="79"/>
        </w:numPr>
        <w:rPr>
          <w:rFonts w:ascii="Arial" w:cs="Arial" w:eastAsia="Arial" w:hAnsi="Arial"/>
          <w:sz w:val="16"/>
          <w:szCs w:val="16"/>
          <w:color w:val="auto"/>
        </w:rPr>
      </w:pPr>
      <w:r>
        <w:rPr>
          <w:rFonts w:ascii="Arial" w:cs="Arial" w:eastAsia="Arial" w:hAnsi="Arial"/>
          <w:sz w:val="16"/>
          <w:szCs w:val="16"/>
          <w:color w:val="auto"/>
        </w:rPr>
        <w:t>Upon a Triggering Event if the Employee’s employment was terminated by the Corporation other than for “Cause” or if the Employee voluntarily terminated her employment for “Good Reason” if such termination occurs during a Protected Period.</w:t>
      </w:r>
    </w:p>
    <w:p>
      <w:pPr>
        <w:spacing w:after="0" w:line="110" w:lineRule="exact"/>
        <w:rPr>
          <w:rFonts w:ascii="Arial" w:cs="Arial" w:eastAsia="Arial" w:hAnsi="Arial"/>
          <w:sz w:val="16"/>
          <w:szCs w:val="16"/>
          <w:color w:val="auto"/>
        </w:rPr>
      </w:pPr>
    </w:p>
    <w:p>
      <w:pPr>
        <w:ind w:left="-8" w:right="40" w:firstLine="656"/>
        <w:spacing w:after="0" w:line="262" w:lineRule="auto"/>
        <w:tabs>
          <w:tab w:leader="none" w:pos="104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Dividends and Voting Rights</w:t>
      </w:r>
      <w:r>
        <w:rPr>
          <w:rFonts w:ascii="Arial" w:cs="Arial" w:eastAsia="Arial" w:hAnsi="Arial"/>
          <w:sz w:val="18"/>
          <w:szCs w:val="18"/>
          <w:color w:val="auto"/>
        </w:rPr>
        <w:t>. The Employee shall not be entitled to receive any dividends for his or her Performance Share Units and shall not be entitled to voting rights with respect to such Performance Share Units.</w:t>
      </w:r>
    </w:p>
    <w:p>
      <w:pPr>
        <w:spacing w:after="0" w:line="155" w:lineRule="exact"/>
        <w:rPr>
          <w:rFonts w:ascii="Arial" w:cs="Arial" w:eastAsia="Arial" w:hAnsi="Arial"/>
          <w:sz w:val="18"/>
          <w:szCs w:val="18"/>
          <w:color w:val="auto"/>
        </w:rPr>
      </w:pPr>
    </w:p>
    <w:p>
      <w:pPr>
        <w:jc w:val="both"/>
        <w:ind w:left="-8" w:right="180" w:firstLine="656"/>
        <w:spacing w:after="0" w:line="243" w:lineRule="auto"/>
        <w:tabs>
          <w:tab w:leader="none" w:pos="104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pacing w:after="0" w:line="174" w:lineRule="exact"/>
        <w:rPr>
          <w:rFonts w:ascii="Arial" w:cs="Arial" w:eastAsia="Arial" w:hAnsi="Arial"/>
          <w:sz w:val="18"/>
          <w:szCs w:val="18"/>
          <w:color w:val="auto"/>
        </w:rPr>
      </w:pPr>
    </w:p>
    <w:p>
      <w:pPr>
        <w:ind w:left="1052" w:hanging="404"/>
        <w:spacing w:after="0"/>
        <w:tabs>
          <w:tab w:leader="none" w:pos="105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612" w:hanging="206"/>
        <w:spacing w:after="0"/>
        <w:tabs>
          <w:tab w:leader="none" w:pos="1612" w:val="left"/>
        </w:tabs>
        <w:numPr>
          <w:ilvl w:val="3"/>
          <w:numId w:val="80"/>
        </w:numPr>
        <w:rPr>
          <w:rFonts w:ascii="Arial" w:cs="Arial" w:eastAsia="Arial" w:hAnsi="Arial"/>
          <w:sz w:val="18"/>
          <w:szCs w:val="18"/>
          <w:color w:val="auto"/>
        </w:rPr>
      </w:pPr>
      <w:r>
        <w:rPr>
          <w:rFonts w:ascii="Arial" w:cs="Arial" w:eastAsia="Arial" w:hAnsi="Arial"/>
          <w:sz w:val="18"/>
          <w:szCs w:val="18"/>
          <w:color w:val="auto"/>
        </w:rPr>
        <w:t>“Target Grant” means the number of Performance Share Units established for Employee to earn at Target OPMP.</w:t>
      </w:r>
    </w:p>
    <w:p>
      <w:pPr>
        <w:spacing w:after="0" w:line="211" w:lineRule="exact"/>
        <w:rPr>
          <w:rFonts w:ascii="Arial" w:cs="Arial" w:eastAsia="Arial" w:hAnsi="Arial"/>
          <w:sz w:val="18"/>
          <w:szCs w:val="18"/>
          <w:color w:val="auto"/>
        </w:rPr>
      </w:pPr>
    </w:p>
    <w:p>
      <w:pPr>
        <w:jc w:val="both"/>
        <w:ind w:left="1612" w:hanging="216"/>
        <w:spacing w:after="0" w:line="259" w:lineRule="auto"/>
        <w:tabs>
          <w:tab w:leader="none" w:pos="1612" w:val="left"/>
        </w:tabs>
        <w:numPr>
          <w:ilvl w:val="3"/>
          <w:numId w:val="80"/>
        </w:numPr>
        <w:rPr>
          <w:rFonts w:ascii="Arial" w:cs="Arial" w:eastAsia="Arial" w:hAnsi="Arial"/>
          <w:sz w:val="18"/>
          <w:szCs w:val="18"/>
          <w:color w:val="auto"/>
        </w:rPr>
      </w:pPr>
      <w:r>
        <w:rPr>
          <w:rFonts w:ascii="Arial" w:cs="Arial" w:eastAsia="Arial" w:hAnsi="Arial"/>
          <w:sz w:val="18"/>
          <w:szCs w:val="18"/>
          <w:color w:val="auto"/>
        </w:rPr>
        <w:t>“OPMP” means the Corporation’s annual operating profit divided by revenue from services, both determined in accordance with GAAP as reported on the Company's audited financial statements, with adjustments to be made (a) to reverse the impact of a change in accounting method during the Performance Period or (b) for any of the following items that exceed $10 million in any year (the $10 million threshold to be measured separately for each item category):</w:t>
      </w:r>
    </w:p>
    <w:p>
      <w:pPr>
        <w:spacing w:after="0" w:line="173" w:lineRule="exact"/>
        <w:rPr>
          <w:rFonts w:ascii="Arial" w:cs="Arial" w:eastAsia="Arial" w:hAnsi="Arial"/>
          <w:sz w:val="18"/>
          <w:szCs w:val="18"/>
          <w:color w:val="auto"/>
        </w:rPr>
      </w:pPr>
    </w:p>
    <w:p>
      <w:pPr>
        <w:ind w:left="2272" w:hanging="188"/>
        <w:spacing w:after="0"/>
        <w:tabs>
          <w:tab w:leader="none" w:pos="2272" w:val="left"/>
        </w:tabs>
        <w:numPr>
          <w:ilvl w:val="6"/>
          <w:numId w:val="80"/>
        </w:numPr>
        <w:rPr>
          <w:rFonts w:ascii="Arial" w:cs="Arial" w:eastAsia="Arial" w:hAnsi="Arial"/>
          <w:sz w:val="18"/>
          <w:szCs w:val="18"/>
          <w:color w:val="auto"/>
        </w:rPr>
      </w:pPr>
      <w:r>
        <w:rPr>
          <w:rFonts w:ascii="Arial" w:cs="Arial" w:eastAsia="Arial" w:hAnsi="Arial"/>
          <w:sz w:val="18"/>
          <w:szCs w:val="18"/>
          <w:color w:val="auto"/>
        </w:rPr>
        <w:t>goodwill impairment;</w:t>
      </w:r>
    </w:p>
    <w:p>
      <w:pPr>
        <w:spacing w:after="0" w:line="211" w:lineRule="exact"/>
        <w:rPr>
          <w:rFonts w:ascii="Arial" w:cs="Arial" w:eastAsia="Arial" w:hAnsi="Arial"/>
          <w:sz w:val="18"/>
          <w:szCs w:val="18"/>
          <w:color w:val="auto"/>
        </w:rPr>
      </w:pPr>
    </w:p>
    <w:p>
      <w:pPr>
        <w:ind w:left="3072" w:hanging="228"/>
        <w:spacing w:after="0"/>
        <w:tabs>
          <w:tab w:leader="none" w:pos="3072" w:val="left"/>
        </w:tabs>
        <w:numPr>
          <w:ilvl w:val="8"/>
          <w:numId w:val="80"/>
        </w:numPr>
        <w:rPr>
          <w:rFonts w:ascii="Arial" w:cs="Arial" w:eastAsia="Arial" w:hAnsi="Arial"/>
          <w:sz w:val="18"/>
          <w:szCs w:val="18"/>
          <w:color w:val="auto"/>
        </w:rPr>
      </w:pPr>
      <w:r>
        <w:rPr>
          <w:rFonts w:ascii="Arial" w:cs="Arial" w:eastAsia="Arial" w:hAnsi="Arial"/>
          <w:sz w:val="18"/>
          <w:szCs w:val="18"/>
          <w:color w:val="auto"/>
        </w:rPr>
        <w:t>nonrecurring restructuring gains or charges; and</w:t>
      </w:r>
    </w:p>
    <w:p>
      <w:pPr>
        <w:spacing w:after="0" w:line="211" w:lineRule="exact"/>
        <w:rPr>
          <w:rFonts w:ascii="Arial" w:cs="Arial" w:eastAsia="Arial" w:hAnsi="Arial"/>
          <w:sz w:val="18"/>
          <w:szCs w:val="18"/>
          <w:color w:val="auto"/>
        </w:rPr>
      </w:pPr>
    </w:p>
    <w:p>
      <w:pPr>
        <w:ind w:left="2312"/>
        <w:spacing w:after="0"/>
        <w:rPr>
          <w:rFonts w:ascii="Arial" w:cs="Arial" w:eastAsia="Arial" w:hAnsi="Arial"/>
          <w:sz w:val="18"/>
          <w:szCs w:val="18"/>
          <w:color w:val="auto"/>
        </w:rPr>
      </w:pPr>
      <w:r>
        <w:rPr>
          <w:rFonts w:ascii="Arial" w:cs="Arial" w:eastAsia="Arial" w:hAnsi="Arial"/>
          <w:sz w:val="18"/>
          <w:szCs w:val="18"/>
          <w:color w:val="auto"/>
        </w:rPr>
        <w:t>iii. nonrecurring accrual adjustments pertaining to periods outside of the period of measurement.</w:t>
      </w:r>
    </w:p>
    <w:p>
      <w:pPr>
        <w:spacing w:after="0" w:line="211" w:lineRule="exact"/>
        <w:rPr>
          <w:rFonts w:ascii="Arial" w:cs="Arial" w:eastAsia="Arial" w:hAnsi="Arial"/>
          <w:sz w:val="18"/>
          <w:szCs w:val="18"/>
          <w:color w:val="auto"/>
        </w:rPr>
      </w:pPr>
    </w:p>
    <w:p>
      <w:pPr>
        <w:ind w:left="1612" w:hanging="315"/>
        <w:spacing w:after="0"/>
        <w:tabs>
          <w:tab w:leader="none" w:pos="1612" w:val="left"/>
        </w:tabs>
        <w:numPr>
          <w:ilvl w:val="2"/>
          <w:numId w:val="80"/>
        </w:numPr>
        <w:rPr>
          <w:rFonts w:ascii="Arial" w:cs="Arial" w:eastAsia="Arial" w:hAnsi="Arial"/>
          <w:sz w:val="18"/>
          <w:szCs w:val="18"/>
          <w:color w:val="auto"/>
        </w:rPr>
      </w:pPr>
      <w:r>
        <w:rPr>
          <w:rFonts w:ascii="Arial" w:cs="Arial" w:eastAsia="Arial" w:hAnsi="Arial"/>
          <w:sz w:val="18"/>
          <w:szCs w:val="18"/>
          <w:color w:val="auto"/>
        </w:rPr>
        <w:t>“Performance Goal” means the OPMP targets for the Performance Period as set by the Administrator.</w:t>
      </w:r>
    </w:p>
    <w:p>
      <w:pPr>
        <w:spacing w:after="0" w:line="211" w:lineRule="exact"/>
        <w:rPr>
          <w:rFonts w:ascii="Arial" w:cs="Arial" w:eastAsia="Arial" w:hAnsi="Arial"/>
          <w:sz w:val="18"/>
          <w:szCs w:val="18"/>
          <w:color w:val="auto"/>
        </w:rPr>
      </w:pPr>
    </w:p>
    <w:p>
      <w:pPr>
        <w:ind w:left="1612" w:hanging="315"/>
        <w:spacing w:after="0"/>
        <w:tabs>
          <w:tab w:leader="none" w:pos="1612" w:val="left"/>
        </w:tabs>
        <w:numPr>
          <w:ilvl w:val="2"/>
          <w:numId w:val="80"/>
        </w:numPr>
        <w:rPr>
          <w:rFonts w:ascii="Arial" w:cs="Arial" w:eastAsia="Arial" w:hAnsi="Arial"/>
          <w:sz w:val="18"/>
          <w:szCs w:val="18"/>
          <w:color w:val="auto"/>
        </w:rPr>
      </w:pPr>
      <w:r>
        <w:rPr>
          <w:rFonts w:ascii="Arial" w:cs="Arial" w:eastAsia="Arial" w:hAnsi="Arial"/>
          <w:sz w:val="18"/>
          <w:szCs w:val="18"/>
          <w:color w:val="auto"/>
        </w:rPr>
        <w:t>“Performance Period” means the 12-month period beginning on January 1, 2011 and ending on December 31, 2011.</w:t>
      </w:r>
    </w:p>
    <w:p>
      <w:pPr>
        <w:spacing w:after="0" w:line="211" w:lineRule="exact"/>
        <w:rPr>
          <w:rFonts w:ascii="Arial" w:cs="Arial" w:eastAsia="Arial" w:hAnsi="Arial"/>
          <w:sz w:val="18"/>
          <w:szCs w:val="18"/>
          <w:color w:val="auto"/>
        </w:rPr>
      </w:pPr>
    </w:p>
    <w:p>
      <w:pPr>
        <w:ind w:left="1612" w:right="240" w:hanging="315"/>
        <w:spacing w:after="0" w:line="277" w:lineRule="auto"/>
        <w:tabs>
          <w:tab w:leader="none" w:pos="1612" w:val="left"/>
        </w:tabs>
        <w:numPr>
          <w:ilvl w:val="2"/>
          <w:numId w:val="80"/>
        </w:numPr>
        <w:rPr>
          <w:rFonts w:ascii="Arial" w:cs="Arial" w:eastAsia="Arial" w:hAnsi="Arial"/>
          <w:sz w:val="18"/>
          <w:szCs w:val="18"/>
          <w:color w:val="auto"/>
        </w:rPr>
      </w:pPr>
      <w:r>
        <w:rPr>
          <w:rFonts w:ascii="Arial" w:cs="Arial" w:eastAsia="Arial" w:hAnsi="Arial"/>
          <w:sz w:val="18"/>
          <w:szCs w:val="18"/>
          <w:color w:val="auto"/>
        </w:rPr>
        <w:t>“Service” means the period beginning on the date the Employee’s employment with ManpowerGroup commences and ending on the date the Employee’s employment with ManpowerGroup terminates.</w:t>
      </w:r>
    </w:p>
    <w:p>
      <w:pPr>
        <w:spacing w:after="0" w:line="156" w:lineRule="exact"/>
        <w:rPr>
          <w:rFonts w:ascii="Arial" w:cs="Arial" w:eastAsia="Arial" w:hAnsi="Arial"/>
          <w:sz w:val="18"/>
          <w:szCs w:val="18"/>
          <w:color w:val="auto"/>
        </w:rPr>
      </w:pPr>
    </w:p>
    <w:p>
      <w:pPr>
        <w:ind w:left="1612" w:hanging="315"/>
        <w:spacing w:after="0"/>
        <w:tabs>
          <w:tab w:leader="none" w:pos="1612" w:val="left"/>
        </w:tabs>
        <w:numPr>
          <w:ilvl w:val="2"/>
          <w:numId w:val="80"/>
        </w:numPr>
        <w:rPr>
          <w:rFonts w:ascii="Arial" w:cs="Arial" w:eastAsia="Arial" w:hAnsi="Arial"/>
          <w:sz w:val="18"/>
          <w:szCs w:val="18"/>
          <w:color w:val="auto"/>
        </w:rPr>
      </w:pPr>
      <w:r>
        <w:rPr>
          <w:rFonts w:ascii="Arial" w:cs="Arial" w:eastAsia="Arial" w:hAnsi="Arial"/>
          <w:sz w:val="18"/>
          <w:szCs w:val="18"/>
          <w:color w:val="auto"/>
        </w:rPr>
        <w:t>“First Service Period” means the 12-month period beginning on January 1, 2012 and ending on December 31, 2012.</w:t>
      </w:r>
    </w:p>
    <w:p>
      <w:pPr>
        <w:spacing w:after="0" w:line="211" w:lineRule="exact"/>
        <w:rPr>
          <w:rFonts w:ascii="Arial" w:cs="Arial" w:eastAsia="Arial" w:hAnsi="Arial"/>
          <w:sz w:val="18"/>
          <w:szCs w:val="18"/>
          <w:color w:val="auto"/>
        </w:rPr>
      </w:pPr>
    </w:p>
    <w:p>
      <w:pPr>
        <w:ind w:left="1612" w:hanging="315"/>
        <w:spacing w:after="0"/>
        <w:tabs>
          <w:tab w:leader="none" w:pos="1612" w:val="left"/>
        </w:tabs>
        <w:numPr>
          <w:ilvl w:val="2"/>
          <w:numId w:val="80"/>
        </w:numPr>
        <w:rPr>
          <w:rFonts w:ascii="Arial" w:cs="Arial" w:eastAsia="Arial" w:hAnsi="Arial"/>
          <w:sz w:val="18"/>
          <w:szCs w:val="18"/>
          <w:color w:val="auto"/>
        </w:rPr>
      </w:pPr>
      <w:r>
        <w:rPr>
          <w:rFonts w:ascii="Arial" w:cs="Arial" w:eastAsia="Arial" w:hAnsi="Arial"/>
          <w:sz w:val="18"/>
          <w:szCs w:val="18"/>
          <w:color w:val="auto"/>
        </w:rPr>
        <w:t>“Second Service Period” means the 12-month period beginning on January 1, 2013 and ending on December 31, 2013.</w:t>
      </w:r>
    </w:p>
    <w:p>
      <w:pPr>
        <w:spacing w:after="0" w:line="211" w:lineRule="exact"/>
        <w:rPr>
          <w:rFonts w:ascii="Arial" w:cs="Arial" w:eastAsia="Arial" w:hAnsi="Arial"/>
          <w:sz w:val="18"/>
          <w:szCs w:val="18"/>
          <w:color w:val="auto"/>
        </w:rPr>
      </w:pPr>
    </w:p>
    <w:p>
      <w:pPr>
        <w:ind w:left="1292" w:right="20" w:firstLine="5"/>
        <w:spacing w:after="0" w:line="274" w:lineRule="auto"/>
        <w:tabs>
          <w:tab w:leader="none" w:pos="1697" w:val="left"/>
        </w:tabs>
        <w:numPr>
          <w:ilvl w:val="2"/>
          <w:numId w:val="80"/>
        </w:numPr>
        <w:rPr>
          <w:rFonts w:ascii="Arial" w:cs="Arial" w:eastAsia="Arial" w:hAnsi="Arial"/>
          <w:sz w:val="16"/>
          <w:szCs w:val="16"/>
          <w:color w:val="auto"/>
        </w:rPr>
      </w:pPr>
      <w:r>
        <w:rPr>
          <w:rFonts w:ascii="Arial" w:cs="Arial" w:eastAsia="Arial" w:hAnsi="Arial"/>
          <w:sz w:val="16"/>
          <w:szCs w:val="16"/>
          <w:color w:val="auto"/>
        </w:rPr>
        <w:t>“Annual OP Dollar Gate” means the minimum operating profit dollars that can be achieved during the Performance Period. Operating profit is determined in accordance with GAAP as reported on the Company's audited financial statements, with adjustments to be made</w:t>
      </w:r>
    </w:p>
    <w:p>
      <w:pPr>
        <w:spacing w:after="0" w:line="1" w:lineRule="exact"/>
        <w:rPr>
          <w:rFonts w:ascii="Arial" w:cs="Arial" w:eastAsia="Arial" w:hAnsi="Arial"/>
          <w:sz w:val="16"/>
          <w:szCs w:val="16"/>
          <w:color w:val="auto"/>
        </w:rPr>
      </w:pPr>
    </w:p>
    <w:p>
      <w:pPr>
        <w:ind w:left="1292" w:right="120"/>
        <w:spacing w:after="0" w:line="243" w:lineRule="auto"/>
        <w:rPr>
          <w:rFonts w:ascii="Arial" w:cs="Arial" w:eastAsia="Arial" w:hAnsi="Arial"/>
          <w:sz w:val="16"/>
          <w:szCs w:val="16"/>
          <w:color w:val="auto"/>
        </w:rPr>
      </w:pPr>
      <w:r>
        <w:rPr>
          <w:rFonts w:ascii="Arial" w:cs="Arial" w:eastAsia="Arial" w:hAnsi="Arial"/>
          <w:sz w:val="18"/>
          <w:szCs w:val="18"/>
          <w:color w:val="auto"/>
        </w:rPr>
        <w:t>(a) to reverse the impact of a change in accounting method during the Performance Period or (b) for any of the following items that exceed $10 million in any year (the $10 million threshold to be measured separately for each item category):</w:t>
      </w:r>
    </w:p>
    <w:p>
      <w:pPr>
        <w:spacing w:after="0" w:line="172" w:lineRule="exact"/>
        <w:rPr>
          <w:rFonts w:ascii="Arial" w:cs="Arial" w:eastAsia="Arial" w:hAnsi="Arial"/>
          <w:sz w:val="16"/>
          <w:szCs w:val="16"/>
          <w:color w:val="auto"/>
        </w:rPr>
      </w:pPr>
    </w:p>
    <w:p>
      <w:pPr>
        <w:ind w:left="732" w:hanging="732"/>
        <w:spacing w:after="0"/>
        <w:tabs>
          <w:tab w:leader="none" w:pos="7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goodwill impairment;</w:t>
      </w:r>
    </w:p>
    <w:p>
      <w:pPr>
        <w:spacing w:after="0" w:line="198" w:lineRule="exact"/>
        <w:rPr>
          <w:rFonts w:ascii="Arial" w:cs="Arial" w:eastAsia="Arial" w:hAnsi="Arial"/>
          <w:sz w:val="18"/>
          <w:szCs w:val="18"/>
          <w:color w:val="auto"/>
        </w:rPr>
      </w:pPr>
    </w:p>
    <w:p>
      <w:pPr>
        <w:ind w:left="772" w:hanging="772"/>
        <w:spacing w:after="0"/>
        <w:tabs>
          <w:tab w:leader="none" w:pos="7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nonrecurring restructuring gains or charges; and</w:t>
      </w:r>
    </w:p>
    <w:p>
      <w:pPr>
        <w:spacing w:after="0" w:line="198" w:lineRule="exact"/>
        <w:rPr>
          <w:rFonts w:ascii="Arial" w:cs="Arial" w:eastAsia="Arial" w:hAnsi="Arial"/>
          <w:sz w:val="18"/>
          <w:szCs w:val="18"/>
          <w:color w:val="auto"/>
        </w:rPr>
      </w:pPr>
    </w:p>
    <w:p>
      <w:pPr>
        <w:ind w:left="2592" w:hanging="809"/>
        <w:spacing w:after="0"/>
        <w:tabs>
          <w:tab w:leader="none" w:pos="2592" w:val="left"/>
        </w:tabs>
        <w:numPr>
          <w:ilvl w:val="4"/>
          <w:numId w:val="81"/>
        </w:numPr>
        <w:rPr>
          <w:rFonts w:ascii="Arial" w:cs="Arial" w:eastAsia="Arial" w:hAnsi="Arial"/>
          <w:sz w:val="18"/>
          <w:szCs w:val="18"/>
          <w:color w:val="auto"/>
        </w:rPr>
      </w:pPr>
      <w:r>
        <w:rPr>
          <w:rFonts w:ascii="Arial" w:cs="Arial" w:eastAsia="Arial" w:hAnsi="Arial"/>
          <w:sz w:val="18"/>
          <w:szCs w:val="18"/>
          <w:color w:val="auto"/>
        </w:rPr>
        <w:t>nonrecurring accrual adjustments pertaining to periods outside of the period of measurement.</w:t>
      </w:r>
    </w:p>
    <w:p>
      <w:pPr>
        <w:spacing w:after="0" w:line="211" w:lineRule="exact"/>
        <w:rPr>
          <w:rFonts w:ascii="Arial" w:cs="Arial" w:eastAsia="Arial" w:hAnsi="Arial"/>
          <w:sz w:val="18"/>
          <w:szCs w:val="18"/>
          <w:color w:val="auto"/>
        </w:rPr>
      </w:pPr>
    </w:p>
    <w:p>
      <w:pPr>
        <w:ind w:left="1612" w:right="40" w:hanging="315"/>
        <w:spacing w:after="0" w:line="277" w:lineRule="auto"/>
        <w:tabs>
          <w:tab w:leader="none" w:pos="1612" w:val="left"/>
        </w:tabs>
        <w:numPr>
          <w:ilvl w:val="2"/>
          <w:numId w:val="81"/>
        </w:numPr>
        <w:rPr>
          <w:rFonts w:ascii="Arial" w:cs="Arial" w:eastAsia="Arial" w:hAnsi="Arial"/>
          <w:sz w:val="18"/>
          <w:szCs w:val="18"/>
          <w:color w:val="auto"/>
        </w:rPr>
      </w:pPr>
      <w:r>
        <w:rPr>
          <w:rFonts w:ascii="Arial" w:cs="Arial" w:eastAsia="Arial" w:hAnsi="Arial"/>
          <w:sz w:val="18"/>
          <w:szCs w:val="18"/>
          <w:color w:val="auto"/>
        </w:rPr>
        <w:t>“Retirement” will mean termination of the Employee’s employment on or after the Employee has attained age 55 and has completed 10 years of Service.</w:t>
      </w:r>
    </w:p>
    <w:p>
      <w:pPr>
        <w:spacing w:after="0" w:line="156" w:lineRule="exact"/>
        <w:rPr>
          <w:rFonts w:ascii="Arial" w:cs="Arial" w:eastAsia="Arial" w:hAnsi="Arial"/>
          <w:sz w:val="18"/>
          <w:szCs w:val="18"/>
          <w:color w:val="auto"/>
        </w:rPr>
      </w:pPr>
    </w:p>
    <w:p>
      <w:pPr>
        <w:ind w:left="1652" w:hanging="355"/>
        <w:spacing w:after="0"/>
        <w:tabs>
          <w:tab w:leader="none" w:pos="1652" w:val="left"/>
        </w:tabs>
        <w:numPr>
          <w:ilvl w:val="2"/>
          <w:numId w:val="81"/>
        </w:numPr>
        <w:rPr>
          <w:rFonts w:ascii="Arial" w:cs="Arial" w:eastAsia="Arial" w:hAnsi="Arial"/>
          <w:sz w:val="18"/>
          <w:szCs w:val="18"/>
          <w:color w:val="auto"/>
        </w:rPr>
      </w:pPr>
      <w:r>
        <w:rPr>
          <w:rFonts w:ascii="Arial" w:cs="Arial" w:eastAsia="Arial" w:hAnsi="Arial"/>
          <w:sz w:val="18"/>
          <w:szCs w:val="18"/>
          <w:color w:val="auto"/>
        </w:rPr>
        <w:t>Termination for “Cause” will mean termination of the Employee’s employment upon:</w:t>
      </w:r>
    </w:p>
    <w:p>
      <w:pPr>
        <w:spacing w:after="0" w:line="198" w:lineRule="exact"/>
        <w:rPr>
          <w:sz w:val="20"/>
          <w:szCs w:val="20"/>
          <w:color w:val="auto"/>
        </w:rPr>
      </w:pPr>
    </w:p>
    <w:p>
      <w:pPr>
        <w:ind w:left="2272" w:right="20" w:hanging="263"/>
        <w:spacing w:after="0" w:line="277" w:lineRule="auto"/>
        <w:tabs>
          <w:tab w:leader="none" w:pos="22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Employee’s repeated failure to perform his duties with the Corporation in a competent, diligent and satisfactory manner as determined by the Corporation’s Chief Executive Officer in his reasonable judgment;</w:t>
      </w:r>
    </w:p>
    <w:p>
      <w:pPr>
        <w:spacing w:after="0" w:line="156" w:lineRule="exact"/>
        <w:rPr>
          <w:rFonts w:ascii="Arial" w:cs="Arial" w:eastAsia="Arial" w:hAnsi="Arial"/>
          <w:sz w:val="18"/>
          <w:szCs w:val="18"/>
          <w:color w:val="auto"/>
        </w:rPr>
      </w:pPr>
    </w:p>
    <w:p>
      <w:pPr>
        <w:jc w:val="both"/>
        <w:ind w:left="2272" w:hanging="313"/>
        <w:spacing w:after="0" w:line="302" w:lineRule="auto"/>
        <w:tabs>
          <w:tab w:leader="none" w:pos="2272" w:val="left"/>
        </w:tabs>
        <w:numPr>
          <w:ilvl w:val="0"/>
          <w:numId w:val="82"/>
        </w:numPr>
        <w:rPr>
          <w:rFonts w:ascii="Arial" w:cs="Arial" w:eastAsia="Arial" w:hAnsi="Arial"/>
          <w:sz w:val="16"/>
          <w:szCs w:val="16"/>
          <w:color w:val="auto"/>
        </w:rPr>
      </w:pPr>
      <w:r>
        <w:rPr>
          <w:rFonts w:ascii="Arial" w:cs="Arial" w:eastAsia="Arial" w:hAnsi="Arial"/>
          <w:sz w:val="16"/>
          <w:szCs w:val="16"/>
          <w:color w:val="auto"/>
        </w:rPr>
        <w:t>Employee’s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w:t>
      </w:r>
    </w:p>
    <w:p>
      <w:pPr>
        <w:sectPr>
          <w:pgSz w:w="11900" w:h="16838" w:orient="portrait"/>
          <w:cols w:equalWidth="0" w:num="1">
            <w:col w:w="11412"/>
          </w:cols>
          <w:pgMar w:left="248" w:top="125" w:right="239" w:bottom="0" w:gutter="0" w:footer="0" w:header="0"/>
        </w:sectPr>
      </w:pPr>
    </w:p>
    <w:bookmarkStart w:id="61" w:name="page62"/>
    <w:bookmarkEnd w:id="61"/>
    <w:p>
      <w:pPr>
        <w:ind w:left="2280" w:hanging="363"/>
        <w:spacing w:after="0"/>
        <w:tabs>
          <w:tab w:leader="none" w:pos="22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act by Employee of fraud, material dishonesty or material disloyalty involving ManpowerGroup;</w:t>
      </w:r>
    </w:p>
    <w:p>
      <w:pPr>
        <w:spacing w:after="0" w:line="211" w:lineRule="exact"/>
        <w:rPr>
          <w:rFonts w:ascii="Arial" w:cs="Arial" w:eastAsia="Arial" w:hAnsi="Arial"/>
          <w:sz w:val="18"/>
          <w:szCs w:val="18"/>
          <w:color w:val="auto"/>
        </w:rPr>
      </w:pPr>
    </w:p>
    <w:p>
      <w:pPr>
        <w:ind w:left="2280" w:hanging="353"/>
        <w:spacing w:after="0"/>
        <w:tabs>
          <w:tab w:leader="none" w:pos="22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violation by Employee of a ManpowerGroup policy of material import;</w:t>
      </w:r>
    </w:p>
    <w:p>
      <w:pPr>
        <w:spacing w:after="0" w:line="211" w:lineRule="exact"/>
        <w:rPr>
          <w:rFonts w:ascii="Arial" w:cs="Arial" w:eastAsia="Arial" w:hAnsi="Arial"/>
          <w:sz w:val="18"/>
          <w:szCs w:val="18"/>
          <w:color w:val="auto"/>
        </w:rPr>
      </w:pPr>
    </w:p>
    <w:p>
      <w:pPr>
        <w:ind w:left="2280" w:right="20" w:hanging="303"/>
        <w:spacing w:after="0" w:line="277" w:lineRule="auto"/>
        <w:tabs>
          <w:tab w:leader="none" w:pos="22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act by Employee of moral turpitude which is likely to result in discredit to or loss of business, reputation or goodwill of ManpowerGroup;</w:t>
      </w:r>
    </w:p>
    <w:p>
      <w:pPr>
        <w:spacing w:after="0" w:line="156" w:lineRule="exact"/>
        <w:rPr>
          <w:rFonts w:ascii="Arial" w:cs="Arial" w:eastAsia="Arial" w:hAnsi="Arial"/>
          <w:sz w:val="18"/>
          <w:szCs w:val="18"/>
          <w:color w:val="auto"/>
        </w:rPr>
      </w:pPr>
    </w:p>
    <w:p>
      <w:pPr>
        <w:ind w:left="2280" w:hanging="353"/>
        <w:spacing w:after="0"/>
        <w:tabs>
          <w:tab w:leader="none" w:pos="22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Employee’s chronic absence from work other than by reason of a serious health condition;</w:t>
      </w:r>
    </w:p>
    <w:p>
      <w:pPr>
        <w:spacing w:after="0" w:line="211" w:lineRule="exact"/>
        <w:rPr>
          <w:rFonts w:ascii="Arial" w:cs="Arial" w:eastAsia="Arial" w:hAnsi="Arial"/>
          <w:sz w:val="18"/>
          <w:szCs w:val="18"/>
          <w:color w:val="auto"/>
        </w:rPr>
      </w:pPr>
    </w:p>
    <w:p>
      <w:pPr>
        <w:ind w:left="2280" w:hanging="403"/>
        <w:spacing w:after="0" w:line="277" w:lineRule="auto"/>
        <w:tabs>
          <w:tab w:leader="none" w:pos="22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Employee’s commission of a crime the circumstances of which substantially relate to Employee’s employment duties with ManpowerGroup; or</w:t>
      </w:r>
    </w:p>
    <w:p>
      <w:pPr>
        <w:spacing w:after="0" w:line="156" w:lineRule="exact"/>
        <w:rPr>
          <w:rFonts w:ascii="Arial" w:cs="Arial" w:eastAsia="Arial" w:hAnsi="Arial"/>
          <w:sz w:val="18"/>
          <w:szCs w:val="18"/>
          <w:color w:val="auto"/>
        </w:rPr>
      </w:pPr>
    </w:p>
    <w:p>
      <w:pPr>
        <w:jc w:val="both"/>
        <w:ind w:left="2280" w:hanging="453"/>
        <w:spacing w:after="0" w:line="264" w:lineRule="auto"/>
        <w:tabs>
          <w:tab w:leader="none" w:pos="22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willful engaging by Employee in conduct which is demonstrably and materially injurious to ManpowerGroup. For purposes of this Agreement, no act, or failure to act, on Employee’s part will be deemed “willful” unless done, or omitted to be done, by Employee not in good faith.</w:t>
      </w:r>
    </w:p>
    <w:p>
      <w:pPr>
        <w:spacing w:after="0" w:line="167" w:lineRule="exact"/>
        <w:rPr>
          <w:rFonts w:ascii="Arial" w:cs="Arial" w:eastAsia="Arial" w:hAnsi="Arial"/>
          <w:sz w:val="18"/>
          <w:szCs w:val="18"/>
          <w:color w:val="auto"/>
        </w:rPr>
      </w:pPr>
    </w:p>
    <w:p>
      <w:pPr>
        <w:ind w:left="1620" w:hanging="315"/>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“Good Reason” will mean, without the Employee’s consent, the occurrence of any one or more of the following:</w:t>
      </w:r>
    </w:p>
    <w:p>
      <w:pPr>
        <w:spacing w:after="0" w:line="211" w:lineRule="exact"/>
        <w:rPr>
          <w:rFonts w:ascii="Arial" w:cs="Arial" w:eastAsia="Arial" w:hAnsi="Arial"/>
          <w:sz w:val="18"/>
          <w:szCs w:val="18"/>
          <w:color w:val="auto"/>
        </w:rPr>
      </w:pPr>
    </w:p>
    <w:p>
      <w:pPr>
        <w:ind w:left="2280" w:hanging="263"/>
        <w:spacing w:after="0"/>
        <w:tabs>
          <w:tab w:leader="none" w:pos="22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 material diminution in Employee’s authority, duties or responsibilities;</w:t>
      </w:r>
    </w:p>
    <w:p>
      <w:pPr>
        <w:spacing w:after="0" w:line="211" w:lineRule="exact"/>
        <w:rPr>
          <w:rFonts w:ascii="Arial" w:cs="Arial" w:eastAsia="Arial" w:hAnsi="Arial"/>
          <w:sz w:val="18"/>
          <w:szCs w:val="18"/>
          <w:color w:val="auto"/>
        </w:rPr>
      </w:pPr>
    </w:p>
    <w:p>
      <w:pPr>
        <w:ind w:left="2280" w:hanging="313"/>
        <w:spacing w:after="0" w:line="277" w:lineRule="auto"/>
        <w:tabs>
          <w:tab w:leader="none" w:pos="22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ManpowerGroup for the payment or provision of compensation or other benefits to Employee;</w:t>
      </w:r>
    </w:p>
    <w:p>
      <w:pPr>
        <w:spacing w:after="0" w:line="156" w:lineRule="exact"/>
        <w:rPr>
          <w:rFonts w:ascii="Arial" w:cs="Arial" w:eastAsia="Arial" w:hAnsi="Arial"/>
          <w:sz w:val="18"/>
          <w:szCs w:val="18"/>
          <w:color w:val="auto"/>
        </w:rPr>
      </w:pPr>
    </w:p>
    <w:p>
      <w:pPr>
        <w:ind w:left="2280" w:right="20" w:hanging="363"/>
        <w:spacing w:after="0" w:line="308" w:lineRule="auto"/>
        <w:tabs>
          <w:tab w:leader="none" w:pos="22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 material diminution in Employee’s base salary or a failure by ManpowerGroup to provide an arrangement for Employee for any fiscal year of ManpowerGroup giving Employee the opportunity to earn an incentive bonus for such year;</w:t>
      </w:r>
    </w:p>
    <w:p>
      <w:pPr>
        <w:spacing w:after="0" w:line="133" w:lineRule="exact"/>
        <w:rPr>
          <w:rFonts w:ascii="Arial" w:cs="Arial" w:eastAsia="Arial" w:hAnsi="Arial"/>
          <w:sz w:val="17"/>
          <w:szCs w:val="17"/>
          <w:color w:val="auto"/>
        </w:rPr>
      </w:pPr>
    </w:p>
    <w:p>
      <w:pPr>
        <w:ind w:left="2280" w:hanging="353"/>
        <w:spacing w:after="0" w:line="308" w:lineRule="auto"/>
        <w:tabs>
          <w:tab w:leader="none" w:pos="22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Employee’s being required by the Corporation to materially change the location of his principal office; provided such new location is one in excess of fifty miles from the location of Employee’s principal office before such change; or</w:t>
      </w:r>
    </w:p>
    <w:p>
      <w:pPr>
        <w:spacing w:after="0" w:line="133" w:lineRule="exact"/>
        <w:rPr>
          <w:rFonts w:ascii="Arial" w:cs="Arial" w:eastAsia="Arial" w:hAnsi="Arial"/>
          <w:sz w:val="17"/>
          <w:szCs w:val="17"/>
          <w:color w:val="auto"/>
        </w:rPr>
      </w:pPr>
    </w:p>
    <w:p>
      <w:pPr>
        <w:jc w:val="both"/>
        <w:ind w:left="2280" w:hanging="303"/>
        <w:spacing w:after="0" w:line="264" w:lineRule="auto"/>
        <w:tabs>
          <w:tab w:leader="none" w:pos="22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 material diminution in Employee’s annual target bonus opportunity for a given fiscal year within two years after the occurrence of a Triggering Event, as compared to the annual target bonus opportunity for the fiscal year immediately preceding the fiscal year in which a Triggering Event occurred.</w:t>
      </w:r>
    </w:p>
    <w:p>
      <w:pPr>
        <w:spacing w:after="0" w:line="168" w:lineRule="exact"/>
        <w:rPr>
          <w:sz w:val="20"/>
          <w:szCs w:val="20"/>
          <w:color w:val="auto"/>
        </w:rPr>
      </w:pPr>
    </w:p>
    <w:p>
      <w:pPr>
        <w:jc w:val="both"/>
        <w:ind w:left="1620" w:right="140"/>
        <w:spacing w:after="0" w:line="284" w:lineRule="auto"/>
        <w:rPr>
          <w:sz w:val="20"/>
          <w:szCs w:val="20"/>
          <w:color w:val="auto"/>
        </w:rPr>
      </w:pPr>
      <w:r>
        <w:rPr>
          <w:rFonts w:ascii="Arial" w:cs="Arial" w:eastAsia="Arial" w:hAnsi="Arial"/>
          <w:sz w:val="16"/>
          <w:szCs w:val="16"/>
          <w:color w:val="auto"/>
        </w:rPr>
        <w:t>Notwithstanding the provisions above, Good Reason does not exist unless (i) Employee objects to any material diminution or breach described above by written notice to the Corporation within twenty (20) business days after such diminution or breach occurs, (ii) the Corporation fails to cure such diminution or breach within thirty (30) days after such notice is given and (iii) Employee’s employment with ManpowerGroup is terminated by Employee within ninety (90) days after such diminution or breach occurs.</w:t>
      </w:r>
    </w:p>
    <w:p>
      <w:pPr>
        <w:spacing w:after="0" w:line="142" w:lineRule="exact"/>
        <w:rPr>
          <w:sz w:val="20"/>
          <w:szCs w:val="20"/>
          <w:color w:val="auto"/>
        </w:rPr>
      </w:pPr>
    </w:p>
    <w:p>
      <w:pPr>
        <w:ind w:right="320" w:firstLine="656"/>
        <w:spacing w:after="0" w:line="262" w:lineRule="auto"/>
        <w:tabs>
          <w:tab w:leader="none" w:pos="87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Multiple Executed Copies</w:t>
      </w:r>
      <w:r>
        <w:rPr>
          <w:rFonts w:ascii="Arial" w:cs="Arial" w:eastAsia="Arial" w:hAnsi="Arial"/>
          <w:sz w:val="18"/>
          <w:szCs w:val="18"/>
          <w:color w:val="auto"/>
        </w:rPr>
        <w:t>. This Agreement may be executed in multiple copies, each of which will constitute an original, and which together will constitute one and the same agreement providing for a single grant of Performance Share Units.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caused this Agreement to be executed as of the date and year first above written.</w:t>
      </w:r>
    </w:p>
    <w:p>
      <w:pPr>
        <w:spacing w:after="0" w:line="200" w:lineRule="exact"/>
        <w:rPr>
          <w:sz w:val="20"/>
          <w:szCs w:val="20"/>
          <w:color w:val="auto"/>
        </w:rPr>
      </w:pPr>
    </w:p>
    <w:p>
      <w:pPr>
        <w:spacing w:after="0" w:line="214"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2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14605</wp:posOffset>
            </wp:positionV>
            <wp:extent cx="14490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Jeffrey A. Joerres, President</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and Chief Executive Officer</w:t>
      </w:r>
    </w:p>
    <w:p>
      <w:pPr>
        <w:spacing w:after="0" w:line="182" w:lineRule="exact"/>
        <w:rPr>
          <w:sz w:val="20"/>
          <w:szCs w:val="20"/>
          <w:color w:val="auto"/>
        </w:rPr>
      </w:pPr>
    </w:p>
    <w:p>
      <w:pPr>
        <w:ind w:right="20" w:firstLine="663"/>
        <w:spacing w:after="0" w:line="262" w:lineRule="auto"/>
        <w:rPr>
          <w:sz w:val="20"/>
          <w:szCs w:val="20"/>
          <w:color w:val="auto"/>
        </w:rPr>
      </w:pPr>
      <w:r>
        <w:rPr>
          <w:rFonts w:ascii="Arial" w:cs="Arial" w:eastAsia="Arial" w:hAnsi="Arial"/>
          <w:sz w:val="18"/>
          <w:szCs w:val="18"/>
          <w:color w:val="auto"/>
        </w:rPr>
        <w:t>The undersigned Employee hereby accepts the foregoing grant of Performance Share Units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15951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jc w:val="center"/>
        <w:spacing w:after="0" w:line="209" w:lineRule="auto"/>
        <w:rPr>
          <w:sz w:val="20"/>
          <w:szCs w:val="20"/>
          <w:color w:val="auto"/>
        </w:rPr>
      </w:pPr>
      <w:r>
        <w:rPr>
          <w:rFonts w:ascii="Arial" w:cs="Arial" w:eastAsia="Arial" w:hAnsi="Arial"/>
          <w:sz w:val="22"/>
          <w:szCs w:val="22"/>
          <w:color w:val="auto"/>
        </w:rPr>
        <w:t>(d/b/a ManpowerGroup)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jc w:val="center"/>
              <w:ind w:right="3540"/>
              <w:spacing w:after="0"/>
              <w:rPr>
                <w:sz w:val="20"/>
                <w:szCs w:val="20"/>
                <w:color w:val="auto"/>
              </w:rPr>
            </w:pPr>
            <w:r>
              <w:rPr>
                <w:rFonts w:ascii="Arial" w:cs="Arial" w:eastAsia="Arial" w:hAnsi="Arial"/>
                <w:sz w:val="18"/>
                <w:szCs w:val="18"/>
                <w:b w:val="1"/>
                <w:bCs w:val="1"/>
                <w:color w:val="auto"/>
                <w:w w:val="91"/>
              </w:rPr>
              <w:t>3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0"/>
              </w:rPr>
              <w:t>Ended</w:t>
            </w:r>
          </w:p>
        </w:tc>
      </w:tr>
      <w:tr>
        <w:trPr>
          <w:trHeight w:val="198"/>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gridSpan w:val="2"/>
          </w:tcPr>
          <w:p>
            <w:pPr>
              <w:jc w:val="center"/>
              <w:ind w:right="3560"/>
              <w:spacing w:after="0" w:line="198" w:lineRule="exact"/>
              <w:rPr>
                <w:sz w:val="20"/>
                <w:szCs w:val="20"/>
                <w:color w:val="auto"/>
              </w:rPr>
            </w:pPr>
            <w:r>
              <w:rPr>
                <w:rFonts w:ascii="Arial" w:cs="Arial" w:eastAsia="Arial" w:hAnsi="Arial"/>
                <w:sz w:val="18"/>
                <w:szCs w:val="18"/>
                <w:b w:val="1"/>
                <w:bCs w:val="1"/>
                <w:color w:val="auto"/>
                <w:w w:val="93"/>
              </w:rPr>
              <w:t>March 31,</w:t>
            </w:r>
          </w:p>
        </w:tc>
      </w:tr>
      <w:tr>
        <w:trPr>
          <w:trHeight w:val="241"/>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342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2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74.5</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20" w:type="dxa"/>
            <w:vAlign w:val="bottom"/>
            <w:gridSpan w:val="2"/>
          </w:tcPr>
          <w:p>
            <w:pPr>
              <w:jc w:val="right"/>
              <w:ind w:right="3420"/>
              <w:spacing w:after="0"/>
              <w:rPr>
                <w:sz w:val="20"/>
                <w:szCs w:val="20"/>
                <w:color w:val="auto"/>
              </w:rPr>
            </w:pPr>
            <w:r>
              <w:rPr>
                <w:rFonts w:ascii="Arial" w:cs="Arial" w:eastAsia="Arial" w:hAnsi="Arial"/>
                <w:sz w:val="18"/>
                <w:szCs w:val="18"/>
                <w:color w:val="auto"/>
              </w:rPr>
              <w:t>40.5</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2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115.0</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20" w:type="dxa"/>
            <w:vAlign w:val="bottom"/>
            <w:gridSpan w:val="2"/>
          </w:tcPr>
          <w:p>
            <w:pPr>
              <w:jc w:val="right"/>
              <w:ind w:right="3420"/>
              <w:spacing w:after="0"/>
              <w:rPr>
                <w:sz w:val="20"/>
                <w:szCs w:val="20"/>
                <w:color w:val="auto"/>
              </w:rPr>
            </w:pPr>
            <w:r>
              <w:rPr>
                <w:rFonts w:ascii="Arial" w:cs="Arial" w:eastAsia="Arial" w:hAnsi="Arial"/>
                <w:sz w:val="18"/>
                <w:szCs w:val="18"/>
                <w:color w:val="auto"/>
              </w:rPr>
              <w:t>10.2</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30.3</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20" w:type="dxa"/>
            <w:vAlign w:val="bottom"/>
            <w:gridSpan w:val="2"/>
          </w:tcPr>
          <w:p>
            <w:pPr>
              <w:jc w:val="right"/>
              <w:ind w:right="3420"/>
              <w:spacing w:after="0"/>
              <w:rPr>
                <w:sz w:val="20"/>
                <w:szCs w:val="20"/>
                <w:color w:val="auto"/>
              </w:rPr>
            </w:pPr>
            <w:r>
              <w:rPr>
                <w:rFonts w:ascii="Arial" w:cs="Arial" w:eastAsia="Arial" w:hAnsi="Arial"/>
                <w:sz w:val="18"/>
                <w:szCs w:val="18"/>
                <w:color w:val="auto"/>
              </w:rPr>
              <w:t>40.5</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2.8</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w w:val="97"/>
              </w:rPr>
              <w:t>Earnings before income taxes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161.0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962.2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560" w:hanging="619"/>
        <w:spacing w:after="0" w:line="246"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pacing w:after="0" w:line="1" w:lineRule="exact"/>
        <w:rPr>
          <w:sz w:val="20"/>
          <w:szCs w:val="20"/>
          <w:color w:val="auto"/>
        </w:rPr>
      </w:pPr>
    </w:p>
    <w:p>
      <w:pPr>
        <w:ind w:left="620" w:right="140"/>
        <w:spacing w:after="0" w:line="259" w:lineRule="auto"/>
        <w:rPr>
          <w:sz w:val="20"/>
          <w:szCs w:val="20"/>
          <w:color w:val="auto"/>
        </w:rPr>
      </w:pPr>
      <w:r>
        <w:rPr>
          <w:rFonts w:ascii="Arial" w:cs="Arial" w:eastAsia="Arial" w:hAnsi="Arial"/>
          <w:sz w:val="18"/>
          <w:szCs w:val="18"/>
          <w:color w:val="auto"/>
        </w:rPr>
        <w:t>Our 2008 and 2007 results have been restated as disclosed in Note 16 to the Consolidated Financial Statements included in our 2009 Annual Report to Shareholders.</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 Inc. (d/b/a ManpowerGroup), certify that:</w:t>
      </w:r>
    </w:p>
    <w:p>
      <w:pPr>
        <w:spacing w:after="0" w:line="198" w:lineRule="exact"/>
        <w:rPr>
          <w:sz w:val="20"/>
          <w:szCs w:val="20"/>
          <w:color w:val="auto"/>
        </w:rPr>
      </w:pPr>
    </w:p>
    <w:p>
      <w:pPr>
        <w:ind w:left="920" w:hanging="480"/>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 (d/b/a ManpowerGroup);</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May 5,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Chairman and Chief Executive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(d/b/a ManpowerGroup), certify that:</w:t>
      </w:r>
    </w:p>
    <w:p>
      <w:pPr>
        <w:spacing w:after="0" w:line="252" w:lineRule="exact"/>
        <w:rPr>
          <w:sz w:val="20"/>
          <w:szCs w:val="20"/>
          <w:color w:val="auto"/>
        </w:rPr>
      </w:pPr>
    </w:p>
    <w:p>
      <w:pPr>
        <w:ind w:left="700" w:hanging="341"/>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 (d/b/a ManpowerGroup);</w:t>
      </w:r>
    </w:p>
    <w:p>
      <w:pPr>
        <w:spacing w:after="0" w:line="252" w:lineRule="exact"/>
        <w:rPr>
          <w:rFonts w:ascii="Arial" w:cs="Arial" w:eastAsia="Arial" w:hAnsi="Arial"/>
          <w:sz w:val="18"/>
          <w:szCs w:val="18"/>
          <w:color w:val="auto"/>
        </w:rPr>
      </w:pPr>
    </w:p>
    <w:p>
      <w:pPr>
        <w:jc w:val="both"/>
        <w:ind w:left="700" w:right="260" w:hanging="341"/>
        <w:spacing w:after="0" w:line="264"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00" w:right="220" w:hanging="341"/>
        <w:spacing w:after="0" w:line="308" w:lineRule="auto"/>
        <w:tabs>
          <w:tab w:leader="none" w:pos="7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00" w:right="240" w:hanging="341"/>
        <w:spacing w:after="0" w:line="264"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500" w:right="100" w:hanging="452"/>
        <w:spacing w:after="0" w:line="264" w:lineRule="auto"/>
        <w:tabs>
          <w:tab w:leader="none" w:pos="15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500" w:right="20" w:hanging="452"/>
        <w:spacing w:after="0" w:line="264" w:lineRule="auto"/>
        <w:tabs>
          <w:tab w:leader="none" w:pos="15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500" w:right="200" w:hanging="452"/>
        <w:spacing w:after="0" w:line="342" w:lineRule="auto"/>
        <w:tabs>
          <w:tab w:leader="none" w:pos="15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500" w:right="200" w:hanging="452"/>
        <w:spacing w:after="0" w:line="264" w:lineRule="auto"/>
        <w:tabs>
          <w:tab w:leader="none" w:pos="15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00" w:right="440" w:hanging="452"/>
        <w:spacing w:after="0" w:line="342" w:lineRule="auto"/>
        <w:tabs>
          <w:tab w:leader="none" w:pos="15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00" w:right="120" w:hanging="452"/>
        <w:spacing w:after="0" w:line="277" w:lineRule="auto"/>
        <w:tabs>
          <w:tab w:leader="none" w:pos="15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(d/b/a ManpowerGroup) (the “Company”), hereby certifies that to his knowledge:</w:t>
      </w:r>
    </w:p>
    <w:p>
      <w:pPr>
        <w:spacing w:after="0" w:line="197" w:lineRule="exact"/>
        <w:rPr>
          <w:sz w:val="20"/>
          <w:szCs w:val="20"/>
          <w:color w:val="auto"/>
        </w:rPr>
      </w:pPr>
    </w:p>
    <w:p>
      <w:pPr>
        <w:ind w:left="820" w:right="340" w:hanging="582"/>
        <w:spacing w:after="0" w:line="277"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2011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582"/>
        <w:spacing w:after="0"/>
        <w:tabs>
          <w:tab w:leader="none" w:pos="8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(d/b/a ManpowerGroup)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(d/b/a ManpowerGroup) (the “Company”), hereby certifies that to his knowledge:</w:t>
      </w:r>
    </w:p>
    <w:p>
      <w:pPr>
        <w:spacing w:after="0" w:line="197" w:lineRule="exact"/>
        <w:rPr>
          <w:sz w:val="20"/>
          <w:szCs w:val="20"/>
          <w:color w:val="auto"/>
        </w:rPr>
      </w:pPr>
    </w:p>
    <w:p>
      <w:pPr>
        <w:ind w:left="820" w:right="340" w:hanging="461"/>
        <w:spacing w:after="0" w:line="277"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2011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461"/>
        <w:spacing w:after="0"/>
        <w:tabs>
          <w:tab w:leader="none" w:pos="8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(d/b/a ManpowerGroup)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72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8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x"/>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decimal"/>
      <w:start w:val="2"/>
    </w:lvl>
  </w:abstractNum>
  <w:abstractNum w:abstractNumId="4">
    <w:nsid w:val="6DE91B18"/>
    <w:multiLevelType w:val="hybridMultilevel"/>
    <w:lvl w:ilvl="0">
      <w:lvlJc w:val="left"/>
      <w:lvlText w:val="(%1)"/>
      <w:numFmt w:val="decimal"/>
      <w:start w:val="3"/>
    </w:lvl>
  </w:abstractNum>
  <w:abstractNum w:abstractNumId="5">
    <w:nsid w:val="38437FDB"/>
    <w:multiLevelType w:val="hybridMultilevel"/>
    <w:lvl w:ilvl="0">
      <w:lvlJc w:val="left"/>
      <w:lvlText w:val="(%1)"/>
      <w:numFmt w:val="decimal"/>
      <w:start w:val="4"/>
    </w:lvl>
  </w:abstractNum>
  <w:abstractNum w:abstractNumId="6">
    <w:nsid w:val="7644A45C"/>
    <w:multiLevelType w:val="hybridMultilevel"/>
    <w:lvl w:ilvl="0">
      <w:lvlJc w:val="left"/>
      <w:lvlText w:val="(%1)"/>
      <w:numFmt w:val="decimal"/>
      <w:start w:val="5"/>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1)"/>
      <w:numFmt w:val="decimal"/>
      <w:start w:val="6"/>
    </w:lvl>
  </w:abstractNum>
  <w:abstractNum w:abstractNumId="9">
    <w:nsid w:val="579478FE"/>
    <w:multiLevelType w:val="hybridMultilevel"/>
    <w:lvl w:ilvl="0">
      <w:lvlJc w:val="left"/>
      <w:lvlText w:val="(%1)"/>
      <w:numFmt w:val="decimal"/>
      <w:start w:val="8"/>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1)"/>
      <w:numFmt w:val="decimal"/>
      <w:start w:val="9"/>
    </w:lvl>
  </w:abstractNum>
  <w:abstractNum w:abstractNumId="12">
    <w:nsid w:val="1BA026FA"/>
    <w:multiLevelType w:val="hybridMultilevel"/>
    <w:lvl w:ilvl="0">
      <w:lvlJc w:val="left"/>
      <w:lvlText w:val="(%1)"/>
      <w:numFmt w:val="decimal"/>
      <w:start w:val="10"/>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1)"/>
      <w:numFmt w:val="decimal"/>
      <w:start w:val="11"/>
    </w:lvl>
  </w:abstractNum>
  <w:abstractNum w:abstractNumId="18">
    <w:nsid w:val="374A3FE6"/>
    <w:multiLevelType w:val="hybridMultilevel"/>
    <w:lvl w:ilvl="0">
      <w:lvlJc w:val="left"/>
      <w:lvlText w:val="(%1)"/>
      <w:numFmt w:val="decimal"/>
      <w:start w:val="12"/>
    </w:lvl>
  </w:abstractNum>
  <w:abstractNum w:abstractNumId="19">
    <w:nsid w:val="4F4EF005"/>
    <w:multiLevelType w:val="hybridMultilevel"/>
    <w:lvl w:ilvl="0">
      <w:lvlJc w:val="left"/>
      <w:lvlText w:val="(%1)"/>
      <w:numFmt w:val="decimal"/>
      <w:start w:val="13"/>
    </w:lvl>
  </w:abstractNum>
  <w:abstractNum w:abstractNumId="20">
    <w:nsid w:val="23F9C13C"/>
    <w:multiLevelType w:val="hybridMultilevel"/>
    <w:lvl w:ilvl="0">
      <w:lvlJc w:val="left"/>
      <w:lvlText w:val="(%1)"/>
      <w:numFmt w:val="decimal"/>
      <w:start w:val="14"/>
    </w:lvl>
  </w:abstractNum>
  <w:abstractNum w:abstractNumId="21">
    <w:nsid w:val="649BB77C"/>
    <w:multiLevelType w:val="hybridMultilevel"/>
    <w:lvl w:ilvl="0">
      <w:lvlJc w:val="left"/>
      <w:lvlText w:val="(%1)"/>
      <w:numFmt w:val="lowerLetter"/>
      <w:start w:val="1"/>
    </w:lvl>
  </w:abstractNum>
  <w:abstractNum w:abstractNumId="22">
    <w:nsid w:val="275AC794"/>
    <w:multiLevelType w:val="hybridMultilevel"/>
    <w:lvl w:ilvl="0">
      <w:lvlJc w:val="left"/>
      <w:lvlText w:val="o"/>
      <w:numFmt w:val="bullet"/>
      <w:start w:val="1"/>
    </w:lvl>
  </w:abstractNum>
  <w:abstractNum w:abstractNumId="23">
    <w:nsid w:val="39386575"/>
    <w:multiLevelType w:val="hybridMultilevel"/>
    <w:lvl w:ilvl="0">
      <w:lvlJc w:val="left"/>
      <w:lvlText w:val="o"/>
      <w:numFmt w:val="bullet"/>
      <w:start w:val="1"/>
    </w:lvl>
  </w:abstractNum>
  <w:abstractNum w:abstractNumId="24">
    <w:nsid w:val="1CF10FD8"/>
    <w:multiLevelType w:val="hybridMultilevel"/>
    <w:lvl w:ilvl="0">
      <w:lvlJc w:val="left"/>
      <w:lvlText w:val="o"/>
      <w:numFmt w:val="bullet"/>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lowerLetter"/>
      <w:start w:val="1"/>
    </w:lvl>
  </w:abstractNum>
  <w:abstractNum w:abstractNumId="27">
    <w:nsid w:val="47398C89"/>
    <w:multiLevelType w:val="hybridMultilevel"/>
    <w:lvl w:ilvl="0">
      <w:lvlJc w:val="left"/>
      <w:lvlText w:val="%1"/>
      <w:numFmt w:val="decimal"/>
      <w:start w:val="101"/>
    </w:lvl>
  </w:abstractNum>
  <w:abstractNum w:abstractNumId="28">
    <w:nsid w:val="354FE9F9"/>
    <w:multiLevelType w:val="hybridMultilevel"/>
    <w:lvl w:ilvl="0">
      <w:lvlJc w:val="left"/>
      <w:lvlText w:val="%1"/>
      <w:numFmt w:val="decimal"/>
      <w:start w:val="101"/>
    </w:lvl>
  </w:abstractNum>
  <w:abstractNum w:abstractNumId="29">
    <w:nsid w:val="15B5AF5C"/>
    <w:multiLevelType w:val="hybridMultilevel"/>
    <w:lvl w:ilvl="0">
      <w:lvlJc w:val="left"/>
      <w:lvlText w:val="%1."/>
      <w:numFmt w:val="decimal"/>
      <w:start w:val="1"/>
    </w:lvl>
    <w:lvl w:ilvl="1">
      <w:lvlJc w:val="left"/>
      <w:lvlText w:val="(%2)"/>
      <w:numFmt w:val="lowerLetter"/>
      <w:start w:val="1"/>
    </w:lvl>
  </w:abstractNum>
  <w:abstractNum w:abstractNumId="30">
    <w:nsid w:val="741226BB"/>
    <w:multiLevelType w:val="hybridMultilevel"/>
    <w:lvl w:ilvl="0">
      <w:lvlJc w:val="left"/>
      <w:lvlText w:val="(%1)"/>
      <w:numFmt w:val="lowerLetter"/>
      <w:start w:val="3"/>
    </w:lvl>
    <w:lvl w:ilvl="1">
      <w:lvlJc w:val="left"/>
      <w:lvlText w:val="(%2)"/>
      <w:numFmt w:val="lowerRoman"/>
      <w:start w:val="1"/>
    </w:lvl>
  </w:abstractNum>
  <w:abstractNum w:abstractNumId="31">
    <w:nsid w:val="D34B6A8"/>
    <w:multiLevelType w:val="hybridMultilevel"/>
    <w:lvl w:ilvl="0">
      <w:lvlJc w:val="left"/>
      <w:lvlText w:val="(%1)"/>
      <w:numFmt w:val="lowerLetter"/>
      <w:start w:val="4"/>
    </w:lvl>
    <w:lvl w:ilvl="1">
      <w:lvlJc w:val="left"/>
      <w:lvlText w:val="(%2)"/>
      <w:numFmt w:val="lowerRoman"/>
      <w:start w:val="1"/>
    </w:lvl>
  </w:abstractNum>
  <w:abstractNum w:abstractNumId="32">
    <w:nsid w:val="10233C99"/>
    <w:multiLevelType w:val="hybridMultilevel"/>
    <w:lvl w:ilvl="0">
      <w:lvlJc w:val="left"/>
      <w:lvlText w:val="(%1)"/>
      <w:numFmt w:val="lowerLetter"/>
      <w:start w:val="5"/>
    </w:lvl>
    <w:lvl w:ilvl="1">
      <w:lvlJc w:val="left"/>
      <w:lvlText w:val="(%2)"/>
      <w:numFmt w:val="lowerRoman"/>
      <w:start w:val="1"/>
    </w:lvl>
  </w:abstractNum>
  <w:abstractNum w:abstractNumId="33">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34">
    <w:nsid w:val="61574095"/>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lvl w:ilvl="3">
      <w:lvlJc w:val="left"/>
      <w:lvlText w:val="%4"/>
      <w:numFmt w:val="upperLetter"/>
      <w:start w:val="1"/>
    </w:lvl>
  </w:abstractNum>
  <w:abstractNum w:abstractNumId="35">
    <w:nsid w:val="7E0C57B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36">
    <w:nsid w:val="77AE35EB"/>
    <w:multiLevelType w:val="hybridMultilevel"/>
    <w:lvl w:ilvl="0">
      <w:lvlJc w:val="left"/>
      <w:lvlText w:val="(%1)"/>
      <w:numFmt w:val="upperLetter"/>
      <w:start w:val="4"/>
    </w:lvl>
  </w:abstractNum>
  <w:abstractNum w:abstractNumId="37">
    <w:nsid w:val="579BE4F1"/>
    <w:multiLevelType w:val="hybridMultilevel"/>
    <w:lvl w:ilvl="0">
      <w:lvlJc w:val="left"/>
      <w:lvlText w:val="(%1)"/>
      <w:numFmt w:val="lowerRoman"/>
      <w:start w:val="2"/>
    </w:lvl>
    <w:lvl w:ilvl="1">
      <w:lvlJc w:val="left"/>
      <w:lvlText w:val="(%2)"/>
      <w:numFmt w:val="upperLetter"/>
      <w:start w:val="1"/>
    </w:lvl>
  </w:abstractNum>
  <w:abstractNum w:abstractNumId="38">
    <w:nsid w:val="310C50B3"/>
    <w:multiLevelType w:val="hybridMultilevel"/>
    <w:lvl w:ilvl="0">
      <w:lvlJc w:val="left"/>
      <w:lvlText w:val="(%1)"/>
      <w:numFmt w:val="upperLetter"/>
      <w:start w:val="6"/>
    </w:lvl>
  </w:abstractNum>
  <w:abstractNum w:abstractNumId="39">
    <w:nsid w:val="5FF87E05"/>
    <w:multiLevelType w:val="hybridMultilevel"/>
    <w:lvl w:ilvl="0">
      <w:lvlJc w:val="left"/>
      <w:lvlText w:val="(%1)"/>
      <w:numFmt w:val="lowerLetter"/>
      <w:start w:val="4"/>
    </w:lvl>
  </w:abstractNum>
  <w:abstractNum w:abstractNumId="40">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41">
    <w:nsid w:val="25A70BF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2">
    <w:nsid w:val="1DBABF00"/>
    <w:multiLevelType w:val="hybridMultilevel"/>
    <w:lvl w:ilvl="0">
      <w:lvlJc w:val="left"/>
      <w:lvlText w:val="%1"/>
      <w:numFmt w:val="decimal"/>
      <w:start w:val="1"/>
    </w:lvl>
    <w:lvl w:ilvl="1">
      <w:lvlJc w:val="left"/>
      <w:lvlText w:val="(%2)"/>
      <w:numFmt w:val="lowerLetter"/>
      <w:start w:val="2"/>
    </w:lvl>
  </w:abstractNum>
  <w:abstractNum w:abstractNumId="43">
    <w:nsid w:val="4AD084E9"/>
    <w:multiLevelType w:val="hybridMultilevel"/>
    <w:lvl w:ilvl="0">
      <w:lvlJc w:val="left"/>
      <w:lvlText w:val="%1."/>
      <w:numFmt w:val="decimal"/>
      <w:start w:val="7"/>
    </w:lvl>
    <w:lvl w:ilvl="1">
      <w:lvlJc w:val="left"/>
      <w:lvlText w:val="%2"/>
      <w:numFmt w:val="lowerLetter"/>
      <w:start w:val="1"/>
    </w:lvl>
  </w:abstractNum>
  <w:abstractNum w:abstractNumId="44">
    <w:nsid w:val="1F48EAA1"/>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2"/>
    </w:lvl>
  </w:abstractNum>
  <w:abstractNum w:abstractNumId="45">
    <w:nsid w:val="1381823A"/>
    <w:multiLevelType w:val="hybridMultilevel"/>
    <w:lvl w:ilvl="0">
      <w:lvlJc w:val="left"/>
      <w:lvlText w:val="%1."/>
      <w:numFmt w:val="decimal"/>
      <w:start w:val="18"/>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9"/>
    </w:lvl>
  </w:abstractNum>
  <w:abstractNum w:abstractNumId="48">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9">
    <w:nsid w:val="15014ACB"/>
    <w:multiLevelType w:val="hybridMultilevel"/>
    <w:lvl w:ilvl="0">
      <w:lvlJc w:val="left"/>
      <w:lvlText w:val="(%1)"/>
      <w:numFmt w:val="lowerRoman"/>
      <w:start w:val="5"/>
    </w:lvl>
  </w:abstractNum>
  <w:abstractNum w:abstractNumId="50">
    <w:nsid w:val="5F5E7FD0"/>
    <w:multiLevelType w:val="hybridMultilevel"/>
    <w:lvl w:ilvl="0">
      <w:lvlJc w:val="left"/>
      <w:lvlText w:val="(%1)"/>
      <w:numFmt w:val="lowerLetter"/>
      <w:start w:val="4"/>
    </w:lvl>
    <w:lvl w:ilvl="1">
      <w:lvlJc w:val="left"/>
      <w:lvlText w:val="(%2)"/>
      <w:numFmt w:val="lowerRoman"/>
      <w:start w:val="1"/>
    </w:lvl>
  </w:abstractNum>
  <w:abstractNum w:abstractNumId="51">
    <w:nsid w:val="98A3148"/>
    <w:multiLevelType w:val="hybridMultilevel"/>
    <w:lvl w:ilvl="0">
      <w:lvlJc w:val="left"/>
      <w:lvlText w:val="(%1)"/>
      <w:numFmt w:val="lowerRoman"/>
      <w:start w:val="4"/>
    </w:lvl>
  </w:abstractNum>
  <w:abstractNum w:abstractNumId="52">
    <w:nsid w:val="799D0247"/>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Roman"/>
      <w:start w:val="1"/>
    </w:lvl>
  </w:abstractNum>
  <w:abstractNum w:abstractNumId="53">
    <w:nsid w:val="6B9476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54">
    <w:nsid w:val="42C296B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4"/>
    </w:lvl>
    <w:lvl w:ilvl="3">
      <w:lvlJc w:val="left"/>
      <w:lvlText w:val="(%4)"/>
      <w:numFmt w:val="upperLetter"/>
      <w:start w:val="1"/>
    </w:lvl>
  </w:abstractNum>
  <w:abstractNum w:abstractNumId="55">
    <w:nsid w:val="168E121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lvl w:ilvl="3">
      <w:lvlJc w:val="left"/>
      <w:lvlText w:val="%4"/>
      <w:numFmt w:val="upperLetter"/>
      <w:start w:val="1"/>
    </w:lvl>
  </w:abstractNum>
  <w:abstractNum w:abstractNumId="56">
    <w:nsid w:val="1EBA5D2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57">
    <w:nsid w:val="661E3F1E"/>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58">
    <w:nsid w:val="5DC79EA8"/>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9">
    <w:nsid w:val="540A471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abstractNum>
  <w:abstractNum w:abstractNumId="60">
    <w:nsid w:val="7BD3EE7B"/>
    <w:multiLevelType w:val="hybridMultilevel"/>
    <w:lvl w:ilvl="0">
      <w:lvlJc w:val="left"/>
      <w:lvlText w:val="%1."/>
      <w:numFmt w:val="decimal"/>
      <w:start w:val="18"/>
    </w:lvl>
  </w:abstractNum>
  <w:abstractNum w:abstractNumId="61">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2">
    <w:nsid w:val="613EFDC5"/>
    <w:multiLevelType w:val="hybridMultilevel"/>
    <w:lvl w:ilvl="0">
      <w:lvlJc w:val="left"/>
      <w:lvlText w:val="(%1)"/>
      <w:numFmt w:val="lowerLetter"/>
      <w:start w:val="4"/>
    </w:lvl>
    <w:lvl w:ilvl="1">
      <w:lvlJc w:val="left"/>
      <w:lvlText w:val="(%2)"/>
      <w:numFmt w:val="lowerRoman"/>
      <w:start w:val="1"/>
    </w:lvl>
  </w:abstractNum>
  <w:abstractNum w:abstractNumId="63">
    <w:nsid w:val="BF72B1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Roman"/>
      <w:start w:val="1"/>
    </w:lvl>
  </w:abstractNum>
  <w:abstractNum w:abstractNumId="64">
    <w:nsid w:val="11447B7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5">
    <w:nsid w:val="42963E5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5"/>
    </w:lvl>
    <w:lvl w:ilvl="3">
      <w:lvlJc w:val="left"/>
      <w:lvlText w:val="(%4)"/>
      <w:numFmt w:val="upperLetter"/>
      <w:start w:val="1"/>
    </w:lvl>
  </w:abstractNum>
  <w:abstractNum w:abstractNumId="66">
    <w:nsid w:val="A0382C5"/>
    <w:multiLevelType w:val="hybridMultilevel"/>
    <w:lvl w:ilvl="0">
      <w:lvlJc w:val="left"/>
      <w:lvlText w:val="%1"/>
      <w:numFmt w:val="upperLetter"/>
      <w:start w:val="1"/>
    </w:lvl>
    <w:lvl w:ilvl="1">
      <w:lvlJc w:val="left"/>
      <w:lvlText w:val="(%2)"/>
      <w:numFmt w:val="upperLetter"/>
      <w:start w:val="1"/>
    </w:lvl>
  </w:abstractNum>
  <w:abstractNum w:abstractNumId="67">
    <w:nsid w:val="8F2B15E"/>
    <w:multiLevelType w:val="hybridMultilevel"/>
    <w:lvl w:ilvl="0">
      <w:lvlJc w:val="left"/>
      <w:lvlText w:val="(%1)"/>
      <w:numFmt w:val="upperLetter"/>
      <w:start w:val="6"/>
    </w:lvl>
    <w:lvl w:ilvl="1">
      <w:lvlJc w:val="left"/>
      <w:lvlText w:val="%2"/>
      <w:numFmt w:val="upperLetter"/>
      <w:start w:val="1"/>
    </w:lvl>
  </w:abstractNum>
  <w:abstractNum w:abstractNumId="68">
    <w:nsid w:val="1A32234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69">
    <w:nsid w:val="3B0FD37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70">
    <w:nsid w:val="68EB2F63"/>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1">
    <w:nsid w:val="4962813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2">
    <w:nsid w:val="60B6DF7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abstractNum>
  <w:abstractNum w:abstractNumId="73">
    <w:nsid w:val="6A5EE64"/>
    <w:multiLevelType w:val="hybridMultilevel"/>
    <w:lvl w:ilvl="0">
      <w:lvlJc w:val="left"/>
      <w:lvlText w:val="%1."/>
      <w:numFmt w:val="decimal"/>
      <w:start w:val="18"/>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3"/>
    </w:lvl>
    <w:lvl w:ilvl="1">
      <w:lvlJc w:val="left"/>
      <w:lvlText w:val="%2."/>
      <w:numFmt w:val="lowerLetter"/>
      <w:start w:val="1"/>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1."/>
      <w:numFmt w:val="lowerRoman"/>
      <w:start w:val="1"/>
    </w:lvl>
  </w:abstractNum>
  <w:abstractNum w:abstractNumId="78">
    <w:nsid w:val="100F59D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Letter"/>
      <w:start w:val="35"/>
    </w:lvl>
    <w:lvl w:ilvl="6">
      <w:lvlJc w:val="left"/>
      <w:lvlText w:val="%7"/>
      <w:numFmt w:val="lowerRoman"/>
      <w:start w:val="1"/>
    </w:lvl>
    <w:lvl w:ilvl="7">
      <w:lvlJc w:val="left"/>
      <w:lvlText w:val="%8"/>
      <w:numFmt w:val="lowerLetter"/>
      <w:start w:val="1"/>
    </w:lvl>
    <w:lvl w:ilvl="8">
      <w:lvlJc w:val="left"/>
      <w:lvlText w:val="%9"/>
      <w:numFmt w:val="lowerRoman"/>
      <w:start w:val="1"/>
    </w:lvl>
  </w:abstractNum>
  <w:abstractNum w:abstractNumId="79">
    <w:nsid w:val="7FB7E0AA"/>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2"/>
    </w:lvl>
    <w:lvl w:ilvl="3">
      <w:lvlJc w:val="left"/>
      <w:lvlText w:val="%4."/>
      <w:numFmt w:val="lowerLetter"/>
      <w:start w:val="1"/>
    </w:lvl>
    <w:lvl w:ilvl="4">
      <w:lvlJc w:val="left"/>
      <w:lvlText w:val="%5"/>
      <w:numFmt w:val="lowerRoman"/>
      <w:start w:val="1"/>
    </w:lvl>
    <w:lvl w:ilvl="5">
      <w:lvlJc w:val="left"/>
      <w:lvlText w:val="%6"/>
      <w:numFmt w:val="lowerLetter"/>
      <w:start w:val="1"/>
    </w:lvl>
    <w:lvl w:ilvl="6">
      <w:lvlJc w:val="left"/>
      <w:lvlText w:val="%7."/>
      <w:numFmt w:val="lowerRoman"/>
      <w:start w:val="1"/>
    </w:lvl>
    <w:lvl w:ilvl="7">
      <w:lvlJc w:val="left"/>
      <w:lvlText w:val="%8"/>
      <w:numFmt w:val="lowerLetter"/>
      <w:start w:val="1"/>
    </w:lvl>
    <w:lvl w:ilvl="8">
      <w:lvlJc w:val="left"/>
      <w:lvlText w:val="%9."/>
      <w:numFmt w:val="lowerRoman"/>
      <w:start w:val="2"/>
    </w:lvl>
  </w:abstractNum>
  <w:abstractNum w:abstractNumId="80">
    <w:nsid w:val="6EB5BD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8"/>
    </w:lvl>
    <w:lvl w:ilvl="3">
      <w:lvlJc w:val="left"/>
      <w:lvlText w:val="%4"/>
      <w:numFmt w:val="lowerLetter"/>
      <w:start w:val="1"/>
    </w:lvl>
    <w:lvl w:ilvl="4">
      <w:lvlJc w:val="left"/>
      <w:lvlText w:val="%5."/>
      <w:numFmt w:val="lowerLetter"/>
      <w:start w:val="61"/>
    </w:lvl>
    <w:lvl w:ilvl="5">
      <w:lvlJc w:val="left"/>
      <w:lvlText w:val="%6"/>
      <w:numFmt w:val="lowerLetter"/>
      <w:start w:val="1"/>
    </w:lvl>
    <w:lvl w:ilvl="6">
      <w:lvlJc w:val="left"/>
      <w:lvlText w:val="%7"/>
      <w:numFmt w:val="lowerRoman"/>
      <w:start w:val="1"/>
    </w:lvl>
    <w:lvl w:ilvl="7">
      <w:lvlJc w:val="left"/>
      <w:lvlText w:val="%8"/>
      <w:numFmt w:val="lowerLetter"/>
      <w:start w:val="1"/>
    </w:lvl>
    <w:lvl w:ilvl="8">
      <w:lvlJc w:val="left"/>
      <w:lvlText w:val="%9"/>
      <w:numFmt w:val="lowerRoman"/>
      <w:start w:val="1"/>
    </w:lvl>
  </w:abstractNum>
  <w:abstractNum w:abstractNumId="81">
    <w:nsid w:val="6F6DD9AC"/>
    <w:multiLevelType w:val="hybridMultilevel"/>
    <w:lvl w:ilvl="0">
      <w:lvlJc w:val="left"/>
      <w:lvlText w:val="(%1)"/>
      <w:numFmt w:val="lowerRoman"/>
      <w:start w:val="1"/>
    </w:lvl>
  </w:abstractNum>
  <w:abstractNum w:abstractNumId="82">
    <w:nsid w:val="94211F2"/>
    <w:multiLevelType w:val="hybridMultilevel"/>
    <w:lvl w:ilvl="0">
      <w:lvlJc w:val="left"/>
      <w:lvlText w:val="%1"/>
      <w:numFmt w:val="lowerLetter"/>
      <w:start w:val="1"/>
    </w:lvl>
    <w:lvl w:ilvl="1">
      <w:lvlJc w:val="left"/>
      <w:lvlText w:val="(%2)"/>
      <w:numFmt w:val="lowerRoman"/>
      <w:start w:val="3"/>
    </w:lvl>
  </w:abstractNum>
  <w:abstractNum w:abstractNumId="83">
    <w:nsid w:val="885E1B"/>
    <w:multiLevelType w:val="hybridMultilevel"/>
    <w:lvl w:ilvl="0">
      <w:lvlJc w:val="left"/>
      <w:lvlText w:val="%1."/>
      <w:numFmt w:val="lowerLetter"/>
      <w:start w:val="11"/>
    </w:lvl>
    <w:lvl w:ilvl="1">
      <w:lvlJc w:val="left"/>
      <w:lvlText w:val="(%2)"/>
      <w:numFmt w:val="lowerRoman"/>
      <w:start w:val="1"/>
    </w:lvl>
  </w:abstractNum>
  <w:abstractNum w:abstractNumId="84">
    <w:nsid w:val="76272110"/>
    <w:multiLevelType w:val="hybridMultilevel"/>
    <w:lvl w:ilvl="0">
      <w:lvlJc w:val="left"/>
      <w:lvlText w:val="%1."/>
      <w:numFmt w:val="decimal"/>
      <w:start w:val="9"/>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2019-12-10T09:58:50Z</dcterms:created>
  <dcterms:modified xsi:type="dcterms:W3CDTF">2019-12-10T09:58:50Z</dcterms:modified>
</cp:coreProperties>
</file>