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left="540" w:right="377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 for the quarterly period ended:</w:t>
      </w: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June 30, 2000</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3679" w:hanging="532"/>
        <w:spacing w:after="0" w:line="236"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 for the transition period from: ______to______</w:t>
      </w:r>
    </w:p>
    <w:p>
      <w:pPr>
        <w:spacing w:after="0" w:line="203"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Commission file number: 1-10686</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MANPOWER INC.</w:t>
      </w:r>
    </w:p>
    <w:p>
      <w:pPr>
        <w:jc w:val="center"/>
        <w:ind w:right="32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0" w:gutter="0" w:footer="0" w:header="0"/>
        </w:sectPr>
      </w:pP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39-1672779</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4660" w:space="720"/>
            <w:col w:w="4839"/>
          </w:cols>
          <w:pgMar w:left="240" w:top="447" w:right="1440" w:bottom="0" w:gutter="0" w:footer="0" w:header="0"/>
          <w:type w:val="continuous"/>
        </w:sectPr>
      </w:pPr>
    </w:p>
    <w:p>
      <w:pPr>
        <w:spacing w:after="0" w:line="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5301 N. Ironwood Road</w:t>
      </w:r>
    </w:p>
    <w:p>
      <w:pPr>
        <w:ind w:left="540"/>
        <w:spacing w:after="0" w:line="238" w:lineRule="auto"/>
        <w:rPr>
          <w:sz w:val="20"/>
          <w:szCs w:val="20"/>
          <w:color w:val="auto"/>
        </w:rPr>
      </w:pPr>
      <w:r>
        <w:rPr>
          <w:rFonts w:ascii="Courier New" w:cs="Courier New" w:eastAsia="Courier New" w:hAnsi="Courier New"/>
          <w:sz w:val="18"/>
          <w:szCs w:val="18"/>
          <w:color w:val="auto"/>
        </w:rPr>
        <w:t>Milwaukee, Wisconsin</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53217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080" w:space="720"/>
            <w:col w:w="4419"/>
          </w:cols>
          <w:pgMar w:left="240" w:top="447" w:right="1440" w:bottom="0" w:gutter="0" w:footer="0" w:header="0"/>
          <w:type w:val="continuous"/>
        </w:sectPr>
      </w:pPr>
    </w:p>
    <w:p>
      <w:pPr>
        <w:spacing w:after="0" w:line="18" w:lineRule="exact"/>
        <w:rPr>
          <w:sz w:val="24"/>
          <w:szCs w:val="24"/>
          <w:color w:val="auto"/>
        </w:rPr>
      </w:pPr>
    </w:p>
    <w:p>
      <w:pPr>
        <w:ind w:left="320"/>
        <w:spacing w:after="0"/>
        <w:tabs>
          <w:tab w:leader="none" w:pos="58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(414) 961-1000</w:t>
      </w:r>
    </w:p>
    <w:p>
      <w:pPr>
        <w:spacing w:after="0" w:line="207" w:lineRule="exact"/>
        <w:rPr>
          <w:sz w:val="24"/>
          <w:szCs w:val="24"/>
          <w:color w:val="auto"/>
        </w:rPr>
      </w:pPr>
    </w:p>
    <w:p>
      <w:pPr>
        <w:jc w:val="both"/>
        <w:ind w:left="540" w:right="3479"/>
        <w:spacing w:after="0" w:line="26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120"/>
        <w:spacing w:after="0"/>
        <w:tabs>
          <w:tab w:leader="none" w:pos="3040" w:val="left"/>
          <w:tab w:leader="none" w:pos="3880" w:val="left"/>
          <w:tab w:leader="none" w:pos="45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 ]</w:t>
      </w:r>
    </w:p>
    <w:p>
      <w:pPr>
        <w:spacing w:after="0" w:line="207" w:lineRule="exact"/>
        <w:rPr>
          <w:sz w:val="24"/>
          <w:szCs w:val="24"/>
          <w:color w:val="auto"/>
        </w:rPr>
      </w:pPr>
    </w:p>
    <w:p>
      <w:pPr>
        <w:ind w:left="540" w:right="3779"/>
        <w:spacing w:after="0" w:line="236"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Class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Shares</w:t>
      </w:r>
    </w:p>
    <w:p>
      <w:pPr>
        <w:ind w:left="220"/>
        <w:spacing w:after="0" w:line="238" w:lineRule="auto"/>
        <w:rPr>
          <w:sz w:val="20"/>
          <w:szCs w:val="20"/>
          <w:color w:val="auto"/>
        </w:rPr>
      </w:pPr>
      <w:r>
        <w:rPr>
          <w:rFonts w:ascii="Courier New" w:cs="Courier New" w:eastAsia="Courier New" w:hAnsi="Courier New"/>
          <w:sz w:val="18"/>
          <w:szCs w:val="18"/>
          <w:color w:val="auto"/>
        </w:rPr>
        <w:t>Outstanding</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at June 30, 2000</w:t>
      </w:r>
    </w:p>
    <w:p>
      <w:pPr>
        <w:spacing w:after="0" w:line="200" w:lineRule="exact"/>
        <w:rPr>
          <w:sz w:val="24"/>
          <w:szCs w:val="24"/>
          <w:color w:val="auto"/>
        </w:rPr>
      </w:pPr>
    </w:p>
    <w:p>
      <w:pPr>
        <w:sectPr>
          <w:pgSz w:w="11900" w:h="16838" w:orient="portrait"/>
          <w:cols w:equalWidth="0" w:num="2">
            <w:col w:w="4660" w:space="720"/>
            <w:col w:w="4839"/>
          </w:cols>
          <w:pgMar w:left="240" w:top="447" w:right="1440" w:bottom="0" w:gutter="0" w:footer="0" w:header="0"/>
          <w:type w:val="continuous"/>
        </w:sectPr>
      </w:pPr>
    </w:p>
    <w:p>
      <w:pPr>
        <w:spacing w:after="0" w:line="2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Common Stock, $.01 par value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75,803,257</w:t>
      </w:r>
    </w:p>
    <w:p>
      <w:pPr>
        <w:spacing w:after="0" w:line="200" w:lineRule="exact"/>
        <w:rPr>
          <w:sz w:val="24"/>
          <w:szCs w:val="24"/>
          <w:color w:val="auto"/>
        </w:rPr>
      </w:pPr>
    </w:p>
    <w:p>
      <w:pPr>
        <w:sectPr>
          <w:pgSz w:w="11900" w:h="16838" w:orient="portrait"/>
          <w:cols w:equalWidth="0" w:num="2">
            <w:col w:w="4880" w:space="720"/>
            <w:col w:w="46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5220" w:type="dxa"/>
            <w:vAlign w:val="bottom"/>
          </w:tcPr>
          <w:p>
            <w:pPr>
              <w:ind w:left="900"/>
              <w:spacing w:after="0"/>
              <w:rPr>
                <w:sz w:val="20"/>
                <w:szCs w:val="20"/>
                <w:color w:val="auto"/>
              </w:rPr>
            </w:pPr>
            <w:r>
              <w:rPr>
                <w:rFonts w:ascii="Courier New" w:cs="Courier New" w:eastAsia="Courier New" w:hAnsi="Courier New"/>
                <w:sz w:val="18"/>
                <w:szCs w:val="18"/>
                <w:color w:val="auto"/>
              </w:rPr>
              <w:t>MANPOWER INC. AND SUBSIDIARIES</w:t>
            </w:r>
          </w:p>
        </w:tc>
        <w:tc>
          <w:tcPr>
            <w:tcW w:w="840" w:type="dxa"/>
            <w:vAlign w:val="bottom"/>
          </w:tcPr>
          <w:p>
            <w:pPr>
              <w:spacing w:after="0"/>
              <w:rPr>
                <w:sz w:val="17"/>
                <w:szCs w:val="17"/>
                <w:color w:val="auto"/>
              </w:rPr>
            </w:pPr>
          </w:p>
        </w:tc>
      </w:tr>
      <w:tr>
        <w:trPr>
          <w:trHeight w:val="608"/>
        </w:trPr>
        <w:tc>
          <w:tcPr>
            <w:tcW w:w="900" w:type="dxa"/>
            <w:vAlign w:val="bottom"/>
          </w:tcPr>
          <w:p>
            <w:pPr>
              <w:spacing w:after="0"/>
              <w:rPr>
                <w:sz w:val="24"/>
                <w:szCs w:val="24"/>
                <w:color w:val="auto"/>
              </w:rPr>
            </w:pPr>
          </w:p>
        </w:tc>
        <w:tc>
          <w:tcPr>
            <w:tcW w:w="5220" w:type="dxa"/>
            <w:vAlign w:val="bottom"/>
          </w:tcPr>
          <w:p>
            <w:pPr>
              <w:ind w:left="2260"/>
              <w:spacing w:after="0"/>
              <w:rPr>
                <w:sz w:val="20"/>
                <w:szCs w:val="20"/>
                <w:color w:val="auto"/>
              </w:rPr>
            </w:pPr>
            <w:r>
              <w:rPr>
                <w:rFonts w:ascii="Courier New" w:cs="Courier New" w:eastAsia="Courier New" w:hAnsi="Courier New"/>
                <w:sz w:val="18"/>
                <w:szCs w:val="18"/>
                <w:color w:val="auto"/>
              </w:rPr>
              <w:t>INDEX</w:t>
            </w:r>
          </w:p>
        </w:tc>
        <w:tc>
          <w:tcPr>
            <w:tcW w:w="840" w:type="dxa"/>
            <w:vAlign w:val="bottom"/>
          </w:tcPr>
          <w:p>
            <w:pPr>
              <w:spacing w:after="0"/>
              <w:rPr>
                <w:sz w:val="24"/>
                <w:szCs w:val="24"/>
                <w:color w:val="auto"/>
              </w:rPr>
            </w:pPr>
          </w:p>
        </w:tc>
      </w:tr>
      <w:tr>
        <w:trPr>
          <w:trHeight w:val="405"/>
        </w:trPr>
        <w:tc>
          <w:tcPr>
            <w:tcW w:w="9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9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5220" w:type="dxa"/>
            <w:vAlign w:val="bottom"/>
          </w:tcPr>
          <w:p>
            <w:pPr>
              <w:ind w:left="160"/>
              <w:spacing w:after="0"/>
              <w:rPr>
                <w:sz w:val="20"/>
                <w:szCs w:val="20"/>
                <w:color w:val="auto"/>
              </w:rPr>
            </w:pPr>
            <w:r>
              <w:rPr>
                <w:rFonts w:ascii="Courier New" w:cs="Courier New" w:eastAsia="Courier New" w:hAnsi="Courier New"/>
                <w:sz w:val="18"/>
                <w:szCs w:val="18"/>
                <w:color w:val="auto"/>
              </w:rPr>
              <w:t>FINANCIAL INFORMATION</w:t>
            </w:r>
          </w:p>
        </w:tc>
        <w:tc>
          <w:tcPr>
            <w:tcW w:w="840" w:type="dxa"/>
            <w:vAlign w:val="bottom"/>
          </w:tcPr>
          <w:p>
            <w:pPr>
              <w:spacing w:after="0"/>
              <w:rPr>
                <w:sz w:val="24"/>
                <w:szCs w:val="24"/>
                <w:color w:val="auto"/>
              </w:rPr>
            </w:pP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Item 1</w:t>
            </w:r>
          </w:p>
        </w:tc>
        <w:tc>
          <w:tcPr>
            <w:tcW w:w="5220" w:type="dxa"/>
            <w:vAlign w:val="bottom"/>
          </w:tcPr>
          <w:p>
            <w:pPr>
              <w:ind w:left="160"/>
              <w:spacing w:after="0"/>
              <w:rPr>
                <w:sz w:val="20"/>
                <w:szCs w:val="20"/>
                <w:color w:val="auto"/>
              </w:rPr>
            </w:pPr>
            <w:r>
              <w:rPr>
                <w:rFonts w:ascii="Courier New" w:cs="Courier New" w:eastAsia="Courier New" w:hAnsi="Courier New"/>
                <w:sz w:val="18"/>
                <w:szCs w:val="18"/>
                <w:color w:val="auto"/>
              </w:rPr>
              <w:t>Financial Statements (unaudited)</w:t>
            </w:r>
          </w:p>
        </w:tc>
        <w:tc>
          <w:tcPr>
            <w:tcW w:w="840" w:type="dxa"/>
            <w:vAlign w:val="bottom"/>
          </w:tcPr>
          <w:p>
            <w:pPr>
              <w:spacing w:after="0"/>
              <w:rPr>
                <w:sz w:val="24"/>
                <w:szCs w:val="24"/>
                <w:color w:val="auto"/>
              </w:rPr>
            </w:pPr>
          </w:p>
        </w:tc>
      </w:tr>
      <w:tr>
        <w:trPr>
          <w:trHeight w:val="405"/>
        </w:trPr>
        <w:tc>
          <w:tcPr>
            <w:tcW w:w="900" w:type="dxa"/>
            <w:vAlign w:val="bottom"/>
          </w:tcPr>
          <w:p>
            <w:pPr>
              <w:spacing w:after="0"/>
              <w:rPr>
                <w:sz w:val="24"/>
                <w:szCs w:val="24"/>
                <w:color w:val="auto"/>
              </w:rPr>
            </w:pPr>
          </w:p>
        </w:tc>
        <w:tc>
          <w:tcPr>
            <w:tcW w:w="5220" w:type="dxa"/>
            <w:vAlign w:val="bottom"/>
          </w:tcPr>
          <w:p>
            <w:pPr>
              <w:ind w:left="480"/>
              <w:spacing w:after="0"/>
              <w:rPr>
                <w:sz w:val="20"/>
                <w:szCs w:val="20"/>
                <w:color w:val="auto"/>
              </w:rPr>
            </w:pPr>
            <w:r>
              <w:rPr>
                <w:rFonts w:ascii="Courier New" w:cs="Courier New" w:eastAsia="Courier New" w:hAnsi="Courier New"/>
                <w:sz w:val="18"/>
                <w:szCs w:val="18"/>
                <w:color w:val="auto"/>
              </w:rPr>
              <w:t>Consolidated Balance Sheets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3 - 4</w:t>
            </w:r>
          </w:p>
        </w:tc>
      </w:tr>
      <w:tr>
        <w:trPr>
          <w:trHeight w:val="405"/>
        </w:trPr>
        <w:tc>
          <w:tcPr>
            <w:tcW w:w="900" w:type="dxa"/>
            <w:vAlign w:val="bottom"/>
          </w:tcPr>
          <w:p>
            <w:pPr>
              <w:spacing w:after="0"/>
              <w:rPr>
                <w:sz w:val="24"/>
                <w:szCs w:val="24"/>
                <w:color w:val="auto"/>
              </w:rPr>
            </w:pPr>
          </w:p>
        </w:tc>
        <w:tc>
          <w:tcPr>
            <w:tcW w:w="5220" w:type="dxa"/>
            <w:vAlign w:val="bottom"/>
          </w:tcPr>
          <w:p>
            <w:pPr>
              <w:ind w:left="480"/>
              <w:spacing w:after="0"/>
              <w:rPr>
                <w:sz w:val="20"/>
                <w:szCs w:val="20"/>
                <w:color w:val="auto"/>
              </w:rPr>
            </w:pPr>
            <w:r>
              <w:rPr>
                <w:rFonts w:ascii="Courier New" w:cs="Courier New" w:eastAsia="Courier New" w:hAnsi="Courier New"/>
                <w:sz w:val="18"/>
                <w:szCs w:val="18"/>
                <w:color w:val="auto"/>
              </w:rPr>
              <w:t>Consolidated Statements of Operations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900" w:type="dxa"/>
            <w:vAlign w:val="bottom"/>
          </w:tcPr>
          <w:p>
            <w:pPr>
              <w:spacing w:after="0"/>
              <w:rPr>
                <w:sz w:val="24"/>
                <w:szCs w:val="24"/>
                <w:color w:val="auto"/>
              </w:rPr>
            </w:pPr>
          </w:p>
        </w:tc>
        <w:tc>
          <w:tcPr>
            <w:tcW w:w="5220" w:type="dxa"/>
            <w:vAlign w:val="bottom"/>
          </w:tcPr>
          <w:p>
            <w:pPr>
              <w:ind w:left="480"/>
              <w:spacing w:after="0"/>
              <w:rPr>
                <w:sz w:val="20"/>
                <w:szCs w:val="20"/>
                <w:color w:val="auto"/>
              </w:rPr>
            </w:pPr>
            <w:r>
              <w:rPr>
                <w:rFonts w:ascii="Courier New" w:cs="Courier New" w:eastAsia="Courier New" w:hAnsi="Courier New"/>
                <w:sz w:val="18"/>
                <w:szCs w:val="18"/>
                <w:color w:val="auto"/>
              </w:rPr>
              <w:t>Consolidated Statements of Cash Flows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900" w:type="dxa"/>
            <w:vAlign w:val="bottom"/>
          </w:tcPr>
          <w:p>
            <w:pPr>
              <w:spacing w:after="0"/>
              <w:rPr>
                <w:sz w:val="24"/>
                <w:szCs w:val="24"/>
                <w:color w:val="auto"/>
              </w:rPr>
            </w:pPr>
          </w:p>
        </w:tc>
        <w:tc>
          <w:tcPr>
            <w:tcW w:w="5220" w:type="dxa"/>
            <w:vAlign w:val="bottom"/>
          </w:tcPr>
          <w:p>
            <w:pPr>
              <w:ind w:left="480"/>
              <w:spacing w:after="0"/>
              <w:rPr>
                <w:sz w:val="20"/>
                <w:szCs w:val="20"/>
                <w:color w:val="auto"/>
              </w:rPr>
            </w:pPr>
            <w:r>
              <w:rPr>
                <w:rFonts w:ascii="Courier New" w:cs="Courier New" w:eastAsia="Courier New" w:hAnsi="Courier New"/>
                <w:sz w:val="18"/>
                <w:szCs w:val="18"/>
                <w:color w:val="auto"/>
              </w:rPr>
              <w:t>Notes to Consolidated Financial Statements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7 - 10</w:t>
            </w:r>
          </w:p>
        </w:tc>
      </w:tr>
      <w:tr>
        <w:trPr>
          <w:trHeight w:val="608"/>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Item 2</w:t>
            </w:r>
          </w:p>
        </w:tc>
        <w:tc>
          <w:tcPr>
            <w:tcW w:w="5220" w:type="dxa"/>
            <w:vAlign w:val="bottom"/>
          </w:tcPr>
          <w:p>
            <w:pPr>
              <w:ind w:left="160"/>
              <w:spacing w:after="0"/>
              <w:rPr>
                <w:sz w:val="20"/>
                <w:szCs w:val="20"/>
                <w:color w:val="auto"/>
              </w:rPr>
            </w:pPr>
            <w:r>
              <w:rPr>
                <w:rFonts w:ascii="Courier New" w:cs="Courier New" w:eastAsia="Courier New" w:hAnsi="Courier New"/>
                <w:sz w:val="18"/>
                <w:szCs w:val="18"/>
                <w:color w:val="auto"/>
              </w:rPr>
              <w:t>Management's Discussion and Analysis of</w:t>
            </w:r>
          </w:p>
        </w:tc>
        <w:tc>
          <w:tcPr>
            <w:tcW w:w="84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5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Financial Condition and Results of Operations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11 - 14</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Item 3</w:t>
            </w:r>
          </w:p>
        </w:tc>
        <w:tc>
          <w:tcPr>
            <w:tcW w:w="5220" w:type="dxa"/>
            <w:vAlign w:val="bottom"/>
          </w:tcPr>
          <w:p>
            <w:pPr>
              <w:ind w:left="160"/>
              <w:spacing w:after="0"/>
              <w:rPr>
                <w:sz w:val="20"/>
                <w:szCs w:val="20"/>
                <w:color w:val="auto"/>
              </w:rPr>
            </w:pPr>
            <w:r>
              <w:rPr>
                <w:rFonts w:ascii="Courier New" w:cs="Courier New" w:eastAsia="Courier New" w:hAnsi="Courier New"/>
                <w:sz w:val="18"/>
                <w:szCs w:val="18"/>
                <w:color w:val="auto"/>
              </w:rPr>
              <w:t>Quantitative and Qualitative Disclosures About</w:t>
            </w:r>
          </w:p>
        </w:tc>
        <w:tc>
          <w:tcPr>
            <w:tcW w:w="840" w:type="dxa"/>
            <w:vAlign w:val="bottom"/>
          </w:tcPr>
          <w:p>
            <w:pPr>
              <w:spacing w:after="0"/>
              <w:rPr>
                <w:sz w:val="24"/>
                <w:szCs w:val="24"/>
                <w:color w:val="auto"/>
              </w:rPr>
            </w:pPr>
          </w:p>
        </w:tc>
      </w:tr>
    </w:tbl>
    <w:p>
      <w:pPr>
        <w:sectPr>
          <w:pgSz w:w="11900" w:h="16838" w:orient="portrait"/>
          <w:cols w:equalWidth="0" w:num="1">
            <w:col w:w="10219"/>
          </w:cols>
          <w:pgMar w:left="240" w:top="447"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ind w:left="380"/>
              <w:spacing w:after="0"/>
              <w:rPr>
                <w:sz w:val="20"/>
                <w:szCs w:val="20"/>
                <w:color w:val="auto"/>
              </w:rPr>
            </w:pPr>
            <w:r>
              <w:rPr>
                <w:rFonts w:ascii="Courier New" w:cs="Courier New" w:eastAsia="Courier New" w:hAnsi="Courier New"/>
                <w:sz w:val="18"/>
                <w:szCs w:val="18"/>
                <w:color w:val="auto"/>
              </w:rPr>
              <w:t>Market</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Risk</w:t>
            </w:r>
          </w:p>
        </w:tc>
        <w:tc>
          <w:tcPr>
            <w:tcW w:w="3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608"/>
        </w:trPr>
        <w:tc>
          <w:tcPr>
            <w:tcW w:w="9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5"/>
              </w:rPr>
              <w:t>PART II</w:t>
            </w:r>
          </w:p>
        </w:tc>
        <w:tc>
          <w:tcPr>
            <w:tcW w:w="24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OTHER INFORMATION AND</w:t>
            </w:r>
          </w:p>
        </w:tc>
        <w:tc>
          <w:tcPr>
            <w:tcW w:w="3280" w:type="dxa"/>
            <w:vAlign w:val="bottom"/>
          </w:tcPr>
          <w:p>
            <w:pPr>
              <w:jc w:val="right"/>
              <w:ind w:right="2072"/>
              <w:spacing w:after="0"/>
              <w:rPr>
                <w:sz w:val="20"/>
                <w:szCs w:val="20"/>
                <w:color w:val="auto"/>
              </w:rPr>
            </w:pPr>
            <w:r>
              <w:rPr>
                <w:rFonts w:ascii="Courier New" w:cs="Courier New" w:eastAsia="Courier New" w:hAnsi="Courier New"/>
                <w:sz w:val="18"/>
                <w:szCs w:val="18"/>
                <w:color w:val="auto"/>
              </w:rPr>
              <w:t>SIGNATURES</w:t>
            </w:r>
          </w:p>
        </w:tc>
        <w:tc>
          <w:tcPr>
            <w:tcW w:w="360" w:type="dxa"/>
            <w:vAlign w:val="bottom"/>
          </w:tcPr>
          <w:p>
            <w:pPr>
              <w:spacing w:after="0"/>
              <w:rPr>
                <w:sz w:val="24"/>
                <w:szCs w:val="24"/>
                <w:color w:val="auto"/>
              </w:rPr>
            </w:pPr>
          </w:p>
        </w:tc>
      </w:tr>
      <w:tr>
        <w:trPr>
          <w:trHeight w:val="405"/>
        </w:trPr>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w:t>
            </w:r>
          </w:p>
        </w:tc>
        <w:tc>
          <w:tcPr>
            <w:tcW w:w="24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Submission of Matters</w:t>
            </w:r>
          </w:p>
        </w:tc>
        <w:tc>
          <w:tcPr>
            <w:tcW w:w="3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to a Vote of Security Holders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Exhibits</w:t>
            </w:r>
          </w:p>
        </w:tc>
        <w:tc>
          <w:tcPr>
            <w:tcW w:w="4640" w:type="dxa"/>
            <w:vAlign w:val="bottom"/>
            <w:gridSpan w:val="2"/>
          </w:tcPr>
          <w:p>
            <w:pPr>
              <w:jc w:val="right"/>
              <w:ind w:right="2072"/>
              <w:spacing w:after="0"/>
              <w:rPr>
                <w:sz w:val="20"/>
                <w:szCs w:val="20"/>
                <w:color w:val="auto"/>
              </w:rPr>
            </w:pPr>
            <w:r>
              <w:rPr>
                <w:rFonts w:ascii="Courier New" w:cs="Courier New" w:eastAsia="Courier New" w:hAnsi="Courier New"/>
                <w:sz w:val="18"/>
                <w:szCs w:val="18"/>
                <w:color w:val="auto"/>
                <w:w w:val="99"/>
              </w:rPr>
              <w:t>and Reports on Form 8-K</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19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Signatures</w:t>
            </w:r>
          </w:p>
        </w:tc>
        <w:tc>
          <w:tcPr>
            <w:tcW w:w="1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bl>
    <w:p>
      <w:pPr>
        <w:sectPr>
          <w:pgSz w:w="11900" w:h="16838" w:orient="portrait"/>
          <w:cols w:equalWidth="0" w:num="1">
            <w:col w:w="10219"/>
          </w:cols>
          <w:pgMar w:left="240" w:top="136" w:right="1440" w:bottom="1440" w:gutter="0" w:footer="0" w:header="0"/>
        </w:sectPr>
      </w:pPr>
    </w:p>
    <w:bookmarkStart w:id="2" w:name="page3"/>
    <w:bookmarkEnd w:id="2"/>
    <w:p>
      <w:pPr>
        <w:ind w:left="1800"/>
        <w:spacing w:after="0"/>
        <w:rPr>
          <w:sz w:val="20"/>
          <w:szCs w:val="20"/>
          <w:color w:val="auto"/>
        </w:rPr>
      </w:pPr>
      <w:r>
        <w:rPr>
          <w:rFonts w:ascii="Courier New" w:cs="Courier New" w:eastAsia="Courier New" w:hAnsi="Courier New"/>
          <w:sz w:val="18"/>
          <w:szCs w:val="18"/>
          <w:color w:val="auto"/>
        </w:rPr>
        <w:t>PART I - FINANCIAL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 Financial Statements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MANPOWER INC. AND SUBSIDIARIES</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Consolidated Balance Sheets</w:t>
      </w:r>
    </w:p>
    <w:p>
      <w:pPr>
        <w:jc w:val="center"/>
        <w:ind w:right="3359"/>
        <w:spacing w:after="0" w:line="238" w:lineRule="auto"/>
        <w:rPr>
          <w:sz w:val="20"/>
          <w:szCs w:val="20"/>
          <w:color w:val="auto"/>
        </w:rPr>
      </w:pPr>
      <w:r>
        <w:rPr>
          <w:rFonts w:ascii="Courier New" w:cs="Courier New" w:eastAsia="Courier New" w:hAnsi="Courier New"/>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ind w:left="3060"/>
              <w:spacing w:after="0"/>
              <w:rPr>
                <w:sz w:val="20"/>
                <w:szCs w:val="20"/>
                <w:color w:val="auto"/>
              </w:rPr>
            </w:pPr>
            <w:r>
              <w:rPr>
                <w:rFonts w:ascii="Courier New" w:cs="Courier New" w:eastAsia="Courier New" w:hAnsi="Courier New"/>
                <w:sz w:val="18"/>
                <w:szCs w:val="18"/>
                <w:color w:val="auto"/>
              </w:rPr>
              <w:t>ASSETS</w:t>
            </w: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4320" w:type="dxa"/>
            <w:vAlign w:val="bottom"/>
          </w:tcPr>
          <w:p>
            <w:pPr>
              <w:spacing w:after="0"/>
              <w:rPr>
                <w:sz w:val="24"/>
                <w:szCs w:val="24"/>
                <w:color w:val="auto"/>
              </w:rPr>
            </w:pPr>
          </w:p>
        </w:tc>
        <w:tc>
          <w:tcPr>
            <w:tcW w:w="1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June 30,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32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432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1420" w:type="dxa"/>
            <w:vAlign w:val="bottom"/>
          </w:tcPr>
          <w:p>
            <w:pPr>
              <w:spacing w:after="0"/>
              <w:rPr>
                <w:sz w:val="17"/>
                <w:szCs w:val="17"/>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144.5</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241.7</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less allowance for</w:t>
            </w: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doubtful accounts of $53.0 and $47.1,</w:t>
            </w: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respectively</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2,121.7</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1,897.6</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61.7</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Future income tax benefits</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55.2</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52.0</w:t>
            </w:r>
          </w:p>
        </w:tc>
      </w:tr>
      <w:tr>
        <w:trPr>
          <w:trHeight w:val="203"/>
        </w:trPr>
        <w:tc>
          <w:tcPr>
            <w:tcW w:w="432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2,383.1</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2,257.3</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Investments in licensees</w:t>
            </w:r>
          </w:p>
        </w:tc>
        <w:tc>
          <w:tcPr>
            <w:tcW w:w="16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37.6</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37.0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less accumulated</w:t>
            </w: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$21.4 and $16.3,</w:t>
            </w: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respectively</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214.1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89.4</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169.1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152.6</w:t>
            </w:r>
          </w:p>
        </w:tc>
      </w:tr>
      <w:tr>
        <w:trPr>
          <w:trHeight w:val="203"/>
        </w:trPr>
        <w:tc>
          <w:tcPr>
            <w:tcW w:w="432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420.8</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279.0</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Land, buildings, leasehold improvements</w:t>
            </w: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equipment</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429.4</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416.1</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 and</w:t>
            </w: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249.6</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233.7</w:t>
            </w:r>
          </w:p>
        </w:tc>
      </w:tr>
      <w:tr>
        <w:trPr>
          <w:trHeight w:val="203"/>
        </w:trPr>
        <w:tc>
          <w:tcPr>
            <w:tcW w:w="432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property and equipment</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179.8</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182.4</w:t>
            </w:r>
          </w:p>
        </w:tc>
      </w:tr>
      <w:tr>
        <w:trPr>
          <w:trHeight w:val="203"/>
        </w:trPr>
        <w:tc>
          <w:tcPr>
            <w:tcW w:w="432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assets</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$2,983.7</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$2,718.7</w:t>
            </w:r>
          </w:p>
        </w:tc>
      </w:tr>
      <w:tr>
        <w:trPr>
          <w:trHeight w:val="203"/>
        </w:trPr>
        <w:tc>
          <w:tcPr>
            <w:tcW w:w="432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The accompanying notes to consolidated financial statements</w:t>
      </w:r>
    </w:p>
    <w:p>
      <w:pPr>
        <w:jc w:val="center"/>
        <w:ind w:right="3359"/>
        <w:spacing w:after="0" w:line="238" w:lineRule="auto"/>
        <w:rPr>
          <w:sz w:val="20"/>
          <w:szCs w:val="20"/>
          <w:color w:val="auto"/>
        </w:rPr>
      </w:pPr>
      <w:r>
        <w:rPr>
          <w:rFonts w:ascii="Courier New" w:cs="Courier New" w:eastAsia="Courier New" w:hAnsi="Courier New"/>
          <w:sz w:val="18"/>
          <w:szCs w:val="18"/>
          <w:color w:val="auto"/>
        </w:rPr>
        <w:t>are an integral part of these balance sheets.</w:t>
      </w:r>
    </w:p>
    <w:p>
      <w:pPr>
        <w:sectPr>
          <w:pgSz w:w="11900" w:h="16838" w:orient="portrait"/>
          <w:cols w:equalWidth="0" w:num="1">
            <w:col w:w="10219"/>
          </w:cols>
          <w:pgMar w:left="240" w:top="717" w:right="1440" w:bottom="1440" w:gutter="0" w:footer="0" w:header="0"/>
        </w:sectPr>
      </w:pPr>
    </w:p>
    <w:bookmarkStart w:id="3" w:name="page4"/>
    <w:bookmarkEnd w:id="3"/>
    <w:p>
      <w:pPr>
        <w:ind w:left="1800"/>
        <w:spacing w:after="0"/>
        <w:rPr>
          <w:sz w:val="20"/>
          <w:szCs w:val="20"/>
          <w:color w:val="auto"/>
        </w:rPr>
      </w:pPr>
      <w:r>
        <w:rPr>
          <w:rFonts w:ascii="Courier New" w:cs="Courier New" w:eastAsia="Courier New" w:hAnsi="Courier New"/>
          <w:sz w:val="18"/>
          <w:szCs w:val="18"/>
          <w:color w:val="auto"/>
        </w:rPr>
        <w:t>MANPOWER INC. AND SUBSIDIARIES</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Consolidated Balance Sheets</w:t>
      </w:r>
    </w:p>
    <w:p>
      <w:pPr>
        <w:ind w:left="1700"/>
        <w:spacing w:after="0" w:line="238" w:lineRule="auto"/>
        <w:rPr>
          <w:sz w:val="20"/>
          <w:szCs w:val="20"/>
          <w:color w:val="auto"/>
        </w:rPr>
      </w:pPr>
      <w:r>
        <w:rPr>
          <w:rFonts w:ascii="Courier New" w:cs="Courier New" w:eastAsia="Courier New" w:hAnsi="Courier New"/>
          <w:sz w:val="18"/>
          <w:szCs w:val="18"/>
          <w:color w:val="auto"/>
        </w:rPr>
        <w:t>(in millions, except share data)</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LIABILITIES AND SHAREHOLDERS' EQUITY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June 30,</w:t>
            </w:r>
          </w:p>
        </w:tc>
        <w:tc>
          <w:tcPr>
            <w:tcW w:w="1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74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840" w:type="dxa"/>
            <w:vAlign w:val="bottom"/>
          </w:tcPr>
          <w:p>
            <w:pPr>
              <w:spacing w:after="0"/>
              <w:rPr>
                <w:sz w:val="17"/>
                <w:szCs w:val="17"/>
                <w:color w:val="auto"/>
              </w:rPr>
            </w:pPr>
          </w:p>
        </w:tc>
      </w:tr>
      <w:tr>
        <w:trPr>
          <w:trHeight w:val="203"/>
        </w:trPr>
        <w:tc>
          <w:tcPr>
            <w:tcW w:w="5860" w:type="dxa"/>
            <w:vAlign w:val="bottom"/>
            <w:gridSpan w:val="2"/>
          </w:tcPr>
          <w:p>
            <w:pPr>
              <w:ind w:left="4640"/>
              <w:spacing w:after="0" w:line="203" w:lineRule="exact"/>
              <w:rPr>
                <w:sz w:val="20"/>
                <w:szCs w:val="20"/>
                <w:color w:val="auto"/>
              </w:rPr>
            </w:pPr>
            <w:r>
              <w:rPr>
                <w:rFonts w:ascii="Courier New" w:cs="Courier New" w:eastAsia="Courier New" w:hAnsi="Courier New"/>
                <w:sz w:val="18"/>
                <w:szCs w:val="18"/>
                <w:color w:val="auto"/>
              </w:rPr>
              <w:t>(Unaudited)</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Accounts payable</w:t>
            </w: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  471.2</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388.0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compensation payable</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71.8</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71.9</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193.5</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180.2</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payroll taxes and insurance</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334.9</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340.9</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added taxes payable</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307.8</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305.6</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borrowings and current</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maturities of long-term debt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134.1</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131.5</w:t>
            </w:r>
          </w:p>
        </w:tc>
      </w:tr>
      <w:tr>
        <w:trPr>
          <w:trHeight w:val="203"/>
        </w:trPr>
        <w:tc>
          <w:tcPr>
            <w:tcW w:w="474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1,513.3</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1,418.1</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OTHER LIABILITIES:</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513.9</w:t>
            </w:r>
          </w:p>
        </w:tc>
        <w:tc>
          <w:tcPr>
            <w:tcW w:w="6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357.5</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long-term liabilities</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302.5</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292.5</w:t>
            </w:r>
          </w:p>
        </w:tc>
      </w:tr>
      <w:tr>
        <w:trPr>
          <w:trHeight w:val="203"/>
        </w:trPr>
        <w:tc>
          <w:tcPr>
            <w:tcW w:w="474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other liabilities</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816.4</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650.0</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Preferred stock, $.01 par value, authorized</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25,000,000 shares, none issued</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$.01 par value, authorized</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125,000,000 shares, issued 84,573,557 and</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84,272,460 shares, respectively</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0.8</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1,628.0</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1,621.4</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(597.0)</w:t>
            </w:r>
          </w:p>
        </w:tc>
        <w:tc>
          <w:tcPr>
            <w:tcW w:w="6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(653.0)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Accumulated other comprehensive income (loss)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(133.5)</w:t>
            </w:r>
          </w:p>
        </w:tc>
        <w:tc>
          <w:tcPr>
            <w:tcW w:w="6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Treasury stock at cost, 8,770,300 and</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8,286,400 shares, respectively</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(244.3)</w:t>
            </w:r>
          </w:p>
        </w:tc>
        <w:tc>
          <w:tcPr>
            <w:tcW w:w="6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(229.8)</w:t>
            </w:r>
          </w:p>
        </w:tc>
      </w:tr>
      <w:tr>
        <w:trPr>
          <w:trHeight w:val="203"/>
        </w:trPr>
        <w:tc>
          <w:tcPr>
            <w:tcW w:w="474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654.0</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650.6</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liabilities and shareholders'</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equity</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$2,983.7</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$2,718.7</w:t>
            </w:r>
          </w:p>
        </w:tc>
      </w:tr>
      <w:tr>
        <w:trPr>
          <w:trHeight w:val="203"/>
        </w:trPr>
        <w:tc>
          <w:tcPr>
            <w:tcW w:w="474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The accompanying notes to consolidated financial statements</w:t>
      </w:r>
    </w:p>
    <w:p>
      <w:pPr>
        <w:jc w:val="center"/>
        <w:ind w:right="3359"/>
        <w:spacing w:after="0" w:line="238" w:lineRule="auto"/>
        <w:rPr>
          <w:sz w:val="20"/>
          <w:szCs w:val="20"/>
          <w:color w:val="auto"/>
        </w:rPr>
      </w:pPr>
      <w:r>
        <w:rPr>
          <w:rFonts w:ascii="Courier New" w:cs="Courier New" w:eastAsia="Courier New" w:hAnsi="Courier New"/>
          <w:sz w:val="18"/>
          <w:szCs w:val="18"/>
          <w:color w:val="auto"/>
        </w:rPr>
        <w:t>are an integral part of these balance sheets.</w:t>
      </w:r>
    </w:p>
    <w:p>
      <w:pPr>
        <w:sectPr>
          <w:pgSz w:w="11900" w:h="16838" w:orient="portrait"/>
          <w:cols w:equalWidth="0" w:num="1">
            <w:col w:w="10219"/>
          </w:cols>
          <w:pgMar w:left="240" w:top="717" w:right="1440" w:bottom="1440" w:gutter="0" w:footer="0" w:header="0"/>
        </w:sectPr>
      </w:pPr>
    </w:p>
    <w:bookmarkStart w:id="4" w:name="page5"/>
    <w:bookmarkEnd w:id="4"/>
    <w:p>
      <w:pPr>
        <w:ind w:left="1800"/>
        <w:spacing w:after="0"/>
        <w:rPr>
          <w:sz w:val="20"/>
          <w:szCs w:val="20"/>
          <w:color w:val="auto"/>
        </w:rPr>
      </w:pPr>
      <w:r>
        <w:rPr>
          <w:rFonts w:ascii="Courier New" w:cs="Courier New" w:eastAsia="Courier New" w:hAnsi="Courier New"/>
          <w:sz w:val="18"/>
          <w:szCs w:val="18"/>
          <w:color w:val="auto"/>
        </w:rPr>
        <w:t>MANPOWER INC. AND 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Consolidated Statements of Operations (Unaudited)</w:t>
      </w:r>
    </w:p>
    <w:p>
      <w:pPr>
        <w:ind w:left="1480"/>
        <w:spacing w:after="0" w:line="238" w:lineRule="auto"/>
        <w:rPr>
          <w:sz w:val="20"/>
          <w:szCs w:val="20"/>
          <w:color w:val="auto"/>
        </w:rPr>
      </w:pPr>
      <w:r>
        <w:rPr>
          <w:rFonts w:ascii="Courier New" w:cs="Courier New" w:eastAsia="Courier New" w:hAnsi="Courier New"/>
          <w:sz w:val="18"/>
          <w:szCs w:val="18"/>
          <w:color w:val="auto"/>
        </w:rPr>
        <w:t>(in millions,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3"/>
          </w:tcPr>
          <w:p>
            <w:pPr>
              <w:jc w:val="right"/>
              <w:ind w:right="292"/>
              <w:spacing w:after="0"/>
              <w:rPr>
                <w:sz w:val="20"/>
                <w:szCs w:val="20"/>
                <w:color w:val="auto"/>
              </w:rPr>
            </w:pPr>
            <w:r>
              <w:rPr>
                <w:rFonts w:ascii="Courier New" w:cs="Courier New" w:eastAsia="Courier New" w:hAnsi="Courier New"/>
                <w:sz w:val="18"/>
                <w:szCs w:val="18"/>
                <w:color w:val="auto"/>
              </w:rPr>
              <w:t>3 Months Ended</w:t>
            </w:r>
          </w:p>
        </w:tc>
        <w:tc>
          <w:tcPr>
            <w:tcW w:w="160" w:type="dxa"/>
            <w:vAlign w:val="bottom"/>
          </w:tcPr>
          <w:p>
            <w:pPr>
              <w:spacing w:after="0"/>
              <w:rPr>
                <w:sz w:val="17"/>
                <w:szCs w:val="17"/>
                <w:color w:val="auto"/>
              </w:rPr>
            </w:pPr>
          </w:p>
        </w:tc>
        <w:tc>
          <w:tcPr>
            <w:tcW w:w="178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6 Months Ended</w:t>
            </w:r>
          </w:p>
        </w:tc>
      </w:tr>
      <w:tr>
        <w:trPr>
          <w:trHeight w:val="203"/>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30,</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Revenues from services</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$2,714.1</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$2,327.6</w:t>
            </w:r>
          </w:p>
        </w:tc>
        <w:tc>
          <w:tcPr>
            <w:tcW w:w="10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$5,282.4</w:t>
            </w: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$4,502.8</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services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2,236.3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1,922.9</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4,358.6</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3,717.8</w:t>
            </w:r>
          </w:p>
        </w:tc>
      </w:tr>
      <w:tr>
        <w:trPr>
          <w:trHeight w:val="203"/>
        </w:trPr>
        <w:tc>
          <w:tcPr>
            <w:tcW w:w="374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Gross profit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477.8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404.7</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923.8</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785.0</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w w:val="98"/>
              </w:rPr>
              <w:t>Selling and administrative expenses</w:t>
            </w:r>
          </w:p>
        </w:tc>
        <w:tc>
          <w:tcPr>
            <w:tcW w:w="1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408.1</w:t>
            </w:r>
          </w:p>
        </w:tc>
        <w:tc>
          <w:tcPr>
            <w:tcW w:w="1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377.3</w:t>
            </w:r>
          </w:p>
        </w:tc>
        <w:tc>
          <w:tcPr>
            <w:tcW w:w="160" w:type="dxa"/>
            <w:vAlign w:val="bottom"/>
          </w:tcPr>
          <w:p>
            <w:pPr>
              <w:spacing w:after="0"/>
              <w:rPr>
                <w:sz w:val="24"/>
                <w:szCs w:val="24"/>
                <w:color w:val="auto"/>
              </w:rPr>
            </w:pP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803.6</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720.8</w:t>
            </w:r>
          </w:p>
        </w:tc>
      </w:tr>
      <w:tr>
        <w:trPr>
          <w:trHeight w:val="203"/>
        </w:trPr>
        <w:tc>
          <w:tcPr>
            <w:tcW w:w="374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Operating profit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120.2</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Interest and other expense</w:t>
            </w:r>
          </w:p>
        </w:tc>
        <w:tc>
          <w:tcPr>
            <w:tcW w:w="1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10.7</w:t>
            </w:r>
          </w:p>
        </w:tc>
        <w:tc>
          <w:tcPr>
            <w:tcW w:w="1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5.0</w:t>
            </w:r>
          </w:p>
        </w:tc>
        <w:tc>
          <w:tcPr>
            <w:tcW w:w="160" w:type="dxa"/>
            <w:vAlign w:val="bottom"/>
          </w:tcPr>
          <w:p>
            <w:pPr>
              <w:spacing w:after="0"/>
              <w:rPr>
                <w:sz w:val="24"/>
                <w:szCs w:val="24"/>
                <w:color w:val="auto"/>
              </w:rPr>
            </w:pP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21.5</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9.9</w:t>
            </w:r>
          </w:p>
        </w:tc>
      </w:tr>
      <w:tr>
        <w:trPr>
          <w:trHeight w:val="203"/>
        </w:trPr>
        <w:tc>
          <w:tcPr>
            <w:tcW w:w="374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Earnings before income taxes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98.7</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54.3</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21.0</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(9.4)</w:t>
            </w:r>
          </w:p>
        </w:tc>
        <w:tc>
          <w:tcPr>
            <w:tcW w:w="160" w:type="dxa"/>
            <w:vAlign w:val="bottom"/>
          </w:tcPr>
          <w:p>
            <w:pPr>
              <w:spacing w:after="0"/>
              <w:rPr>
                <w:sz w:val="24"/>
                <w:szCs w:val="24"/>
                <w:color w:val="auto"/>
              </w:rPr>
            </w:pP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35.1</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r>
        <w:trPr>
          <w:trHeight w:val="203"/>
        </w:trPr>
        <w:tc>
          <w:tcPr>
            <w:tcW w:w="374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earnings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38.0</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63.6</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52.4</w:t>
            </w:r>
          </w:p>
        </w:tc>
      </w:tr>
      <w:tr>
        <w:trPr>
          <w:trHeight w:val="203"/>
        </w:trPr>
        <w:tc>
          <w:tcPr>
            <w:tcW w:w="374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Net earnings per share</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0.50</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0.41</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0.84</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0.67</w:t>
            </w:r>
          </w:p>
        </w:tc>
      </w:tr>
      <w:tr>
        <w:trPr>
          <w:trHeight w:val="203"/>
        </w:trPr>
        <w:tc>
          <w:tcPr>
            <w:tcW w:w="374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Net earnings per share - diluted</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0.49</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0.40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0.82</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0.66</w:t>
            </w:r>
          </w:p>
        </w:tc>
      </w:tr>
      <w:tr>
        <w:trPr>
          <w:trHeight w:val="203"/>
        </w:trPr>
        <w:tc>
          <w:tcPr>
            <w:tcW w:w="374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74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1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76.0</w:t>
            </w:r>
          </w:p>
        </w:tc>
        <w:tc>
          <w:tcPr>
            <w:tcW w:w="1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77.8</w:t>
            </w:r>
          </w:p>
        </w:tc>
        <w:tc>
          <w:tcPr>
            <w:tcW w:w="160" w:type="dxa"/>
            <w:vAlign w:val="bottom"/>
          </w:tcPr>
          <w:p>
            <w:pPr>
              <w:spacing w:after="0"/>
              <w:rPr>
                <w:sz w:val="24"/>
                <w:szCs w:val="24"/>
                <w:color w:val="auto"/>
              </w:rPr>
            </w:pP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76.0</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78.4</w:t>
            </w:r>
          </w:p>
        </w:tc>
      </w:tr>
      <w:tr>
        <w:trPr>
          <w:trHeight w:val="203"/>
        </w:trPr>
        <w:tc>
          <w:tcPr>
            <w:tcW w:w="374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78.5</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77.2</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79.2</w:t>
            </w:r>
          </w:p>
        </w:tc>
      </w:tr>
      <w:tr>
        <w:trPr>
          <w:trHeight w:val="203"/>
        </w:trPr>
        <w:tc>
          <w:tcPr>
            <w:tcW w:w="374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1280" w:right="3579" w:hanging="842"/>
        <w:spacing w:after="0" w:line="290"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statements.</w:t>
      </w:r>
    </w:p>
    <w:p>
      <w:pPr>
        <w:spacing w:after="0" w:line="200" w:lineRule="exact"/>
        <w:rPr>
          <w:sz w:val="20"/>
          <w:szCs w:val="20"/>
          <w:color w:val="auto"/>
        </w:rPr>
      </w:pPr>
    </w:p>
    <w:p>
      <w:pPr>
        <w:spacing w:after="0" w:line="3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Supplemental Systemwide Information (Unaudited)</w:t>
      </w:r>
    </w:p>
    <w:p>
      <w:pPr>
        <w:jc w:val="center"/>
        <w:ind w:right="3359"/>
        <w:spacing w:after="0" w:line="238" w:lineRule="auto"/>
        <w:rPr>
          <w:sz w:val="20"/>
          <w:szCs w:val="20"/>
          <w:color w:val="auto"/>
        </w:rPr>
      </w:pPr>
      <w:r>
        <w:rPr>
          <w:rFonts w:ascii="Courier New" w:cs="Courier New" w:eastAsia="Courier New" w:hAnsi="Courier New"/>
          <w:sz w:val="18"/>
          <w:szCs w:val="18"/>
          <w:color w:val="auto"/>
        </w:rPr>
        <w:t>(in millions)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680" w:type="dxa"/>
            <w:vAlign w:val="bottom"/>
          </w:tcPr>
          <w:p>
            <w:pPr>
              <w:spacing w:after="0"/>
              <w:rPr>
                <w:sz w:val="17"/>
                <w:szCs w:val="17"/>
                <w:color w:val="auto"/>
              </w:rPr>
            </w:pPr>
          </w:p>
        </w:tc>
        <w:tc>
          <w:tcPr>
            <w:tcW w:w="30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3 Months Ended</w:t>
            </w:r>
          </w:p>
        </w:tc>
        <w:tc>
          <w:tcPr>
            <w:tcW w:w="20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6 Months Ended</w:t>
            </w:r>
          </w:p>
        </w:tc>
      </w:tr>
      <w:tr>
        <w:trPr>
          <w:trHeight w:val="203"/>
        </w:trPr>
        <w:tc>
          <w:tcPr>
            <w:tcW w:w="2680" w:type="dxa"/>
            <w:vAlign w:val="bottom"/>
          </w:tcPr>
          <w:p>
            <w:pPr>
              <w:spacing w:after="0"/>
              <w:rPr>
                <w:sz w:val="17"/>
                <w:szCs w:val="17"/>
                <w:color w:val="auto"/>
              </w:rPr>
            </w:pPr>
          </w:p>
        </w:tc>
        <w:tc>
          <w:tcPr>
            <w:tcW w:w="2000" w:type="dxa"/>
            <w:vAlign w:val="bottom"/>
          </w:tcPr>
          <w:p>
            <w:pPr>
              <w:ind w:left="1520"/>
              <w:spacing w:after="0" w:line="203" w:lineRule="exact"/>
              <w:rPr>
                <w:sz w:val="20"/>
                <w:szCs w:val="20"/>
                <w:color w:val="auto"/>
              </w:rPr>
            </w:pPr>
            <w:r>
              <w:rPr>
                <w:rFonts w:ascii="Courier New" w:cs="Courier New" w:eastAsia="Courier New" w:hAnsi="Courier New"/>
                <w:sz w:val="18"/>
                <w:szCs w:val="18"/>
                <w:color w:val="auto"/>
              </w:rPr>
              <w:t>June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w:t>
            </w:r>
          </w:p>
        </w:tc>
        <w:tc>
          <w:tcPr>
            <w:tcW w:w="11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June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2680" w:type="dxa"/>
            <w:vAlign w:val="bottom"/>
          </w:tcPr>
          <w:p>
            <w:pPr>
              <w:spacing w:after="0"/>
              <w:rPr>
                <w:sz w:val="17"/>
                <w:szCs w:val="17"/>
                <w:color w:val="auto"/>
              </w:rPr>
            </w:pP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r>
      <w:tr>
        <w:trPr>
          <w:trHeight w:val="405"/>
        </w:trPr>
        <w:tc>
          <w:tcPr>
            <w:tcW w:w="2680" w:type="dxa"/>
            <w:vAlign w:val="bottom"/>
          </w:tcPr>
          <w:p>
            <w:pPr>
              <w:spacing w:after="0"/>
              <w:rPr>
                <w:sz w:val="20"/>
                <w:szCs w:val="20"/>
                <w:color w:val="auto"/>
              </w:rPr>
            </w:pPr>
            <w:r>
              <w:rPr>
                <w:rFonts w:ascii="Courier New" w:cs="Courier New" w:eastAsia="Courier New" w:hAnsi="Courier New"/>
                <w:sz w:val="18"/>
                <w:szCs w:val="18"/>
                <w:color w:val="auto"/>
              </w:rPr>
              <w:t>Systemwide Sales</w:t>
            </w:r>
          </w:p>
        </w:tc>
        <w:tc>
          <w:tcPr>
            <w:tcW w:w="2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$3,121.9</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$2,756.1</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$6,097.4</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$5,318.5</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Systemwide information represents the total of Company-owned</w:t>
      </w:r>
    </w:p>
    <w:p>
      <w:pPr>
        <w:jc w:val="center"/>
        <w:ind w:right="3259"/>
        <w:spacing w:after="0" w:line="238" w:lineRule="auto"/>
        <w:rPr>
          <w:sz w:val="20"/>
          <w:szCs w:val="20"/>
          <w:color w:val="auto"/>
        </w:rPr>
      </w:pPr>
      <w:r>
        <w:rPr>
          <w:rFonts w:ascii="Courier New" w:cs="Courier New" w:eastAsia="Courier New" w:hAnsi="Courier New"/>
          <w:sz w:val="18"/>
          <w:szCs w:val="18"/>
          <w:color w:val="auto"/>
        </w:rPr>
        <w:t>branches and franchises.</w:t>
      </w:r>
    </w:p>
    <w:p>
      <w:pPr>
        <w:sectPr>
          <w:pgSz w:w="11900" w:h="16838" w:orient="portrait"/>
          <w:cols w:equalWidth="0" w:num="1">
            <w:col w:w="10219"/>
          </w:cols>
          <w:pgMar w:left="240" w:top="717" w:right="1440" w:bottom="1440" w:gutter="0" w:footer="0" w:header="0"/>
        </w:sectPr>
      </w:pPr>
    </w:p>
    <w:bookmarkStart w:id="5" w:name="page6"/>
    <w:bookmarkEnd w:id="5"/>
    <w:p>
      <w:pPr>
        <w:ind w:left="1800"/>
        <w:spacing w:after="0"/>
        <w:rPr>
          <w:sz w:val="20"/>
          <w:szCs w:val="20"/>
          <w:color w:val="auto"/>
        </w:rPr>
      </w:pPr>
      <w:r>
        <w:rPr>
          <w:rFonts w:ascii="Courier New" w:cs="Courier New" w:eastAsia="Courier New" w:hAnsi="Courier New"/>
          <w:sz w:val="18"/>
          <w:szCs w:val="18"/>
          <w:color w:val="auto"/>
        </w:rPr>
        <w:t>MANPOWER INC. AND SUBSIDIARIES</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Consolidated Statements of Cash Flows (Unaudited)</w:t>
      </w:r>
    </w:p>
    <w:p>
      <w:pPr>
        <w:jc w:val="center"/>
        <w:ind w:right="3359"/>
        <w:spacing w:after="0" w:line="238" w:lineRule="auto"/>
        <w:rPr>
          <w:sz w:val="20"/>
          <w:szCs w:val="20"/>
          <w:color w:val="auto"/>
        </w:rPr>
      </w:pPr>
      <w:r>
        <w:rPr>
          <w:rFonts w:ascii="Courier New" w:cs="Courier New" w:eastAsia="Courier New" w:hAnsi="Courier New"/>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6 Months Ended</w:t>
            </w:r>
          </w:p>
        </w:tc>
      </w:tr>
      <w:tr>
        <w:trPr>
          <w:trHeight w:val="203"/>
        </w:trPr>
        <w:tc>
          <w:tcPr>
            <w:tcW w:w="5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5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1999</w:t>
            </w:r>
          </w:p>
        </w:tc>
      </w:tr>
      <w:tr>
        <w:trPr>
          <w:trHeight w:val="405"/>
        </w:trPr>
        <w:tc>
          <w:tcPr>
            <w:tcW w:w="5800" w:type="dxa"/>
            <w:vAlign w:val="bottom"/>
          </w:tcPr>
          <w:p>
            <w:pPr>
              <w:jc w:val="right"/>
              <w:ind w:right="1812"/>
              <w:spacing w:after="0"/>
              <w:rPr>
                <w:sz w:val="20"/>
                <w:szCs w:val="20"/>
                <w:color w:val="auto"/>
              </w:rPr>
            </w:pPr>
            <w:r>
              <w:rPr>
                <w:rFonts w:ascii="Courier New" w:cs="Courier New" w:eastAsia="Courier New" w:hAnsi="Courier New"/>
                <w:sz w:val="18"/>
                <w:szCs w:val="18"/>
                <w:color w:val="auto"/>
                <w:w w:val="97"/>
              </w:rPr>
              <w:t>CASH FLOWS FROM OPERATING ACTIVITIES:</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earnings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63.6</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52.4</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Adjustments to reconcile net earnings to net cash</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8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2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35.4</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33.2</w:t>
            </w: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Provision for doubtful accounts</w:t>
            </w:r>
          </w:p>
        </w:tc>
        <w:tc>
          <w:tcPr>
            <w:tcW w:w="42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12.3</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(283.5)</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(125.8)</w:t>
            </w:r>
          </w:p>
        </w:tc>
      </w:tr>
      <w:tr>
        <w:trPr>
          <w:trHeight w:val="203"/>
        </w:trPr>
        <w:tc>
          <w:tcPr>
            <w:tcW w:w="5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assets</w:t>
            </w:r>
          </w:p>
        </w:tc>
        <w:tc>
          <w:tcPr>
            <w:tcW w:w="4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(33.8)</w:t>
            </w:r>
          </w:p>
        </w:tc>
      </w:tr>
      <w:tr>
        <w:trPr>
          <w:trHeight w:val="203"/>
        </w:trPr>
        <w:tc>
          <w:tcPr>
            <w:tcW w:w="5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liabilities</w:t>
            </w:r>
          </w:p>
        </w:tc>
        <w:tc>
          <w:tcPr>
            <w:tcW w:w="42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154.7</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83.7</w:t>
            </w:r>
          </w:p>
        </w:tc>
      </w:tr>
      <w:tr>
        <w:trPr>
          <w:trHeight w:val="203"/>
        </w:trPr>
        <w:tc>
          <w:tcPr>
            <w:tcW w:w="58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Cash (used) provided by operating activities</w:t>
            </w:r>
          </w:p>
        </w:tc>
        <w:tc>
          <w:tcPr>
            <w:tcW w:w="4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(24.9)</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16.2</w:t>
            </w:r>
          </w:p>
        </w:tc>
      </w:tr>
      <w:tr>
        <w:trPr>
          <w:trHeight w:val="203"/>
        </w:trPr>
        <w:tc>
          <w:tcPr>
            <w:tcW w:w="58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w w:val="97"/>
              </w:rPr>
              <w:t>CASH FLOWS FROM INVESTING ACTIVITIES:</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4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(33.8)</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(38.7)</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the sale of property and equipment</w:t>
            </w:r>
          </w:p>
        </w:tc>
        <w:tc>
          <w:tcPr>
            <w:tcW w:w="42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Acquisitions of businesses, net of cash acquired</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(157.5)</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58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used by investing activities</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(188.3)</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(31.0)</w:t>
            </w:r>
          </w:p>
        </w:tc>
      </w:tr>
      <w:tr>
        <w:trPr>
          <w:trHeight w:val="203"/>
        </w:trPr>
        <w:tc>
          <w:tcPr>
            <w:tcW w:w="58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w w:val="97"/>
              </w:rPr>
              <w:t>CASH FLOWS FROM FINANCING ACTIVITIES:</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payable to banks</w:t>
            </w:r>
          </w:p>
        </w:tc>
        <w:tc>
          <w:tcPr>
            <w:tcW w:w="4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(33.2)</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long-term debt</w:t>
            </w:r>
          </w:p>
        </w:tc>
        <w:tc>
          <w:tcPr>
            <w:tcW w:w="42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273.0</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61.2</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 of long-term debt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(105.9)</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stock option and purchase plans</w:t>
            </w:r>
          </w:p>
        </w:tc>
        <w:tc>
          <w:tcPr>
            <w:tcW w:w="42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6.6</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Repurchase of common stock</w:t>
            </w:r>
          </w:p>
        </w:tc>
        <w:tc>
          <w:tcPr>
            <w:tcW w:w="4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(14.5)</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(58.2)</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w:t>
            </w:r>
          </w:p>
        </w:tc>
        <w:tc>
          <w:tcPr>
            <w:tcW w:w="4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58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provided (used) by financing activities</w:t>
            </w:r>
          </w:p>
        </w:tc>
        <w:tc>
          <w:tcPr>
            <w:tcW w:w="42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145.8</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(37.8)</w:t>
            </w:r>
          </w:p>
        </w:tc>
      </w:tr>
      <w:tr>
        <w:trPr>
          <w:trHeight w:val="203"/>
        </w:trPr>
        <w:tc>
          <w:tcPr>
            <w:tcW w:w="58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Effect of exchange rate changes on cash</w:t>
            </w:r>
          </w:p>
        </w:tc>
        <w:tc>
          <w:tcPr>
            <w:tcW w:w="4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(29.8)</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(11.1)</w:t>
            </w:r>
          </w:p>
        </w:tc>
      </w:tr>
      <w:tr>
        <w:trPr>
          <w:trHeight w:val="203"/>
        </w:trPr>
        <w:tc>
          <w:tcPr>
            <w:tcW w:w="58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cash and cash equivalents</w:t>
            </w:r>
          </w:p>
        </w:tc>
        <w:tc>
          <w:tcPr>
            <w:tcW w:w="4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(97.2)</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(63.7)</w:t>
            </w: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Cash and cash equivalents, beginning of period</w:t>
            </w:r>
          </w:p>
        </w:tc>
        <w:tc>
          <w:tcPr>
            <w:tcW w:w="420" w:type="dxa"/>
            <w:vAlign w:val="bottom"/>
          </w:tcPr>
          <w:p>
            <w:pPr>
              <w:spacing w:after="0"/>
              <w:rPr>
                <w:sz w:val="24"/>
                <w:szCs w:val="24"/>
                <w:color w:val="auto"/>
              </w:rPr>
            </w:pPr>
          </w:p>
        </w:tc>
        <w:tc>
          <w:tcPr>
            <w:tcW w:w="8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241.7</w:t>
            </w:r>
          </w:p>
        </w:tc>
        <w:tc>
          <w:tcPr>
            <w:tcW w:w="36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180.5</w:t>
            </w:r>
          </w:p>
        </w:tc>
      </w:tr>
      <w:tr>
        <w:trPr>
          <w:trHeight w:val="203"/>
        </w:trPr>
        <w:tc>
          <w:tcPr>
            <w:tcW w:w="58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 end of period</w:t>
            </w:r>
          </w:p>
        </w:tc>
        <w:tc>
          <w:tcPr>
            <w:tcW w:w="12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$144.5</w:t>
            </w: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$116.8</w:t>
            </w:r>
          </w:p>
        </w:tc>
      </w:tr>
      <w:tr>
        <w:trPr>
          <w:trHeight w:val="203"/>
        </w:trPr>
        <w:tc>
          <w:tcPr>
            <w:tcW w:w="58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SUPPLEMENTAL CASH FLOW INFORMATION:</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paid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7.8</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w:t>
            </w:r>
          </w:p>
        </w:tc>
      </w:tr>
      <w:tr>
        <w:trPr>
          <w:trHeight w:val="203"/>
        </w:trPr>
        <w:tc>
          <w:tcPr>
            <w:tcW w:w="58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paid</w:t>
            </w:r>
          </w:p>
        </w:tc>
        <w:tc>
          <w:tcPr>
            <w:tcW w:w="12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$ 28.6</w:t>
            </w: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$ 37.8</w:t>
            </w:r>
          </w:p>
        </w:tc>
      </w:tr>
      <w:tr>
        <w:trPr>
          <w:trHeight w:val="203"/>
        </w:trPr>
        <w:tc>
          <w:tcPr>
            <w:tcW w:w="58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The accompanying notes to consolidated financial statements</w:t>
      </w:r>
    </w:p>
    <w:p>
      <w:pPr>
        <w:jc w:val="center"/>
        <w:ind w:right="3359"/>
        <w:spacing w:after="0" w:line="238" w:lineRule="auto"/>
        <w:rPr>
          <w:sz w:val="20"/>
          <w:szCs w:val="20"/>
          <w:color w:val="auto"/>
        </w:rPr>
      </w:pPr>
      <w:r>
        <w:rPr>
          <w:rFonts w:ascii="Courier New" w:cs="Courier New" w:eastAsia="Courier New" w:hAnsi="Courier New"/>
          <w:sz w:val="18"/>
          <w:szCs w:val="18"/>
          <w:color w:val="auto"/>
        </w:rPr>
        <w:t>are an integral part of these statements.</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3479"/>
        <w:spacing w:after="0"/>
        <w:rPr>
          <w:sz w:val="20"/>
          <w:szCs w:val="20"/>
          <w:color w:val="auto"/>
        </w:rPr>
      </w:pPr>
      <w:r>
        <w:rPr>
          <w:rFonts w:ascii="Courier New" w:cs="Courier New" w:eastAsia="Courier New" w:hAnsi="Courier New"/>
          <w:sz w:val="18"/>
          <w:szCs w:val="18"/>
          <w:color w:val="auto"/>
        </w:rPr>
        <w:t>MANPOWER INC. AND SUBSIDIARIES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Notes to Consolidated Financial Statements (Unaudited)</w:t>
      </w:r>
    </w:p>
    <w:p>
      <w:pPr>
        <w:ind w:left="960"/>
        <w:spacing w:after="0" w:line="238" w:lineRule="auto"/>
        <w:rPr>
          <w:sz w:val="20"/>
          <w:szCs w:val="20"/>
          <w:color w:val="auto"/>
        </w:rPr>
      </w:pPr>
      <w:r>
        <w:rPr>
          <w:rFonts w:ascii="Courier New" w:cs="Courier New" w:eastAsia="Courier New" w:hAnsi="Courier New"/>
          <w:sz w:val="18"/>
          <w:szCs w:val="18"/>
          <w:color w:val="auto"/>
        </w:rPr>
        <w:t>For the Six Months Ended June 30, 2000 and 1999</w:t>
      </w:r>
    </w:p>
    <w:p>
      <w:pPr>
        <w:ind w:left="1480"/>
        <w:spacing w:after="0"/>
        <w:rPr>
          <w:sz w:val="20"/>
          <w:szCs w:val="20"/>
          <w:color w:val="auto"/>
        </w:rPr>
      </w:pPr>
      <w:r>
        <w:rPr>
          <w:rFonts w:ascii="Courier New" w:cs="Courier New" w:eastAsia="Courier New" w:hAnsi="Courier New"/>
          <w:sz w:val="18"/>
          <w:szCs w:val="18"/>
          <w:color w:val="auto"/>
        </w:rPr>
        <w:t>(in millions, except per share data)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Certain information and footnote disclosures normally included in financial statements prepared in accordance with generally accepted accounting principles have been condensed or omitted pursuant to the rules and regulations of the Securities and Exchange Commission, although the Company believes that the disclosures are adequate to make the information presented not misleading. These consolidated financial statements should be read in conjunction with the consolidated financial statements included in the Company's 1999 Annual Report to Shareholders.</w:t>
      </w:r>
    </w:p>
    <w:p>
      <w:pPr>
        <w:spacing w:after="0" w:line="21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The information furnished reflects all adjustments that, in the opinion of management, are necessary for a fair statement of the results of operations for the periods presented. Such adjustments are of a normal recurring nature.</w:t>
      </w:r>
    </w:p>
    <w:p>
      <w:pPr>
        <w:spacing w:after="0" w:line="207" w:lineRule="exact"/>
        <w:rPr>
          <w:sz w:val="20"/>
          <w:szCs w:val="20"/>
          <w:color w:val="auto"/>
        </w:rPr>
      </w:pPr>
    </w:p>
    <w:p>
      <w:pPr>
        <w:jc w:val="both"/>
        <w:ind w:right="3779"/>
        <w:spacing w:after="0" w:line="236" w:lineRule="auto"/>
        <w:rPr>
          <w:sz w:val="20"/>
          <w:szCs w:val="20"/>
          <w:color w:val="auto"/>
        </w:rPr>
      </w:pPr>
      <w:r>
        <w:rPr>
          <w:rFonts w:ascii="Courier New" w:cs="Courier New" w:eastAsia="Courier New" w:hAnsi="Courier New"/>
          <w:sz w:val="18"/>
          <w:szCs w:val="18"/>
          <w:color w:val="auto"/>
        </w:rPr>
        <w:t>Certain amounts in the 1999 consolidated financial statements have been reclassified to be consistent with the current year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Acquisitions</w:t>
      </w:r>
    </w:p>
    <w:p>
      <w:pPr>
        <w:spacing w:after="0" w:line="207"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During January 2000, the Company acquired Elan Group Limited ("Elan"), a European specialty IT staffing company with significant operations in the U.K. and several other countries throughout the world. As of June 30, 2000, the total consideration paid for Elan was approximately $116.2. In addition, there is approximately $30.0 in deferred consideration expected to be paid during 2001. This transaction was accounted for as a purchase and the excess of the purchase price over the fair value of net assets acquired was recorded as intangible assets.</w:t>
      </w:r>
    </w:p>
    <w:p>
      <w:pPr>
        <w:spacing w:after="0" w:line="215"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Throughout the first six months of 2000, the Company also acquired and invested in several companies throughout the world. The total consideration paid for such transactions was $46.6 as of June 30, 2000, the majority of which was recorded as intangible assets.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Income Taxes</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Company provided for income taxes during the first six months of 2000 at a rate of 35.5%, which is equal to the estimated annual effective tax rate based on the currently available information. This rate is higher than the U.S. Federal statutory rate due to foreign tax rate differences and U.S. state income taxes.</w:t>
      </w:r>
    </w:p>
    <w:p>
      <w:pPr>
        <w:spacing w:after="0" w:line="210"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During the quarter ended June 30, 1999, the Company had a one-time tax benefit of $15.7 in connection with the dissolution of a non-operating subsidiary.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Debt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Swaps</w:t>
      </w:r>
    </w:p>
    <w:p>
      <w:pPr>
        <w:spacing w:after="0" w:line="207"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During June 2000, the Company entered into various interest rate swap agreements in order to fix its interest costs on a portion of its Euro and Yen denominated variable rate borrowings. The Euro interest rate swap agreements have a notional value of Euro 100.0 ($95.7), a weighted average fixed rate of 6.1% and expire in 2010. The Yen interest rate swap agreement has a notional value of Yen 4,000.0 ($38.0), a fixed rate of 1.2% and expires in 2003. These swap agreements have had an immaterial impact on the</w:t>
      </w:r>
    </w:p>
    <w:p>
      <w:pPr>
        <w:sectPr>
          <w:pgSz w:w="11900" w:h="16838" w:orient="portrait"/>
          <w:cols w:equalWidth="0" w:num="1">
            <w:col w:w="10219"/>
          </w:cols>
          <w:pgMar w:left="240" w:top="717" w:right="1440" w:bottom="949" w:gutter="0" w:footer="0" w:header="0"/>
        </w:sectPr>
      </w:pPr>
    </w:p>
    <w:bookmarkStart w:id="7" w:name="page8"/>
    <w:bookmarkEnd w:id="7"/>
    <w:p>
      <w:pPr>
        <w:ind w:right="3479"/>
        <w:spacing w:after="0" w:line="236" w:lineRule="auto"/>
        <w:rPr>
          <w:sz w:val="20"/>
          <w:szCs w:val="20"/>
          <w:color w:val="auto"/>
        </w:rPr>
      </w:pPr>
      <w:r>
        <w:rPr>
          <w:rFonts w:ascii="Courier New" w:cs="Courier New" w:eastAsia="Courier New" w:hAnsi="Courier New"/>
          <w:sz w:val="18"/>
          <w:szCs w:val="18"/>
          <w:color w:val="auto"/>
        </w:rPr>
        <w:t>recorded interest expense during 2000. As of June 30, 2000, the weighted average variable interest rate under the revolving credit agreement was 3.1%.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 Notes</w:t>
      </w:r>
    </w:p>
    <w:p>
      <w:pPr>
        <w:spacing w:after="0" w:line="207"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6"/>
          <w:szCs w:val="16"/>
          <w:color w:val="auto"/>
        </w:rPr>
        <w:t>On March 7, 2000, the Company issued Euro 150.0 in unsecured notes, due March 2005, with an effective interest rate of 6.3%. Net proceeds of $143.1 from the issuance were used to repay amounts under the Company's unsecured revolving credit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Earnings Per Share</w:t>
      </w:r>
    </w:p>
    <w:p>
      <w:pPr>
        <w:spacing w:after="0" w:line="20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The calculations of net earnings per share and net earnings per share - diluted are as follows: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17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3 Months Ended</w:t>
            </w:r>
          </w:p>
        </w:tc>
        <w:tc>
          <w:tcPr>
            <w:tcW w:w="1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 Months Ended</w:t>
            </w:r>
          </w:p>
        </w:tc>
      </w:tr>
      <w:tr>
        <w:trPr>
          <w:trHeight w:val="203"/>
        </w:trPr>
        <w:tc>
          <w:tcPr>
            <w:tcW w:w="34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348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2000</w:t>
            </w:r>
          </w:p>
        </w:tc>
        <w:tc>
          <w:tcPr>
            <w:tcW w:w="8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1999</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3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6"/>
              </w:rPr>
              <w:t>Net earnings per share:</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Net earnings available to</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$ 38.0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$ 31.8</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$ 63.6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$ 52.4</w:t>
            </w:r>
          </w:p>
        </w:tc>
      </w:tr>
      <w:tr>
        <w:trPr>
          <w:trHeight w:val="203"/>
        </w:trPr>
        <w:tc>
          <w:tcPr>
            <w:tcW w:w="3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Weighted average common shares</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outstanding</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76.0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77.8</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76.0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78.4</w:t>
            </w:r>
          </w:p>
        </w:tc>
      </w:tr>
      <w:tr>
        <w:trPr>
          <w:trHeight w:val="203"/>
        </w:trPr>
        <w:tc>
          <w:tcPr>
            <w:tcW w:w="34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$ 0.50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$ 0.41</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$ 0.84</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$ 0.67</w:t>
            </w:r>
          </w:p>
        </w:tc>
      </w:tr>
      <w:tr>
        <w:trPr>
          <w:trHeight w:val="203"/>
        </w:trPr>
        <w:tc>
          <w:tcPr>
            <w:tcW w:w="34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w w:val="97"/>
              </w:rPr>
              <w:t>Net earnings per share - diluted:</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3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Net earnings available to</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$ 38.0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$ 31.8</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$ 63.6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$ 52.4</w:t>
            </w:r>
          </w:p>
        </w:tc>
      </w:tr>
      <w:tr>
        <w:trPr>
          <w:trHeight w:val="405"/>
        </w:trPr>
        <w:tc>
          <w:tcPr>
            <w:tcW w:w="3480" w:type="dxa"/>
            <w:vAlign w:val="bottom"/>
          </w:tcPr>
          <w:p>
            <w:pPr>
              <w:ind w:left="200"/>
              <w:spacing w:after="0"/>
              <w:rPr>
                <w:sz w:val="20"/>
                <w:szCs w:val="20"/>
                <w:color w:val="auto"/>
              </w:rPr>
            </w:pPr>
            <w:r>
              <w:rPr>
                <w:rFonts w:ascii="Courier New" w:cs="Courier New" w:eastAsia="Courier New" w:hAnsi="Courier New"/>
                <w:sz w:val="18"/>
                <w:szCs w:val="18"/>
                <w:color w:val="auto"/>
              </w:rPr>
              <w:t>Weighted average common</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3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76.0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77.8</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76.0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78.4</w:t>
            </w:r>
          </w:p>
        </w:tc>
      </w:tr>
      <w:tr>
        <w:trPr>
          <w:trHeight w:val="203"/>
        </w:trPr>
        <w:tc>
          <w:tcPr>
            <w:tcW w:w="4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Effect of dilutive stock options  1.1</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34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77.1</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78.5</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77.2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79.2</w:t>
            </w:r>
          </w:p>
        </w:tc>
      </w:tr>
      <w:tr>
        <w:trPr>
          <w:trHeight w:val="203"/>
        </w:trPr>
        <w:tc>
          <w:tcPr>
            <w:tcW w:w="34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$ 0.49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$ 0.40</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$ 0.82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$ 0.66</w:t>
            </w:r>
          </w:p>
        </w:tc>
      </w:tr>
      <w:tr>
        <w:trPr>
          <w:trHeight w:val="203"/>
        </w:trPr>
        <w:tc>
          <w:tcPr>
            <w:tcW w:w="34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Retirement Plans</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On February 29, 2000, the Company froze all benefits in each of its U.S. defined benefit pension plans. The Company also offered a voluntary early retirement package and certain other benefits to eligible employees. These benefits are expected to be paid from the respective defined benefit pension plans. In addition, the Company will no longer provide medical and dental benefits under its U.S. retiree health care plan to newly retired employees who, as of January 1, 2000, were under the age of 45 or had less than five years of service. The net impact of these plan changes were not material to the consolidated financial statements.</w:t>
      </w:r>
    </w:p>
    <w:p>
      <w:pPr>
        <w:sectPr>
          <w:pgSz w:w="11900" w:h="16838" w:orient="portrait"/>
          <w:cols w:equalWidth="0" w:num="1">
            <w:col w:w="10219"/>
          </w:cols>
          <w:pgMar w:left="240" w:top="723"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(7) Shareholders' Equity</w:t>
      </w:r>
    </w:p>
    <w:p>
      <w:pPr>
        <w:spacing w:after="0" w:line="207"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Total comprehensive income (loss) consists of net earnings and foreign currency translation adjustments and is as follows:</w:t>
      </w:r>
    </w:p>
    <w:p>
      <w:pPr>
        <w:spacing w:after="0" w:line="164"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18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3 Months Ended</w:t>
            </w:r>
          </w:p>
        </w:tc>
        <w:tc>
          <w:tcPr>
            <w:tcW w:w="1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6 Months Ended</w:t>
            </w:r>
          </w:p>
        </w:tc>
      </w:tr>
      <w:tr>
        <w:trPr>
          <w:trHeight w:val="203"/>
        </w:trPr>
        <w:tc>
          <w:tcPr>
            <w:tcW w:w="3900" w:type="dxa"/>
            <w:vAlign w:val="bottom"/>
          </w:tcPr>
          <w:p>
            <w:pPr>
              <w:spacing w:after="0"/>
              <w:rPr>
                <w:sz w:val="17"/>
                <w:szCs w:val="17"/>
                <w:color w:val="auto"/>
              </w:rPr>
            </w:pPr>
          </w:p>
        </w:tc>
        <w:tc>
          <w:tcPr>
            <w:tcW w:w="184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June 30,</w:t>
            </w:r>
          </w:p>
        </w:tc>
        <w:tc>
          <w:tcPr>
            <w:tcW w:w="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June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3900" w:type="dxa"/>
            <w:vAlign w:val="bottom"/>
          </w:tcPr>
          <w:p>
            <w:pPr>
              <w:spacing w:after="0"/>
              <w:rPr>
                <w:sz w:val="17"/>
                <w:szCs w:val="17"/>
                <w:color w:val="auto"/>
              </w:rPr>
            </w:pP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1999</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2000</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1999</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Net earnings</w:t>
            </w:r>
          </w:p>
        </w:tc>
        <w:tc>
          <w:tcPr>
            <w:tcW w:w="1000" w:type="dxa"/>
            <w:vAlign w:val="bottom"/>
          </w:tcPr>
          <w:p>
            <w:pPr>
              <w:ind w:left="200"/>
              <w:spacing w:after="0"/>
              <w:rPr>
                <w:sz w:val="20"/>
                <w:szCs w:val="20"/>
                <w:color w:val="auto"/>
              </w:rPr>
            </w:pPr>
            <w:r>
              <w:rPr>
                <w:rFonts w:ascii="Courier New" w:cs="Courier New" w:eastAsia="Courier New" w:hAnsi="Courier New"/>
                <w:sz w:val="18"/>
                <w:szCs w:val="18"/>
                <w:color w:val="auto"/>
              </w:rPr>
              <w:t>$ 38.0</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$ 31.8</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$ 63.6</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$ 52.4</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currency translation</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adjustments</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(44.7)</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(62.2)</w:t>
            </w:r>
          </w:p>
        </w:tc>
      </w:tr>
      <w:tr>
        <w:trPr>
          <w:trHeight w:val="203"/>
        </w:trPr>
        <w:tc>
          <w:tcPr>
            <w:tcW w:w="390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 comprehensive income (loss)</w:t>
            </w: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$ 19.0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$ 10.9</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$ 18.9</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 (9.8)</w:t>
            </w:r>
          </w:p>
        </w:tc>
      </w:tr>
      <w:tr>
        <w:trPr>
          <w:trHeight w:val="203"/>
        </w:trPr>
        <w:tc>
          <w:tcPr>
            <w:tcW w:w="390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7"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On April 17, 2000, the Company's Board of Directors declared a cash dividend of $0.10 per share which was paid on June 14, 2000 to shareholders of record on June 2, 2000.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Interest and Other Expense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and other expense consists of the following:</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16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3 Months Ended</w:t>
            </w:r>
          </w:p>
        </w:tc>
        <w:tc>
          <w:tcPr>
            <w:tcW w:w="1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 Months Ended</w:t>
            </w:r>
          </w:p>
        </w:tc>
      </w:tr>
      <w:tr>
        <w:trPr>
          <w:trHeight w:val="203"/>
        </w:trPr>
        <w:tc>
          <w:tcPr>
            <w:tcW w:w="37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374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1999</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1999</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$ 7.9</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$ 3.9</w:t>
            </w:r>
          </w:p>
        </w:tc>
        <w:tc>
          <w:tcPr>
            <w:tcW w:w="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$15.8</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$ 7.8</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exchange losses (gains)</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0.9</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Loss on sale of accounts receivable</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5.2</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Miscellaneous, net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0.8</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2.9</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374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$ 5.0</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$21.5</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$ 9.9</w:t>
            </w:r>
          </w:p>
        </w:tc>
      </w:tr>
      <w:tr>
        <w:trPr>
          <w:trHeight w:val="203"/>
        </w:trPr>
        <w:tc>
          <w:tcPr>
            <w:tcW w:w="374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20"/>
                <w:szCs w:val="20"/>
                <w:color w:val="auto"/>
              </w:rPr>
            </w:pPr>
            <w:r>
              <w:rPr>
                <w:rFonts w:ascii="Courier New" w:cs="Courier New" w:eastAsia="Courier New" w:hAnsi="Courier New"/>
                <w:sz w:val="18"/>
                <w:szCs w:val="18"/>
                <w:color w:val="auto"/>
              </w:rPr>
              <w:t>(9) Segment Information</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Segment information is as follows: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5"/>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3 Months Ended</w:t>
            </w:r>
          </w:p>
        </w:tc>
        <w:tc>
          <w:tcPr>
            <w:tcW w:w="320" w:type="dxa"/>
            <w:vAlign w:val="bottom"/>
          </w:tcPr>
          <w:p>
            <w:pPr>
              <w:spacing w:after="0"/>
              <w:rPr>
                <w:sz w:val="24"/>
                <w:szCs w:val="24"/>
                <w:color w:val="auto"/>
              </w:rPr>
            </w:pPr>
          </w:p>
        </w:tc>
        <w:tc>
          <w:tcPr>
            <w:tcW w:w="178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6 Months Ended</w:t>
            </w: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June 30,</w:t>
            </w:r>
          </w:p>
        </w:tc>
        <w:tc>
          <w:tcPr>
            <w:tcW w:w="320" w:type="dxa"/>
            <w:vAlign w:val="bottom"/>
          </w:tcPr>
          <w:p>
            <w:pPr>
              <w:spacing w:after="0"/>
              <w:rPr>
                <w:sz w:val="17"/>
                <w:szCs w:val="17"/>
                <w:color w:val="auto"/>
              </w:rPr>
            </w:pPr>
          </w:p>
        </w:tc>
        <w:tc>
          <w:tcPr>
            <w:tcW w:w="178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c>
          <w:tcPr>
            <w:tcW w:w="3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c>
          <w:tcPr>
            <w:tcW w:w="2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Revenues from services: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United States  (a)</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609.6</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560.1</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$1,173.5</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$1,075.9</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France</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1,021.0</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893.3</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1,934.6</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1,721.4</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United Kingdom</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347.2</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264.7</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712.2</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537.5</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Europe</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459.8</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397.1</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919.3</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758.1</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Countries</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276.5</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212.4</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542.8</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409.9</w:t>
            </w:r>
          </w:p>
        </w:tc>
      </w:tr>
      <w:tr>
        <w:trPr>
          <w:trHeight w:val="203"/>
        </w:trPr>
        <w:tc>
          <w:tcPr>
            <w:tcW w:w="370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$2,714.1</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$2,327.6</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$5,282.4</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$4,502.8</w:t>
            </w:r>
          </w:p>
        </w:tc>
      </w:tr>
      <w:tr>
        <w:trPr>
          <w:trHeight w:val="203"/>
        </w:trPr>
        <w:tc>
          <w:tcPr>
            <w:tcW w:w="370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700" w:type="dxa"/>
            <w:vAlign w:val="bottom"/>
          </w:tcPr>
          <w:p>
            <w:pPr>
              <w:ind w:left="220"/>
              <w:spacing w:after="0"/>
              <w:rPr>
                <w:sz w:val="20"/>
                <w:szCs w:val="20"/>
                <w:color w:val="auto"/>
              </w:rPr>
            </w:pPr>
            <w:r>
              <w:rPr>
                <w:rFonts w:ascii="Courier New" w:cs="Courier New" w:eastAsia="Courier New" w:hAnsi="Courier New"/>
                <w:sz w:val="18"/>
                <w:szCs w:val="18"/>
                <w:color w:val="auto"/>
              </w:rPr>
              <w:t>Operating Unit Profit:</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United States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34.3</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France</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31.5</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21.3</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52.3</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United Kingdom</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Europe</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15.3</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32.5</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Countries</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370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83.4</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66.3</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146.0</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112.4</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 expenses</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Amortization of intangible assets</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Non-recurring expenses  (b)</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28.0</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other expense</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21.5</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w:t>
            </w:r>
          </w:p>
        </w:tc>
      </w:tr>
      <w:tr>
        <w:trPr>
          <w:trHeight w:val="203"/>
        </w:trPr>
        <w:tc>
          <w:tcPr>
            <w:tcW w:w="370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Earnings before income taxes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59.0</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54.3</w:t>
            </w:r>
          </w:p>
        </w:tc>
      </w:tr>
      <w:tr>
        <w:trPr>
          <w:trHeight w:val="203"/>
        </w:trPr>
        <w:tc>
          <w:tcPr>
            <w:tcW w:w="370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740" w:right="3359" w:hanging="521"/>
        <w:spacing w:after="0" w:line="273"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systemwide sales in the United States, which includes sales of Company-owned branches and franchises, were $965.3 and $930.5 for the three months ended June 30, 2000 and 1999, respectively, and $1,887.3 and $1,780.9 for the six months ended June 30, 2000 and 1999, respectively.</w:t>
      </w:r>
    </w:p>
    <w:p>
      <w:pPr>
        <w:spacing w:after="0" w:line="184" w:lineRule="exact"/>
        <w:rPr>
          <w:rFonts w:ascii="Courier New" w:cs="Courier New" w:eastAsia="Courier New" w:hAnsi="Courier New"/>
          <w:sz w:val="16"/>
          <w:szCs w:val="16"/>
          <w:color w:val="auto"/>
        </w:rPr>
      </w:pPr>
    </w:p>
    <w:p>
      <w:pPr>
        <w:ind w:left="740" w:right="3579" w:hanging="521"/>
        <w:spacing w:after="0" w:line="279"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non-recurring items ($16.4 after tax) in the second quarter of 1999 related to employee severances, retirement costs and other associated realignment costs.</w:t>
      </w:r>
    </w:p>
    <w:p>
      <w:pPr>
        <w:sectPr>
          <w:pgSz w:w="11900" w:h="16838" w:orient="portrait"/>
          <w:cols w:equalWidth="0" w:num="1">
            <w:col w:w="10219"/>
          </w:cols>
          <w:pgMar w:left="240" w:top="717" w:right="1440" w:bottom="1440" w:gutter="0" w:footer="0" w:header="0"/>
        </w:sectPr>
      </w:pPr>
    </w:p>
    <w:bookmarkStart w:id="10" w:name="page11"/>
    <w:bookmarkEnd w:id="10"/>
    <w:p>
      <w:pPr>
        <w:ind w:left="960" w:right="4099" w:hanging="947"/>
        <w:spacing w:after="0" w:line="235" w:lineRule="auto"/>
        <w:rPr>
          <w:sz w:val="20"/>
          <w:szCs w:val="20"/>
          <w:color w:val="auto"/>
        </w:rPr>
      </w:pPr>
      <w:r>
        <w:rPr>
          <w:rFonts w:ascii="Courier New" w:cs="Courier New" w:eastAsia="Courier New" w:hAnsi="Courier New"/>
          <w:sz w:val="18"/>
          <w:szCs w:val="18"/>
          <w:color w:val="auto"/>
        </w:rPr>
        <w:t>Item 2 -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 - Three Months Ended June 30, 2000 and 1999</w:t>
      </w:r>
    </w:p>
    <w:p>
      <w:pPr>
        <w:spacing w:after="0" w:line="20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Revenues increased 16.6% to $2,714.1 million for the second quarter of 2000. Revenues were unfavorably impacted by changes in currency exchange rates during the second quarter of 2000 due to the strengthening of the U.S. Dollar, as compared to the second quarter of 1999, relative to the currencies in most of the Company's non-U.S. markets. At constant exchange rates, the increase in revenues would have been 24.8%. Volume, as measured by billable hours of branch operations, increased 17.1% in the quarter. All of the Company's major markets experienced revenue increases, as measured in their local currencies, including the United States (8.8%), France (29.3%) and the United Kingdom (37.6%). The revenue increase in the United Kingdom was favorably impacted by the Elan acquisition (see Note 2 to the consolidated financial statements). The Company's Other Europe and Other Countries segments reported constant currency revenue increases of 28.3% and 25.9%, respectively.</w:t>
      </w:r>
    </w:p>
    <w:p>
      <w:pPr>
        <w:spacing w:after="0" w:line="20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Gross profit, which represents revenues less payroll and related expenses of temporary workers, increased as a percent of revenues to 17.6% in the second quarter of 2000 from 17.4% in the second quarter of 1999. This increase is primarily due to increased margins in France as a result of enhanced pricing.</w:t>
      </w:r>
    </w:p>
    <w:p>
      <w:pPr>
        <w:spacing w:after="0" w:line="20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Selling and administrative expenses were 15.0% of revenues in the second quarter of 2000, which is equal to the second quarter of 1999 excluding the non-recurring items incurred during that period. This expense level was maintained despite an increase in France's business tax (taxe professionnelle) and continued investments in new or expanding markets.</w:t>
      </w:r>
    </w:p>
    <w:p>
      <w:pPr>
        <w:spacing w:after="0" w:line="210" w:lineRule="exact"/>
        <w:rPr>
          <w:sz w:val="20"/>
          <w:szCs w:val="20"/>
          <w:color w:val="auto"/>
        </w:rPr>
      </w:pPr>
    </w:p>
    <w:p>
      <w:pPr>
        <w:ind w:right="3359"/>
        <w:spacing w:after="0" w:line="272" w:lineRule="auto"/>
        <w:rPr>
          <w:sz w:val="20"/>
          <w:szCs w:val="20"/>
          <w:color w:val="auto"/>
        </w:rPr>
      </w:pPr>
      <w:r>
        <w:rPr>
          <w:rFonts w:ascii="Courier New" w:cs="Courier New" w:eastAsia="Courier New" w:hAnsi="Courier New"/>
          <w:sz w:val="16"/>
          <w:szCs w:val="16"/>
          <w:color w:val="auto"/>
        </w:rPr>
        <w:t>Interest and other expense was $10.7 million in the second quarter of 2000 compared to $5.0 million in the second quarter of 1999. This increase is primarily due to an increase in interest expense related to the higher borrowing levels needed to finance the acquisitions made throughout 2000, the continued investments in new or expanding markets and the share repurchase program.</w:t>
      </w:r>
    </w:p>
    <w:p>
      <w:pPr>
        <w:spacing w:after="0" w:line="186"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The Company provided for income taxes during the second quarter of 2000 at a rate of 35.5%, which is equal to the estimated annual effective tax rate based on the currently available information. This rate is higher than the U.S. Federal statutory rate due to foreign tax rate differences and U.S. state income taxes. During the three month period ended June 30, 1999, the Company had a one-time tax benefit of $15.7 million in connection with the dissolution of a non-operating subsidiary.</w:t>
      </w:r>
    </w:p>
    <w:p>
      <w:pPr>
        <w:spacing w:after="0" w:line="18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On a diluted basis, net earnings per share was $0.49 in the second quarter of 2000 compared to $0.40 in the second quarter of 1999. The net earnings per share, on a diluted basis, for the second quarter of 2000 was negatively impacted by $0.06 due to changes in exchange rates. Excluding the non-recurring items and one-time income tax gain in the second quarter of 1999, net earnings per share on a diluted basis would have been $0.41. The diluted weighted average shares decreased by 1.7% for the quarter due to the effect of the Company's treasury stock purchases, which was partially offset by an increased number of dilutive stock options because of the higher average share price during the second quarter of 2000 compared to the second quarter of 1999.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 - Six Months Ended June 30, 2000 and 1999</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Revenues increased 17.3% to $5,282.4 million for the first six months of 2000. Revenues were unfavorably impacted by changes in currency exchange rates during the first six months of 1999 due to the strengthening of the U.S. Dollar, as compared to the first six months of 1999, relative to the currencies in most of the Company's non-U.S. markets. At constant exchange rates, the increase in revenues would have been 25.3%. Volume, as measured by billable hours of branch operations, increased 16.9% in the first six month period of 2000 compared to 1999. All of the Company's major markets experienced revenue increases, as measured in their local currencies, including the United States</w:t>
      </w:r>
    </w:p>
    <w:p>
      <w:pPr>
        <w:sectPr>
          <w:pgSz w:w="11900" w:h="16838" w:orient="portrait"/>
          <w:cols w:equalWidth="0" w:num="1">
            <w:col w:w="10219"/>
          </w:cols>
          <w:pgMar w:left="240" w:top="723" w:right="1440" w:bottom="0" w:gutter="0" w:footer="0" w:header="0"/>
        </w:sectPr>
      </w:pPr>
    </w:p>
    <w:bookmarkStart w:id="11" w:name="page12"/>
    <w:bookmarkEnd w:id="11"/>
    <w:p>
      <w:pPr>
        <w:ind w:right="3479"/>
        <w:spacing w:after="0" w:line="237" w:lineRule="auto"/>
        <w:rPr>
          <w:sz w:val="20"/>
          <w:szCs w:val="20"/>
          <w:color w:val="auto"/>
        </w:rPr>
      </w:pPr>
      <w:r>
        <w:rPr>
          <w:rFonts w:ascii="Courier New" w:cs="Courier New" w:eastAsia="Courier New" w:hAnsi="Courier New"/>
          <w:sz w:val="18"/>
          <w:szCs w:val="18"/>
          <w:color w:val="auto"/>
        </w:rPr>
        <w:t>(9.1%), France (27.5%) and the United Kingdom (36.9%). The revenue increase in the United Kingdom was favorably impacted by the Elan acquisition (see Note 2 to the consolidated financial statements). The Company's</w:t>
      </w:r>
    </w:p>
    <w:p>
      <w:pPr>
        <w:sectPr>
          <w:pgSz w:w="11900" w:h="16838" w:orient="portrait"/>
          <w:cols w:equalWidth="0" w:num="1">
            <w:col w:w="10219"/>
          </w:cols>
          <w:pgMar w:left="240" w:top="14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Other Europe and Other Countries</w:t>
      </w:r>
    </w:p>
    <w:p>
      <w:pPr>
        <w:spacing w:after="0" w:line="4"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segments reported constant currency revenue increases of 34.3% and 27.1%, respectively.</w:t>
      </w:r>
    </w:p>
    <w:p>
      <w:pPr>
        <w:spacing w:after="0" w:line="20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Gross profit, which represents revenues less payroll and related expenses of temporary workers, increased as a percent of revenues to 17.5% in the first six months of 2000 from 17.4% for the same period in 1999. This increase is primarily due to increased margins in France as a result of enhanced pricing.</w:t>
      </w:r>
    </w:p>
    <w:p>
      <w:pPr>
        <w:spacing w:after="0" w:line="20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Selling and administrative expenses were 15.2% of revenues in the first six months of 2000 compared to 15.4% for the same period in 1999 excluding the non-recurring items incurred during that period. This expense level was maintained despite an increase in France's business tax (taxe professionnelle) and continued investments in new or expanding markets.</w:t>
      </w:r>
    </w:p>
    <w:p>
      <w:pPr>
        <w:spacing w:after="0" w:line="210" w:lineRule="exact"/>
        <w:rPr>
          <w:sz w:val="20"/>
          <w:szCs w:val="20"/>
          <w:color w:val="auto"/>
        </w:rPr>
      </w:pPr>
    </w:p>
    <w:p>
      <w:pPr>
        <w:ind w:right="3359"/>
        <w:spacing w:after="0" w:line="272" w:lineRule="auto"/>
        <w:rPr>
          <w:sz w:val="20"/>
          <w:szCs w:val="20"/>
          <w:color w:val="auto"/>
        </w:rPr>
      </w:pPr>
      <w:r>
        <w:rPr>
          <w:rFonts w:ascii="Courier New" w:cs="Courier New" w:eastAsia="Courier New" w:hAnsi="Courier New"/>
          <w:sz w:val="16"/>
          <w:szCs w:val="16"/>
          <w:color w:val="auto"/>
        </w:rPr>
        <w:t>Interest and other expense was $21.5 million in the first six months of 2000 compared to $9.9 million during the same period in 1999. This increase is primarily due to an increase in interest expense related to the higher borrowing levels needed to finance the acquisitions made throughout 2000, the continued investments in new or expanding markets and the share repurchase program.</w:t>
      </w:r>
    </w:p>
    <w:p>
      <w:pPr>
        <w:spacing w:after="0" w:line="186"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The Company provided for income taxes during the first six months of 2000 at a rate of 35.5%, which is equal to the estimated annual effective tax rate based on the currently available information. This rate is higher than the U.S. Federal statutory rate due to foreign tax rate differences and U.S. state income taxes. During the six month period ended June 30, 1999, the Company had a one-time tax benefit of $15.7 million in connection with the dissolution of a non-operating subsidiary.</w:t>
      </w:r>
    </w:p>
    <w:p>
      <w:pPr>
        <w:spacing w:after="0" w:line="18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On a diluted basis, net earnings per share was $0.82 for the first six months of 2000 compared to $0.66 for the same period in 1999. The net earnings per share, on a diluted basis, for the first six months of 2000 was negatively impacted by $0.11 due to changes in exchange rates. Excluding the non-recurring items and one-time income tax gain in the first six months of 1999, net earnings per share on a diluted basis would have been $0.67. The diluted weighted average shares decreased by 2.5% for the first six months of 2000 due to the Company's treasury stock purchases, which was partially offset by an increased number of dilutive stock options because of the higher average share price during the first six months quarter of 2000 compared to the first six months of 1999.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Cash used by operating activities was $24.9 million in the first six months of 2000 compared to cash provided by operating activities of $16.2 million in the first six months of 1999. This change reflects the change in working capital requirements between periods offset by the increased earnings in the first six months of 2000. Cash provided by operating activities before the changes in working capital requirements was $107.4 million in the first six months of 2000 compared to $92.1 million in the first six months of 1999. Cash used by changes in working capital was $132.3 million and $75.9 million in the first six months of 2000 and 1999, respectively.</w:t>
      </w:r>
    </w:p>
    <w:p>
      <w:pPr>
        <w:spacing w:after="0" w:line="216" w:lineRule="exact"/>
        <w:rPr>
          <w:sz w:val="20"/>
          <w:szCs w:val="20"/>
          <w:color w:val="auto"/>
        </w:rPr>
      </w:pPr>
    </w:p>
    <w:p>
      <w:pPr>
        <w:jc w:val="both"/>
        <w:ind w:right="3479"/>
        <w:spacing w:after="0" w:line="237" w:lineRule="auto"/>
        <w:rPr>
          <w:sz w:val="20"/>
          <w:szCs w:val="20"/>
          <w:color w:val="auto"/>
        </w:rPr>
      </w:pPr>
      <w:r>
        <w:rPr>
          <w:rFonts w:ascii="Courier New" w:cs="Courier New" w:eastAsia="Courier New" w:hAnsi="Courier New"/>
          <w:sz w:val="18"/>
          <w:szCs w:val="18"/>
          <w:color w:val="auto"/>
        </w:rPr>
        <w:t>Capital expenditures were $33.8 million in the first six months of 2000 compared to $38.7 million during the first six months of 1999. These expenditures were primarily comprised of purchases of computer equipment, office furniture and other costs related to office openings and refurbishments.</w:t>
      </w:r>
    </w:p>
    <w:p>
      <w:pPr>
        <w:spacing w:after="0" w:line="20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During January 2000, the Company acquired Elan Group Limited ("Elan"), a European specialty IT staffing company with significant operations in the U.K. and several other countries throughout the world. As of June 30, 2000, the total consideration paid for Elan was approximately $116.2 million. In addition, there is approximately $30.0 million in deferred consideration expected to be paid during 2001.</w:t>
      </w:r>
    </w:p>
    <w:p>
      <w:pPr>
        <w:spacing w:after="0" w:line="211" w:lineRule="exact"/>
        <w:rPr>
          <w:sz w:val="20"/>
          <w:szCs w:val="20"/>
          <w:color w:val="auto"/>
        </w:rPr>
      </w:pPr>
    </w:p>
    <w:p>
      <w:pPr>
        <w:ind w:right="3479"/>
        <w:spacing w:after="0" w:line="279" w:lineRule="auto"/>
        <w:rPr>
          <w:sz w:val="20"/>
          <w:szCs w:val="20"/>
          <w:color w:val="auto"/>
        </w:rPr>
      </w:pPr>
      <w:r>
        <w:rPr>
          <w:rFonts w:ascii="Courier New" w:cs="Courier New" w:eastAsia="Courier New" w:hAnsi="Courier New"/>
          <w:sz w:val="16"/>
          <w:szCs w:val="16"/>
          <w:color w:val="auto"/>
        </w:rPr>
        <w:t>During the first six months of 2000, the Company also acquired and invested in several companies throughout the world. The total consideration paid for such transactions was $46.6 million</w:t>
      </w:r>
    </w:p>
    <w:p>
      <w:pPr>
        <w:sectPr>
          <w:pgSz w:w="11900" w:h="16838" w:orient="portrait"/>
          <w:cols w:equalWidth="0" w:num="1">
            <w:col w:w="10219"/>
          </w:cols>
          <w:pgMar w:left="240" w:top="717" w:right="1440" w:bottom="0" w:gutter="0" w:footer="0" w:header="0"/>
        </w:sectPr>
      </w:pPr>
    </w:p>
    <w:bookmarkStart w:id="13" w:name="page14"/>
    <w:bookmarkEnd w:id="13"/>
    <w:p>
      <w:pPr>
        <w:ind w:right="4099"/>
        <w:spacing w:after="0" w:line="235" w:lineRule="auto"/>
        <w:rPr>
          <w:sz w:val="20"/>
          <w:szCs w:val="20"/>
          <w:color w:val="auto"/>
        </w:rPr>
      </w:pPr>
      <w:r>
        <w:rPr>
          <w:rFonts w:ascii="Courier New" w:cs="Courier New" w:eastAsia="Courier New" w:hAnsi="Courier New"/>
          <w:sz w:val="18"/>
          <w:szCs w:val="18"/>
          <w:color w:val="auto"/>
        </w:rPr>
        <w:t>as of June 30, 2000, the majority of which was recorded as intangible assets.</w:t>
      </w:r>
    </w:p>
    <w:p>
      <w:pPr>
        <w:sectPr>
          <w:pgSz w:w="11900" w:h="16838" w:orient="portrait"/>
          <w:cols w:equalWidth="0" w:num="1">
            <w:col w:w="10219"/>
          </w:cols>
          <w:pgMar w:left="240" w:top="142" w:right="1440" w:bottom="1440" w:gutter="0" w:footer="0" w:header="0"/>
        </w:sectPr>
      </w:pPr>
    </w:p>
    <w:bookmarkStart w:id="14" w:name="page15"/>
    <w:bookmarkEnd w:id="14"/>
    <w:p>
      <w:pPr>
        <w:ind w:right="3359"/>
        <w:spacing w:after="0" w:line="237" w:lineRule="auto"/>
        <w:rPr>
          <w:sz w:val="20"/>
          <w:szCs w:val="20"/>
          <w:color w:val="auto"/>
        </w:rPr>
      </w:pPr>
      <w:r>
        <w:rPr>
          <w:rFonts w:ascii="Courier New" w:cs="Courier New" w:eastAsia="Courier New" w:hAnsi="Courier New"/>
          <w:sz w:val="18"/>
          <w:szCs w:val="18"/>
          <w:color w:val="auto"/>
        </w:rPr>
        <w:t>Net cash provided from additional borrowings was $161.3 million and $23.2 million in the first six months of 2000 and 1999, respectively. The additional borrowings in 2000 were primarily used to fund the acquisitions and investments made throughout 2000, to support the working capital growth and to repurchase the Company's common stock. The Company repurchased 483,900 shares at a cost of $14.5 million during the first six months of 2000. The additional borrowings in 1999 were primarily used to support the working capital growth and to repurchase the Company's common stock.</w:t>
      </w:r>
    </w:p>
    <w:p>
      <w:pPr>
        <w:spacing w:after="0" w:line="21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Accounts receivable increased to $2,121.7 million at June 30, 2000 from $1,897.6 million at December 31, 1999. This increase is partially due to a $100.0 million reduction in the amount advanced under the Company's U.S. Receivable Facility from December 31, 1999 to June 30, 2000. The remaining increase is due to the growth in many of the Company's foreign markets and the impact of recent acquisitions, offset by the impact of changes in exchange rates. At constant currency, the June 30, 2000 receivable balance would have been $94.4 million higher.</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June 30, 2000, the Company had borrowings of $151.4 million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letters of credit of $59.0 million outstanding under 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$415.0 million U.S. revolving credit facility, and borrowings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$7.0 million outstanding under its U.S. commercial paper program.</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commercial paper borrowings have been classified as long-term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debt due to the availability to refinance them on a long-term</w:t>
      </w:r>
    </w:p>
    <w:p>
      <w:pPr>
        <w:spacing w:after="0" w:line="238" w:lineRule="auto"/>
        <w:rPr>
          <w:sz w:val="20"/>
          <w:szCs w:val="20"/>
          <w:color w:val="auto"/>
        </w:rPr>
      </w:pPr>
      <w:r>
        <w:rPr>
          <w:rFonts w:ascii="Courier New" w:cs="Courier New" w:eastAsia="Courier New" w:hAnsi="Courier New"/>
          <w:sz w:val="18"/>
          <w:szCs w:val="18"/>
          <w:color w:val="auto"/>
        </w:rPr>
        <w:t>basis under the revolving credit facility.</w:t>
      </w:r>
    </w:p>
    <w:p>
      <w:pPr>
        <w:spacing w:after="0" w:line="207"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During June 2000, the Company entered into various interest rate swap agreements in order to fix its interest costs on a portion of its Euro and Yen denominated variable rate borrowings. The Euro interest rate swap agreements have a notional value of Euro 100.0 million ($95.7 million), a weighted average fixed rate of 6.1% and expire in 2010. The Yen interest rate swap agreement has a notional value of Yen 4.0 billion ($38.0 million), a fixed rate of 1.2% and expires in 2003. These swap agreements have had an immaterial impact on the recorded interest expense during 2000. As of June 30, 2000, the weighted average variable interest rate under the revolving credit agreement was 3.1%.</w:t>
      </w:r>
    </w:p>
    <w:p>
      <w:pPr>
        <w:spacing w:after="0" w:line="392"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On March 7, 2000, the Company issued Euro 150.0 million in unsecured notes, due March 2005, with an effective interest rate of 6.3%. Net proceeds of $143.1 million from the issuance were used to repay amounts under the Company's unsecured revolving credit facility.</w:t>
      </w:r>
    </w:p>
    <w:p>
      <w:pPr>
        <w:spacing w:after="0" w:line="20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Company and some of its foreign subsidiaries maintain separate lines of credit with foreign financial institutions to meet short-term working capital needs. As of June 30, 2000, such lines totaled</w:t>
      </w:r>
    </w:p>
    <w:p>
      <w:pPr>
        <w:spacing w:after="0"/>
        <w:rPr>
          <w:sz w:val="20"/>
          <w:szCs w:val="20"/>
          <w:color w:val="auto"/>
        </w:rPr>
      </w:pPr>
      <w:r>
        <w:rPr>
          <w:rFonts w:ascii="Courier New" w:cs="Courier New" w:eastAsia="Courier New" w:hAnsi="Courier New"/>
          <w:sz w:val="18"/>
          <w:szCs w:val="18"/>
          <w:color w:val="auto"/>
        </w:rPr>
        <w:t>$167.7 million, of which $39.3 million was unused.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Euro</w:t>
      </w:r>
    </w:p>
    <w:p>
      <w:pPr>
        <w:spacing w:after="0" w:line="20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On January 1, 1999, eleven of the fifteen member countries of the European Union (the "participating countries") established fixed conversion rates between their existing sovereign currencies (the "legacy currencies") and the Euro and have agreed to adopt the Euro as their common legal currency. The legacy currencies will remain legal tender in the participating countries as denominations of the Euro between January 1, 1999 and January 1, 2002 (the "transition period"). During the transition period, public and private parties may pay for goods and services using either the Euro or the participating country's legacy currency. Beginning on January 1, 2002, Euro-denominated bills and coins will be issued and legacy currencies will be withdrawn from circulation.</w:t>
      </w:r>
    </w:p>
    <w:p>
      <w:pPr>
        <w:spacing w:after="0" w:line="207"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6"/>
          <w:szCs w:val="16"/>
          <w:color w:val="auto"/>
        </w:rPr>
        <w:t>The Company has significant operations in many of the participating countries and is currently assessing the impact of the Euro on its business operations. Since the Company's labor costs and prices are generally determined on a local basis, the near-term impact of the Euro is expected to be primarily related to making internal information systems modifications to meet customer invoicing and financial reporting requirements. Such modifications relate to converting currency values and to operating in a dual currency environment during the transition</w:t>
      </w:r>
    </w:p>
    <w:p>
      <w:pPr>
        <w:sectPr>
          <w:pgSz w:w="11900" w:h="16838" w:orient="portrait"/>
          <w:cols w:equalWidth="0" w:num="1">
            <w:col w:w="10219"/>
          </w:cols>
          <w:pgMar w:left="240" w:top="723" w:right="1440" w:bottom="0" w:gutter="0" w:footer="0" w:header="0"/>
        </w:sectPr>
      </w:pPr>
    </w:p>
    <w:bookmarkStart w:id="15" w:name="page16"/>
    <w:bookmarkEnd w:id="15"/>
    <w:p>
      <w:pPr>
        <w:ind w:right="3359"/>
        <w:spacing w:after="0" w:line="236" w:lineRule="auto"/>
        <w:rPr>
          <w:sz w:val="20"/>
          <w:szCs w:val="20"/>
          <w:color w:val="auto"/>
        </w:rPr>
      </w:pPr>
      <w:r>
        <w:rPr>
          <w:rFonts w:ascii="Courier New" w:cs="Courier New" w:eastAsia="Courier New" w:hAnsi="Courier New"/>
          <w:sz w:val="18"/>
          <w:szCs w:val="18"/>
          <w:color w:val="auto"/>
        </w:rPr>
        <w:t>period. Modifications of internal information systems will occur throughout the transition period and will be coordinated with other system-related upgrades and enhancements.</w:t>
      </w:r>
    </w:p>
    <w:p>
      <w:pPr>
        <w:sectPr>
          <w:pgSz w:w="11900" w:h="16838" w:orient="portrait"/>
          <w:cols w:equalWidth="0" w:num="1">
            <w:col w:w="10219"/>
          </w:cols>
          <w:pgMar w:left="240" w:top="142" w:right="1440" w:bottom="1440" w:gutter="0" w:footer="0" w:header="0"/>
        </w:sectPr>
      </w:pPr>
    </w:p>
    <w:bookmarkStart w:id="16" w:name="page17"/>
    <w:bookmarkEnd w:id="16"/>
    <w:p>
      <w:pPr>
        <w:ind w:right="3359"/>
        <w:spacing w:after="0" w:line="237" w:lineRule="auto"/>
        <w:rPr>
          <w:sz w:val="20"/>
          <w:szCs w:val="20"/>
          <w:color w:val="auto"/>
        </w:rPr>
      </w:pPr>
      <w:r>
        <w:rPr>
          <w:rFonts w:ascii="Courier New" w:cs="Courier New" w:eastAsia="Courier New" w:hAnsi="Courier New"/>
          <w:sz w:val="18"/>
          <w:szCs w:val="18"/>
          <w:color w:val="auto"/>
        </w:rPr>
        <w:t>On a long-term basis, the Company believes that the introduction of the Euro may cause a greater level of price harmonization between participating countries, notwithstanding certain country-specific costs. In addition, the Company expects to begin paying permanent employees and temporary workers in the participating countries in Euro during 2001.</w:t>
      </w:r>
    </w:p>
    <w:p>
      <w:pPr>
        <w:spacing w:after="0" w:line="210"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Company will account for all related system modification costs in accordance with its existing policy and does not expect such costs to be material to the Company's consolidated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Certain information included or incorporated by reference in this filing and identified by use of the words "expects," "believes," "plans" or the like constitutes forward-looking statements, as such term is defined in Section 27A of the Securities Act of 1933 and Section 21E of the Securities Exchange Act of 1934. In addition, any information included or incorporated by reference in future filings by the Company with the Securities and Exchange Commission, as well as information contained in written material, releases and oral statements issued by or on behalf of the Company may include forward-looking statements. All statements which address operating performance, events or developments that the Company expects or anticipates will occur or future financial performance are forward-looking statements.</w:t>
      </w:r>
    </w:p>
    <w:p>
      <w:pPr>
        <w:spacing w:after="0" w:line="38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These forward-looking statements speak only as of the date on which they are made. They rely on a number of assumptions concerning future events and are subject to a number of risks and uncertainties, many of which are outside of the Company's control, that could cause actual results to differ materially from such statements. These risks and uncertainties include, but are not limited to:</w:t>
      </w:r>
    </w:p>
    <w:p>
      <w:pPr>
        <w:spacing w:after="0" w:line="205"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changes in the demand from larger customers,</w:t>
      </w:r>
    </w:p>
    <w:p>
      <w:pPr>
        <w:spacing w:after="0" w:line="4" w:lineRule="exact"/>
        <w:rPr>
          <w:rFonts w:ascii="Courier New" w:cs="Courier New" w:eastAsia="Courier New" w:hAnsi="Courier New"/>
          <w:sz w:val="18"/>
          <w:szCs w:val="18"/>
          <w:color w:val="auto"/>
        </w:rPr>
      </w:pPr>
    </w:p>
    <w:p>
      <w:pPr>
        <w:ind w:left="22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including customers with which the Company has national or global arrangements</w:t>
      </w:r>
    </w:p>
    <w:p>
      <w:pPr>
        <w:spacing w:after="0" w:line="5" w:lineRule="exact"/>
        <w:rPr>
          <w:rFonts w:ascii="Courier New" w:cs="Courier New" w:eastAsia="Courier New" w:hAnsi="Courier New"/>
          <w:sz w:val="18"/>
          <w:szCs w:val="18"/>
          <w:color w:val="auto"/>
        </w:rPr>
      </w:pPr>
    </w:p>
    <w:p>
      <w:pPr>
        <w:ind w:left="220" w:right="3679" w:hanging="212"/>
        <w:spacing w:after="0" w:line="235"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of temporary workers or workers with the skills required by customers</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increases in the wages paid to temporary workers</w:t>
      </w:r>
    </w:p>
    <w:p>
      <w:pPr>
        <w:spacing w:after="0" w:line="4" w:lineRule="exact"/>
        <w:rPr>
          <w:rFonts w:ascii="Courier New" w:cs="Courier New" w:eastAsia="Courier New" w:hAnsi="Courier New"/>
          <w:sz w:val="18"/>
          <w:szCs w:val="18"/>
          <w:color w:val="auto"/>
        </w:rPr>
      </w:pPr>
    </w:p>
    <w:p>
      <w:pPr>
        <w:ind w:left="220" w:right="3999" w:hanging="212"/>
        <w:spacing w:after="0" w:line="268" w:lineRule="auto"/>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market pressures, including pricing pressures and the expansion into new markets or service lines</w:t>
      </w:r>
    </w:p>
    <w:p>
      <w:pPr>
        <w:ind w:left="220" w:right="3779" w:hanging="212"/>
        <w:spacing w:after="0" w:line="235"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ability to successfully invest in and implement information systems</w:t>
      </w:r>
    </w:p>
    <w:p>
      <w:pPr>
        <w:spacing w:after="0" w:line="5" w:lineRule="exact"/>
        <w:rPr>
          <w:rFonts w:ascii="Courier New" w:cs="Courier New" w:eastAsia="Courier New" w:hAnsi="Courier New"/>
          <w:sz w:val="18"/>
          <w:szCs w:val="18"/>
          <w:color w:val="auto"/>
        </w:rPr>
      </w:pPr>
    </w:p>
    <w:p>
      <w:pPr>
        <w:ind w:left="220" w:right="3779" w:hanging="212"/>
        <w:spacing w:after="0" w:line="235"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unanticipated technological changes, including obsolescence or impairment of information systems</w:t>
      </w:r>
    </w:p>
    <w:p>
      <w:pPr>
        <w:spacing w:after="0" w:line="5" w:lineRule="exact"/>
        <w:rPr>
          <w:rFonts w:ascii="Courier New" w:cs="Courier New" w:eastAsia="Courier New" w:hAnsi="Courier New"/>
          <w:sz w:val="18"/>
          <w:szCs w:val="18"/>
          <w:color w:val="auto"/>
        </w:rPr>
      </w:pPr>
    </w:p>
    <w:p>
      <w:pPr>
        <w:ind w:left="220" w:right="4099" w:hanging="212"/>
        <w:spacing w:after="0" w:line="235"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customer attitudes toward the use of staffing services</w:t>
      </w:r>
    </w:p>
    <w:p>
      <w:pPr>
        <w:spacing w:after="0" w:line="5" w:lineRule="exact"/>
        <w:rPr>
          <w:rFonts w:ascii="Courier New" w:cs="Courier New" w:eastAsia="Courier New" w:hAnsi="Courier New"/>
          <w:sz w:val="18"/>
          <w:szCs w:val="18"/>
          <w:color w:val="auto"/>
        </w:rPr>
      </w:pPr>
    </w:p>
    <w:p>
      <w:pPr>
        <w:ind w:left="220" w:right="4419" w:hanging="212"/>
        <w:spacing w:after="0" w:line="235"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 tax or regulatory policies adverse to the employment services industry</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conditions in international markets</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and exchange rate fluctuations</w:t>
      </w:r>
    </w:p>
    <w:p>
      <w:pPr>
        <w:spacing w:after="0" w:line="4" w:lineRule="exact"/>
        <w:rPr>
          <w:rFonts w:ascii="Courier New" w:cs="Courier New" w:eastAsia="Courier New" w:hAnsi="Courier New"/>
          <w:sz w:val="18"/>
          <w:szCs w:val="18"/>
          <w:color w:val="auto"/>
        </w:rPr>
      </w:pPr>
    </w:p>
    <w:p>
      <w:pPr>
        <w:ind w:left="220" w:right="3779" w:hanging="212"/>
        <w:spacing w:after="0" w:line="290" w:lineRule="auto"/>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related to acquisitions, including integrating the acquired companies and achieving the expected benefits</w:t>
      </w:r>
    </w:p>
    <w:p>
      <w:pPr>
        <w:spacing w:after="0" w:line="170"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The Company disclaims any obligation to update publicly or revise any forward-looking statements, whether as a result of new information, future events or otherwise.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 Quantitative and Qualitative Disclosures About Market Risk</w:t>
      </w:r>
    </w:p>
    <w:p>
      <w:pPr>
        <w:spacing w:after="0" w:line="224"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6"/>
          <w:szCs w:val="16"/>
          <w:color w:val="auto"/>
        </w:rPr>
        <w:t>The Company's 1999 annual report on Form 10-K contains certain disclosures about market risks affecting the Company. There have been no material changes to the information provided which would require additional disclosures as of the date of this filing.</w:t>
      </w:r>
    </w:p>
    <w:p>
      <w:pPr>
        <w:sectPr>
          <w:pgSz w:w="11900" w:h="16838" w:orient="portrait"/>
          <w:cols w:equalWidth="0" w:num="1">
            <w:col w:w="10219"/>
          </w:cols>
          <w:pgMar w:left="240" w:top="723" w:right="1440" w:bottom="1440" w:gutter="0" w:footer="0" w:header="0"/>
        </w:sectPr>
      </w:pPr>
    </w:p>
    <w:bookmarkStart w:id="17" w:name="page18"/>
    <w:bookmarkEnd w:id="17"/>
    <w:p>
      <w:pPr>
        <w:ind w:left="2000"/>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 Submission of Matters to a Vote of Security Holders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gridSpan w:val="5"/>
          </w:tcPr>
          <w:p>
            <w:pPr>
              <w:spacing w:after="0"/>
              <w:rPr>
                <w:sz w:val="20"/>
                <w:szCs w:val="20"/>
                <w:color w:val="auto"/>
              </w:rPr>
            </w:pPr>
            <w:r>
              <w:rPr>
                <w:rFonts w:ascii="Courier New" w:cs="Courier New" w:eastAsia="Courier New" w:hAnsi="Courier New"/>
                <w:sz w:val="18"/>
                <w:szCs w:val="18"/>
                <w:color w:val="auto"/>
              </w:rPr>
              <w:t>On April 17, 2000, at the Company's Annual Meeting of</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2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Shareholders (the "Annual Meeting") the shareholders of the</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62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voted to: (1) Elect three directors to serve until 2003</w:t>
            </w:r>
          </w:p>
        </w:tc>
        <w:tc>
          <w:tcPr>
            <w:tcW w:w="1000" w:type="dxa"/>
            <w:vAlign w:val="bottom"/>
          </w:tcPr>
          <w:p>
            <w:pPr>
              <w:spacing w:after="0"/>
              <w:rPr>
                <w:sz w:val="17"/>
                <w:szCs w:val="17"/>
                <w:color w:val="auto"/>
              </w:rPr>
            </w:pPr>
          </w:p>
        </w:tc>
      </w:tr>
      <w:tr>
        <w:trPr>
          <w:trHeight w:val="203"/>
        </w:trPr>
        <w:tc>
          <w:tcPr>
            <w:tcW w:w="70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9"/>
              </w:rPr>
              <w:t>as Class I directors, (2) approve the performance-based incentive</w:t>
            </w:r>
          </w:p>
        </w:tc>
        <w:tc>
          <w:tcPr>
            <w:tcW w:w="1000" w:type="dxa"/>
            <w:vAlign w:val="bottom"/>
          </w:tcPr>
          <w:p>
            <w:pPr>
              <w:spacing w:after="0"/>
              <w:rPr>
                <w:sz w:val="17"/>
                <w:szCs w:val="17"/>
                <w:color w:val="auto"/>
              </w:rPr>
            </w:pPr>
          </w:p>
        </w:tc>
      </w:tr>
      <w:tr>
        <w:trPr>
          <w:trHeight w:val="203"/>
        </w:trPr>
        <w:tc>
          <w:tcPr>
            <w:tcW w:w="70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compensation arrangement for the Company's President and Chief</w:t>
            </w:r>
          </w:p>
        </w:tc>
        <w:tc>
          <w:tcPr>
            <w:tcW w:w="1000" w:type="dxa"/>
            <w:vAlign w:val="bottom"/>
          </w:tcPr>
          <w:p>
            <w:pPr>
              <w:spacing w:after="0"/>
              <w:rPr>
                <w:sz w:val="17"/>
                <w:szCs w:val="17"/>
                <w:color w:val="auto"/>
              </w:rPr>
            </w:pPr>
          </w:p>
        </w:tc>
      </w:tr>
      <w:tr>
        <w:trPr>
          <w:trHeight w:val="203"/>
        </w:trPr>
        <w:tc>
          <w:tcPr>
            <w:tcW w:w="62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Executive Officer and (3) ratify the appointment of Arthur</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0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Andersen LLP as the Company's independent auditors for 2000.  In</w:t>
            </w:r>
          </w:p>
        </w:tc>
        <w:tc>
          <w:tcPr>
            <w:tcW w:w="1000" w:type="dxa"/>
            <w:vAlign w:val="bottom"/>
          </w:tcPr>
          <w:p>
            <w:pPr>
              <w:spacing w:after="0"/>
              <w:rPr>
                <w:sz w:val="17"/>
                <w:szCs w:val="17"/>
                <w:color w:val="auto"/>
              </w:rPr>
            </w:pPr>
          </w:p>
        </w:tc>
      </w:tr>
      <w:tr>
        <w:trPr>
          <w:trHeight w:val="203"/>
        </w:trPr>
        <w:tc>
          <w:tcPr>
            <w:tcW w:w="70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addition, Messrs. J. Ira Harris, Terry A. Hueneke, Newton N.</w:t>
            </w:r>
          </w:p>
        </w:tc>
        <w:tc>
          <w:tcPr>
            <w:tcW w:w="1000" w:type="dxa"/>
            <w:vAlign w:val="bottom"/>
          </w:tcPr>
          <w:p>
            <w:pPr>
              <w:spacing w:after="0"/>
              <w:rPr>
                <w:sz w:val="17"/>
                <w:szCs w:val="17"/>
                <w:color w:val="auto"/>
              </w:rPr>
            </w:pPr>
          </w:p>
        </w:tc>
      </w:tr>
      <w:tr>
        <w:trPr>
          <w:trHeight w:val="203"/>
        </w:trPr>
        <w:tc>
          <w:tcPr>
            <w:tcW w:w="70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Minow and Gilbert Palay continued as Class II directors (term</w:t>
            </w:r>
          </w:p>
        </w:tc>
        <w:tc>
          <w:tcPr>
            <w:tcW w:w="1000" w:type="dxa"/>
            <w:vAlign w:val="bottom"/>
          </w:tcPr>
          <w:p>
            <w:pPr>
              <w:spacing w:after="0"/>
              <w:rPr>
                <w:sz w:val="17"/>
                <w:szCs w:val="17"/>
                <w:color w:val="auto"/>
              </w:rPr>
            </w:pPr>
          </w:p>
        </w:tc>
      </w:tr>
      <w:tr>
        <w:trPr>
          <w:trHeight w:val="203"/>
        </w:trPr>
        <w:tc>
          <w:tcPr>
            <w:tcW w:w="70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expiring 2001), and Messrs. Dudley J. Godfrey, Jr. and Marvin B.</w:t>
            </w:r>
          </w:p>
        </w:tc>
        <w:tc>
          <w:tcPr>
            <w:tcW w:w="100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Goodman</w:t>
            </w:r>
          </w:p>
        </w:tc>
        <w:tc>
          <w:tcPr>
            <w:tcW w:w="62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continued as Class III directors (term expiring 2002).</w:t>
            </w:r>
          </w:p>
        </w:tc>
        <w:tc>
          <w:tcPr>
            <w:tcW w:w="1000" w:type="dxa"/>
            <w:vAlign w:val="bottom"/>
          </w:tcPr>
          <w:p>
            <w:pPr>
              <w:spacing w:after="0"/>
              <w:rPr>
                <w:sz w:val="17"/>
                <w:szCs w:val="17"/>
                <w:color w:val="auto"/>
              </w:rPr>
            </w:pPr>
          </w:p>
        </w:tc>
      </w:tr>
      <w:tr>
        <w:trPr>
          <w:trHeight w:val="203"/>
        </w:trPr>
        <w:tc>
          <w:tcPr>
            <w:tcW w:w="70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9"/>
              </w:rPr>
              <w:t>The results of the proposals voted upon at the Annual Meeting are</w:t>
            </w:r>
          </w:p>
        </w:tc>
        <w:tc>
          <w:tcPr>
            <w:tcW w:w="1000" w:type="dxa"/>
            <w:vAlign w:val="bottom"/>
          </w:tcPr>
          <w:p>
            <w:pPr>
              <w:spacing w:after="0"/>
              <w:rPr>
                <w:sz w:val="17"/>
                <w:szCs w:val="17"/>
                <w:color w:val="auto"/>
              </w:rPr>
            </w:pP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as follows:</w:t>
            </w: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Broker</w:t>
            </w:r>
          </w:p>
        </w:tc>
      </w:tr>
      <w:tr>
        <w:trPr>
          <w:trHeight w:val="203"/>
        </w:trPr>
        <w:tc>
          <w:tcPr>
            <w:tcW w:w="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For</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Against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Withheld</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Abstain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Non-Vote</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   a)</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Election of</w:t>
            </w: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Dennis Stevenson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53,315,815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10,894,092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ind w:left="540"/>
              <w:spacing w:after="0"/>
              <w:rPr>
                <w:sz w:val="20"/>
                <w:szCs w:val="20"/>
                <w:color w:val="auto"/>
              </w:rPr>
            </w:pPr>
            <w:r>
              <w:rPr>
                <w:rFonts w:ascii="Courier New" w:cs="Courier New" w:eastAsia="Courier New" w:hAnsi="Courier New"/>
                <w:sz w:val="18"/>
                <w:szCs w:val="18"/>
                <w:color w:val="auto"/>
              </w:rPr>
              <w:t>b)</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Election of</w:t>
            </w: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John R. Walter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62,047,636</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2,162,271</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ind w:left="540"/>
              <w:spacing w:after="0"/>
              <w:rPr>
                <w:sz w:val="20"/>
                <w:szCs w:val="20"/>
                <w:color w:val="auto"/>
              </w:rPr>
            </w:pPr>
            <w:r>
              <w:rPr>
                <w:rFonts w:ascii="Courier New" w:cs="Courier New" w:eastAsia="Courier New" w:hAnsi="Courier New"/>
                <w:sz w:val="18"/>
                <w:szCs w:val="18"/>
                <w:color w:val="auto"/>
              </w:rPr>
              <w:t>c)</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Election of</w:t>
            </w: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3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Jeffery A. Joerres 62,063,129</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2,146,778</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320" w:right="7579" w:hanging="312"/>
        <w:spacing w:after="0" w:line="268" w:lineRule="auto"/>
        <w:tabs>
          <w:tab w:leader="none" w:pos="3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performance-based incentive compensation arrangement for the</w:t>
      </w:r>
    </w:p>
    <w:tbl>
      <w:tblPr>
        <w:tblLayout w:type="fixed"/>
        <w:tblInd w:w="0" w:type="dxa"/>
        <w:tblCellMar>
          <w:top w:w="0" w:type="dxa"/>
          <w:left w:w="0" w:type="dxa"/>
          <w:bottom w:w="0" w:type="dxa"/>
          <w:right w:w="0" w:type="dxa"/>
        </w:tblCellMar>
      </w:tblPr>
      <w:tr>
        <w:trPr>
          <w:trHeight w:val="199"/>
        </w:trPr>
        <w:tc>
          <w:tcPr>
            <w:tcW w:w="2800" w:type="dxa"/>
            <w:vAlign w:val="bottom"/>
            <w:gridSpan w:val="2"/>
          </w:tcPr>
          <w:p>
            <w:pPr>
              <w:ind w:left="320"/>
              <w:spacing w:after="0" w:line="199" w:lineRule="exact"/>
              <w:rPr>
                <w:sz w:val="20"/>
                <w:szCs w:val="20"/>
                <w:color w:val="auto"/>
              </w:rPr>
            </w:pPr>
            <w:r>
              <w:rPr>
                <w:rFonts w:ascii="Courier New" w:cs="Courier New" w:eastAsia="Courier New" w:hAnsi="Courier New"/>
                <w:sz w:val="18"/>
                <w:szCs w:val="18"/>
                <w:color w:val="auto"/>
                <w:w w:val="99"/>
              </w:rPr>
              <w:t>Company's President and</w:t>
            </w: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1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Chief Executive</w:t>
            </w:r>
          </w:p>
        </w:tc>
        <w:tc>
          <w:tcPr>
            <w:tcW w:w="2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Officer 63,225,359</w:t>
            </w: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824,445</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160,103</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3. Ratification of</w:t>
            </w: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1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Arthur Andersen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LLP as</w:t>
            </w: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independent auditors</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64,154,307</w:t>
            </w: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26,827</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28,773</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 Exhibits and Reports on Form 8-K</w:t>
      </w:r>
    </w:p>
    <w:p>
      <w:pPr>
        <w:spacing w:after="0" w:line="201" w:lineRule="exact"/>
        <w:rPr>
          <w:sz w:val="20"/>
          <w:szCs w:val="20"/>
          <w:color w:val="auto"/>
        </w:rPr>
      </w:pPr>
    </w:p>
    <w:p>
      <w:pPr>
        <w:ind w:left="740" w:hanging="521"/>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w:t>
      </w:r>
      <w:r>
        <w:rPr>
          <w:rFonts w:ascii="Courier New" w:cs="Courier New" w:eastAsia="Courier New" w:hAnsi="Courier New"/>
          <w:sz w:val="16"/>
          <w:szCs w:val="16"/>
          <w:color w:val="auto"/>
        </w:rPr>
        <w:t>Financial Data Schedule</w:t>
      </w:r>
    </w:p>
    <w:p>
      <w:pPr>
        <w:spacing w:after="0" w:line="201"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left="540" w:right="3999"/>
        <w:spacing w:after="0" w:line="290" w:lineRule="auto"/>
        <w:rPr>
          <w:sz w:val="20"/>
          <w:szCs w:val="20"/>
          <w:color w:val="auto"/>
        </w:rPr>
      </w:pPr>
      <w:r>
        <w:rPr>
          <w:rFonts w:ascii="Courier New" w:cs="Courier New" w:eastAsia="Courier New" w:hAnsi="Courier New"/>
          <w:sz w:val="16"/>
          <w:szCs w:val="16"/>
          <w:color w:val="auto"/>
        </w:rPr>
        <w:t>The Company filed one current report on Form 8-K dated April 18, 2000 with respect to Item 5 - Other Events.</w:t>
      </w:r>
    </w:p>
    <w:p>
      <w:pPr>
        <w:sectPr>
          <w:pgSz w:w="11900" w:h="16838" w:orient="portrait"/>
          <w:cols w:equalWidth="0" w:num="1">
            <w:col w:w="10219"/>
          </w:cols>
          <w:pgMar w:left="240" w:top="717" w:right="1440" w:bottom="1440" w:gutter="0" w:footer="0" w:header="0"/>
        </w:sectPr>
      </w:pPr>
    </w:p>
    <w:bookmarkStart w:id="18" w:name="page19"/>
    <w:bookmarkEnd w:id="18"/>
    <w:p>
      <w:pPr>
        <w:ind w:left="28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MANPOWER INC.</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jc w:val="center"/>
        <w:ind w:right="319"/>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11,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Van Handel</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Michael J. Van Handel</w:t>
      </w:r>
    </w:p>
    <w:p>
      <w:pPr>
        <w:spacing w:after="0" w:line="237" w:lineRule="auto"/>
        <w:rPr>
          <w:sz w:val="20"/>
          <w:szCs w:val="20"/>
          <w:color w:val="auto"/>
        </w:rPr>
      </w:pPr>
      <w:r>
        <w:rPr>
          <w:rFonts w:ascii="Courier New" w:cs="Courier New" w:eastAsia="Courier New" w:hAnsi="Courier New"/>
          <w:sz w:val="18"/>
          <w:szCs w:val="18"/>
          <w:color w:val="auto"/>
        </w:rPr>
        <w:t>Senior Vice President, Chief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Officer and Secretary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(Signing on behalf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Registrant and as the Principal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Officer and Principal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Officer)</w:t>
      </w:r>
    </w:p>
    <w:p>
      <w:pPr>
        <w:sectPr>
          <w:pgSz w:w="11900" w:h="16838" w:orient="portrait"/>
          <w:cols w:equalWidth="0" w:num="2">
            <w:col w:w="2440" w:space="720"/>
            <w:col w:w="7059"/>
          </w:cols>
          <w:pgMar w:left="240" w:top="919" w:right="1440" w:bottom="1440" w:gutter="0" w:footer="0" w:header="0"/>
          <w:type w:val="continuous"/>
        </w:sectPr>
      </w:pPr>
    </w:p>
    <w:bookmarkStart w:id="19" w:name="page20"/>
    <w:bookmarkEnd w:id="19"/>
    <w:p>
      <w:pPr>
        <w:ind w:left="240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left="1380" w:right="3659" w:hanging="842"/>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FINANCIAL STATEMENTS OF THE REGISTRANT AS OF AND FOR THE SIX MONTHS ENDED JUNE 30, 2000 AND IS QUALIFIED IN ITS ENTIRETY BY REFERENCE TO SUCH FINANCIAL STATEMENTS. ALL AMOUNTS BELOW, EXCEPT FOR EPS FIGURES, HAVE BEEN ROUNDED TO THE NEAREST HUNDRED.</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6-MOS</w:t>
      </w:r>
    </w:p>
    <w:p>
      <w:pPr>
        <w:ind w:left="1160"/>
        <w:spacing w:after="0" w:line="238" w:lineRule="auto"/>
        <w:rPr>
          <w:sz w:val="20"/>
          <w:szCs w:val="20"/>
          <w:color w:val="auto"/>
        </w:rPr>
      </w:pPr>
      <w:r>
        <w:rPr>
          <w:rFonts w:ascii="Courier New" w:cs="Courier New" w:eastAsia="Courier New" w:hAnsi="Courier New"/>
          <w:sz w:val="18"/>
          <w:szCs w:val="18"/>
          <w:color w:val="auto"/>
        </w:rPr>
        <w:t>DEC-31-2000</w:t>
      </w:r>
    </w:p>
    <w:p>
      <w:pPr>
        <w:ind w:left="1700"/>
        <w:spacing w:after="0"/>
        <w:rPr>
          <w:sz w:val="20"/>
          <w:szCs w:val="20"/>
          <w:color w:val="auto"/>
        </w:rPr>
      </w:pPr>
      <w:r>
        <w:rPr>
          <w:rFonts w:ascii="Courier New" w:cs="Courier New" w:eastAsia="Courier New" w:hAnsi="Courier New"/>
          <w:sz w:val="18"/>
          <w:szCs w:val="18"/>
          <w:color w:val="auto"/>
        </w:rPr>
        <w:t>JUN-30-2000</w:t>
      </w:r>
    </w:p>
    <w:p>
      <w:pPr>
        <w:ind w:left="2320"/>
        <w:spacing w:after="0" w:line="237" w:lineRule="auto"/>
        <w:rPr>
          <w:sz w:val="20"/>
          <w:szCs w:val="20"/>
          <w:color w:val="auto"/>
        </w:rPr>
      </w:pPr>
      <w:r>
        <w:rPr>
          <w:rFonts w:ascii="Courier New" w:cs="Courier New" w:eastAsia="Courier New" w:hAnsi="Courier New"/>
          <w:sz w:val="18"/>
          <w:szCs w:val="18"/>
          <w:color w:val="auto"/>
        </w:rPr>
        <w:t>144,500</w:t>
      </w:r>
    </w:p>
    <w:p>
      <w:pPr>
        <w:ind w:left="1700"/>
        <w:spacing w:after="0" w:line="238" w:lineRule="auto"/>
        <w:rPr>
          <w:sz w:val="20"/>
          <w:szCs w:val="20"/>
          <w:color w:val="auto"/>
        </w:rPr>
      </w:pPr>
      <w:r>
        <w:rPr>
          <w:rFonts w:ascii="Courier New" w:cs="Courier New" w:eastAsia="Courier New" w:hAnsi="Courier New"/>
          <w:sz w:val="18"/>
          <w:szCs w:val="18"/>
          <w:color w:val="auto"/>
        </w:rPr>
        <w:t>0</w:t>
      </w:r>
    </w:p>
    <w:p>
      <w:pPr>
        <w:ind w:left="1580"/>
        <w:spacing w:after="0"/>
        <w:rPr>
          <w:sz w:val="20"/>
          <w:szCs w:val="20"/>
          <w:color w:val="auto"/>
        </w:rPr>
      </w:pPr>
      <w:r>
        <w:rPr>
          <w:rFonts w:ascii="Courier New" w:cs="Courier New" w:eastAsia="Courier New" w:hAnsi="Courier New"/>
          <w:sz w:val="18"/>
          <w:szCs w:val="18"/>
          <w:color w:val="auto"/>
        </w:rPr>
        <w:t>2,121,700</w:t>
      </w:r>
    </w:p>
    <w:p>
      <w:pPr>
        <w:ind w:left="1700"/>
        <w:spacing w:after="0" w:line="237" w:lineRule="auto"/>
        <w:rPr>
          <w:sz w:val="20"/>
          <w:szCs w:val="20"/>
          <w:color w:val="auto"/>
        </w:rPr>
      </w:pPr>
      <w:r>
        <w:rPr>
          <w:rFonts w:ascii="Courier New" w:cs="Courier New" w:eastAsia="Courier New" w:hAnsi="Courier New"/>
          <w:sz w:val="18"/>
          <w:szCs w:val="18"/>
          <w:color w:val="auto"/>
        </w:rPr>
        <w:t>53,000</w:t>
      </w:r>
    </w:p>
    <w:p>
      <w:pPr>
        <w:ind w:left="1800"/>
        <w:spacing w:after="0"/>
        <w:rPr>
          <w:sz w:val="20"/>
          <w:szCs w:val="20"/>
          <w:color w:val="auto"/>
        </w:rPr>
      </w:pPr>
      <w:r>
        <w:rPr>
          <w:rFonts w:ascii="Courier New" w:cs="Courier New" w:eastAsia="Courier New" w:hAnsi="Courier New"/>
          <w:sz w:val="18"/>
          <w:szCs w:val="18"/>
          <w:color w:val="auto"/>
        </w:rPr>
        <w:t>0</w:t>
      </w:r>
    </w:p>
    <w:p>
      <w:pPr>
        <w:ind w:left="1260"/>
        <w:spacing w:after="0" w:line="237" w:lineRule="auto"/>
        <w:rPr>
          <w:sz w:val="20"/>
          <w:szCs w:val="20"/>
          <w:color w:val="auto"/>
        </w:rPr>
      </w:pPr>
      <w:r>
        <w:rPr>
          <w:rFonts w:ascii="Courier New" w:cs="Courier New" w:eastAsia="Courier New" w:hAnsi="Courier New"/>
          <w:sz w:val="18"/>
          <w:szCs w:val="18"/>
          <w:color w:val="auto"/>
        </w:rPr>
        <w:t>2,383,100</w:t>
      </w:r>
    </w:p>
    <w:p>
      <w:pPr>
        <w:ind w:left="2320"/>
        <w:spacing w:after="0"/>
        <w:rPr>
          <w:sz w:val="20"/>
          <w:szCs w:val="20"/>
          <w:color w:val="auto"/>
        </w:rPr>
      </w:pPr>
      <w:r>
        <w:rPr>
          <w:rFonts w:ascii="Courier New" w:cs="Courier New" w:eastAsia="Courier New" w:hAnsi="Courier New"/>
          <w:sz w:val="18"/>
          <w:szCs w:val="18"/>
          <w:color w:val="auto"/>
        </w:rPr>
        <w:t>429,400</w:t>
      </w:r>
    </w:p>
    <w:p>
      <w:pPr>
        <w:ind w:left="1480"/>
        <w:spacing w:after="0" w:line="237" w:lineRule="auto"/>
        <w:rPr>
          <w:sz w:val="20"/>
          <w:szCs w:val="20"/>
          <w:color w:val="auto"/>
        </w:rPr>
      </w:pPr>
      <w:r>
        <w:rPr>
          <w:rFonts w:ascii="Courier New" w:cs="Courier New" w:eastAsia="Courier New" w:hAnsi="Courier New"/>
          <w:sz w:val="18"/>
          <w:szCs w:val="18"/>
          <w:color w:val="auto"/>
        </w:rPr>
        <w:t>249,600</w:t>
      </w:r>
    </w:p>
    <w:p>
      <w:pPr>
        <w:ind w:left="1480"/>
        <w:spacing w:after="0" w:line="238" w:lineRule="auto"/>
        <w:rPr>
          <w:sz w:val="20"/>
          <w:szCs w:val="20"/>
          <w:color w:val="auto"/>
        </w:rPr>
      </w:pPr>
      <w:r>
        <w:rPr>
          <w:rFonts w:ascii="Courier New" w:cs="Courier New" w:eastAsia="Courier New" w:hAnsi="Courier New"/>
          <w:sz w:val="18"/>
          <w:szCs w:val="18"/>
          <w:color w:val="auto"/>
        </w:rPr>
        <w:t>2,983,700</w:t>
      </w:r>
    </w:p>
    <w:p>
      <w:pPr>
        <w:ind w:left="740"/>
        <w:spacing w:after="0"/>
        <w:rPr>
          <w:sz w:val="20"/>
          <w:szCs w:val="20"/>
          <w:color w:val="auto"/>
        </w:rPr>
      </w:pPr>
      <w:r>
        <w:rPr>
          <w:rFonts w:ascii="Courier New" w:cs="Courier New" w:eastAsia="Courier New" w:hAnsi="Courier New"/>
          <w:sz w:val="18"/>
          <w:szCs w:val="18"/>
          <w:color w:val="auto"/>
        </w:rPr>
        <w:t>1,513,300</w:t>
      </w:r>
    </w:p>
    <w:p>
      <w:pPr>
        <w:ind w:left="2220"/>
        <w:spacing w:after="0" w:line="237" w:lineRule="auto"/>
        <w:rPr>
          <w:sz w:val="20"/>
          <w:szCs w:val="20"/>
          <w:color w:val="auto"/>
        </w:rPr>
      </w:pPr>
      <w:r>
        <w:rPr>
          <w:rFonts w:ascii="Courier New" w:cs="Courier New" w:eastAsia="Courier New" w:hAnsi="Courier New"/>
          <w:sz w:val="18"/>
          <w:szCs w:val="18"/>
          <w:color w:val="auto"/>
        </w:rPr>
        <w:t>513,900</w:t>
      </w:r>
    </w:p>
    <w:p>
      <w:pPr>
        <w:ind w:left="740"/>
        <w:spacing w:after="0"/>
        <w:rPr>
          <w:sz w:val="20"/>
          <w:szCs w:val="20"/>
          <w:color w:val="auto"/>
        </w:rPr>
      </w:pPr>
      <w:r>
        <w:rPr>
          <w:rFonts w:ascii="Courier New" w:cs="Courier New" w:eastAsia="Courier New" w:hAnsi="Courier New"/>
          <w:sz w:val="18"/>
          <w:szCs w:val="18"/>
          <w:color w:val="auto"/>
        </w:rPr>
        <w:t>0</w:t>
      </w:r>
    </w:p>
    <w:p>
      <w:pPr>
        <w:ind w:left="1800"/>
        <w:spacing w:after="0" w:line="237" w:lineRule="auto"/>
        <w:rPr>
          <w:sz w:val="20"/>
          <w:szCs w:val="20"/>
          <w:color w:val="auto"/>
        </w:rPr>
      </w:pPr>
      <w:r>
        <w:rPr>
          <w:rFonts w:ascii="Courier New" w:cs="Courier New" w:eastAsia="Courier New" w:hAnsi="Courier New"/>
          <w:sz w:val="18"/>
          <w:szCs w:val="18"/>
          <w:color w:val="auto"/>
        </w:rPr>
        <w:t>0</w:t>
      </w:r>
    </w:p>
    <w:p>
      <w:pPr>
        <w:jc w:val="center"/>
        <w:ind w:right="5439"/>
        <w:spacing w:after="0"/>
        <w:rPr>
          <w:sz w:val="20"/>
          <w:szCs w:val="20"/>
          <w:color w:val="auto"/>
        </w:rPr>
      </w:pPr>
      <w:r>
        <w:rPr>
          <w:rFonts w:ascii="Courier New" w:cs="Courier New" w:eastAsia="Courier New" w:hAnsi="Courier New"/>
          <w:sz w:val="18"/>
          <w:szCs w:val="18"/>
          <w:color w:val="auto"/>
        </w:rPr>
        <w:t>800</w:t>
      </w:r>
    </w:p>
    <w:p>
      <w:pPr>
        <w:jc w:val="center"/>
        <w:ind w:right="5439"/>
        <w:spacing w:after="0" w:line="237" w:lineRule="auto"/>
        <w:rPr>
          <w:sz w:val="20"/>
          <w:szCs w:val="20"/>
          <w:color w:val="auto"/>
        </w:rPr>
      </w:pPr>
      <w:r>
        <w:rPr>
          <w:rFonts w:ascii="Courier New" w:cs="Courier New" w:eastAsia="Courier New" w:hAnsi="Courier New"/>
          <w:sz w:val="18"/>
          <w:szCs w:val="18"/>
          <w:color w:val="auto"/>
        </w:rPr>
        <w:t>653,200</w:t>
      </w:r>
    </w:p>
    <w:p>
      <w:pPr>
        <w:spacing w:after="0" w:line="238" w:lineRule="auto"/>
        <w:rPr>
          <w:sz w:val="20"/>
          <w:szCs w:val="20"/>
          <w:color w:val="auto"/>
        </w:rPr>
      </w:pPr>
      <w:r>
        <w:rPr>
          <w:rFonts w:ascii="Courier New" w:cs="Courier New" w:eastAsia="Courier New" w:hAnsi="Courier New"/>
          <w:sz w:val="18"/>
          <w:szCs w:val="18"/>
          <w:color w:val="auto"/>
        </w:rPr>
        <w:t>2,983,700</w:t>
      </w:r>
    </w:p>
    <w:p>
      <w:pPr>
        <w:ind w:left="2220"/>
        <w:spacing w:after="0"/>
        <w:rPr>
          <w:sz w:val="20"/>
          <w:szCs w:val="20"/>
          <w:color w:val="auto"/>
        </w:rPr>
      </w:pPr>
      <w:r>
        <w:rPr>
          <w:rFonts w:ascii="Courier New" w:cs="Courier New" w:eastAsia="Courier New" w:hAnsi="Courier New"/>
          <w:sz w:val="18"/>
          <w:szCs w:val="18"/>
          <w:color w:val="auto"/>
        </w:rPr>
        <w:t>0</w:t>
      </w:r>
    </w:p>
    <w:p>
      <w:pPr>
        <w:ind w:left="1260"/>
        <w:spacing w:after="0" w:line="237" w:lineRule="auto"/>
        <w:rPr>
          <w:sz w:val="20"/>
          <w:szCs w:val="20"/>
          <w:color w:val="auto"/>
        </w:rPr>
      </w:pPr>
      <w:r>
        <w:rPr>
          <w:rFonts w:ascii="Courier New" w:cs="Courier New" w:eastAsia="Courier New" w:hAnsi="Courier New"/>
          <w:sz w:val="18"/>
          <w:szCs w:val="18"/>
          <w:color w:val="auto"/>
        </w:rPr>
        <w:t>5,282,400</w:t>
      </w:r>
    </w:p>
    <w:p>
      <w:pPr>
        <w:jc w:val="right"/>
        <w:ind w:right="7439"/>
        <w:spacing w:after="0"/>
        <w:rPr>
          <w:sz w:val="20"/>
          <w:szCs w:val="20"/>
          <w:color w:val="auto"/>
        </w:rPr>
      </w:pPr>
      <w:r>
        <w:rPr>
          <w:rFonts w:ascii="Courier New" w:cs="Courier New" w:eastAsia="Courier New" w:hAnsi="Courier New"/>
          <w:sz w:val="18"/>
          <w:szCs w:val="18"/>
          <w:color w:val="auto"/>
        </w:rPr>
        <w:t>0</w:t>
      </w:r>
    </w:p>
    <w:p>
      <w:pPr>
        <w:jc w:val="right"/>
        <w:ind w:right="7439"/>
        <w:spacing w:after="0" w:line="237" w:lineRule="auto"/>
        <w:rPr>
          <w:sz w:val="20"/>
          <w:szCs w:val="20"/>
          <w:color w:val="auto"/>
        </w:rPr>
      </w:pPr>
      <w:r>
        <w:rPr>
          <w:rFonts w:ascii="Courier New" w:cs="Courier New" w:eastAsia="Courier New" w:hAnsi="Courier New"/>
          <w:sz w:val="18"/>
          <w:szCs w:val="18"/>
          <w:color w:val="auto"/>
        </w:rPr>
        <w:t>4,358,600</w:t>
      </w:r>
    </w:p>
    <w:p>
      <w:pPr>
        <w:ind w:left="1260"/>
        <w:spacing w:after="0"/>
        <w:rPr>
          <w:sz w:val="20"/>
          <w:szCs w:val="20"/>
          <w:color w:val="auto"/>
        </w:rPr>
      </w:pPr>
      <w:r>
        <w:rPr>
          <w:rFonts w:ascii="Courier New" w:cs="Courier New" w:eastAsia="Courier New" w:hAnsi="Courier New"/>
          <w:sz w:val="18"/>
          <w:szCs w:val="18"/>
          <w:color w:val="auto"/>
        </w:rPr>
        <w:t>0</w:t>
      </w:r>
    </w:p>
    <w:p>
      <w:pPr>
        <w:ind w:left="1260"/>
        <w:spacing w:after="0" w:line="237" w:lineRule="auto"/>
        <w:rPr>
          <w:sz w:val="20"/>
          <w:szCs w:val="20"/>
          <w:color w:val="auto"/>
        </w:rPr>
      </w:pPr>
      <w:r>
        <w:rPr>
          <w:rFonts w:ascii="Courier New" w:cs="Courier New" w:eastAsia="Courier New" w:hAnsi="Courier New"/>
          <w:sz w:val="18"/>
          <w:szCs w:val="18"/>
          <w:color w:val="auto"/>
        </w:rPr>
        <w:t>12,300</w:t>
      </w:r>
    </w:p>
    <w:p>
      <w:pPr>
        <w:ind w:left="1060"/>
        <w:spacing w:after="0"/>
        <w:rPr>
          <w:sz w:val="20"/>
          <w:szCs w:val="20"/>
          <w:color w:val="auto"/>
        </w:rPr>
      </w:pPr>
      <w:r>
        <w:rPr>
          <w:rFonts w:ascii="Courier New" w:cs="Courier New" w:eastAsia="Courier New" w:hAnsi="Courier New"/>
          <w:sz w:val="18"/>
          <w:szCs w:val="18"/>
          <w:color w:val="auto"/>
        </w:rPr>
        <w:t>15,800</w:t>
      </w:r>
    </w:p>
    <w:p>
      <w:pPr>
        <w:ind w:left="1380"/>
        <w:spacing w:after="0" w:line="237" w:lineRule="auto"/>
        <w:rPr>
          <w:sz w:val="20"/>
          <w:szCs w:val="20"/>
          <w:color w:val="auto"/>
        </w:rPr>
      </w:pPr>
      <w:r>
        <w:rPr>
          <w:rFonts w:ascii="Courier New" w:cs="Courier New" w:eastAsia="Courier New" w:hAnsi="Courier New"/>
          <w:sz w:val="18"/>
          <w:szCs w:val="18"/>
          <w:color w:val="auto"/>
        </w:rPr>
        <w:t>98,700</w:t>
      </w:r>
    </w:p>
    <w:p>
      <w:pPr>
        <w:ind w:left="1700"/>
        <w:spacing w:after="0" w:line="238" w:lineRule="auto"/>
        <w:rPr>
          <w:sz w:val="20"/>
          <w:szCs w:val="20"/>
          <w:color w:val="auto"/>
        </w:rPr>
      </w:pPr>
      <w:r>
        <w:rPr>
          <w:rFonts w:ascii="Courier New" w:cs="Courier New" w:eastAsia="Courier New" w:hAnsi="Courier New"/>
          <w:sz w:val="18"/>
          <w:szCs w:val="18"/>
          <w:color w:val="auto"/>
        </w:rPr>
        <w:t>35,100</w:t>
      </w:r>
    </w:p>
    <w:p>
      <w:pPr>
        <w:jc w:val="right"/>
        <w:ind w:right="8399"/>
        <w:spacing w:after="0"/>
        <w:rPr>
          <w:sz w:val="20"/>
          <w:szCs w:val="20"/>
          <w:color w:val="auto"/>
        </w:rPr>
      </w:pPr>
      <w:r>
        <w:rPr>
          <w:rFonts w:ascii="Courier New" w:cs="Courier New" w:eastAsia="Courier New" w:hAnsi="Courier New"/>
          <w:sz w:val="18"/>
          <w:szCs w:val="18"/>
          <w:color w:val="auto"/>
        </w:rPr>
        <w:t>63,600</w:t>
      </w:r>
    </w:p>
    <w:p>
      <w:pPr>
        <w:jc w:val="right"/>
        <w:ind w:right="8399"/>
        <w:spacing w:after="0" w:line="237" w:lineRule="auto"/>
        <w:rPr>
          <w:sz w:val="20"/>
          <w:szCs w:val="20"/>
          <w:color w:val="auto"/>
        </w:rPr>
      </w:pPr>
      <w:r>
        <w:rPr>
          <w:rFonts w:ascii="Courier New" w:cs="Courier New" w:eastAsia="Courier New" w:hAnsi="Courier New"/>
          <w:sz w:val="18"/>
          <w:szCs w:val="18"/>
          <w:color w:val="auto"/>
        </w:rPr>
        <w:t>0</w:t>
      </w:r>
    </w:p>
    <w:p>
      <w:pPr>
        <w:ind w:left="1380"/>
        <w:spacing w:after="0"/>
        <w:rPr>
          <w:sz w:val="20"/>
          <w:szCs w:val="20"/>
          <w:color w:val="auto"/>
        </w:rPr>
      </w:pPr>
      <w:r>
        <w:rPr>
          <w:rFonts w:ascii="Courier New" w:cs="Courier New" w:eastAsia="Courier New" w:hAnsi="Courier New"/>
          <w:sz w:val="18"/>
          <w:szCs w:val="18"/>
          <w:color w:val="auto"/>
        </w:rPr>
        <w:t>0</w:t>
      </w:r>
    </w:p>
    <w:p>
      <w:pPr>
        <w:ind w:left="2000"/>
        <w:spacing w:after="0" w:line="237" w:lineRule="auto"/>
        <w:rPr>
          <w:sz w:val="20"/>
          <w:szCs w:val="20"/>
          <w:color w:val="auto"/>
        </w:rPr>
      </w:pPr>
      <w:r>
        <w:rPr>
          <w:rFonts w:ascii="Courier New" w:cs="Courier New" w:eastAsia="Courier New" w:hAnsi="Courier New"/>
          <w:sz w:val="18"/>
          <w:szCs w:val="18"/>
          <w:color w:val="auto"/>
        </w:rPr>
        <w:t>0</w:t>
      </w:r>
    </w:p>
    <w:p>
      <w:pPr>
        <w:ind w:left="1700"/>
        <w:spacing w:after="0"/>
        <w:rPr>
          <w:sz w:val="20"/>
          <w:szCs w:val="20"/>
          <w:color w:val="auto"/>
        </w:rPr>
      </w:pPr>
      <w:r>
        <w:rPr>
          <w:rFonts w:ascii="Courier New" w:cs="Courier New" w:eastAsia="Courier New" w:hAnsi="Courier New"/>
          <w:sz w:val="18"/>
          <w:szCs w:val="18"/>
          <w:color w:val="auto"/>
        </w:rPr>
        <w:t>63,600</w:t>
      </w:r>
    </w:p>
    <w:p>
      <w:pPr>
        <w:ind w:left="1580"/>
        <w:spacing w:after="0" w:line="237" w:lineRule="auto"/>
        <w:rPr>
          <w:sz w:val="20"/>
          <w:szCs w:val="20"/>
          <w:color w:val="auto"/>
        </w:rPr>
      </w:pPr>
      <w:r>
        <w:rPr>
          <w:rFonts w:ascii="Courier New" w:cs="Courier New" w:eastAsia="Courier New" w:hAnsi="Courier New"/>
          <w:sz w:val="18"/>
          <w:szCs w:val="18"/>
          <w:color w:val="auto"/>
        </w:rPr>
        <w:t>0.84</w:t>
      </w:r>
    </w:p>
    <w:p>
      <w:pPr>
        <w:ind w:left="1580"/>
        <w:spacing w:after="0" w:line="238" w:lineRule="auto"/>
        <w:rPr>
          <w:sz w:val="20"/>
          <w:szCs w:val="20"/>
          <w:color w:val="auto"/>
        </w:rPr>
      </w:pPr>
      <w:r>
        <w:rPr>
          <w:rFonts w:ascii="Courier New" w:cs="Courier New" w:eastAsia="Courier New" w:hAnsi="Courier New"/>
          <w:sz w:val="18"/>
          <w:szCs w:val="18"/>
          <w:color w:val="auto"/>
        </w:rPr>
        <w:t>0.82</w:t>
      </w:r>
    </w:p>
    <w:sectPr>
      <w:pgSz w:w="11900" w:h="16838" w:orient="portrait"/>
      <w:cols w:equalWidth="0" w:num="1">
        <w:col w:w="9979"/>
      </w:cols>
      <w:pgMar w:left="480" w:top="9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2019-12-19T23:49:21Z</dcterms:created>
  <dcterms:modified xsi:type="dcterms:W3CDTF">2019-12-19T23:49:21Z</dcterms:modified>
</cp:coreProperties>
</file>