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9"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spacing w:after="0" w:line="175" w:lineRule="exact"/>
        <w:rPr>
          <w:sz w:val="24"/>
          <w:szCs w:val="24"/>
          <w:color w:val="auto"/>
        </w:rPr>
      </w:pPr>
    </w:p>
    <w:p>
      <w:pPr>
        <w:ind w:left="790" w:right="3619" w:hanging="790"/>
        <w:spacing w:after="0" w:line="235" w:lineRule="auto"/>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70"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MARCH 31, 2002</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jc w:val="right"/>
        <w:ind w:left="790" w:right="3539" w:hanging="790"/>
        <w:spacing w:after="0" w:line="26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 of the Securities Exchange Act of 1934 for the transition period from: ______to______</w:t>
      </w:r>
    </w:p>
    <w:p>
      <w:pPr>
        <w:spacing w:after="0" w:line="153"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Commission file number: 1-10686</w:t>
      </w:r>
    </w:p>
    <w:p>
      <w:pPr>
        <w:spacing w:after="0" w:line="16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MANPOWER INC.</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9"/>
          </w:cols>
          <w:pgMar w:left="230" w:top="401" w:right="1440" w:bottom="1440" w:gutter="0" w:footer="0" w:header="0"/>
        </w:sectPr>
      </w:pPr>
    </w:p>
    <w:p>
      <w:pPr>
        <w:spacing w:after="0" w:line="169"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WISCONSIN</w:t>
      </w:r>
    </w:p>
    <w:p>
      <w:pPr>
        <w:spacing w:after="0" w:line="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(State or other jurisdiction</w:t>
      </w:r>
    </w:p>
    <w:p>
      <w:pPr>
        <w:spacing w:after="0" w:line="5"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of incorporation)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39-1672779</w:t>
      </w: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4" w:lineRule="exact"/>
        <w:rPr>
          <w:sz w:val="24"/>
          <w:szCs w:val="24"/>
          <w:color w:val="auto"/>
        </w:rPr>
      </w:pPr>
    </w:p>
    <w:p>
      <w:pPr>
        <w:sectPr>
          <w:pgSz w:w="11900" w:h="16838" w:orient="portrait"/>
          <w:cols w:equalWidth="0" w:num="2">
            <w:col w:w="4210" w:space="720"/>
            <w:col w:w="5299"/>
          </w:cols>
          <w:pgMar w:left="230" w:top="401" w:right="1440" w:bottom="1440" w:gutter="0" w:footer="0" w:header="0"/>
          <w:type w:val="continuous"/>
        </w:sectPr>
      </w:pPr>
    </w:p>
    <w:p>
      <w:pPr>
        <w:ind w:left="790"/>
        <w:spacing w:after="0"/>
        <w:rPr>
          <w:sz w:val="20"/>
          <w:szCs w:val="20"/>
          <w:color w:val="auto"/>
        </w:rPr>
      </w:pPr>
      <w:r>
        <w:rPr>
          <w:rFonts w:ascii="Courier New" w:cs="Courier New" w:eastAsia="Courier New" w:hAnsi="Courier New"/>
          <w:sz w:val="15"/>
          <w:szCs w:val="15"/>
          <w:color w:val="auto"/>
        </w:rPr>
        <w:t>5301 N. IRONWOOD ROAD</w:t>
      </w:r>
    </w:p>
    <w:p>
      <w:pPr>
        <w:ind w:left="790"/>
        <w:spacing w:after="0"/>
        <w:rPr>
          <w:sz w:val="20"/>
          <w:szCs w:val="20"/>
          <w:color w:val="auto"/>
        </w:rPr>
      </w:pPr>
      <w:r>
        <w:rPr>
          <w:rFonts w:ascii="Courier New" w:cs="Courier New" w:eastAsia="Courier New" w:hAnsi="Courier New"/>
          <w:sz w:val="15"/>
          <w:szCs w:val="15"/>
          <w:color w:val="auto"/>
        </w:rPr>
        <w:t>MILWAUKEE, WISCONSIN</w:t>
      </w:r>
    </w:p>
    <w:p>
      <w:pPr>
        <w:spacing w:after="0" w:line="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53217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310" w:space="620"/>
            <w:col w:w="5299"/>
          </w:cols>
          <w:pgMar w:left="230" w:top="401" w:right="1440" w:bottom="1440" w:gutter="0" w:footer="0" w:header="0"/>
          <w:type w:val="continuous"/>
        </w:sectPr>
      </w:pPr>
    </w:p>
    <w:p>
      <w:pPr>
        <w:ind w:left="790"/>
        <w:spacing w:after="0"/>
        <w:rPr>
          <w:sz w:val="20"/>
          <w:szCs w:val="20"/>
          <w:color w:val="auto"/>
        </w:rPr>
      </w:pPr>
      <w:r>
        <w:rPr>
          <w:rFonts w:ascii="Courier New" w:cs="Courier New" w:eastAsia="Courier New" w:hAnsi="Courier New"/>
          <w:sz w:val="15"/>
          <w:szCs w:val="15"/>
          <w:color w:val="auto"/>
        </w:rPr>
        <w:t>Registrant's telephone number, including area code: (414) 961-1000</w:t>
      </w:r>
    </w:p>
    <w:p>
      <w:pPr>
        <w:spacing w:after="0" w:line="175" w:lineRule="exact"/>
        <w:rPr>
          <w:sz w:val="24"/>
          <w:szCs w:val="24"/>
          <w:color w:val="auto"/>
        </w:rPr>
      </w:pPr>
    </w:p>
    <w:p>
      <w:pPr>
        <w:ind w:left="790" w:right="3179"/>
        <w:spacing w:after="0" w:line="258"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9" w:lineRule="exact"/>
        <w:rPr>
          <w:sz w:val="24"/>
          <w:szCs w:val="24"/>
          <w:color w:val="auto"/>
        </w:rPr>
      </w:pPr>
    </w:p>
    <w:p>
      <w:pPr>
        <w:ind w:left="2470"/>
        <w:spacing w:after="0"/>
        <w:tabs>
          <w:tab w:leader="none" w:pos="3249" w:val="left"/>
          <w:tab w:leader="none" w:pos="3949"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w:t>
      </w:r>
    </w:p>
    <w:p>
      <w:pPr>
        <w:ind w:left="2990"/>
        <w:spacing w:after="0"/>
        <w:tabs>
          <w:tab w:leader="none" w:pos="42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4"/>
          <w:szCs w:val="24"/>
          <w:color w:val="auto"/>
        </w:rPr>
      </w:pPr>
    </w:p>
    <w:p>
      <w:pPr>
        <w:ind w:left="790" w:right="3699"/>
        <w:spacing w:after="0" w:line="265"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 as of the latest practicable date.</w:t>
      </w:r>
    </w:p>
    <w:p>
      <w:pPr>
        <w:sectPr>
          <w:pgSz w:w="11900" w:h="16838" w:orient="portrait"/>
          <w:cols w:equalWidth="0" w:num="1">
            <w:col w:w="10229"/>
          </w:cols>
          <w:pgMar w:left="230" w:top="401" w:right="1440" w:bottom="1440" w:gutter="0" w:footer="0" w:header="0"/>
          <w:type w:val="continuous"/>
        </w:sectPr>
      </w:pPr>
    </w:p>
    <w:p>
      <w:pPr>
        <w:spacing w:after="0" w:line="322" w:lineRule="exact"/>
        <w:rPr>
          <w:sz w:val="24"/>
          <w:szCs w:val="24"/>
          <w:color w:val="auto"/>
        </w:rPr>
      </w:pPr>
    </w:p>
    <w:p>
      <w:pPr>
        <w:ind w:left="790"/>
        <w:spacing w:after="0"/>
        <w:rPr>
          <w:sz w:val="20"/>
          <w:szCs w:val="20"/>
          <w:color w:val="auto"/>
        </w:rPr>
      </w:pPr>
      <w:r>
        <w:rPr>
          <w:rFonts w:ascii="Courier New" w:cs="Courier New" w:eastAsia="Courier New" w:hAnsi="Courier New"/>
          <w:sz w:val="15"/>
          <w:szCs w:val="15"/>
          <w:color w:val="auto"/>
        </w:rPr>
        <w:t>CLASS</w:t>
      </w:r>
    </w:p>
    <w:p>
      <w:pPr>
        <w:ind w:left="79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Common Stock, $.01 par value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SHARES OUTSTANDING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AT MARCH 31, 2002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75,561,292</w:t>
      </w:r>
    </w:p>
    <w:p>
      <w:pPr>
        <w:spacing w:after="0" w:line="175" w:lineRule="exact"/>
        <w:rPr>
          <w:sz w:val="24"/>
          <w:szCs w:val="24"/>
          <w:color w:val="auto"/>
        </w:rPr>
      </w:pPr>
    </w:p>
    <w:p>
      <w:pPr>
        <w:sectPr>
          <w:pgSz w:w="11900" w:h="16838" w:orient="portrait"/>
          <w:cols w:equalWidth="0" w:num="2">
            <w:col w:w="3590" w:space="720"/>
            <w:col w:w="5919"/>
          </w:cols>
          <w:pgMar w:left="230" w:top="40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p>
      <w:pPr>
        <w:ind w:left="2200"/>
        <w:spacing w:after="0"/>
        <w:rPr>
          <w:sz w:val="20"/>
          <w:szCs w:val="20"/>
          <w:color w:val="auto"/>
        </w:rPr>
      </w:pPr>
      <w:r>
        <w:rPr>
          <w:rFonts w:ascii="Courier New" w:cs="Courier New" w:eastAsia="Courier New" w:hAnsi="Courier New"/>
          <w:sz w:val="15"/>
          <w:szCs w:val="15"/>
          <w:color w:val="auto"/>
        </w:rPr>
        <w:t>MANPOWER INC. AND SUBSIDIARIES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1759"/>
        <w:spacing w:after="0"/>
        <w:rPr>
          <w:sz w:val="20"/>
          <w:szCs w:val="20"/>
          <w:color w:val="auto"/>
        </w:rPr>
      </w:pPr>
      <w:r>
        <w:rPr>
          <w:rFonts w:ascii="Courier New" w:cs="Courier New" w:eastAsia="Courier New" w:hAnsi="Courier New"/>
          <w:sz w:val="15"/>
          <w:szCs w:val="15"/>
          <w:color w:val="auto"/>
        </w:rPr>
        <w:t>Page</w:t>
      </w:r>
    </w:p>
    <w:p>
      <w:pPr>
        <w:jc w:val="right"/>
        <w:ind w:right="1759"/>
        <w:spacing w:after="0"/>
        <w:rPr>
          <w:sz w:val="20"/>
          <w:szCs w:val="20"/>
          <w:color w:val="auto"/>
        </w:rPr>
      </w:pPr>
      <w:r>
        <w:rPr>
          <w:rFonts w:ascii="Courier New" w:cs="Courier New" w:eastAsia="Courier New" w:hAnsi="Courier New"/>
          <w:sz w:val="15"/>
          <w:szCs w:val="15"/>
          <w:color w:val="auto"/>
        </w:rPr>
        <w:t>Number</w:t>
      </w:r>
    </w:p>
    <w:p>
      <w:pPr>
        <w:jc w:val="right"/>
        <w:ind w:right="175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ind w:left="260"/>
        <w:spacing w:after="0"/>
        <w:tabs>
          <w:tab w:leader="none" w:pos="15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 (unaudited)</w:t>
      </w:r>
    </w:p>
    <w:p>
      <w:pPr>
        <w:spacing w:after="0" w:line="169" w:lineRule="exact"/>
        <w:rPr>
          <w:sz w:val="20"/>
          <w:szCs w:val="20"/>
          <w:color w:val="auto"/>
        </w:rPr>
      </w:pPr>
    </w:p>
    <w:p>
      <w:pPr>
        <w:jc w:val="right"/>
        <w:ind w:right="1759"/>
        <w:spacing w:after="0"/>
        <w:tabs>
          <w:tab w:leader="dot" w:pos="260" w:val="left"/>
        </w:tabs>
        <w:rPr>
          <w:sz w:val="20"/>
          <w:szCs w:val="20"/>
          <w:color w:val="auto"/>
        </w:rPr>
      </w:pPr>
      <w:r>
        <w:rPr>
          <w:rFonts w:ascii="Courier New" w:cs="Courier New" w:eastAsia="Courier New" w:hAnsi="Courier New"/>
          <w:sz w:val="15"/>
          <w:szCs w:val="15"/>
          <w:color w:val="auto"/>
        </w:rPr>
        <w:t>Consolidated Balance Sheets</w:t>
      </w:r>
      <w:r>
        <w:rPr>
          <w:sz w:val="20"/>
          <w:szCs w:val="20"/>
          <w:color w:val="auto"/>
        </w:rPr>
        <w:tab/>
      </w:r>
      <w:r>
        <w:rPr>
          <w:rFonts w:ascii="Courier New" w:cs="Courier New" w:eastAsia="Courier New" w:hAnsi="Courier New"/>
          <w:sz w:val="15"/>
          <w:szCs w:val="15"/>
          <w:color w:val="auto"/>
        </w:rPr>
        <w:t>3-4</w:t>
      </w:r>
    </w:p>
    <w:p>
      <w:pPr>
        <w:jc w:val="right"/>
        <w:ind w:right="1759"/>
        <w:spacing w:after="0"/>
        <w:tabs>
          <w:tab w:leader="dot" w:pos="80" w:val="left"/>
        </w:tabs>
        <w:rPr>
          <w:sz w:val="20"/>
          <w:szCs w:val="20"/>
          <w:color w:val="auto"/>
        </w:rPr>
      </w:pPr>
      <w:r>
        <w:rPr>
          <w:rFonts w:ascii="Courier New" w:cs="Courier New" w:eastAsia="Courier New" w:hAnsi="Courier New"/>
          <w:sz w:val="15"/>
          <w:szCs w:val="15"/>
          <w:color w:val="auto"/>
        </w:rPr>
        <w:t>Consolidated Statements of Operations</w:t>
      </w:r>
      <w:r>
        <w:rPr>
          <w:sz w:val="20"/>
          <w:szCs w:val="20"/>
          <w:color w:val="auto"/>
        </w:rPr>
        <w:tab/>
      </w:r>
      <w:r>
        <w:rPr>
          <w:rFonts w:ascii="Courier New" w:cs="Courier New" w:eastAsia="Courier New" w:hAnsi="Courier New"/>
          <w:sz w:val="15"/>
          <w:szCs w:val="15"/>
          <w:color w:val="auto"/>
        </w:rPr>
        <w:t>5</w:t>
      </w:r>
    </w:p>
    <w:p>
      <w:pPr>
        <w:jc w:val="right"/>
        <w:ind w:right="1759"/>
        <w:spacing w:after="0"/>
        <w:tabs>
          <w:tab w:leader="dot" w:pos="8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6</w:t>
      </w:r>
    </w:p>
    <w:p>
      <w:pPr>
        <w:jc w:val="right"/>
        <w:ind w:right="1759"/>
        <w:spacing w:after="0"/>
        <w:tabs>
          <w:tab w:leader="dot" w:pos="34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4"/>
          <w:szCs w:val="14"/>
          <w:color w:val="auto"/>
        </w:rPr>
        <w:t>7-10</w:t>
      </w:r>
    </w:p>
    <w:p>
      <w:pPr>
        <w:spacing w:after="0" w:line="169" w:lineRule="exact"/>
        <w:rPr>
          <w:sz w:val="20"/>
          <w:szCs w:val="20"/>
          <w:color w:val="auto"/>
        </w:rPr>
      </w:pPr>
    </w:p>
    <w:p>
      <w:pPr>
        <w:ind w:left="260"/>
        <w:spacing w:after="0"/>
        <w:tabs>
          <w:tab w:leader="none" w:pos="15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w:t>
      </w:r>
    </w:p>
    <w:p>
      <w:pPr>
        <w:jc w:val="right"/>
        <w:ind w:right="1759"/>
        <w:spacing w:after="0"/>
        <w:tabs>
          <w:tab w:leader="dot" w:pos="160" w:val="left"/>
        </w:tabs>
        <w:rPr>
          <w:sz w:val="20"/>
          <w:szCs w:val="20"/>
          <w:color w:val="auto"/>
        </w:rPr>
      </w:pPr>
      <w:r>
        <w:rPr>
          <w:rFonts w:ascii="Courier New" w:cs="Courier New" w:eastAsia="Courier New" w:hAnsi="Courier New"/>
          <w:sz w:val="15"/>
          <w:szCs w:val="15"/>
          <w:color w:val="auto"/>
        </w:rPr>
        <w:t>Financial Condition and Results of Operations</w:t>
      </w:r>
      <w:r>
        <w:rPr>
          <w:sz w:val="20"/>
          <w:szCs w:val="20"/>
          <w:color w:val="auto"/>
        </w:rPr>
        <w:tab/>
      </w:r>
      <w:r>
        <w:rPr>
          <w:rFonts w:ascii="Courier New" w:cs="Courier New" w:eastAsia="Courier New" w:hAnsi="Courier New"/>
          <w:sz w:val="15"/>
          <w:szCs w:val="15"/>
          <w:color w:val="auto"/>
        </w:rPr>
        <w:t>11</w:t>
      </w:r>
    </w:p>
    <w:p>
      <w:pPr>
        <w:spacing w:after="0" w:line="169" w:lineRule="exact"/>
        <w:rPr>
          <w:sz w:val="20"/>
          <w:szCs w:val="20"/>
          <w:color w:val="auto"/>
        </w:rPr>
      </w:pPr>
    </w:p>
    <w:p>
      <w:pPr>
        <w:ind w:left="260"/>
        <w:spacing w:after="0"/>
        <w:tabs>
          <w:tab w:leader="none" w:pos="1560" w:val="left"/>
          <w:tab w:leader="dot" w:pos="82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Quantitative and Qualitative Disclosures About Market Risk</w:t>
      </w:r>
      <w:r>
        <w:rPr>
          <w:sz w:val="20"/>
          <w:szCs w:val="20"/>
          <w:color w:val="auto"/>
        </w:rPr>
        <w:tab/>
      </w:r>
      <w:r>
        <w:rPr>
          <w:rFonts w:ascii="Courier New" w:cs="Courier New" w:eastAsia="Courier New" w:hAnsi="Courier New"/>
          <w:sz w:val="15"/>
          <w:szCs w:val="15"/>
          <w:color w:val="auto"/>
        </w:rPr>
        <w:t>13</w:t>
      </w:r>
    </w:p>
    <w:p>
      <w:pPr>
        <w:spacing w:after="0" w:line="339" w:lineRule="exact"/>
        <w:rPr>
          <w:sz w:val="20"/>
          <w:szCs w:val="20"/>
          <w:color w:val="auto"/>
        </w:rPr>
      </w:pPr>
    </w:p>
    <w:p>
      <w:pPr>
        <w:spacing w:after="0"/>
        <w:tabs>
          <w:tab w:leader="none" w:pos="1560" w:val="left"/>
          <w:tab w:leader="dot" w:pos="82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5"/>
          <w:szCs w:val="15"/>
          <w:color w:val="auto"/>
        </w:rPr>
        <w:t>OTHER INFORMATION</w:t>
      </w:r>
      <w:r>
        <w:rPr>
          <w:sz w:val="20"/>
          <w:szCs w:val="20"/>
          <w:color w:val="auto"/>
        </w:rPr>
        <w:tab/>
      </w:r>
      <w:r>
        <w:rPr>
          <w:rFonts w:ascii="Courier New" w:cs="Courier New" w:eastAsia="Courier New" w:hAnsi="Courier New"/>
          <w:sz w:val="15"/>
          <w:szCs w:val="15"/>
          <w:color w:val="auto"/>
        </w:rPr>
        <w:t>14</w:t>
      </w:r>
    </w:p>
    <w:p>
      <w:pPr>
        <w:spacing w:after="0" w:line="339" w:lineRule="exact"/>
        <w:rPr>
          <w:sz w:val="20"/>
          <w:szCs w:val="20"/>
          <w:color w:val="auto"/>
        </w:rPr>
      </w:pPr>
    </w:p>
    <w:p>
      <w:pPr>
        <w:spacing w:after="0"/>
        <w:tabs>
          <w:tab w:leader="dot" w:pos="826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2"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PART I -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 Financial Statements</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MANPOWER INC. AND SUBSIDIARIES</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BALANCE SHEETS</w:t>
      </w:r>
    </w:p>
    <w:p>
      <w:pPr>
        <w:jc w:val="center"/>
        <w:ind w:right="3099"/>
        <w:spacing w:after="0"/>
        <w:rPr>
          <w:sz w:val="20"/>
          <w:szCs w:val="20"/>
          <w:color w:val="auto"/>
        </w:rPr>
      </w:pPr>
      <w:r>
        <w:rPr>
          <w:rFonts w:ascii="Courier New" w:cs="Courier New" w:eastAsia="Courier New" w:hAnsi="Courier New"/>
          <w:sz w:val="15"/>
          <w:szCs w:val="15"/>
          <w:color w:val="auto"/>
        </w:rPr>
        <w:t>(IN MILLIONS)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ind w:left="3260"/>
              <w:spacing w:after="0"/>
              <w:rPr>
                <w:sz w:val="20"/>
                <w:szCs w:val="20"/>
                <w:color w:val="auto"/>
              </w:rPr>
            </w:pPr>
            <w:r>
              <w:rPr>
                <w:rFonts w:ascii="Courier New" w:cs="Courier New" w:eastAsia="Courier New" w:hAnsi="Courier New"/>
                <w:sz w:val="15"/>
                <w:szCs w:val="15"/>
                <w:color w:val="auto"/>
              </w:rPr>
              <w:t>ASSETS</w:t>
            </w:r>
          </w:p>
        </w:tc>
        <w:tc>
          <w:tcPr>
            <w:tcW w:w="2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678"/>
        </w:trPr>
        <w:tc>
          <w:tcPr>
            <w:tcW w:w="5540" w:type="dxa"/>
            <w:vAlign w:val="bottom"/>
          </w:tcPr>
          <w:p>
            <w:pPr>
              <w:spacing w:after="0"/>
              <w:rPr>
                <w:sz w:val="24"/>
                <w:szCs w:val="24"/>
                <w:color w:val="auto"/>
              </w:rPr>
            </w:pPr>
          </w:p>
        </w:tc>
        <w:tc>
          <w:tcPr>
            <w:tcW w:w="25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MARCH 31,</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2002</w:t>
            </w:r>
          </w:p>
        </w:tc>
        <w:tc>
          <w:tcPr>
            <w:tcW w:w="1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(Unaudited)</w:t>
            </w:r>
          </w:p>
        </w:tc>
        <w:tc>
          <w:tcPr>
            <w:tcW w:w="1800" w:type="dxa"/>
            <w:vAlign w:val="bottom"/>
          </w:tcPr>
          <w:p>
            <w:pPr>
              <w:spacing w:after="0"/>
              <w:rPr>
                <w:sz w:val="14"/>
                <w:szCs w:val="14"/>
                <w:color w:val="auto"/>
              </w:rPr>
            </w:pP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  210.8</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245.8</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Accounts receivable, less allowance for</w:t>
            </w:r>
          </w:p>
        </w:tc>
        <w:tc>
          <w:tcPr>
            <w:tcW w:w="2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doubtful accounts of $63.3 and $61.8, respectively</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1,847.4</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1,917.8</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74.0</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77.0</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Future income tax benefits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71.7</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73.8</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2,203.9</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2,314.4</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Intangible assets, less accumulated amortization of</w:t>
            </w:r>
          </w:p>
        </w:tc>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$41.9 and $42.4, respectively</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498.8</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480.8</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Investments in licensees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44.6</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221.0</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204.7</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340"/>
              <w:spacing w:after="0"/>
              <w:rPr>
                <w:sz w:val="20"/>
                <w:szCs w:val="20"/>
                <w:color w:val="auto"/>
              </w:rPr>
            </w:pPr>
            <w:r>
              <w:rPr>
                <w:rFonts w:ascii="Courier New" w:cs="Courier New" w:eastAsia="Courier New" w:hAnsi="Courier New"/>
                <w:sz w:val="15"/>
                <w:szCs w:val="15"/>
                <w:color w:val="auto"/>
              </w:rPr>
              <w:t>Total other assets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764.4</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730.2</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2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Land, buildings, leasehold improvements and equipment</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464.2</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465.4</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279.6</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271.4</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Net property and equipment</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184.6</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194.0</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$3,152.9</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$3,238.6</w:t>
            </w:r>
          </w:p>
        </w:tc>
      </w:tr>
      <w:tr>
        <w:trPr>
          <w:trHeight w:val="170"/>
        </w:trPr>
        <w:tc>
          <w:tcPr>
            <w:tcW w:w="5540" w:type="dxa"/>
            <w:vAlign w:val="bottom"/>
          </w:tcPr>
          <w:p>
            <w:pPr>
              <w:spacing w:after="0"/>
              <w:rPr>
                <w:sz w:val="14"/>
                <w:szCs w:val="14"/>
                <w:color w:val="auto"/>
              </w:rPr>
            </w:pPr>
          </w:p>
        </w:tc>
        <w:tc>
          <w:tcPr>
            <w:tcW w:w="25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to consolidated financial statements are an</w:t>
      </w:r>
    </w:p>
    <w:p>
      <w:pPr>
        <w:jc w:val="center"/>
        <w:ind w:right="3179"/>
        <w:spacing w:after="0"/>
        <w:rPr>
          <w:sz w:val="20"/>
          <w:szCs w:val="20"/>
          <w:color w:val="auto"/>
        </w:rPr>
      </w:pPr>
      <w:r>
        <w:rPr>
          <w:rFonts w:ascii="Courier New" w:cs="Courier New" w:eastAsia="Courier New" w:hAnsi="Courier New"/>
          <w:sz w:val="15"/>
          <w:szCs w:val="15"/>
          <w:color w:val="auto"/>
        </w:rPr>
        <w:t>integral part of these balance sheets.</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3" w:name="page4"/>
    <w:bookmarkEnd w:id="3"/>
    <w:p>
      <w:pPr>
        <w:ind w:left="2200"/>
        <w:spacing w:after="0"/>
        <w:rPr>
          <w:sz w:val="20"/>
          <w:szCs w:val="20"/>
          <w:color w:val="auto"/>
        </w:rPr>
      </w:pPr>
      <w:r>
        <w:rPr>
          <w:rFonts w:ascii="Courier New" w:cs="Courier New" w:eastAsia="Courier New" w:hAnsi="Courier New"/>
          <w:sz w:val="15"/>
          <w:szCs w:val="15"/>
          <w:color w:val="auto"/>
        </w:rPr>
        <w:t>MANPOWER INC. AND SUBSIDIARIES</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2100"/>
        <w:spacing w:after="0"/>
        <w:rPr>
          <w:sz w:val="20"/>
          <w:szCs w:val="20"/>
          <w:color w:val="auto"/>
        </w:rPr>
      </w:pPr>
      <w:r>
        <w:rPr>
          <w:rFonts w:ascii="Courier New" w:cs="Courier New" w:eastAsia="Courier New" w:hAnsi="Courier New"/>
          <w:sz w:val="15"/>
          <w:szCs w:val="15"/>
          <w:color w:val="auto"/>
        </w:rPr>
        <w:t>(IN MILLIONS, EXCEPT SHARE DATA)</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MARCH 31,</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(Unaudited)</w:t>
            </w:r>
          </w:p>
        </w:tc>
        <w:tc>
          <w:tcPr>
            <w:tcW w:w="1320" w:type="dxa"/>
            <w:vAlign w:val="bottom"/>
          </w:tcPr>
          <w:p>
            <w:pPr>
              <w:spacing w:after="0"/>
              <w:rPr>
                <w:sz w:val="14"/>
                <w:szCs w:val="14"/>
                <w:color w:val="auto"/>
              </w:rPr>
            </w:pP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458.0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382.1</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Employee compensation payable</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80.9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93.2</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Accrued liabilities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180.2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234.9</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Accrued payroll taxes and insurance</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253.7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300.8</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Value added taxes payable</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244.2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255.9</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Short-term borrowings and current maturities of long-term debt</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112.6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116.8</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1,329.6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1,383.7</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714.4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718.0</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323.1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322.6</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260"/>
              <w:spacing w:after="0"/>
              <w:rPr>
                <w:sz w:val="20"/>
                <w:szCs w:val="20"/>
                <w:color w:val="auto"/>
              </w:rPr>
            </w:pPr>
            <w:r>
              <w:rPr>
                <w:rFonts w:ascii="Courier New" w:cs="Courier New" w:eastAsia="Courier New" w:hAnsi="Courier New"/>
                <w:sz w:val="15"/>
                <w:szCs w:val="15"/>
                <w:color w:val="auto"/>
              </w:rPr>
              <w:t>Total other liabilities</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1,037.5</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1,040.6</w:t>
            </w: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39"/>
        </w:trPr>
        <w:tc>
          <w:tcPr>
            <w:tcW w:w="6420" w:type="dxa"/>
            <w:vAlign w:val="bottom"/>
          </w:tcPr>
          <w:p>
            <w:pPr>
              <w:spacing w:after="0"/>
              <w:rPr>
                <w:sz w:val="20"/>
                <w:szCs w:val="20"/>
                <w:color w:val="auto"/>
              </w:rPr>
            </w:pPr>
            <w:r>
              <w:rPr>
                <w:rFonts w:ascii="Courier New" w:cs="Courier New" w:eastAsia="Courier New" w:hAnsi="Courier New"/>
                <w:sz w:val="15"/>
                <w:szCs w:val="15"/>
                <w:color w:val="auto"/>
              </w:rPr>
              <w:t>Preferred stock, $.01 par value, authorized 25,000,000 shares,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none issued</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Common stock, $.01 par value, authorized 125,000,000 shares,</w:t>
            </w:r>
          </w:p>
        </w:tc>
        <w:tc>
          <w:tcPr>
            <w:tcW w:w="1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6420" w:type="dxa"/>
            <w:vAlign w:val="bottom"/>
          </w:tcPr>
          <w:p>
            <w:pPr>
              <w:ind w:left="160"/>
              <w:spacing w:after="0"/>
              <w:rPr>
                <w:sz w:val="20"/>
                <w:szCs w:val="20"/>
                <w:color w:val="auto"/>
              </w:rPr>
            </w:pPr>
            <w:r>
              <w:rPr>
                <w:rFonts w:ascii="Courier New" w:cs="Courier New" w:eastAsia="Courier New" w:hAnsi="Courier New"/>
                <w:sz w:val="15"/>
                <w:szCs w:val="15"/>
                <w:color w:val="auto"/>
              </w:rPr>
              <w:t>issued 85,506,492 and 85,173,961 shares, respectively</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Capital in excess of par value</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1,654.1</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1,644.9</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(380.7)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(387.6)</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(204.7)</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(190.8)</w:t>
            </w:r>
          </w:p>
        </w:tc>
      </w:tr>
      <w:tr>
        <w:trPr>
          <w:trHeight w:val="170"/>
        </w:trPr>
        <w:tc>
          <w:tcPr>
            <w:tcW w:w="6420" w:type="dxa"/>
            <w:vAlign w:val="bottom"/>
          </w:tcPr>
          <w:p>
            <w:pPr>
              <w:spacing w:after="0"/>
              <w:rPr>
                <w:sz w:val="20"/>
                <w:szCs w:val="20"/>
                <w:color w:val="auto"/>
              </w:rPr>
            </w:pPr>
            <w:r>
              <w:rPr>
                <w:rFonts w:ascii="Courier New" w:cs="Courier New" w:eastAsia="Courier New" w:hAnsi="Courier New"/>
                <w:sz w:val="15"/>
                <w:szCs w:val="15"/>
                <w:color w:val="auto"/>
              </w:rPr>
              <w:t>Treasury stock at cost, 9,945,200 and 9,045,200 shares, respectively</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(283.8)</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(253.1)</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260"/>
              <w:spacing w:after="0"/>
              <w:rPr>
                <w:sz w:val="20"/>
                <w:szCs w:val="20"/>
                <w:color w:val="auto"/>
              </w:rPr>
            </w:pPr>
            <w:r>
              <w:rPr>
                <w:rFonts w:ascii="Courier New" w:cs="Courier New" w:eastAsia="Courier New" w:hAnsi="Courier New"/>
                <w:sz w:val="15"/>
                <w:szCs w:val="15"/>
                <w:color w:val="auto"/>
              </w:rPr>
              <w:t>Total shareholders' equity</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785.8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814.3</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642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$3,152.9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$3,238.6</w:t>
            </w:r>
          </w:p>
        </w:tc>
      </w:tr>
      <w:tr>
        <w:trPr>
          <w:trHeight w:val="170"/>
        </w:trPr>
        <w:tc>
          <w:tcPr>
            <w:tcW w:w="6420" w:type="dxa"/>
            <w:vAlign w:val="bottom"/>
          </w:tcPr>
          <w:p>
            <w:pPr>
              <w:spacing w:after="0"/>
              <w:rPr>
                <w:sz w:val="14"/>
                <w:szCs w:val="14"/>
                <w:color w:val="auto"/>
              </w:rPr>
            </w:pPr>
          </w:p>
        </w:tc>
        <w:tc>
          <w:tcPr>
            <w:tcW w:w="16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to consolidated financial statements are an</w:t>
      </w:r>
    </w:p>
    <w:p>
      <w:pPr>
        <w:jc w:val="center"/>
        <w:ind w:right="3179"/>
        <w:spacing w:after="0"/>
        <w:rPr>
          <w:sz w:val="20"/>
          <w:szCs w:val="20"/>
          <w:color w:val="auto"/>
        </w:rPr>
      </w:pPr>
      <w:r>
        <w:rPr>
          <w:rFonts w:ascii="Courier New" w:cs="Courier New" w:eastAsia="Courier New" w:hAnsi="Courier New"/>
          <w:sz w:val="15"/>
          <w:szCs w:val="15"/>
          <w:color w:val="auto"/>
        </w:rPr>
        <w:t>integral part of these balance sheets.</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4" w:name="page5"/>
    <w:bookmarkEnd w:id="4"/>
    <w:p>
      <w:pPr>
        <w:jc w:val="center"/>
        <w:ind w:right="3179"/>
        <w:spacing w:after="0"/>
        <w:rPr>
          <w:sz w:val="20"/>
          <w:szCs w:val="20"/>
          <w:color w:val="auto"/>
        </w:rPr>
      </w:pPr>
      <w:r>
        <w:rPr>
          <w:rFonts w:ascii="Courier New" w:cs="Courier New" w:eastAsia="Courier New" w:hAnsi="Courier New"/>
          <w:sz w:val="15"/>
          <w:szCs w:val="15"/>
          <w:color w:val="auto"/>
        </w:rPr>
        <w:t>MANPOWER INC.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OPERATIONS (UNAUDITED)</w:t>
      </w:r>
    </w:p>
    <w:tbl>
      <w:tblPr>
        <w:tblLayout w:type="fixed"/>
        <w:tblInd w:w="0" w:type="dxa"/>
        <w:tblCellMar>
          <w:top w:w="0" w:type="dxa"/>
          <w:left w:w="0" w:type="dxa"/>
          <w:bottom w:w="0" w:type="dxa"/>
          <w:right w:w="0" w:type="dxa"/>
        </w:tblCellMar>
      </w:tblPr>
      <w:tr>
        <w:trPr>
          <w:trHeight w:val="170"/>
        </w:trPr>
        <w:tc>
          <w:tcPr>
            <w:tcW w:w="5800" w:type="dxa"/>
            <w:vAlign w:val="bottom"/>
            <w:gridSpan w:val="3"/>
          </w:tcPr>
          <w:p>
            <w:pPr>
              <w:jc w:val="center"/>
              <w:ind w:left="1147"/>
              <w:spacing w:after="0"/>
              <w:rPr>
                <w:sz w:val="20"/>
                <w:szCs w:val="20"/>
                <w:color w:val="auto"/>
              </w:rPr>
            </w:pPr>
            <w:r>
              <w:rPr>
                <w:rFonts w:ascii="Courier New" w:cs="Courier New" w:eastAsia="Courier New" w:hAnsi="Courier New"/>
                <w:sz w:val="15"/>
                <w:szCs w:val="15"/>
                <w:color w:val="auto"/>
                <w:w w:val="98"/>
              </w:rPr>
              <w:t>(IN MILLIONS, EXCEPT PER SHARE DATA)</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3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800" w:type="dxa"/>
            <w:vAlign w:val="bottom"/>
          </w:tcPr>
          <w:p>
            <w:pPr>
              <w:spacing w:after="0"/>
              <w:rPr>
                <w:sz w:val="24"/>
                <w:szCs w:val="24"/>
                <w:color w:val="auto"/>
              </w:rPr>
            </w:pP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4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2002</w:t>
            </w:r>
          </w:p>
        </w:tc>
        <w:tc>
          <w:tcPr>
            <w:tcW w:w="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rPr>
              <w:t>Revenues from services</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$ 2,284.0</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$ 2,651.9</w:t>
            </w:r>
          </w:p>
        </w:tc>
      </w:tr>
      <w:tr>
        <w:trPr>
          <w:trHeight w:val="339"/>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rPr>
              <w:t>Cost of services</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5"/>
              </w:rPr>
              <w:t>1,869.2</w:t>
            </w:r>
          </w:p>
        </w:tc>
        <w:tc>
          <w:tcPr>
            <w:tcW w:w="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2,168.0</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00" w:type="dxa"/>
            <w:vAlign w:val="bottom"/>
          </w:tcPr>
          <w:p>
            <w:pPr>
              <w:ind w:left="1660"/>
              <w:spacing w:after="0"/>
              <w:rPr>
                <w:sz w:val="20"/>
                <w:szCs w:val="20"/>
                <w:color w:val="auto"/>
              </w:rPr>
            </w:pPr>
            <w:r>
              <w:rPr>
                <w:rFonts w:ascii="Courier New" w:cs="Courier New" w:eastAsia="Courier New" w:hAnsi="Courier New"/>
                <w:sz w:val="15"/>
                <w:szCs w:val="15"/>
                <w:color w:val="auto"/>
              </w:rPr>
              <w:t>Gross profit</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414.8</w:t>
            </w:r>
          </w:p>
        </w:tc>
        <w:tc>
          <w:tcPr>
            <w:tcW w:w="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483.9</w:t>
            </w:r>
          </w:p>
        </w:tc>
      </w:tr>
      <w:tr>
        <w:trPr>
          <w:trHeight w:val="339"/>
        </w:trPr>
        <w:tc>
          <w:tcPr>
            <w:tcW w:w="4480" w:type="dxa"/>
            <w:vAlign w:val="bottom"/>
            <w:gridSpan w:val="2"/>
          </w:tcPr>
          <w:p>
            <w:pPr>
              <w:ind w:left="1400"/>
              <w:spacing w:after="0"/>
              <w:rPr>
                <w:sz w:val="20"/>
                <w:szCs w:val="20"/>
                <w:color w:val="auto"/>
              </w:rPr>
            </w:pPr>
            <w:r>
              <w:rPr>
                <w:rFonts w:ascii="Courier New" w:cs="Courier New" w:eastAsia="Courier New" w:hAnsi="Courier New"/>
                <w:sz w:val="15"/>
                <w:szCs w:val="15"/>
                <w:color w:val="auto"/>
                <w:w w:val="97"/>
              </w:rPr>
              <w:t>Selling and administrative expenses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396.1</w:t>
            </w:r>
          </w:p>
        </w:tc>
        <w:tc>
          <w:tcPr>
            <w:tcW w:w="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431.7</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00" w:type="dxa"/>
            <w:vAlign w:val="bottom"/>
          </w:tcPr>
          <w:p>
            <w:pPr>
              <w:ind w:left="1760"/>
              <w:spacing w:after="0"/>
              <w:rPr>
                <w:sz w:val="20"/>
                <w:szCs w:val="20"/>
                <w:color w:val="auto"/>
              </w:rPr>
            </w:pPr>
            <w:r>
              <w:rPr>
                <w:rFonts w:ascii="Courier New" w:cs="Courier New" w:eastAsia="Courier New" w:hAnsi="Courier New"/>
                <w:sz w:val="15"/>
                <w:szCs w:val="15"/>
                <w:color w:val="auto"/>
              </w:rPr>
              <w:t>Operating profit</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18.7</w:t>
            </w:r>
          </w:p>
        </w:tc>
        <w:tc>
          <w:tcPr>
            <w:tcW w:w="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w:t>
            </w:r>
          </w:p>
        </w:tc>
      </w:tr>
      <w:tr>
        <w:trPr>
          <w:trHeight w:val="339"/>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w w:val="97"/>
              </w:rPr>
              <w:t>Interest and other expense</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8.0</w:t>
            </w:r>
          </w:p>
        </w:tc>
        <w:tc>
          <w:tcPr>
            <w:tcW w:w="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4480" w:type="dxa"/>
            <w:vAlign w:val="bottom"/>
            <w:gridSpan w:val="2"/>
          </w:tcPr>
          <w:p>
            <w:pPr>
              <w:ind w:left="1760"/>
              <w:spacing w:after="0"/>
              <w:rPr>
                <w:sz w:val="20"/>
                <w:szCs w:val="20"/>
                <w:color w:val="auto"/>
              </w:rPr>
            </w:pPr>
            <w:r>
              <w:rPr>
                <w:rFonts w:ascii="Courier New" w:cs="Courier New" w:eastAsia="Courier New" w:hAnsi="Courier New"/>
                <w:sz w:val="15"/>
                <w:szCs w:val="15"/>
                <w:color w:val="auto"/>
              </w:rPr>
              <w:t>Earnings before income taxes</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10.7</w:t>
            </w:r>
          </w:p>
        </w:tc>
        <w:tc>
          <w:tcPr>
            <w:tcW w:w="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41.9</w:t>
            </w:r>
          </w:p>
        </w:tc>
      </w:tr>
      <w:tr>
        <w:trPr>
          <w:trHeight w:val="339"/>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w w:val="97"/>
              </w:rPr>
              <w:t>Provision for income taxes</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3.8</w:t>
            </w:r>
          </w:p>
        </w:tc>
        <w:tc>
          <w:tcPr>
            <w:tcW w:w="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700" w:type="dxa"/>
            <w:vAlign w:val="bottom"/>
          </w:tcPr>
          <w:p>
            <w:pPr>
              <w:ind w:left="1760"/>
              <w:spacing w:after="0"/>
              <w:rPr>
                <w:sz w:val="20"/>
                <w:szCs w:val="20"/>
                <w:color w:val="auto"/>
              </w:rPr>
            </w:pPr>
            <w:r>
              <w:rPr>
                <w:rFonts w:ascii="Courier New" w:cs="Courier New" w:eastAsia="Courier New" w:hAnsi="Courier New"/>
                <w:sz w:val="15"/>
                <w:szCs w:val="15"/>
                <w:color w:val="auto"/>
              </w:rPr>
              <w:t>Net earnings</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6.9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rPr>
              <w:t>Net earnings per share</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rPr>
              <w:t>Net earnings per share --</w:t>
            </w:r>
          </w:p>
        </w:tc>
        <w:tc>
          <w:tcPr>
            <w:tcW w:w="78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3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Weighted average common shares</w:t>
            </w: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76.1</w:t>
            </w:r>
          </w:p>
        </w:tc>
        <w:tc>
          <w:tcPr>
            <w:tcW w:w="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75.8</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448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Weighted average common shares --</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77.3</w:t>
            </w:r>
          </w:p>
        </w:tc>
        <w:tc>
          <w:tcPr>
            <w:tcW w:w="8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r>
        <w:trPr>
          <w:trHeight w:val="678"/>
        </w:trPr>
        <w:tc>
          <w:tcPr>
            <w:tcW w:w="7660" w:type="dxa"/>
            <w:vAlign w:val="bottom"/>
            <w:gridSpan w:val="5"/>
          </w:tcPr>
          <w:p>
            <w:pPr>
              <w:jc w:val="center"/>
              <w:ind w:right="567"/>
              <w:spacing w:after="0"/>
              <w:rPr>
                <w:sz w:val="20"/>
                <w:szCs w:val="20"/>
                <w:color w:val="auto"/>
              </w:rPr>
            </w:pPr>
            <w:r>
              <w:rPr>
                <w:rFonts w:ascii="Courier New" w:cs="Courier New" w:eastAsia="Courier New" w:hAnsi="Courier New"/>
                <w:sz w:val="15"/>
                <w:szCs w:val="15"/>
                <w:color w:val="auto"/>
                <w:w w:val="97"/>
              </w:rPr>
              <w:t>The accompanying notes to consolidated financial statements are an</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5800" w:type="dxa"/>
            <w:vAlign w:val="bottom"/>
            <w:gridSpan w:val="3"/>
          </w:tcPr>
          <w:p>
            <w:pPr>
              <w:jc w:val="center"/>
              <w:ind w:left="1167"/>
              <w:spacing w:after="0"/>
              <w:rPr>
                <w:sz w:val="20"/>
                <w:szCs w:val="20"/>
                <w:color w:val="auto"/>
              </w:rPr>
            </w:pPr>
            <w:r>
              <w:rPr>
                <w:rFonts w:ascii="Courier New" w:cs="Courier New" w:eastAsia="Courier New" w:hAnsi="Courier New"/>
                <w:sz w:val="15"/>
                <w:szCs w:val="15"/>
                <w:color w:val="auto"/>
                <w:w w:val="98"/>
              </w:rPr>
              <w:t>integral part of these statements.</w:t>
            </w: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766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w w:val="97"/>
              </w:rPr>
              <w:t>- --------------------------------------------------------------------------------</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5800" w:type="dxa"/>
            <w:vAlign w:val="bottom"/>
            <w:gridSpan w:val="3"/>
          </w:tcPr>
          <w:p>
            <w:pPr>
              <w:ind w:left="1480"/>
              <w:spacing w:after="0"/>
              <w:rPr>
                <w:sz w:val="20"/>
                <w:szCs w:val="20"/>
                <w:color w:val="auto"/>
              </w:rPr>
            </w:pPr>
            <w:r>
              <w:rPr>
                <w:rFonts w:ascii="Courier New" w:cs="Courier New" w:eastAsia="Courier New" w:hAnsi="Courier New"/>
                <w:sz w:val="15"/>
                <w:szCs w:val="15"/>
                <w:color w:val="auto"/>
              </w:rPr>
              <w:t>SUPPLEMENTAL SYSTEMWIDE INFORMATION (UNAUDITED)</w:t>
            </w: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4480" w:type="dxa"/>
            <w:vAlign w:val="bottom"/>
            <w:gridSpan w:val="2"/>
          </w:tcPr>
          <w:p>
            <w:pPr>
              <w:ind w:left="2980"/>
              <w:spacing w:after="0"/>
              <w:rPr>
                <w:sz w:val="20"/>
                <w:szCs w:val="20"/>
                <w:color w:val="auto"/>
              </w:rPr>
            </w:pPr>
            <w:r>
              <w:rPr>
                <w:rFonts w:ascii="Courier New" w:cs="Courier New" w:eastAsia="Courier New" w:hAnsi="Courier New"/>
                <w:sz w:val="15"/>
                <w:szCs w:val="15"/>
                <w:color w:val="auto"/>
              </w:rPr>
              <w:t>(IN MILLIONS)</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848"/>
        </w:trPr>
        <w:tc>
          <w:tcPr>
            <w:tcW w:w="3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3 MONTHS ENDED</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2002</w:t>
            </w:r>
          </w:p>
        </w:tc>
        <w:tc>
          <w:tcPr>
            <w:tcW w:w="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3700" w:type="dxa"/>
            <w:vAlign w:val="bottom"/>
          </w:tcPr>
          <w:p>
            <w:pPr>
              <w:ind w:left="1400"/>
              <w:spacing w:after="0"/>
              <w:rPr>
                <w:sz w:val="20"/>
                <w:szCs w:val="20"/>
                <w:color w:val="auto"/>
              </w:rPr>
            </w:pPr>
            <w:r>
              <w:rPr>
                <w:rFonts w:ascii="Courier New" w:cs="Courier New" w:eastAsia="Courier New" w:hAnsi="Courier New"/>
                <w:sz w:val="15"/>
                <w:szCs w:val="15"/>
                <w:color w:val="auto"/>
              </w:rPr>
              <w:t>Systemwide Sales</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$ 2,540.0</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$ 3,011.1</w:t>
            </w:r>
          </w:p>
        </w:tc>
      </w:tr>
      <w:tr>
        <w:trPr>
          <w:trHeight w:val="170"/>
        </w:trPr>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Systemwide information represents the total of Company-owned</w:t>
      </w:r>
    </w:p>
    <w:p>
      <w:pPr>
        <w:jc w:val="center"/>
        <w:ind w:right="3179"/>
        <w:spacing w:after="0"/>
        <w:rPr>
          <w:sz w:val="20"/>
          <w:szCs w:val="20"/>
          <w:color w:val="auto"/>
        </w:rPr>
      </w:pPr>
      <w:r>
        <w:rPr>
          <w:rFonts w:ascii="Courier New" w:cs="Courier New" w:eastAsia="Courier New" w:hAnsi="Courier New"/>
          <w:sz w:val="15"/>
          <w:szCs w:val="15"/>
          <w:color w:val="auto"/>
        </w:rPr>
        <w:t>branches and franchises.</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MANPOWER INC. AND SUBSIDIARIES</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CASH FLOWS (UNAUDITED)</w:t>
      </w:r>
    </w:p>
    <w:p>
      <w:pPr>
        <w:jc w:val="center"/>
        <w:ind w:right="3099"/>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MARCH 31,</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27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6160" w:type="dxa"/>
            <w:vAlign w:val="bottom"/>
          </w:tcPr>
          <w:p>
            <w:pPr>
              <w:ind w:left="260"/>
              <w:spacing w:after="0"/>
              <w:rPr>
                <w:sz w:val="20"/>
                <w:szCs w:val="20"/>
                <w:color w:val="auto"/>
              </w:rPr>
            </w:pPr>
            <w:r>
              <w:rPr>
                <w:rFonts w:ascii="Courier New" w:cs="Courier New" w:eastAsia="Courier New" w:hAnsi="Courier New"/>
                <w:sz w:val="15"/>
                <w:szCs w:val="15"/>
                <w:color w:val="auto"/>
              </w:rPr>
              <w:t>Net earnings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6.9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6160" w:type="dxa"/>
            <w:vAlign w:val="bottom"/>
          </w:tcPr>
          <w:p>
            <w:pPr>
              <w:ind w:left="600"/>
              <w:spacing w:after="0"/>
              <w:rPr>
                <w:sz w:val="20"/>
                <w:szCs w:val="20"/>
                <w:color w:val="auto"/>
              </w:rPr>
            </w:pPr>
            <w:r>
              <w:rPr>
                <w:rFonts w:ascii="Courier New" w:cs="Courier New" w:eastAsia="Courier New" w:hAnsi="Courier New"/>
                <w:sz w:val="15"/>
                <w:szCs w:val="15"/>
                <w:color w:val="auto"/>
              </w:rPr>
              <w:t>Adjustments to reconcile net earnings to net cash</w:t>
            </w: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160" w:type="dxa"/>
            <w:vAlign w:val="bottom"/>
          </w:tcPr>
          <w:p>
            <w:pPr>
              <w:ind w:left="700"/>
              <w:spacing w:after="0"/>
              <w:rPr>
                <w:sz w:val="20"/>
                <w:szCs w:val="20"/>
                <w:color w:val="auto"/>
              </w:rPr>
            </w:pPr>
            <w:r>
              <w:rPr>
                <w:rFonts w:ascii="Courier New" w:cs="Courier New" w:eastAsia="Courier New" w:hAnsi="Courier New"/>
                <w:sz w:val="15"/>
                <w:szCs w:val="15"/>
                <w:color w:val="auto"/>
              </w:rPr>
              <w:t>provided by operating activities:</w:t>
            </w: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160" w:type="dxa"/>
            <w:vAlign w:val="bottom"/>
          </w:tcPr>
          <w:p>
            <w:pPr>
              <w:ind w:left="1040"/>
              <w:spacing w:after="0"/>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14.9</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w:t>
            </w:r>
          </w:p>
        </w:tc>
      </w:tr>
      <w:tr>
        <w:trPr>
          <w:trHeight w:val="170"/>
        </w:trPr>
        <w:tc>
          <w:tcPr>
            <w:tcW w:w="6160" w:type="dxa"/>
            <w:vAlign w:val="bottom"/>
          </w:tcPr>
          <w:p>
            <w:pPr>
              <w:ind w:left="1040"/>
              <w:spacing w:after="0"/>
              <w:rPr>
                <w:sz w:val="20"/>
                <w:szCs w:val="20"/>
                <w:color w:val="auto"/>
              </w:rPr>
            </w:pPr>
            <w:r>
              <w:rPr>
                <w:rFonts w:ascii="Courier New" w:cs="Courier New" w:eastAsia="Courier New" w:hAnsi="Courier New"/>
                <w:sz w:val="15"/>
                <w:szCs w:val="15"/>
                <w:color w:val="auto"/>
              </w:rPr>
              <w:t>Deferred income taxes</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70"/>
        </w:trPr>
        <w:tc>
          <w:tcPr>
            <w:tcW w:w="6160" w:type="dxa"/>
            <w:vAlign w:val="bottom"/>
          </w:tcPr>
          <w:p>
            <w:pPr>
              <w:ind w:left="1040"/>
              <w:spacing w:after="0"/>
              <w:rPr>
                <w:sz w:val="20"/>
                <w:szCs w:val="20"/>
                <w:color w:val="auto"/>
              </w:rPr>
            </w:pPr>
            <w:r>
              <w:rPr>
                <w:rFonts w:ascii="Courier New" w:cs="Courier New" w:eastAsia="Courier New" w:hAnsi="Courier New"/>
                <w:sz w:val="15"/>
                <w:szCs w:val="15"/>
                <w:color w:val="auto"/>
              </w:rPr>
              <w:t>Provision for doubtful accounts</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r>
      <w:tr>
        <w:trPr>
          <w:trHeight w:val="170"/>
        </w:trPr>
        <w:tc>
          <w:tcPr>
            <w:tcW w:w="6160" w:type="dxa"/>
            <w:vAlign w:val="bottom"/>
          </w:tcPr>
          <w:p>
            <w:pPr>
              <w:ind w:left="10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0"/>
        </w:trPr>
        <w:tc>
          <w:tcPr>
            <w:tcW w:w="6160" w:type="dxa"/>
            <w:vAlign w:val="bottom"/>
          </w:tcPr>
          <w:p>
            <w:pPr>
              <w:ind w:left="1580"/>
              <w:spacing w:after="0"/>
              <w:rPr>
                <w:sz w:val="20"/>
                <w:szCs w:val="20"/>
                <w:color w:val="auto"/>
              </w:rPr>
            </w:pPr>
            <w:r>
              <w:rPr>
                <w:rFonts w:ascii="Courier New" w:cs="Courier New" w:eastAsia="Courier New" w:hAnsi="Courier New"/>
                <w:sz w:val="15"/>
                <w:szCs w:val="15"/>
                <w:color w:val="auto"/>
              </w:rPr>
              <w:t>Amounts advanced under the Receivables Facility</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r>
      <w:tr>
        <w:trPr>
          <w:trHeight w:val="170"/>
        </w:trPr>
        <w:tc>
          <w:tcPr>
            <w:tcW w:w="6160" w:type="dxa"/>
            <w:vAlign w:val="bottom"/>
          </w:tcPr>
          <w:p>
            <w:pPr>
              <w:ind w:left="1580"/>
              <w:spacing w:after="0"/>
              <w:rPr>
                <w:sz w:val="20"/>
                <w:szCs w:val="20"/>
                <w:color w:val="auto"/>
              </w:rPr>
            </w:pPr>
            <w:r>
              <w:rPr>
                <w:rFonts w:ascii="Courier New" w:cs="Courier New" w:eastAsia="Courier New" w:hAnsi="Courier New"/>
                <w:sz w:val="15"/>
                <w:szCs w:val="15"/>
                <w:color w:val="auto"/>
              </w:rPr>
              <w:t>Accounts receivable</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40.0</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58.9</w:t>
            </w:r>
          </w:p>
        </w:tc>
      </w:tr>
      <w:tr>
        <w:trPr>
          <w:trHeight w:val="170"/>
        </w:trPr>
        <w:tc>
          <w:tcPr>
            <w:tcW w:w="6160" w:type="dxa"/>
            <w:vAlign w:val="bottom"/>
          </w:tcPr>
          <w:p>
            <w:pPr>
              <w:ind w:left="1580"/>
              <w:spacing w:after="0"/>
              <w:rPr>
                <w:sz w:val="20"/>
                <w:szCs w:val="20"/>
                <w:color w:val="auto"/>
              </w:rPr>
            </w:pPr>
            <w:r>
              <w:rPr>
                <w:rFonts w:ascii="Courier New" w:cs="Courier New" w:eastAsia="Courier New" w:hAnsi="Courier New"/>
                <w:sz w:val="15"/>
                <w:szCs w:val="15"/>
                <w:color w:val="auto"/>
              </w:rPr>
              <w:t>Other assets</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(12.1)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r>
      <w:tr>
        <w:trPr>
          <w:trHeight w:val="170"/>
        </w:trPr>
        <w:tc>
          <w:tcPr>
            <w:tcW w:w="6160" w:type="dxa"/>
            <w:vAlign w:val="bottom"/>
          </w:tcPr>
          <w:p>
            <w:pPr>
              <w:ind w:left="1580"/>
              <w:spacing w:after="0"/>
              <w:rPr>
                <w:sz w:val="20"/>
                <w:szCs w:val="20"/>
                <w:color w:val="auto"/>
              </w:rPr>
            </w:pPr>
            <w:r>
              <w:rPr>
                <w:rFonts w:ascii="Courier New" w:cs="Courier New" w:eastAsia="Courier New" w:hAnsi="Courier New"/>
                <w:sz w:val="15"/>
                <w:szCs w:val="15"/>
                <w:color w:val="auto"/>
              </w:rPr>
              <w:t>Other liabilities</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(25.4)</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65.8</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30.4</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81.6</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Capital expenditures</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(14.1)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Acquisitions of businesses, net of cash acquired</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(21.5)</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1.3</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used by investing activities</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(34.3)</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Net change in payable to banks</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long-term debt</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176.9</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45.9</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Repayment of long-term debt</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5"/>
              </w:rPr>
              <w:t>(181.0)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stock option and purchase plans</w:t>
            </w:r>
          </w:p>
        </w:tc>
        <w:tc>
          <w:tcPr>
            <w:tcW w:w="520" w:type="dxa"/>
            <w:vAlign w:val="bottom"/>
          </w:tcPr>
          <w:p>
            <w:pPr>
              <w:spacing w:after="0"/>
              <w:rPr>
                <w:sz w:val="14"/>
                <w:szCs w:val="1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9.2</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Repurchase of common stock</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(30.7)</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used by financing activities</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(28.5)</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520" w:type="dxa"/>
            <w:vAlign w:val="bottom"/>
          </w:tcPr>
          <w:p>
            <w:pPr>
              <w:spacing w:after="0"/>
              <w:rPr>
                <w:sz w:val="24"/>
                <w:szCs w:val="2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(2.6)</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Net change in cash and cash equivalents</w:t>
            </w:r>
          </w:p>
        </w:tc>
        <w:tc>
          <w:tcPr>
            <w:tcW w:w="520" w:type="dxa"/>
            <w:vAlign w:val="bottom"/>
          </w:tcPr>
          <w:p>
            <w:pPr>
              <w:spacing w:after="0"/>
              <w:rPr>
                <w:sz w:val="14"/>
                <w:szCs w:val="14"/>
                <w:color w:val="auto"/>
              </w:rPr>
            </w:pPr>
          </w:p>
        </w:tc>
        <w:tc>
          <w:tcPr>
            <w:tcW w:w="15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(35.0)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520" w:type="dxa"/>
            <w:vAlign w:val="bottom"/>
          </w:tcPr>
          <w:p>
            <w:pPr>
              <w:spacing w:after="0"/>
              <w:rPr>
                <w:sz w:val="24"/>
                <w:szCs w:val="24"/>
                <w:color w:val="auto"/>
              </w:rPr>
            </w:pP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245.8</w:t>
            </w:r>
          </w:p>
        </w:tc>
        <w:tc>
          <w:tcPr>
            <w:tcW w:w="140" w:type="dxa"/>
            <w:vAlign w:val="bottom"/>
          </w:tcPr>
          <w:p>
            <w:pPr>
              <w:spacing w:after="0"/>
              <w:rPr>
                <w:sz w:val="24"/>
                <w:szCs w:val="2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181.7</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16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$ 210.8</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$ 173.5</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339"/>
        </w:trPr>
        <w:tc>
          <w:tcPr>
            <w:tcW w:w="61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Interest paid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616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paid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24.4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16.2</w:t>
            </w:r>
          </w:p>
        </w:tc>
      </w:tr>
      <w:tr>
        <w:trPr>
          <w:trHeight w:val="170"/>
        </w:trPr>
        <w:tc>
          <w:tcPr>
            <w:tcW w:w="6160" w:type="dxa"/>
            <w:vAlign w:val="bottom"/>
          </w:tcPr>
          <w:p>
            <w:pPr>
              <w:spacing w:after="0"/>
              <w:rPr>
                <w:sz w:val="14"/>
                <w:szCs w:val="14"/>
                <w:color w:val="auto"/>
              </w:rPr>
            </w:pPr>
          </w:p>
        </w:tc>
        <w:tc>
          <w:tcPr>
            <w:tcW w:w="20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to consolidated financial statements are an</w:t>
      </w:r>
    </w:p>
    <w:p>
      <w:pPr>
        <w:jc w:val="center"/>
        <w:ind w:right="3179"/>
        <w:spacing w:after="0"/>
        <w:rPr>
          <w:sz w:val="20"/>
          <w:szCs w:val="20"/>
          <w:color w:val="auto"/>
        </w:rPr>
      </w:pPr>
      <w:r>
        <w:rPr>
          <w:rFonts w:ascii="Courier New" w:cs="Courier New" w:eastAsia="Courier New" w:hAnsi="Courier New"/>
          <w:sz w:val="15"/>
          <w:szCs w:val="15"/>
          <w:color w:val="auto"/>
        </w:rPr>
        <w:t>integral part of these statements.</w:t>
      </w:r>
    </w:p>
    <w:p>
      <w:pPr>
        <w:spacing w:after="0" w:line="200" w:lineRule="exact"/>
        <w:rPr>
          <w:sz w:val="20"/>
          <w:szCs w:val="20"/>
          <w:color w:val="auto"/>
        </w:rPr>
      </w:pPr>
    </w:p>
    <w:p>
      <w:pPr>
        <w:spacing w:after="0" w:line="30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2" w:right="1440" w:bottom="1440" w:gutter="0" w:footer="0" w:header="0"/>
        </w:sectPr>
      </w:pPr>
    </w:p>
    <w:bookmarkStart w:id="6" w:name="page7"/>
    <w:bookmarkEnd w:id="6"/>
    <w:p>
      <w:pPr>
        <w:jc w:val="center"/>
        <w:ind w:right="3179"/>
        <w:spacing w:after="0"/>
        <w:rPr>
          <w:sz w:val="20"/>
          <w:szCs w:val="20"/>
          <w:color w:val="auto"/>
        </w:rPr>
      </w:pPr>
      <w:r>
        <w:rPr>
          <w:rFonts w:ascii="Courier New" w:cs="Courier New" w:eastAsia="Courier New" w:hAnsi="Courier New"/>
          <w:sz w:val="15"/>
          <w:szCs w:val="15"/>
          <w:color w:val="auto"/>
        </w:rPr>
        <w:t>MANPOWER INC. AND SUBSIDIARIES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CONSOLIDATED FINANCIAL STATEMENTS (UNAUDITED)</w:t>
      </w:r>
    </w:p>
    <w:p>
      <w:pPr>
        <w:jc w:val="center"/>
        <w:ind w:right="3179"/>
        <w:spacing w:after="0"/>
        <w:rPr>
          <w:sz w:val="20"/>
          <w:szCs w:val="20"/>
          <w:color w:val="auto"/>
        </w:rPr>
      </w:pPr>
      <w:r>
        <w:rPr>
          <w:rFonts w:ascii="Courier New" w:cs="Courier New" w:eastAsia="Courier New" w:hAnsi="Courier New"/>
          <w:sz w:val="15"/>
          <w:szCs w:val="15"/>
          <w:color w:val="auto"/>
        </w:rPr>
        <w:t>FOR THE THREE MONTHS ENDED MARCH 31, 2002 AND 2001</w:t>
      </w:r>
    </w:p>
    <w:p>
      <w:pPr>
        <w:jc w:val="center"/>
        <w:ind w:right="3179"/>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2001 Annual Report to Shareholders.</w:t>
      </w:r>
    </w:p>
    <w:p>
      <w:pPr>
        <w:spacing w:after="0" w:line="16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Reclassifications</w:t>
      </w:r>
    </w:p>
    <w:p>
      <w:pPr>
        <w:spacing w:after="0" w:line="175" w:lineRule="exact"/>
        <w:rPr>
          <w:sz w:val="20"/>
          <w:szCs w:val="20"/>
          <w:color w:val="auto"/>
        </w:rPr>
      </w:pPr>
    </w:p>
    <w:p>
      <w:pPr>
        <w:ind w:right="3979"/>
        <w:spacing w:after="0" w:line="265" w:lineRule="auto"/>
        <w:rPr>
          <w:sz w:val="20"/>
          <w:szCs w:val="20"/>
          <w:color w:val="auto"/>
        </w:rPr>
      </w:pPr>
      <w:r>
        <w:rPr>
          <w:rFonts w:ascii="Courier New" w:cs="Courier New" w:eastAsia="Courier New" w:hAnsi="Courier New"/>
          <w:sz w:val="14"/>
          <w:szCs w:val="14"/>
          <w:color w:val="auto"/>
        </w:rPr>
        <w:t>Certain amounts in the 2001 consolidated financial statements have been reclassified to be consistent with the current period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Income Taxes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provided for income taxes at 36.0% for the first quarter of 2002, which is equal to the estimated annual effective tax rate based on the currently available information. This rate is higher than the U.S. Federal statutory rate due primarily to foreign tax rate differences. For the year ended December 31, 2001, excluding the effect of goodwill amortization, we provided for income taxes at 35.1%.</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Earnings Per Share</w:t>
      </w:r>
    </w:p>
    <w:p>
      <w:pPr>
        <w:spacing w:after="0" w:line="17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calculations of net earnings per share and net earnings per share -- diluted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54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MARCH 31,</w:t>
            </w:r>
          </w:p>
        </w:tc>
        <w:tc>
          <w:tcPr>
            <w:tcW w:w="54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2001</w:t>
            </w:r>
          </w:p>
        </w:tc>
      </w:tr>
      <w:tr>
        <w:trPr>
          <w:trHeight w:val="170"/>
        </w:trPr>
        <w:tc>
          <w:tcPr>
            <w:tcW w:w="4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earnings per share:</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76.1</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4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4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rPr>
              <w:t>Net earnings per share -- diluted:</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Net earnings available to common shareholders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339"/>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5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76.1</w:t>
            </w:r>
          </w:p>
        </w:tc>
        <w:tc>
          <w:tcPr>
            <w:tcW w:w="10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75.8</w:t>
            </w:r>
          </w:p>
        </w:tc>
      </w:tr>
      <w:tr>
        <w:trPr>
          <w:trHeight w:val="170"/>
        </w:trPr>
        <w:tc>
          <w:tcPr>
            <w:tcW w:w="4660" w:type="dxa"/>
            <w:vAlign w:val="bottom"/>
          </w:tcPr>
          <w:p>
            <w:pPr>
              <w:ind w:left="260"/>
              <w:spacing w:after="0"/>
              <w:rPr>
                <w:sz w:val="20"/>
                <w:szCs w:val="20"/>
                <w:color w:val="auto"/>
              </w:rPr>
            </w:pPr>
            <w:r>
              <w:rPr>
                <w:rFonts w:ascii="Courier New" w:cs="Courier New" w:eastAsia="Courier New" w:hAnsi="Courier New"/>
                <w:sz w:val="15"/>
                <w:szCs w:val="15"/>
                <w:color w:val="auto"/>
              </w:rPr>
              <w:t>Effect of dilutive stock options</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0"/>
        </w:trPr>
        <w:tc>
          <w:tcPr>
            <w:tcW w:w="4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77.3</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0"/>
        </w:trPr>
        <w:tc>
          <w:tcPr>
            <w:tcW w:w="4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4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48"/>
        </w:trPr>
        <w:tc>
          <w:tcPr>
            <w:tcW w:w="4660" w:type="dxa"/>
            <w:vAlign w:val="bottom"/>
          </w:tcPr>
          <w:p>
            <w:pPr>
              <w:ind w:left="3340"/>
              <w:spacing w:after="0"/>
              <w:rPr>
                <w:sz w:val="20"/>
                <w:szCs w:val="20"/>
                <w:color w:val="auto"/>
              </w:rPr>
            </w:pPr>
            <w:r>
              <w:rPr>
                <w:rFonts w:ascii="Courier New" w:cs="Courier New" w:eastAsia="Courier New" w:hAnsi="Courier New"/>
                <w:sz w:val="15"/>
                <w:szCs w:val="15"/>
                <w:color w:val="auto"/>
              </w:rPr>
              <w:t>-7-</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452" w:right="1440" w:bottom="1440" w:gutter="0" w:footer="0" w:header="0"/>
        </w:sectPr>
      </w:pPr>
    </w:p>
    <w:bookmarkStart w:id="7" w:name="page8"/>
    <w:bookmarkEnd w:id="7"/>
    <w:p>
      <w:pPr>
        <w:ind w:left="10" w:right="3179"/>
        <w:spacing w:after="0" w:line="237" w:lineRule="auto"/>
        <w:rPr>
          <w:sz w:val="20"/>
          <w:szCs w:val="20"/>
          <w:color w:val="auto"/>
        </w:rPr>
      </w:pPr>
      <w:r>
        <w:rPr>
          <w:rFonts w:ascii="Courier New" w:cs="Courier New" w:eastAsia="Courier New" w:hAnsi="Courier New"/>
          <w:sz w:val="15"/>
          <w:szCs w:val="15"/>
          <w:color w:val="auto"/>
        </w:rPr>
        <w:t>The calculation of net earnings per share -- diluted for the three months ended March 31, 2002 and 2001 excludes .2 and .7 of antidilutive shares, respectively, related to stock options on which the exercise prices were in excess of the average market price.</w:t>
      </w:r>
    </w:p>
    <w:p>
      <w:pPr>
        <w:spacing w:after="0" w:line="176" w:lineRule="exact"/>
        <w:rPr>
          <w:sz w:val="20"/>
          <w:szCs w:val="20"/>
          <w:color w:val="auto"/>
        </w:rPr>
      </w:pPr>
    </w:p>
    <w:p>
      <w:pPr>
        <w:ind w:left="10" w:right="3259"/>
        <w:spacing w:after="0" w:line="259" w:lineRule="auto"/>
        <w:rPr>
          <w:sz w:val="20"/>
          <w:szCs w:val="20"/>
          <w:color w:val="auto"/>
        </w:rPr>
      </w:pPr>
      <w:r>
        <w:rPr>
          <w:rFonts w:ascii="Courier New" w:cs="Courier New" w:eastAsia="Courier New" w:hAnsi="Courier New"/>
          <w:sz w:val="14"/>
          <w:szCs w:val="14"/>
          <w:color w:val="auto"/>
        </w:rPr>
        <w:t>In addition, there were 6.1 shares of common stock that were contingently issuable under our convertible debentures as of March 31, 2002. Such shares are excluded from the calculation of earnings per share -- diluted based upon our intent to settle any potential "put" of the convertible debentures in cash.</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(5) Shareholders' Equity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Comprehensive income (loss)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560" w:type="dxa"/>
            <w:vAlign w:val="bottom"/>
          </w:tcPr>
          <w:p>
            <w:pPr>
              <w:spacing w:after="0"/>
              <w:rPr>
                <w:sz w:val="14"/>
                <w:szCs w:val="14"/>
                <w:color w:val="auto"/>
              </w:rPr>
            </w:pPr>
          </w:p>
        </w:tc>
      </w:tr>
      <w:tr>
        <w:trPr>
          <w:trHeight w:val="170"/>
        </w:trPr>
        <w:tc>
          <w:tcPr>
            <w:tcW w:w="6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MARCH 31,</w:t>
            </w:r>
          </w:p>
        </w:tc>
        <w:tc>
          <w:tcPr>
            <w:tcW w:w="560" w:type="dxa"/>
            <w:vAlign w:val="bottom"/>
          </w:tcPr>
          <w:p>
            <w:pPr>
              <w:spacing w:after="0"/>
              <w:rPr>
                <w:sz w:val="14"/>
                <w:szCs w:val="14"/>
                <w:color w:val="auto"/>
              </w:rPr>
            </w:pPr>
          </w:p>
        </w:tc>
      </w:tr>
      <w:tr>
        <w:trPr>
          <w:trHeight w:val="170"/>
        </w:trPr>
        <w:tc>
          <w:tcPr>
            <w:tcW w:w="6960" w:type="dxa"/>
            <w:vAlign w:val="bottom"/>
          </w:tcPr>
          <w:p>
            <w:pPr>
              <w:spacing w:after="0"/>
              <w:rPr>
                <w:sz w:val="14"/>
                <w:szCs w:val="14"/>
                <w:color w:val="auto"/>
              </w:rPr>
            </w:pPr>
          </w:p>
        </w:tc>
        <w:tc>
          <w:tcPr>
            <w:tcW w:w="27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2002</w:t>
            </w:r>
          </w:p>
        </w:tc>
        <w:tc>
          <w:tcPr>
            <w:tcW w:w="1020" w:type="dxa"/>
            <w:vAlign w:val="bottom"/>
          </w:tcPr>
          <w:p>
            <w:pPr>
              <w:spacing w:after="0"/>
              <w:rPr>
                <w:sz w:val="14"/>
                <w:szCs w:val="14"/>
                <w:color w:val="auto"/>
              </w:rPr>
            </w:pPr>
          </w:p>
        </w:tc>
        <w:tc>
          <w:tcPr>
            <w:tcW w:w="5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2001</w:t>
            </w:r>
          </w:p>
        </w:tc>
      </w:tr>
      <w:tr>
        <w:trPr>
          <w:trHeight w:val="170"/>
        </w:trPr>
        <w:tc>
          <w:tcPr>
            <w:tcW w:w="69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earnings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696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Foreign currency translation adjustments</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(13.5)</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(37.6)</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Unrealized loss on available for sale securities, net of tax</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6960" w:type="dxa"/>
            <w:vAlign w:val="bottom"/>
          </w:tcPr>
          <w:p>
            <w:pPr>
              <w:ind w:left="340"/>
              <w:spacing w:after="0"/>
              <w:rPr>
                <w:sz w:val="20"/>
                <w:szCs w:val="20"/>
                <w:color w:val="auto"/>
              </w:rPr>
            </w:pPr>
            <w:r>
              <w:rPr>
                <w:rFonts w:ascii="Courier New" w:cs="Courier New" w:eastAsia="Courier New" w:hAnsi="Courier New"/>
                <w:sz w:val="15"/>
                <w:szCs w:val="15"/>
                <w:color w:val="auto"/>
              </w:rPr>
              <w:t>Unrealized gain (loss) on derivative financial instruments, net of tax</w:t>
            </w:r>
          </w:p>
        </w:tc>
        <w:tc>
          <w:tcPr>
            <w:tcW w:w="6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69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960" w:type="dxa"/>
            <w:vAlign w:val="bottom"/>
          </w:tcPr>
          <w:p>
            <w:pPr>
              <w:ind w:left="700"/>
              <w:spacing w:after="0"/>
              <w:rPr>
                <w:sz w:val="20"/>
                <w:szCs w:val="20"/>
                <w:color w:val="auto"/>
              </w:rPr>
            </w:pPr>
            <w:r>
              <w:rPr>
                <w:rFonts w:ascii="Courier New" w:cs="Courier New" w:eastAsia="Courier New" w:hAnsi="Courier New"/>
                <w:sz w:val="15"/>
                <w:szCs w:val="15"/>
                <w:color w:val="auto"/>
              </w:rPr>
              <w:t>Comprehensive income (loss)</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(18.1)</w:t>
            </w:r>
          </w:p>
        </w:tc>
      </w:tr>
      <w:tr>
        <w:trPr>
          <w:trHeight w:val="170"/>
        </w:trPr>
        <w:tc>
          <w:tcPr>
            <w:tcW w:w="6960" w:type="dxa"/>
            <w:vAlign w:val="bottom"/>
          </w:tcPr>
          <w:p>
            <w:pPr>
              <w:spacing w:after="0"/>
              <w:rPr>
                <w:sz w:val="14"/>
                <w:szCs w:val="1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On April 30, 2002, the Board of Directors declared a cash dividend of $.10 per share which is payable on June 14, 2002 to shareholders of record on June 3, 2002.</w:t>
      </w:r>
    </w:p>
    <w:p>
      <w:pPr>
        <w:spacing w:after="0" w:line="169"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and Other Expense (Income)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Interest and other expense (income)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MONTHS ENDED</w:t>
            </w:r>
          </w:p>
        </w:tc>
        <w:tc>
          <w:tcPr>
            <w:tcW w:w="520" w:type="dxa"/>
            <w:vAlign w:val="bottom"/>
          </w:tcPr>
          <w:p>
            <w:pPr>
              <w:spacing w:after="0"/>
              <w:rPr>
                <w:sz w:val="14"/>
                <w:szCs w:val="14"/>
                <w:color w:val="auto"/>
              </w:rPr>
            </w:pPr>
          </w:p>
        </w:tc>
      </w:tr>
      <w:tr>
        <w:trPr>
          <w:trHeight w:val="170"/>
        </w:trPr>
        <w:tc>
          <w:tcPr>
            <w:tcW w:w="5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MARCH 31,</w:t>
            </w:r>
          </w:p>
        </w:tc>
        <w:tc>
          <w:tcPr>
            <w:tcW w:w="520" w:type="dxa"/>
            <w:vAlign w:val="bottom"/>
          </w:tcPr>
          <w:p>
            <w:pPr>
              <w:spacing w:after="0"/>
              <w:rPr>
                <w:sz w:val="14"/>
                <w:szCs w:val="14"/>
                <w:color w:val="auto"/>
              </w:rPr>
            </w:pPr>
          </w:p>
        </w:tc>
      </w:tr>
      <w:tr>
        <w:trPr>
          <w:trHeight w:val="170"/>
        </w:trPr>
        <w:tc>
          <w:tcPr>
            <w:tcW w:w="5080" w:type="dxa"/>
            <w:vAlign w:val="bottom"/>
          </w:tcPr>
          <w:p>
            <w:pPr>
              <w:spacing w:after="0"/>
              <w:rPr>
                <w:sz w:val="14"/>
                <w:szCs w:val="14"/>
                <w:color w:val="auto"/>
              </w:rPr>
            </w:pPr>
          </w:p>
        </w:tc>
        <w:tc>
          <w:tcPr>
            <w:tcW w:w="42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2002</w:t>
            </w:r>
          </w:p>
        </w:tc>
        <w:tc>
          <w:tcPr>
            <w:tcW w:w="1060" w:type="dxa"/>
            <w:vAlign w:val="bottom"/>
          </w:tcPr>
          <w:p>
            <w:pPr>
              <w:spacing w:after="0"/>
              <w:rPr>
                <w:sz w:val="14"/>
                <w:szCs w:val="1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2001</w:t>
            </w:r>
          </w:p>
        </w:tc>
      </w:tr>
      <w:tr>
        <w:trPr>
          <w:trHeight w:val="170"/>
        </w:trPr>
        <w:tc>
          <w:tcPr>
            <w:tcW w:w="5080" w:type="dxa"/>
            <w:vAlign w:val="bottom"/>
          </w:tcPr>
          <w:p>
            <w:pPr>
              <w:spacing w:after="0"/>
              <w:rPr>
                <w:sz w:val="14"/>
                <w:szCs w:val="14"/>
                <w:color w:val="auto"/>
              </w:rPr>
            </w:pPr>
          </w:p>
        </w:tc>
        <w:tc>
          <w:tcPr>
            <w:tcW w:w="2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Foreign exchange losses</w:t>
            </w:r>
          </w:p>
        </w:tc>
        <w:tc>
          <w:tcPr>
            <w:tcW w:w="21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Loss on sale of accounts receivable</w:t>
            </w:r>
          </w:p>
        </w:tc>
        <w:tc>
          <w:tcPr>
            <w:tcW w:w="21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Miscellaneous, net</w:t>
            </w:r>
          </w:p>
        </w:tc>
        <w:tc>
          <w:tcPr>
            <w:tcW w:w="21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r>
      <w:tr>
        <w:trPr>
          <w:trHeight w:val="170"/>
        </w:trPr>
        <w:tc>
          <w:tcPr>
            <w:tcW w:w="5080" w:type="dxa"/>
            <w:vAlign w:val="bottom"/>
          </w:tcPr>
          <w:p>
            <w:pPr>
              <w:spacing w:after="0"/>
              <w:rPr>
                <w:sz w:val="14"/>
                <w:szCs w:val="14"/>
                <w:color w:val="auto"/>
              </w:rPr>
            </w:pPr>
          </w:p>
        </w:tc>
        <w:tc>
          <w:tcPr>
            <w:tcW w:w="2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080" w:type="dxa"/>
            <w:vAlign w:val="bottom"/>
          </w:tcPr>
          <w:p>
            <w:pPr>
              <w:spacing w:after="0"/>
              <w:rPr>
                <w:sz w:val="14"/>
                <w:szCs w:val="14"/>
                <w:color w:val="auto"/>
              </w:rPr>
            </w:pPr>
          </w:p>
        </w:tc>
        <w:tc>
          <w:tcPr>
            <w:tcW w:w="2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w:t>
            </w:r>
          </w:p>
        </w:tc>
      </w:tr>
      <w:tr>
        <w:trPr>
          <w:trHeight w:val="170"/>
        </w:trPr>
        <w:tc>
          <w:tcPr>
            <w:tcW w:w="5080" w:type="dxa"/>
            <w:vAlign w:val="bottom"/>
          </w:tcPr>
          <w:p>
            <w:pPr>
              <w:spacing w:after="0"/>
              <w:rPr>
                <w:sz w:val="14"/>
                <w:szCs w:val="14"/>
                <w:color w:val="auto"/>
              </w:rPr>
            </w:pPr>
          </w:p>
        </w:tc>
        <w:tc>
          <w:tcPr>
            <w:tcW w:w="26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w:t>
        <w:tab/>
        <w:t>Goodwill and Other Intangible Assets</w:t>
      </w:r>
    </w:p>
    <w:p>
      <w:pPr>
        <w:spacing w:after="0" w:line="175" w:lineRule="exact"/>
        <w:rPr>
          <w:sz w:val="20"/>
          <w:szCs w:val="20"/>
          <w:color w:val="auto"/>
        </w:rPr>
      </w:pPr>
    </w:p>
    <w:p>
      <w:pPr>
        <w:ind w:left="10" w:right="3619"/>
        <w:spacing w:after="0" w:line="237" w:lineRule="auto"/>
        <w:rPr>
          <w:sz w:val="20"/>
          <w:szCs w:val="20"/>
          <w:color w:val="auto"/>
        </w:rPr>
      </w:pPr>
      <w:r>
        <w:rPr>
          <w:rFonts w:ascii="Courier New" w:cs="Courier New" w:eastAsia="Courier New" w:hAnsi="Courier New"/>
          <w:sz w:val="15"/>
          <w:szCs w:val="15"/>
          <w:color w:val="auto"/>
        </w:rPr>
        <w:t>During June 2001, the Financial Accounting Standards Board (`FASB') issued Statement of Financial Accounting Standards (`SFAS') No. 142, "Goodwill and Other Intangible Assets," which prohibits the amortization of goodwill or identifiable intangible assets with an indefinite life. We adopted this statement on January 1, 2002.</w:t>
      </w:r>
    </w:p>
    <w:p>
      <w:pPr>
        <w:spacing w:after="0" w:line="178" w:lineRule="exact"/>
        <w:rPr>
          <w:sz w:val="20"/>
          <w:szCs w:val="20"/>
          <w:color w:val="auto"/>
        </w:rPr>
      </w:pPr>
    </w:p>
    <w:p>
      <w:pPr>
        <w:ind w:left="10" w:right="3179"/>
        <w:spacing w:after="0" w:line="257" w:lineRule="auto"/>
        <w:rPr>
          <w:sz w:val="20"/>
          <w:szCs w:val="20"/>
          <w:color w:val="auto"/>
        </w:rPr>
      </w:pPr>
      <w:r>
        <w:rPr>
          <w:rFonts w:ascii="Courier New" w:cs="Courier New" w:eastAsia="Courier New" w:hAnsi="Courier New"/>
          <w:sz w:val="14"/>
          <w:szCs w:val="14"/>
          <w:color w:val="auto"/>
        </w:rPr>
        <w:t>This statement requires goodwill impairment reviews to be performed by applying a fair-value-based test at the reporting unit level, which generally represents operations one level below the segments that we report. The first step in this test is to compare each reporting unit's estimated fair value to its carrying value. If the reporting unit's estimated fair value is in excess of its carrying value, the test is complete and no impairment is recorded. However, if the reporting unit's estimated fair value is less than its carrying value,</w:t>
      </w:r>
    </w:p>
    <w:p>
      <w:pPr>
        <w:spacing w:after="0" w:line="331"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627" w:right="1440" w:bottom="1440" w:gutter="0" w:footer="0" w:header="0"/>
        </w:sectPr>
      </w:pPr>
    </w:p>
    <w:bookmarkStart w:id="8" w:name="page9"/>
    <w:bookmarkEnd w:id="8"/>
    <w:p>
      <w:pPr>
        <w:jc w:val="both"/>
        <w:ind w:right="3359"/>
        <w:spacing w:after="0" w:line="260" w:lineRule="auto"/>
        <w:rPr>
          <w:sz w:val="20"/>
          <w:szCs w:val="20"/>
          <w:color w:val="auto"/>
        </w:rPr>
      </w:pPr>
      <w:r>
        <w:rPr>
          <w:rFonts w:ascii="Courier New" w:cs="Courier New" w:eastAsia="Courier New" w:hAnsi="Courier New"/>
          <w:sz w:val="14"/>
          <w:szCs w:val="14"/>
          <w:color w:val="auto"/>
        </w:rPr>
        <w:t>additional procedures are performed to determine if any impairment of goodwill exists. We must complete the first step of this test by June 30, 2002, and if necessary, the second step must be completed by December 31, 2002.</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are currently performing the first step of the goodwill impairment reviews, which will be completed by June 30, 2002. Impairment losses, if any, will be recognized as the cumulative effect of a change in accounting principle as of January 1, 2002.</w:t>
      </w:r>
    </w:p>
    <w:p>
      <w:pPr>
        <w:spacing w:after="0" w:line="176"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 summary of net earnings and net earnings per share, as if we had accounted for goodwill under SFAS No. 142 as of January 1, 2001, is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5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MARCH 31,</w:t>
            </w:r>
          </w:p>
        </w:tc>
        <w:tc>
          <w:tcPr>
            <w:tcW w:w="540" w:type="dxa"/>
            <w:vAlign w:val="bottom"/>
          </w:tcPr>
          <w:p>
            <w:pPr>
              <w:spacing w:after="0"/>
              <w:rPr>
                <w:sz w:val="14"/>
                <w:szCs w:val="14"/>
                <w:color w:val="auto"/>
              </w:rPr>
            </w:pPr>
          </w:p>
        </w:tc>
      </w:tr>
      <w:tr>
        <w:trPr>
          <w:trHeight w:val="170"/>
        </w:trPr>
        <w:tc>
          <w:tcPr>
            <w:tcW w:w="4220" w:type="dxa"/>
            <w:vAlign w:val="bottom"/>
          </w:tcPr>
          <w:p>
            <w:pPr>
              <w:spacing w:after="0"/>
              <w:rPr>
                <w:sz w:val="14"/>
                <w:szCs w:val="14"/>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2001</w:t>
            </w:r>
          </w:p>
        </w:tc>
      </w:tr>
      <w:tr>
        <w:trPr>
          <w:trHeight w:val="170"/>
        </w:trPr>
        <w:tc>
          <w:tcPr>
            <w:tcW w:w="4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Adjusted net earnings: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Reported net earnings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Goodwill amortization</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4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30.1</w:t>
            </w:r>
          </w:p>
        </w:tc>
      </w:tr>
      <w:tr>
        <w:trPr>
          <w:trHeight w:val="170"/>
        </w:trPr>
        <w:tc>
          <w:tcPr>
            <w:tcW w:w="4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Adjusted net earnings per share -- basic:</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Reported net earnings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Goodwill amortization</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4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4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Adjusted net earnings per share -- diluted:</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Reported net earnings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0"/>
        </w:trPr>
        <w:tc>
          <w:tcPr>
            <w:tcW w:w="4220" w:type="dxa"/>
            <w:vAlign w:val="bottom"/>
          </w:tcPr>
          <w:p>
            <w:pPr>
              <w:ind w:left="340"/>
              <w:spacing w:after="0"/>
              <w:rPr>
                <w:sz w:val="20"/>
                <w:szCs w:val="20"/>
                <w:color w:val="auto"/>
              </w:rPr>
            </w:pPr>
            <w:r>
              <w:rPr>
                <w:rFonts w:ascii="Courier New" w:cs="Courier New" w:eastAsia="Courier New" w:hAnsi="Courier New"/>
                <w:sz w:val="15"/>
                <w:szCs w:val="15"/>
                <w:color w:val="auto"/>
              </w:rPr>
              <w:t>Goodwill amortization</w:t>
            </w:r>
          </w:p>
        </w:tc>
        <w:tc>
          <w:tcPr>
            <w:tcW w:w="5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4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42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During the first quarter of 2002, we acquired certain companies and made other acquisition-related payments. The total paid for such transactions was $21.5 as of March 31, 2002, the majority of which was recorded as goodwill in the United States segment.</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(8) Segment Information</w:t>
            </w: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678"/>
        </w:trPr>
        <w:tc>
          <w:tcPr>
            <w:tcW w:w="3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 MONTHS ENDED</w:t>
            </w:r>
          </w:p>
        </w:tc>
        <w:tc>
          <w:tcPr>
            <w:tcW w:w="580" w:type="dxa"/>
            <w:vAlign w:val="bottom"/>
          </w:tcPr>
          <w:p>
            <w:pPr>
              <w:spacing w:after="0"/>
              <w:rPr>
                <w:sz w:val="24"/>
                <w:szCs w:val="24"/>
                <w:color w:val="auto"/>
              </w:rPr>
            </w:pPr>
          </w:p>
        </w:tc>
      </w:tr>
      <w:tr>
        <w:trPr>
          <w:trHeight w:val="170"/>
        </w:trPr>
        <w:tc>
          <w:tcPr>
            <w:tcW w:w="3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MARCH 31,</w:t>
            </w:r>
          </w:p>
        </w:tc>
        <w:tc>
          <w:tcPr>
            <w:tcW w:w="58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2002</w:t>
            </w:r>
          </w:p>
        </w:tc>
        <w:tc>
          <w:tcPr>
            <w:tcW w:w="100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52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Revenues from services:</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United States (a)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428.7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546.3</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France</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767.1</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939.2</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United Kingdom</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322.2</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381.0</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Other Europe</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442.0</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499.4</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Other Operations (b)</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324.0</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286.0</w:t>
            </w:r>
          </w:p>
        </w:tc>
      </w:tr>
      <w:tr>
        <w:trPr>
          <w:trHeight w:val="170"/>
        </w:trPr>
        <w:tc>
          <w:tcPr>
            <w:tcW w:w="352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$2,284.0</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$2,651.9</w:t>
            </w:r>
          </w:p>
        </w:tc>
      </w:tr>
      <w:tr>
        <w:trPr>
          <w:trHeight w:val="170"/>
        </w:trPr>
        <w:tc>
          <w:tcPr>
            <w:tcW w:w="352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Operating unit profit:</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United States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France</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26.3</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United Kingdom</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Other Europe</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Other Operations (b)</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0"/>
        </w:trPr>
        <w:tc>
          <w:tcPr>
            <w:tcW w:w="352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65.6</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Corporate expenses</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intangible assets</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rPr>
              <w:t>Interest and other expense</w:t>
            </w:r>
          </w:p>
        </w:tc>
        <w:tc>
          <w:tcPr>
            <w:tcW w:w="560" w:type="dxa"/>
            <w:vAlign w:val="bottom"/>
          </w:tcPr>
          <w:p>
            <w:pPr>
              <w:spacing w:after="0"/>
              <w:rPr>
                <w:sz w:val="14"/>
                <w:szCs w:val="14"/>
                <w:color w:val="auto"/>
              </w:rPr>
            </w:pP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0"/>
        </w:trPr>
        <w:tc>
          <w:tcPr>
            <w:tcW w:w="352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520" w:type="dxa"/>
            <w:vAlign w:val="bottom"/>
          </w:tcPr>
          <w:p>
            <w:pPr>
              <w:ind w:left="340"/>
              <w:spacing w:after="0"/>
              <w:rPr>
                <w:sz w:val="20"/>
                <w:szCs w:val="20"/>
                <w:color w:val="auto"/>
              </w:rPr>
            </w:pPr>
            <w:r>
              <w:rPr>
                <w:rFonts w:ascii="Courier New" w:cs="Courier New" w:eastAsia="Courier New" w:hAnsi="Courier New"/>
                <w:sz w:val="15"/>
                <w:szCs w:val="15"/>
                <w:color w:val="auto"/>
              </w:rPr>
              <w:t>Earnings before income taxes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r>
      <w:tr>
        <w:trPr>
          <w:trHeight w:val="170"/>
        </w:trPr>
        <w:tc>
          <w:tcPr>
            <w:tcW w:w="3520" w:type="dxa"/>
            <w:vAlign w:val="bottom"/>
          </w:tcPr>
          <w:p>
            <w:pPr>
              <w:spacing w:after="0"/>
              <w:rPr>
                <w:sz w:val="14"/>
                <w:szCs w:val="14"/>
                <w:color w:val="auto"/>
              </w:rPr>
            </w:pPr>
          </w:p>
        </w:tc>
        <w:tc>
          <w:tcPr>
            <w:tcW w:w="1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610" w:right="3539" w:hanging="610"/>
        <w:spacing w:after="0" w:line="237" w:lineRule="auto"/>
        <w:tabs>
          <w:tab w:leader="none" w:pos="6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Systemwide sales in the United States, which includes sales of Company-owned branches and franchises, were $654.0 and $861.5 for the three months ended March 31, 2002 and 2001, respectively.</w:t>
      </w:r>
    </w:p>
    <w:p>
      <w:pPr>
        <w:spacing w:after="0" w:line="174" w:lineRule="exact"/>
        <w:rPr>
          <w:rFonts w:ascii="Courier New" w:cs="Courier New" w:eastAsia="Courier New" w:hAnsi="Courier New"/>
          <w:sz w:val="15"/>
          <w:szCs w:val="15"/>
          <w:color w:val="auto"/>
        </w:rPr>
      </w:pPr>
    </w:p>
    <w:p>
      <w:pPr>
        <w:ind w:left="610" w:right="3179" w:hanging="610"/>
        <w:spacing w:after="0" w:line="237" w:lineRule="auto"/>
        <w:tabs>
          <w:tab w:leader="none" w:pos="61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segment, formerly Other Countries, has been renamed Other Operations to more properly reflect the makeup of the segment. There was no change to the historical makeup of the segment.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2" w:right="1440" w:bottom="1440" w:gutter="0" w:footer="0" w:header="0"/>
        </w:sectPr>
      </w:pPr>
    </w:p>
    <w:bookmarkStart w:id="10" w:name="page11"/>
    <w:bookmarkEnd w:id="10"/>
    <w:p>
      <w:pPr>
        <w:ind w:right="3799"/>
        <w:spacing w:after="0" w:line="235" w:lineRule="auto"/>
        <w:rPr>
          <w:sz w:val="20"/>
          <w:szCs w:val="20"/>
          <w:color w:val="auto"/>
        </w:rPr>
      </w:pPr>
      <w:r>
        <w:rPr>
          <w:rFonts w:ascii="Courier New" w:cs="Courier New" w:eastAsia="Courier New" w:hAnsi="Courier New"/>
          <w:sz w:val="15"/>
          <w:szCs w:val="15"/>
          <w:color w:val="auto"/>
        </w:rPr>
        <w:t>Item 2 --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 Three Months Ended March 31, 2002 and 2001</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Revenues decreased 13.9% to $2,284.0 million for the first quarter of 2002. Revenues were unfavorably impacted during the first quarter of 2002 compared to 2001 by changes in currency exchange rates, as the U.S. dollar strengthened relative to many of the functional currencies of our foreign subsidiaries. At constant exchange rates, the decrease in revenues would have been 10.3%. Acquisitions had a favorable impact, on a constant currency basis, of approximately 2% on consolidated revenues during the first quarter of 2002 compared to 2001.</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 the U.S., revenues were down 21.5% during the first quarter of 2002 compared to 2001, however, this decline shows some improvement from the 25.0% year-over-year decline experienced during the fourth quarter of 2001. In France, on a local currency basis, revenues were down 14.1% during the first quarter of 2002 compared to 2001, however the year-over-year declines improved throughout the quarter. In the United Kingdom, revenues declined 13.3%, on a constant currency basis, compared to the first quarter of 2001 as the United Kingdom experienced weaker customer demand due to the weakening economy. Revenues in the Other Europe segment, on a constant currency basis, were down 6.8% during the first quarter of 2002 compared to 2001. Revenues of Other Operations increased 21.9%, on a constant currency basis, during the first quarter of 2002 compared to 2001. Although recent acquisitions accounted for a majority of the increase, Other Operations posted revenue growth of 3.5% excluding acquisitions.</w:t>
      </w:r>
    </w:p>
    <w:p>
      <w:pPr>
        <w:spacing w:after="0" w:line="165"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Gross profit decreased 14.3% from $483.9 million for the first quarter of 2001 to $414.8 million for the first quarter of 2002. The gross profit margin of</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18.2% for the first quarter of 2002 was consistent with the same period in 2001. Gross profit margin gains in France and Other Operations were due primarily to improved pricing and the higher-margin acquisitions. These gains were offset by decreases in the U.S., United Kingdom and Other Europe, caused by economic conditions and changes in business mix.</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Selling and administrative expenses, excluding goodwill amortization during the first quarter of 2001, decreased 7.4% to $396.1 million in the first quarter of 2002. As a percent of gross profit, excluding goodwill amortization in 2001, selling and administrative expenses were 95.5% in the first quarter of 2002 compared to 88.4% in the first quarter of 2001. The increase as a percent of gross profit is due primarily to the deleveraging of the business caused by the contracting revenue levels and our continued investment in certain expanding markets. We continue to make a concerted effort to improve efficiency and control costs in all major countries.</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Interest and other expense decreased $2.3 million from the first quarter of 2001 to $8.0 million in the first quarter of 2002. Net interest expense, including the loss on sale of accounts receivable, was $7.4 million in the first quarter of 2002 compared to $8.3 million in the first quarter of 2001. This decrease was mainly due to lower interest rate levels.</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We provided for income taxes at 36.0% for the first quarter of 2002, which is equal to the estimated annual effective tax rate based on the currently available information. This rate is higher than the U.S. Federal statutory rate due primarily to foreign tax rate differences. For the year ended December 31, 2001, excluding the effect of goodwill amortization, we provided for income taxes at 35.1%.</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On a diluted basis, net earnings per share was $.09 in the first quarter of 2002 compared to $.35 in the first quarter of 2001. The diluted net earnings per share, for the first quarter of 2002 was negatively impacted by $.01 due to changes in exchange rates. Excluding the effect of goodwill amortization during the first quarter of 2001, net earnings per share, on a diluted basis, was $.39.</w:t>
      </w:r>
    </w:p>
    <w:p>
      <w:pPr>
        <w:spacing w:after="0" w:line="32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Cash provided by operating activities was $30.4 million in the first quarter of 2002 compared to $81.6 million for the first quarter of 2001. Excluding the changes in amounts advanced under the Receivables Facility, cash provided by changes in working capital requirements was $2.5 million and $98.5 million for the first quarter of 2002 and 2001, respectively. This decrease is mainly due to the changes in working capital obligations due to differences in the timing of vendor and payroll tax payments. Cash provided by operating activities before changes in working capital requirements was $27.9 million in the first quarter of 2002 compared to $50.1 million in the first quarter of 2001. This decrease is a result of lower earnings levels in 2002.</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Capital expenditures were $14.1 million in the first quarter of 2002 compared to $21.6 million during the first quarter of 2001. These expenditures were primarily comprised of purchases of computer equipment, office furniture and other costs related to office openings and refurbishments, as well as capitalized software costs.</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Net cash used to repay borrowings was $7.0 million and $11.4 million in the first quarter of 2002 and 2001, respectively. The amounts shown as Proceeds from long-term debt and Repayment of long-term debt relate primarily to commercial paper borrowings.</w:t>
      </w:r>
    </w:p>
    <w:p>
      <w:pPr>
        <w:spacing w:after="0" w:line="176"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We have aggregate commitments related to debt, operating leases and the forward repurchase agreement. As of March 31, 2002, the aggregate commitments totaled approximately $1,100.0 million, compared to $1,130.2 million as of December 31, 2001. During the first quarter of 2002, we repurchased the remaining 900,000 shares of common stock under the forward repurchase agreement at a cost of $30.7 million. No further obligations exist under this agreement.</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decreased to $1,847.4 million at March 31, 2002 from</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$1,917.8 million at December 31, 2001. This decrease is mainly due to seasonal fluctuations, as the revenue levels in the first quarter are typically lower than the fourth quarter. Changes in foreign currency exchange rates during the first quarter of 2002 negatively impacted the receivable balance by $31.3 million. There were no amounts advanced under the Receivables Facility as of March 31, 2002, and December 31, 2001. As of March 31, 2001, there was $78.0 million advanced under this facility.</w:t>
      </w:r>
    </w:p>
    <w:p>
      <w:pPr>
        <w:spacing w:after="0" w:line="17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 of March 31, 2002, we had borrowings of $170.7 million and letters of credit of $65.5 million outstanding under our $450.0 million five-year credit facility, and borrowings of $60.6 million outstanding under our U.S. commercial paper program. Commercial paper borrowings, which are backed by the five-year credit facility, have been classified as long-term debt due to the availability to refinance them on a long-term basis under this facility.</w:t>
      </w:r>
    </w:p>
    <w:p>
      <w:pPr>
        <w:spacing w:after="0" w:line="176"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We and some of our foreign subsidiaries maintain separate lines of credit with foreign financial institutions to meet short-term working capital needs. As of March 31, 2002, such lines totaled $156.4 million, of which $149.3 million was unused.</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Our unsecured zero-coupon convertible debentures, due August 2021 ("Debentures"), allow holders of the Debentures to require us to repurchase these Debentures at the issue price, plus accreted original issue discount, on the first, third, fifth, tenth and fifteenth anniversary dates. We have the option to settle this obligation in cash, common stock, or a combination thereof. Our intent is to settle any potential "put" in cash. Under the current economic environment, we do not anticipate that the Debentures will be "put" on the first anniversary date. If a "put" does become likely, however, we expect to alter the terms of the agreement with the holders of the Debentures to prevent the "put." In the event of a significant change in the economic environment, we may choose to settle the "put" with common stock, which may have a dilutive effect on existing shareholders.</w:t>
      </w:r>
    </w:p>
    <w:p>
      <w:pPr>
        <w:spacing w:after="0" w:line="34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2" w:name="page13"/>
    <w:bookmarkEnd w:id="12"/>
    <w:p>
      <w:pPr>
        <w:ind w:right="3259"/>
        <w:spacing w:after="0" w:line="238" w:lineRule="auto"/>
        <w:rPr>
          <w:sz w:val="20"/>
          <w:szCs w:val="20"/>
          <w:color w:val="auto"/>
        </w:rPr>
      </w:pPr>
      <w:r>
        <w:rPr>
          <w:rFonts w:ascii="Courier New" w:cs="Courier New" w:eastAsia="Courier New" w:hAnsi="Courier New"/>
          <w:sz w:val="15"/>
          <w:szCs w:val="15"/>
          <w:color w:val="auto"/>
        </w:rPr>
        <w:t>Subsequent to March 31, 2002, Standard &amp; Poor's changed our credit rating outlook from neutral to negative and Moody's Corporation issued a press release indicating that our credit rating was under review for possible downgrade. We currently have an investment grade credit rating and do not anticipate the result of Moody's Corporation's review to decrease our credit rating below investment grade.</w:t>
      </w:r>
    </w:p>
    <w:p>
      <w:pPr>
        <w:spacing w:after="0" w:line="17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Forward-Looking Statements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Statements made in this quarterly report that are not statements of historical fact are forward-looking statements. All forward-looking statements involve risks and uncertainties. The information under the heading "Forward-Looking Statements" in our Annual Report on Form 10-K for the year ended December 31, 2001, which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Report on Form 10-K may be beyond our control. Forward-looking statements can be identified by words such as "expect", "anticipate", "intend", "plan", "may", "will", "believe", "seek", "estimate", and similar expressions. We caution you that any forward-looking statement reflects only our belief at the time the statement is made. We undertake no obligation to update any forward-looking statements to reflect subsequent events or circumstances.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 Quantitative and Qualitative Disclosures About Market Risk</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Our 2001 Annual Report on Form 10-K contains certain disclosures about market risks affecting the Company. There have been no material changes to the information provided which would require additional disclosures as of the date of this filing.</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3" w:name="page14"/>
    <w:bookmarkEnd w:id="13"/>
    <w:p>
      <w:pPr>
        <w:ind w:left="2380"/>
        <w:spacing w:after="0"/>
        <w:rPr>
          <w:sz w:val="20"/>
          <w:szCs w:val="20"/>
          <w:color w:val="auto"/>
        </w:rPr>
      </w:pPr>
      <w:r>
        <w:rPr>
          <w:rFonts w:ascii="Courier New" w:cs="Courier New" w:eastAsia="Courier New" w:hAnsi="Courier New"/>
          <w:sz w:val="15"/>
          <w:szCs w:val="15"/>
          <w:color w:val="auto"/>
        </w:rPr>
        <w:t>PART II - OTHER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 Exhibits and Reports on Form 8-K</w:t>
      </w:r>
    </w:p>
    <w:p>
      <w:pPr>
        <w:spacing w:after="0" w:line="169" w:lineRule="exact"/>
        <w:rPr>
          <w:sz w:val="20"/>
          <w:szCs w:val="20"/>
          <w:color w:val="auto"/>
        </w:rPr>
      </w:pPr>
    </w:p>
    <w:p>
      <w:pPr>
        <w:ind w:left="1140" w:hanging="444"/>
        <w:spacing w:after="0"/>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4" w:lineRule="exact"/>
        <w:rPr>
          <w:rFonts w:ascii="Courier New" w:cs="Courier New" w:eastAsia="Courier New" w:hAnsi="Courier New"/>
          <w:sz w:val="15"/>
          <w:szCs w:val="15"/>
          <w:color w:val="auto"/>
        </w:rPr>
      </w:pPr>
    </w:p>
    <w:p>
      <w:pPr>
        <w:ind w:left="1760" w:right="3359" w:hanging="61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10.1 Separation Agreement between Terry A. Hueneke and Manpower Inc. dated as of March 27, 2002.</w:t>
      </w:r>
    </w:p>
    <w:p>
      <w:pPr>
        <w:spacing w:after="0" w:line="175" w:lineRule="exact"/>
        <w:rPr>
          <w:rFonts w:ascii="Courier New" w:cs="Courier New" w:eastAsia="Courier New" w:hAnsi="Courier New"/>
          <w:sz w:val="15"/>
          <w:szCs w:val="15"/>
          <w:color w:val="auto"/>
        </w:rPr>
      </w:pPr>
    </w:p>
    <w:p>
      <w:pPr>
        <w:ind w:left="1760" w:right="3619" w:hanging="617"/>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12.1 Statement Regarding Computation of Ratio of Earnings to Fixed Charges.</w:t>
      </w:r>
    </w:p>
    <w:p>
      <w:pPr>
        <w:spacing w:after="0" w:line="345" w:lineRule="exact"/>
        <w:rPr>
          <w:rFonts w:ascii="Courier New" w:cs="Courier New" w:eastAsia="Courier New" w:hAnsi="Courier New"/>
          <w:sz w:val="15"/>
          <w:szCs w:val="15"/>
          <w:color w:val="auto"/>
        </w:rPr>
      </w:pPr>
    </w:p>
    <w:p>
      <w:pPr>
        <w:ind w:left="1140" w:right="3259" w:hanging="444"/>
        <w:spacing w:after="0" w:line="235" w:lineRule="auto"/>
        <w:tabs>
          <w:tab w:leader="none" w:pos="11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two current reports on Form 8-K dated January 7, 2002 and February 25, 2002 with respect to Item 5 -- Other Events.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2" w:right="1440" w:bottom="1440" w:gutter="0" w:footer="0" w:header="0"/>
        </w:sectPr>
      </w:pPr>
    </w:p>
    <w:bookmarkStart w:id="14" w:name="page15"/>
    <w:bookmarkEnd w:id="14"/>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MANPOWER INC.</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452"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15,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Michael J. Van Handel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J. Van Handel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Chief Financial 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 (Signing on behalf of the Registrant and</w:t>
      </w:r>
    </w:p>
    <w:p>
      <w:pPr>
        <w:spacing w:after="0"/>
        <w:rPr>
          <w:sz w:val="20"/>
          <w:szCs w:val="20"/>
          <w:color w:val="auto"/>
        </w:rPr>
      </w:pPr>
      <w:r>
        <w:rPr>
          <w:rFonts w:ascii="Courier New" w:cs="Courier New" w:eastAsia="Courier New" w:hAnsi="Courier New"/>
          <w:sz w:val="15"/>
          <w:szCs w:val="15"/>
          <w:color w:val="auto"/>
        </w:rPr>
        <w:t>as the Principal Financial Officer and Principal</w:t>
      </w: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1740" w:space="720"/>
            <w:col w:w="7759"/>
          </w:cols>
          <w:pgMar w:left="240" w:top="452" w:right="1440" w:bottom="1440" w:gutter="0" w:footer="0" w:header="0"/>
          <w:type w:val="continuous"/>
        </w:sectPr>
      </w:pPr>
    </w:p>
    <w:p>
      <w:pPr>
        <w:spacing w:after="0" w:line="31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19"/>
          </w:cols>
          <w:pgMar w:left="240" w:top="452" w:right="1440" w:bottom="1440" w:gutter="0" w:footer="0" w:header="0"/>
          <w:type w:val="continuous"/>
        </w:sectPr>
      </w:pPr>
    </w:p>
    <w:bookmarkStart w:id="15" w:name="page16"/>
    <w:bookmarkEnd w:id="15"/>
    <w:p>
      <w:pPr>
        <w:jc w:val="right"/>
        <w:ind w:right="3179"/>
        <w:spacing w:after="0"/>
        <w:rPr>
          <w:sz w:val="20"/>
          <w:szCs w:val="20"/>
          <w:color w:val="auto"/>
        </w:rPr>
      </w:pPr>
      <w:r>
        <w:rPr>
          <w:rFonts w:ascii="Courier New" w:cs="Courier New" w:eastAsia="Courier New" w:hAnsi="Courier New"/>
          <w:sz w:val="15"/>
          <w:szCs w:val="15"/>
          <w:color w:val="auto"/>
        </w:rPr>
        <w:t>EXHIBIT 10.1</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Manpower Inc.</w:t>
      </w:r>
    </w:p>
    <w:p>
      <w:pPr>
        <w:ind w:left="2460"/>
        <w:spacing w:after="0"/>
        <w:rPr>
          <w:sz w:val="20"/>
          <w:szCs w:val="20"/>
          <w:color w:val="auto"/>
        </w:rPr>
      </w:pPr>
      <w:r>
        <w:rPr>
          <w:rFonts w:ascii="Courier New" w:cs="Courier New" w:eastAsia="Courier New" w:hAnsi="Courier New"/>
          <w:sz w:val="15"/>
          <w:szCs w:val="15"/>
          <w:color w:val="auto"/>
        </w:rPr>
        <w:t>5301 North Ironwood Road</w:t>
      </w:r>
    </w:p>
    <w:p>
      <w:pPr>
        <w:ind w:left="2380"/>
        <w:spacing w:after="0"/>
        <w:rPr>
          <w:sz w:val="20"/>
          <w:szCs w:val="20"/>
          <w:color w:val="auto"/>
        </w:rPr>
      </w:pPr>
      <w:r>
        <w:rPr>
          <w:rFonts w:ascii="Courier New" w:cs="Courier New" w:eastAsia="Courier New" w:hAnsi="Courier New"/>
          <w:sz w:val="15"/>
          <w:szCs w:val="15"/>
          <w:color w:val="auto"/>
        </w:rPr>
        <w:t>Milwaukee, Wisconsin 53217</w:t>
      </w:r>
    </w:p>
    <w:p>
      <w:pPr>
        <w:spacing w:after="0" w:line="200" w:lineRule="exact"/>
        <w:rPr>
          <w:sz w:val="20"/>
          <w:szCs w:val="20"/>
          <w:color w:val="auto"/>
        </w:rPr>
      </w:pPr>
    </w:p>
    <w:p>
      <w:pPr>
        <w:spacing w:after="0" w:line="30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March 27,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Terry A. Hueneke:</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This letter will confirm our agreement with respect to the termination of your full-time employment with Manpower Inc. (the "Corporation") and your continuing consulting relationship with the Corporation. We have agreed as follows:</w:t>
      </w:r>
    </w:p>
    <w:p>
      <w:pPr>
        <w:spacing w:after="0" w:line="176" w:lineRule="exact"/>
        <w:rPr>
          <w:sz w:val="20"/>
          <w:szCs w:val="20"/>
          <w:color w:val="auto"/>
        </w:rPr>
      </w:pPr>
    </w:p>
    <w:p>
      <w:pPr>
        <w:ind w:right="3259" w:firstLine="784"/>
        <w:spacing w:after="0" w:line="237" w:lineRule="auto"/>
        <w:tabs>
          <w:tab w:leader="none" w:pos="15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Full-Time Employment. Your employment with the Corporation continued through February 28, 2002 (the "Effective Date") on a full-time basis, at which time you terminated your full-time employment.</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Services.</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Beginning March 1, 2002, and continuing through February 28, 2003 or the later Extended Term Expiration Date (as defined below), if any, unless earlier terminated under Section 13 hereof (the "Consulting Period"), and subject to the limitations set forth herein, you shall act as a consultant and advisor to the Corporation in the capacity of a part-time employee and shall render such advice and assistance respecting the affairs and activities of the Corporation and its direct or indirect subsidiaries (collectively, the "Manpower Group") as any Senior Vice President of the Corporation, or other officer of equal or higher rank, may from time to time reasonably request, including the following:</w:t>
      </w:r>
    </w:p>
    <w:p>
      <w:pPr>
        <w:spacing w:after="0" w:line="180" w:lineRule="exact"/>
        <w:rPr>
          <w:rFonts w:ascii="Courier New" w:cs="Courier New" w:eastAsia="Courier New" w:hAnsi="Courier New"/>
          <w:sz w:val="15"/>
          <w:szCs w:val="15"/>
          <w:color w:val="auto"/>
        </w:rPr>
      </w:pPr>
    </w:p>
    <w:p>
      <w:pPr>
        <w:ind w:left="1580" w:right="3439" w:firstLine="350"/>
        <w:spacing w:after="0" w:line="235" w:lineRule="auto"/>
        <w:tabs>
          <w:tab w:leader="none" w:pos="2285"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Assistance to Successor Manager of North America and Canada (Ms. Barbara Beck), including:</w:t>
      </w:r>
    </w:p>
    <w:p>
      <w:pPr>
        <w:spacing w:after="0" w:line="175" w:lineRule="exact"/>
        <w:rPr>
          <w:rFonts w:ascii="Courier New" w:cs="Courier New" w:eastAsia="Courier New" w:hAnsi="Courier New"/>
          <w:sz w:val="15"/>
          <w:szCs w:val="15"/>
          <w:color w:val="auto"/>
        </w:rPr>
      </w:pPr>
    </w:p>
    <w:p>
      <w:pPr>
        <w:jc w:val="both"/>
        <w:ind w:left="1920" w:right="3539" w:firstLine="362"/>
        <w:spacing w:after="0" w:line="237" w:lineRule="auto"/>
        <w:tabs>
          <w:tab w:leader="none" w:pos="2625"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orientation training and assistance to such successor during the first sixty (60) days of her employment; and</w:t>
      </w:r>
    </w:p>
    <w:p>
      <w:pPr>
        <w:spacing w:after="0" w:line="169" w:lineRule="exact"/>
        <w:rPr>
          <w:rFonts w:ascii="Courier New" w:cs="Courier New" w:eastAsia="Courier New" w:hAnsi="Courier New"/>
          <w:sz w:val="15"/>
          <w:szCs w:val="15"/>
          <w:color w:val="auto"/>
        </w:rPr>
      </w:pPr>
    </w:p>
    <w:p>
      <w:pPr>
        <w:ind w:left="2640" w:hanging="358"/>
        <w:spacing w:after="0"/>
        <w:tabs>
          <w:tab w:leader="none" w:pos="2640" w:val="left"/>
        </w:tabs>
        <w:numPr>
          <w:ilvl w:val="3"/>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in transition of management of the</w:t>
      </w:r>
    </w:p>
    <w:p>
      <w:pPr>
        <w:spacing w:after="0" w:line="5" w:lineRule="exact"/>
        <w:rPr>
          <w:rFonts w:ascii="Courier New" w:cs="Courier New" w:eastAsia="Courier New" w:hAnsi="Courier New"/>
          <w:sz w:val="15"/>
          <w:szCs w:val="15"/>
          <w:color w:val="auto"/>
        </w:rPr>
      </w:pPr>
    </w:p>
    <w:p>
      <w:pPr>
        <w:ind w:left="1920" w:right="32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operations of the Manpower Group in the United States and Canada to such successor.</w:t>
      </w:r>
    </w:p>
    <w:p>
      <w:pPr>
        <w:sectPr>
          <w:pgSz w:w="11900" w:h="16838" w:orient="portrait"/>
          <w:cols w:equalWidth="0" w:num="1">
            <w:col w:w="10219"/>
          </w:cols>
          <w:pgMar w:left="240" w:top="305" w:right="1440" w:bottom="1440" w:gutter="0" w:footer="0" w:header="0"/>
        </w:sectPr>
      </w:pPr>
    </w:p>
    <w:bookmarkStart w:id="16" w:name="page17"/>
    <w:bookmarkEnd w:id="16"/>
    <w:p>
      <w:pPr>
        <w:ind w:left="1580" w:right="3359" w:firstLine="350"/>
        <w:spacing w:after="0" w:line="237" w:lineRule="auto"/>
        <w:tabs>
          <w:tab w:leader="none" w:pos="237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Assistance relating to Manpower Group Operations in Central and South America, Japan, Australia and Asia, including:</w:t>
      </w:r>
    </w:p>
    <w:p>
      <w:pPr>
        <w:spacing w:after="0" w:line="174" w:lineRule="exact"/>
        <w:rPr>
          <w:rFonts w:ascii="Courier New" w:cs="Courier New" w:eastAsia="Courier New" w:hAnsi="Courier New"/>
          <w:sz w:val="15"/>
          <w:szCs w:val="15"/>
          <w:color w:val="auto"/>
        </w:rPr>
      </w:pPr>
    </w:p>
    <w:p>
      <w:pPr>
        <w:ind w:left="1920" w:right="3179" w:firstLine="450"/>
        <w:spacing w:after="0" w:line="237" w:lineRule="auto"/>
        <w:tabs>
          <w:tab w:leader="none" w:pos="2713"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continuing management responsibility for operations of the Manpower Group in each of these areas until a successor manager for such operations assumes such responsibility;</w:t>
      </w:r>
    </w:p>
    <w:p>
      <w:pPr>
        <w:spacing w:after="0" w:line="176" w:lineRule="exact"/>
        <w:rPr>
          <w:rFonts w:ascii="Courier New" w:cs="Courier New" w:eastAsia="Courier New" w:hAnsi="Courier New"/>
          <w:sz w:val="15"/>
          <w:szCs w:val="15"/>
          <w:color w:val="auto"/>
        </w:rPr>
      </w:pPr>
    </w:p>
    <w:p>
      <w:pPr>
        <w:ind w:left="1920" w:right="3259" w:firstLine="450"/>
        <w:spacing w:after="0" w:line="235" w:lineRule="auto"/>
        <w:tabs>
          <w:tab w:leader="none" w:pos="2713"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assistance in the search for one or more successor manager(s) for such operations; and</w:t>
      </w:r>
    </w:p>
    <w:p>
      <w:pPr>
        <w:spacing w:after="0" w:line="175" w:lineRule="exact"/>
        <w:rPr>
          <w:rFonts w:ascii="Courier New" w:cs="Courier New" w:eastAsia="Courier New" w:hAnsi="Courier New"/>
          <w:sz w:val="15"/>
          <w:szCs w:val="15"/>
          <w:color w:val="auto"/>
        </w:rPr>
      </w:pPr>
    </w:p>
    <w:p>
      <w:pPr>
        <w:ind w:left="1920" w:right="3179" w:firstLine="450"/>
        <w:spacing w:after="0" w:line="237" w:lineRule="auto"/>
        <w:tabs>
          <w:tab w:leader="none" w:pos="2713"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assistance in transition of management of the operations of the Manpower Group in each of the areas to the successor manager designated and retained by the Corporation for such area.</w:t>
      </w:r>
    </w:p>
    <w:p>
      <w:pPr>
        <w:spacing w:after="0" w:line="176" w:lineRule="exact"/>
        <w:rPr>
          <w:sz w:val="20"/>
          <w:szCs w:val="20"/>
          <w:color w:val="auto"/>
        </w:rPr>
      </w:pPr>
    </w:p>
    <w:p>
      <w:pPr>
        <w:ind w:left="1580" w:right="3179"/>
        <w:spacing w:after="0" w:line="237" w:lineRule="auto"/>
        <w:rPr>
          <w:sz w:val="20"/>
          <w:szCs w:val="20"/>
          <w:color w:val="auto"/>
        </w:rPr>
      </w:pPr>
      <w:r>
        <w:rPr>
          <w:rFonts w:ascii="Courier New" w:cs="Courier New" w:eastAsia="Courier New" w:hAnsi="Courier New"/>
          <w:sz w:val="15"/>
          <w:szCs w:val="15"/>
          <w:color w:val="auto"/>
        </w:rPr>
        <w:t>The expectation is that a successor(s) will be designated no later than July 31, 2002, and that the transition process will be completed no later than September 30, 2002.</w:t>
      </w:r>
    </w:p>
    <w:p>
      <w:pPr>
        <w:spacing w:after="0" w:line="175" w:lineRule="exact"/>
        <w:rPr>
          <w:sz w:val="20"/>
          <w:szCs w:val="20"/>
          <w:color w:val="auto"/>
        </w:rPr>
      </w:pPr>
    </w:p>
    <w:p>
      <w:pPr>
        <w:ind w:left="780" w:right="3359"/>
        <w:spacing w:after="0" w:line="238" w:lineRule="auto"/>
        <w:rPr>
          <w:sz w:val="20"/>
          <w:szCs w:val="20"/>
          <w:color w:val="auto"/>
        </w:rPr>
      </w:pPr>
      <w:r>
        <w:rPr>
          <w:rFonts w:ascii="Courier New" w:cs="Courier New" w:eastAsia="Courier New" w:hAnsi="Courier New"/>
          <w:sz w:val="15"/>
          <w:szCs w:val="15"/>
          <w:color w:val="auto"/>
        </w:rPr>
        <w:t>During the Consulting Period, you may engage in other activities, subject to your commitments and the restrictions set forth in this letter agreement. It is anticipated that you will generally not be required to work more than 30 hours per week nor more than 4 business days per week on average. At the end of the Consulting Period, your employment will terminate.</w:t>
      </w:r>
    </w:p>
    <w:p>
      <w:pPr>
        <w:spacing w:after="0" w:line="176" w:lineRule="exact"/>
        <w:rPr>
          <w:sz w:val="20"/>
          <w:szCs w:val="20"/>
          <w:color w:val="auto"/>
        </w:rPr>
      </w:pPr>
    </w:p>
    <w:p>
      <w:pPr>
        <w:ind w:left="780" w:right="3179" w:firstLine="797"/>
        <w:spacing w:after="0" w:line="238" w:lineRule="auto"/>
        <w:tabs>
          <w:tab w:leader="none" w:pos="1926"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Period. The Corporation shall have the right, which may be exercised by notice to you prior to the expiration of the initial term or the first extended term, as the case may be, of your part-time employment, to extend the term of your part-time employment to August 31, 2003 and then, if so extended, again to February 28, 2004 (the latest date to which your part-time employment is so extended being the "Extended Term Expiration Date").</w:t>
      </w:r>
    </w:p>
    <w:p>
      <w:pPr>
        <w:spacing w:after="0" w:line="170" w:lineRule="exact"/>
        <w:rPr>
          <w:rFonts w:ascii="Courier New" w:cs="Courier New" w:eastAsia="Courier New" w:hAnsi="Courier New"/>
          <w:sz w:val="15"/>
          <w:szCs w:val="15"/>
          <w:color w:val="auto"/>
        </w:rPr>
      </w:pPr>
    </w:p>
    <w:p>
      <w:pPr>
        <w:ind w:left="1040" w:hanging="256"/>
        <w:spacing w:after="0"/>
        <w:tabs>
          <w:tab w:leader="none" w:pos="10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2002 Compensation. In connection with the termination</w:t>
      </w:r>
    </w:p>
    <w:p>
      <w:pPr>
        <w:spacing w:after="0"/>
        <w:rPr>
          <w:sz w:val="20"/>
          <w:szCs w:val="20"/>
          <w:color w:val="auto"/>
        </w:rPr>
      </w:pPr>
      <w:r>
        <w:rPr>
          <w:rFonts w:ascii="Courier New" w:cs="Courier New" w:eastAsia="Courier New" w:hAnsi="Courier New"/>
          <w:sz w:val="15"/>
          <w:szCs w:val="15"/>
          <w:color w:val="auto"/>
        </w:rPr>
        <w:t>of your full-time employment with the Corporation on the Effective Date, the</w:t>
      </w:r>
    </w:p>
    <w:p>
      <w:pPr>
        <w:spacing w:after="0"/>
        <w:rPr>
          <w:sz w:val="20"/>
          <w:szCs w:val="20"/>
          <w:color w:val="auto"/>
        </w:rPr>
      </w:pPr>
      <w:r>
        <w:rPr>
          <w:rFonts w:ascii="Courier New" w:cs="Courier New" w:eastAsia="Courier New" w:hAnsi="Courier New"/>
          <w:sz w:val="15"/>
          <w:szCs w:val="15"/>
          <w:color w:val="auto"/>
        </w:rPr>
        <w:t>Corporation will provide you with the following compensation and benefits:</w:t>
      </w:r>
    </w:p>
    <w:p>
      <w:pPr>
        <w:spacing w:after="0" w:line="174" w:lineRule="exact"/>
        <w:rPr>
          <w:sz w:val="20"/>
          <w:szCs w:val="20"/>
          <w:color w:val="auto"/>
        </w:rPr>
      </w:pPr>
    </w:p>
    <w:p>
      <w:pPr>
        <w:ind w:left="780" w:right="3179" w:firstLine="797"/>
        <w:spacing w:after="0" w:line="235" w:lineRule="auto"/>
        <w:tabs>
          <w:tab w:leader="none" w:pos="19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The Corporation will pay you your full base salary through the Effective Date at the rate now in effect.</w:t>
      </w:r>
    </w:p>
    <w:p>
      <w:pPr>
        <w:spacing w:after="0" w:line="175" w:lineRule="exact"/>
        <w:rPr>
          <w:rFonts w:ascii="Courier New" w:cs="Courier New" w:eastAsia="Courier New" w:hAnsi="Courier New"/>
          <w:sz w:val="15"/>
          <w:szCs w:val="15"/>
          <w:color w:val="auto"/>
        </w:rPr>
      </w:pPr>
    </w:p>
    <w:p>
      <w:pPr>
        <w:ind w:left="780" w:right="3359" w:firstLine="797"/>
        <w:spacing w:after="0" w:line="238" w:lineRule="auto"/>
        <w:tabs>
          <w:tab w:leader="none" w:pos="19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Bonus. The Corporation also will pay you as an incentive bonus for 2002 an amount equal to the product of (i) the incentive bonus which would have been payable to you determined applying the Incentive Bonus Formula specified in your Employment-Related Agreement based on the Operating Unit Profits for the fiscal year 2002 of the operating units listed on Exhibit A attached (instead of those specified in such formula) as if, for such purpose, your full-time employment with the Corporation had not terminated pursuant to this letter agreement and (ii) a fraction the numerator of which is 59, and the denominator of which is 365. Your incentive bonus for 2002 will be payable no later than on March 15, 2003. For purposes hereof, your "Employment-</w:t>
      </w:r>
    </w:p>
    <w:p>
      <w:pPr>
        <w:spacing w:after="0" w:line="34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17" w:name="page18"/>
    <w:bookmarkEnd w:id="17"/>
    <w:p>
      <w:pPr>
        <w:ind w:left="780" w:right="3359"/>
        <w:spacing w:after="0" w:line="237" w:lineRule="auto"/>
        <w:rPr>
          <w:sz w:val="20"/>
          <w:szCs w:val="20"/>
          <w:color w:val="auto"/>
        </w:rPr>
      </w:pPr>
      <w:r>
        <w:rPr>
          <w:rFonts w:ascii="Courier New" w:cs="Courier New" w:eastAsia="Courier New" w:hAnsi="Courier New"/>
          <w:sz w:val="15"/>
          <w:szCs w:val="15"/>
          <w:color w:val="auto"/>
        </w:rPr>
        <w:t>Related Agreement" means that letter agreement dated September 18, 1997, and that letter agreement dated February 23, 1998, each between the Corporation and you.</w:t>
      </w:r>
    </w:p>
    <w:p>
      <w:pPr>
        <w:spacing w:after="0" w:line="175" w:lineRule="exact"/>
        <w:rPr>
          <w:sz w:val="20"/>
          <w:szCs w:val="20"/>
          <w:color w:val="auto"/>
        </w:rPr>
      </w:pPr>
    </w:p>
    <w:p>
      <w:pPr>
        <w:ind w:left="780" w:right="3259" w:firstLine="797"/>
        <w:spacing w:after="0" w:line="265" w:lineRule="auto"/>
        <w:tabs>
          <w:tab w:leader="none" w:pos="192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The Corporation will make a lump sum severance payment to you no later than on April 1, 2002, calculated as follows:</w:t>
      </w:r>
    </w:p>
    <w:p>
      <w:pPr>
        <w:spacing w:after="0" w:line="200" w:lineRule="exact"/>
        <w:rPr>
          <w:sz w:val="20"/>
          <w:szCs w:val="20"/>
          <w:color w:val="auto"/>
        </w:rPr>
      </w:pPr>
    </w:p>
    <w:p>
      <w:pPr>
        <w:spacing w:after="0" w:line="292" w:lineRule="exact"/>
        <w:rPr>
          <w:sz w:val="20"/>
          <w:szCs w:val="20"/>
          <w:color w:val="auto"/>
        </w:rPr>
      </w:pPr>
    </w:p>
    <w:tbl>
      <w:tblPr>
        <w:tblLayout w:type="fixed"/>
        <w:tblInd w:w="202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Twice</w:t>
            </w:r>
          </w:p>
        </w:tc>
        <w:tc>
          <w:tcPr>
            <w:tcW w:w="3780" w:type="dxa"/>
            <w:vAlign w:val="bottom"/>
          </w:tcPr>
          <w:p>
            <w:pPr>
              <w:ind w:left="40"/>
              <w:spacing w:after="0"/>
              <w:rPr>
                <w:sz w:val="20"/>
                <w:szCs w:val="20"/>
                <w:color w:val="auto"/>
              </w:rPr>
            </w:pPr>
            <w:r>
              <w:rPr>
                <w:rFonts w:ascii="Courier New" w:cs="Courier New" w:eastAsia="Courier New" w:hAnsi="Courier New"/>
                <w:sz w:val="15"/>
                <w:szCs w:val="15"/>
                <w:color w:val="auto"/>
              </w:rPr>
              <w:t>amount of base salary</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700,000</w:t>
            </w: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4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Highest bonus paid in last 5 years (1997 bonus)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820,234</w:t>
            </w:r>
          </w:p>
        </w:tc>
      </w:tr>
      <w:tr>
        <w:trPr>
          <w:trHeight w:val="170"/>
        </w:trPr>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37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$1,520,234</w:t>
            </w:r>
          </w:p>
        </w:tc>
      </w:tr>
      <w:tr>
        <w:trPr>
          <w:trHeight w:val="170"/>
        </w:trPr>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firstLine="784"/>
        <w:spacing w:after="0" w:line="238" w:lineRule="auto"/>
        <w:tabs>
          <w:tab w:leader="none" w:pos="105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for Consulting. In consideration of the consulting services to be performed by you pursuant hereto, and the noncompetition agreement and your other obligations set forth herein, the Corporation will pay you, during the period of March 1, 2002 through February 28, 2003, a salary (the "Consulting Fee") at the rate of $250,000 per year. The Consulting Fee shall be payable according to the standard payroll practices of the Corporation. In addition, you will be considered for a bonus, to be determined at the discretion of the Chief Executive Officer of the Corporation, attributable to your continuing management responsibility during such period for operations in Central and South America, Japan, Australia and Asia. Any such bonus will take into account the Incentive Bonus Formula specified in your Employment-Related Agreement applied to the Operating Unit Profit of such operations for which, during such period you continue to have management responsibility. If the Corporation exercises its right to extend the period of your part-time employment pursuant to Subsection 2(b) hereof, the compensation to be paid to you during any such extended period will be determined by mutual agreement.</w:t>
      </w:r>
    </w:p>
    <w:p>
      <w:pPr>
        <w:spacing w:after="0" w:line="181" w:lineRule="exact"/>
        <w:rPr>
          <w:rFonts w:ascii="Courier New" w:cs="Courier New" w:eastAsia="Courier New" w:hAnsi="Courier New"/>
          <w:sz w:val="15"/>
          <w:szCs w:val="15"/>
          <w:color w:val="auto"/>
        </w:rPr>
      </w:pPr>
    </w:p>
    <w:p>
      <w:pPr>
        <w:ind w:left="1040" w:hanging="256"/>
        <w:spacing w:after="0"/>
        <w:tabs>
          <w:tab w:leader="none" w:pos="10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 Reimbursement. The Corporation shall reimburse you for</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any expenses incurred by you in the course of performing consulting services requested by the Corporation during the Consulting Period to the extent that such expenses are not otherwise paid or discharged by a third party, subject to your compliance with the guidelines or rules of the Corporation concerning expense reimbursement.</w:t>
      </w:r>
    </w:p>
    <w:p>
      <w:pPr>
        <w:spacing w:after="0" w:line="173" w:lineRule="exact"/>
        <w:rPr>
          <w:sz w:val="20"/>
          <w:szCs w:val="20"/>
          <w:color w:val="auto"/>
        </w:rPr>
      </w:pPr>
    </w:p>
    <w:p>
      <w:pPr>
        <w:ind w:left="1040" w:hanging="256"/>
        <w:spacing w:after="0"/>
        <w:tabs>
          <w:tab w:leader="none" w:pos="10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w:t>
      </w:r>
    </w:p>
    <w:p>
      <w:pPr>
        <w:spacing w:after="0" w:line="174" w:lineRule="exact"/>
        <w:rPr>
          <w:rFonts w:ascii="Courier New" w:cs="Courier New" w:eastAsia="Courier New" w:hAnsi="Courier New"/>
          <w:sz w:val="15"/>
          <w:szCs w:val="15"/>
          <w:color w:val="auto"/>
        </w:rPr>
      </w:pPr>
    </w:p>
    <w:p>
      <w:pPr>
        <w:ind w:left="780" w:right="3179" w:firstLine="797"/>
        <w:spacing w:after="0" w:line="238" w:lineRule="auto"/>
        <w:tabs>
          <w:tab w:leader="none" w:pos="19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You will continue to be covered under the Corporation's medical, dental, life, disability and other welfare benefit plans during the Consulting Period. Following the end of the Consulting Period, you will be treated as a grandfathered retiree under the Corporation's medical insurance and dental insurance plans and you will be eligible to continue participation in such plans on that basis in accordance with their terms from time to time in effect (including subject to the continuation of coverage for retirees); provided, however, that for the first eighteen months following the end of the Consulting Period, the Corporation shall bear the entire cost of such coverage.</w:t>
      </w:r>
    </w:p>
    <w:p>
      <w:pPr>
        <w:spacing w:after="0" w:line="180" w:lineRule="exact"/>
        <w:rPr>
          <w:rFonts w:ascii="Courier New" w:cs="Courier New" w:eastAsia="Courier New" w:hAnsi="Courier New"/>
          <w:sz w:val="15"/>
          <w:szCs w:val="15"/>
          <w:color w:val="auto"/>
        </w:rPr>
      </w:pPr>
    </w:p>
    <w:p>
      <w:pPr>
        <w:ind w:left="780" w:right="3179" w:firstLine="797"/>
        <w:spacing w:after="0" w:line="237" w:lineRule="auto"/>
        <w:tabs>
          <w:tab w:leader="none" w:pos="1926"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Plan. The shares of the Corporation's common stock to which you are entitled under the Deferred Stock Plan of the Corporation will be distributed to you, in accordance with the terms of the Plan, on January 2 of the year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18" w:name="page19"/>
    <w:bookmarkEnd w:id="18"/>
    <w:p>
      <w:pPr>
        <w:ind w:right="3539"/>
        <w:spacing w:after="0" w:line="235" w:lineRule="auto"/>
        <w:rPr>
          <w:sz w:val="20"/>
          <w:szCs w:val="20"/>
          <w:color w:val="auto"/>
        </w:rPr>
      </w:pPr>
      <w:r>
        <w:rPr>
          <w:rFonts w:ascii="Courier New" w:cs="Courier New" w:eastAsia="Courier New" w:hAnsi="Courier New"/>
          <w:sz w:val="15"/>
          <w:szCs w:val="15"/>
          <w:color w:val="auto"/>
        </w:rPr>
        <w:t>following the year in which your employment with the Corporation is completely terminated.</w:t>
      </w:r>
    </w:p>
    <w:p>
      <w:pPr>
        <w:spacing w:after="0" w:line="176" w:lineRule="exact"/>
        <w:rPr>
          <w:sz w:val="20"/>
          <w:szCs w:val="20"/>
          <w:color w:val="auto"/>
        </w:rPr>
      </w:pPr>
    </w:p>
    <w:p>
      <w:pPr>
        <w:ind w:right="3179" w:firstLine="797"/>
        <w:spacing w:after="0" w:line="238" w:lineRule="auto"/>
        <w:tabs>
          <w:tab w:leader="none" w:pos="114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Car. Until April 30, 2004, the Corporation shall continue to provide you with the use of the automobile that it provided to you as of the Effective Date on the same terms and conditions as then so provided. You shall have the right to purchase such automobile at April 30, 2004 and otherwise upon the terms and conditions of Paragraph 2(d) of the February 23, 1998 letter agreement included in your Employment-Related Agreement, which terms and conditions are hereby incorporated herein.</w:t>
      </w:r>
    </w:p>
    <w:p>
      <w:pPr>
        <w:spacing w:after="0" w:line="177" w:lineRule="exact"/>
        <w:rPr>
          <w:rFonts w:ascii="Courier New" w:cs="Courier New" w:eastAsia="Courier New" w:hAnsi="Courier New"/>
          <w:sz w:val="15"/>
          <w:szCs w:val="15"/>
          <w:color w:val="auto"/>
        </w:rPr>
      </w:pPr>
    </w:p>
    <w:p>
      <w:pPr>
        <w:ind w:right="3259" w:firstLine="797"/>
        <w:spacing w:after="0" w:line="237" w:lineRule="auto"/>
        <w:tabs>
          <w:tab w:leader="none" w:pos="1146"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Except as otherwise provided in this letter agreement and except for any accrued benefits under company plans and any employee benefits provided by law, you shall not receive on or after the Effective Date any employee benefits or perquisites from the Corporation.</w:t>
      </w:r>
    </w:p>
    <w:p>
      <w:pPr>
        <w:spacing w:after="0" w:line="178" w:lineRule="exact"/>
        <w:rPr>
          <w:rFonts w:ascii="Courier New" w:cs="Courier New" w:eastAsia="Courier New" w:hAnsi="Courier New"/>
          <w:sz w:val="15"/>
          <w:szCs w:val="15"/>
          <w:color w:val="auto"/>
        </w:rPr>
      </w:pPr>
    </w:p>
    <w:p>
      <w:pPr>
        <w:ind w:left="-780" w:right="3179" w:firstLine="784"/>
        <w:spacing w:after="0" w:line="238" w:lineRule="auto"/>
        <w:tabs>
          <w:tab w:leader="none" w:pos="80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 Deferred Compensation Plan. Payment of your retirement benefits under the Manpower, Inc. Retirement Plan and the Manpower, Inc. Deferred Compensation Plan, payable in the forms provided by such plans, will begin at the time of your complete termination of employment, as provided in those plans. You will have the right to continue your participation in such plans until the end of the Consulting Period. In consideration of your agreement to continue employment hereunder and the detrimental effect of such continued employment upon your retirement benefits under such plans, the Corporation shall pay you the amount of $13,255 in a lump sum promptly after February 28, 2003, and in the event that your employment hereunder is extended beyond February 28, 2003, the Corporation shall make such similar supplemental payment as the Corporation and you then may agree upon.</w:t>
      </w:r>
    </w:p>
    <w:p>
      <w:pPr>
        <w:spacing w:after="0" w:line="181" w:lineRule="exact"/>
        <w:rPr>
          <w:rFonts w:ascii="Courier New" w:cs="Courier New" w:eastAsia="Courier New" w:hAnsi="Courier New"/>
          <w:sz w:val="15"/>
          <w:szCs w:val="15"/>
          <w:color w:val="auto"/>
        </w:rPr>
      </w:pPr>
    </w:p>
    <w:p>
      <w:pPr>
        <w:ind w:left="-780" w:right="3259" w:firstLine="784"/>
        <w:spacing w:after="0" w:line="238" w:lineRule="auto"/>
        <w:tabs>
          <w:tab w:leader="none" w:pos="80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Savings Plan. You will have a right to continue your participation in the Manpower Inc. Nonqualified Savings Plan in accordance with its terms until the end of the Consulting Period. Payment to you of your accrued balance under such plan (in a lump sum or in installments based on the election you have in place) will be made, or will begin, at the time of your complete termination of employment, all as provided in the plan.</w:t>
      </w:r>
    </w:p>
    <w:p>
      <w:pPr>
        <w:spacing w:after="0" w:line="175" w:lineRule="exact"/>
        <w:rPr>
          <w:rFonts w:ascii="Courier New" w:cs="Courier New" w:eastAsia="Courier New" w:hAnsi="Courier New"/>
          <w:sz w:val="15"/>
          <w:szCs w:val="15"/>
          <w:color w:val="auto"/>
        </w:rPr>
      </w:pPr>
    </w:p>
    <w:p>
      <w:pPr>
        <w:ind w:left="-780" w:right="3179" w:firstLine="784"/>
        <w:spacing w:after="0" w:line="238" w:lineRule="auto"/>
        <w:tabs>
          <w:tab w:leader="none" w:pos="80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The Corporation confirms the following with respect to the options you hold to purchase shares of the Corporation's Common Stock under the 1991 Executive Stock Option and Restricted Stock Plan, as amended (the "1991 Plan"), the Nonstatutory Stock Option Agreement thereunder executed as of December 30, 1993, the 1994 Executive Stock Option and Restricted Stock Plan and the three separate Nonstatutory Stock Option Agreements thereunder executed as of February 22, 1999, April 26, 1999 and July 20, 1999, respectively (the "Grant Documents"):</w:t>
      </w:r>
    </w:p>
    <w:p>
      <w:pPr>
        <w:spacing w:after="0" w:line="177" w:lineRule="exact"/>
        <w:rPr>
          <w:rFonts w:ascii="Courier New" w:cs="Courier New" w:eastAsia="Courier New" w:hAnsi="Courier New"/>
          <w:sz w:val="15"/>
          <w:szCs w:val="15"/>
          <w:color w:val="auto"/>
        </w:rPr>
      </w:pPr>
    </w:p>
    <w:p>
      <w:pPr>
        <w:ind w:right="3259" w:firstLine="797"/>
        <w:spacing w:after="0" w:line="238" w:lineRule="auto"/>
        <w:tabs>
          <w:tab w:leader="none" w:pos="1146"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Deemed Early Retirement. Your employment will not be considered to have terminated for purposes of determining your rights with respect to such options until the complete termination of your employment and, for purposes of determining the period of time for exercise of such options to the extent such options are or become exercisable upon your complete termination of employment, you will be deemed to have terminated "due to early retirement with the consent of the Committee."</w:t>
      </w:r>
    </w:p>
    <w:p>
      <w:pPr>
        <w:spacing w:after="0" w:line="34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9"/>
          </w:cols>
          <w:pgMar w:left="1020" w:top="458" w:right="1440" w:bottom="1440" w:gutter="0" w:footer="0" w:header="0"/>
        </w:sectPr>
      </w:pPr>
    </w:p>
    <w:bookmarkStart w:id="19" w:name="page20"/>
    <w:bookmarkEnd w:id="19"/>
    <w:p>
      <w:pPr>
        <w:ind w:left="-4" w:right="3179" w:firstLine="797"/>
        <w:spacing w:after="0" w:line="238" w:lineRule="auto"/>
        <w:tabs>
          <w:tab w:leader="none" w:pos="1142"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of Vesting. To the extent such options do not or have not become exercisable in accordance with the Grant Documents and do not or have not lapsed in accordance with the Grant Documents because of a termination for "Cause" (as defined therein) or your earlier voluntary termination, they will become fully vested and exercisable at the end of the Consulting Period provided you have substantially performed and complied with your obligations under this letter agreement. We agree that the arrangements set out in this letter agreement will not give you a basis to terminate your employment for "Good Reason" under any of the Grant Documents.</w:t>
      </w:r>
    </w:p>
    <w:p>
      <w:pPr>
        <w:spacing w:after="0" w:line="179" w:lineRule="exact"/>
        <w:rPr>
          <w:rFonts w:ascii="Courier New" w:cs="Courier New" w:eastAsia="Courier New" w:hAnsi="Courier New"/>
          <w:sz w:val="15"/>
          <w:szCs w:val="15"/>
          <w:color w:val="auto"/>
        </w:rPr>
      </w:pPr>
    </w:p>
    <w:p>
      <w:pPr>
        <w:ind w:left="-784" w:right="3359" w:firstLine="784"/>
        <w:spacing w:after="0" w:line="237" w:lineRule="auto"/>
        <w:tabs>
          <w:tab w:leader="none" w:pos="80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Agreement. During the Consulting Period, you will not directly or indirectly assist any competitor of the Manpower Group in any capacity. In addition, you will not at any time during the two-year period following the termination of the Consulting Period, either directly or indirectly:</w:t>
      </w:r>
    </w:p>
    <w:p>
      <w:pPr>
        <w:spacing w:after="0" w:line="178" w:lineRule="exact"/>
        <w:rPr>
          <w:rFonts w:ascii="Courier New" w:cs="Courier New" w:eastAsia="Courier New" w:hAnsi="Courier New"/>
          <w:sz w:val="15"/>
          <w:szCs w:val="15"/>
          <w:color w:val="auto"/>
        </w:rPr>
      </w:pPr>
    </w:p>
    <w:p>
      <w:pPr>
        <w:ind w:left="-4" w:right="3179" w:firstLine="797"/>
        <w:spacing w:after="0" w:line="257" w:lineRule="auto"/>
        <w:tabs>
          <w:tab w:leader="none" w:pos="1142"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Contact any customer or prospective customer of the Manpower Group with whom you have had contact on behalf of the Manpower Group during the two-year period preceding the date of such termination or any customer or prospective customer about whom you obtained Confidential Information (as defined below) in connection with your employment by the Manpower Group during such two-year period so as to cause or attempt to cause such customer or prospective customer of the Manpower Group not to do business or to reduce such customer's business with the Manpower Group or divert any business from the Manpower Group.</w:t>
      </w:r>
    </w:p>
    <w:p>
      <w:pPr>
        <w:spacing w:after="0" w:line="166" w:lineRule="exact"/>
        <w:rPr>
          <w:rFonts w:ascii="Courier New" w:cs="Courier New" w:eastAsia="Courier New" w:hAnsi="Courier New"/>
          <w:sz w:val="14"/>
          <w:szCs w:val="14"/>
          <w:color w:val="auto"/>
        </w:rPr>
      </w:pPr>
    </w:p>
    <w:p>
      <w:pPr>
        <w:ind w:left="-4" w:right="3179" w:firstLine="797"/>
        <w:spacing w:after="0" w:line="238" w:lineRule="auto"/>
        <w:tabs>
          <w:tab w:leader="none" w:pos="114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services or assistance of a nature similar to the services provided to the Manpower Group during the term of your full-time and/or part-time employment with the Manpower Group to any entity engaged in the business of providing temporary staffing services anywhere in the United States or any other country in which the Manpower Group conducts business as of the date when the Consulting Period terminates which has, together with its affiliated entities, annual revenues from such business in excess of US $500,000,000. You acknowledge that the scope of this limitation is reasonable in that, among other things, providing any such services or assistance during such two-year period would permit you to use unfairly your close identification with the Manpower Group and the customer contacts you developed while employed by the Manpower Group and would involve the use or disclosure of Confidential Information pertaining to the Manpower Group.</w:t>
      </w:r>
    </w:p>
    <w:p>
      <w:pPr>
        <w:spacing w:after="0" w:line="184" w:lineRule="exact"/>
        <w:rPr>
          <w:rFonts w:ascii="Courier New" w:cs="Courier New" w:eastAsia="Courier New" w:hAnsi="Courier New"/>
          <w:sz w:val="15"/>
          <w:szCs w:val="15"/>
          <w:color w:val="auto"/>
        </w:rPr>
      </w:pPr>
    </w:p>
    <w:p>
      <w:pPr>
        <w:ind w:left="-784" w:right="3359" w:firstLine="784"/>
        <w:spacing w:after="0" w:line="237" w:lineRule="auto"/>
        <w:tabs>
          <w:tab w:leader="none" w:pos="80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and Nonsolicitation Agreement. You will not, directly or indirectly, at any time during the Consulting Period or during the two-year period following the termination of the Consulting Period:</w:t>
      </w:r>
    </w:p>
    <w:p>
      <w:pPr>
        <w:spacing w:after="0" w:line="174" w:lineRule="exact"/>
        <w:rPr>
          <w:rFonts w:ascii="Courier New" w:cs="Courier New" w:eastAsia="Courier New" w:hAnsi="Courier New"/>
          <w:sz w:val="15"/>
          <w:szCs w:val="15"/>
          <w:color w:val="auto"/>
        </w:rPr>
      </w:pPr>
    </w:p>
    <w:p>
      <w:pPr>
        <w:ind w:left="-4" w:right="3259" w:firstLine="797"/>
        <w:spacing w:after="0" w:line="238" w:lineRule="auto"/>
        <w:tabs>
          <w:tab w:leader="none" w:pos="1142"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for yourself or others, or disclose to others, any Confidential Information, whether or not conceived, developed, or perfected by you and no matter how it became known to you, unless (i) you first secure written consent of the Corporation to such disclosure or use, (ii) the same shall have lawfully become a matter of public knowledge other than by your act or omission, or (iii) you are ordered to disclose the same by a court of competent jurisdiction or are otherwise required to</w:t>
      </w:r>
    </w:p>
    <w:p>
      <w:pPr>
        <w:spacing w:after="0" w:line="341"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6"/>
          </w:cols>
          <w:pgMar w:left="1024" w:top="458" w:right="1440" w:bottom="1440" w:gutter="0" w:footer="0" w:header="0"/>
        </w:sectPr>
      </w:pPr>
    </w:p>
    <w:bookmarkStart w:id="20" w:name="page21"/>
    <w:bookmarkEnd w:id="20"/>
    <w:p>
      <w:pPr>
        <w:ind w:right="3179"/>
        <w:spacing w:after="0" w:line="239" w:lineRule="auto"/>
        <w:rPr>
          <w:sz w:val="20"/>
          <w:szCs w:val="20"/>
          <w:color w:val="auto"/>
        </w:rPr>
      </w:pPr>
      <w:r>
        <w:rPr>
          <w:rFonts w:ascii="Courier New" w:cs="Courier New" w:eastAsia="Courier New" w:hAnsi="Courier New"/>
          <w:sz w:val="15"/>
          <w:szCs w:val="15"/>
          <w:color w:val="auto"/>
        </w:rPr>
        <w:t>disclose the same by law, and you promptly notify the Corporation of such disclosure. "Confidential Information" shall mean all business information (whether or not in written form) which relates to the Manpower 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This obligation will not be construed to in any way limit the Manpower Group's rights to protect confidential information which constitute trade secrets under applicable trade secrets law during the Consulting Period , the two-year period stated above or even after such two-year period. You agree that upon the termination of the Consulting Period, you will promptly surrender to the Corporation any documents, materials, or computer on electronic records containing any Confidential Information which are in your possession or under your control.</w:t>
      </w:r>
    </w:p>
    <w:p>
      <w:pPr>
        <w:spacing w:after="0" w:line="175" w:lineRule="exact"/>
        <w:rPr>
          <w:sz w:val="20"/>
          <w:szCs w:val="20"/>
          <w:color w:val="auto"/>
        </w:rPr>
      </w:pPr>
    </w:p>
    <w:p>
      <w:pPr>
        <w:ind w:right="3179" w:firstLine="797"/>
        <w:spacing w:after="0" w:line="238" w:lineRule="auto"/>
        <w:tabs>
          <w:tab w:leader="none" w:pos="1146"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Induce, solicit, entice or procure any person now employed or hereafter employed, during the term of your full-time and/or part-time employment with the Manpower Group, by any company within the Manpower Group to leave such employment so as to accept employment elsewhere, unless such person shall have ceased to be an employee thereof not less than three months prior to any such inducement, solicitation, enticement or procurement.</w:t>
      </w:r>
    </w:p>
    <w:p>
      <w:pPr>
        <w:spacing w:after="0" w:line="170" w:lineRule="exact"/>
        <w:rPr>
          <w:rFonts w:ascii="Courier New" w:cs="Courier New" w:eastAsia="Courier New" w:hAnsi="Courier New"/>
          <w:sz w:val="15"/>
          <w:szCs w:val="15"/>
          <w:color w:val="auto"/>
        </w:rPr>
      </w:pPr>
    </w:p>
    <w:p>
      <w:pPr>
        <w:ind w:left="800" w:hanging="796"/>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Injunction; Forfeiture.</w:t>
      </w:r>
    </w:p>
    <w:p>
      <w:pPr>
        <w:spacing w:after="0" w:line="174" w:lineRule="exact"/>
        <w:rPr>
          <w:rFonts w:ascii="Courier New" w:cs="Courier New" w:eastAsia="Courier New" w:hAnsi="Courier New"/>
          <w:sz w:val="15"/>
          <w:szCs w:val="15"/>
          <w:color w:val="auto"/>
        </w:rPr>
      </w:pPr>
    </w:p>
    <w:p>
      <w:pPr>
        <w:ind w:right="3179" w:firstLine="797"/>
        <w:spacing w:after="0" w:line="256" w:lineRule="auto"/>
        <w:tabs>
          <w:tab w:leader="none" w:pos="1146"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recognize that irreparable and incalculable injury will result to the Manpower Group and its businesses and properties in the event of your breach of any of the restrictions imposed by Sections</w:t>
      </w:r>
    </w:p>
    <w:p>
      <w:pPr>
        <w:ind w:right="3179" w:firstLine="4"/>
        <w:spacing w:after="0" w:line="238" w:lineRule="auto"/>
        <w:tabs>
          <w:tab w:leader="none" w:pos="26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11 hereof. You therefore agree that, in the event of any such actual, impending or threatened breach, the Corporation will be entitled, in addition to any other remedies and damages available to it, to temporary and permanent injunctive relief (without the necessity of posting a bond or other security) restraining the violation, or further violation, of such restrictions by you and by any other person or entity for whom you may be acting or who is acting for you or in concert with you.</w:t>
      </w:r>
    </w:p>
    <w:p>
      <w:pPr>
        <w:spacing w:after="0" w:line="177" w:lineRule="exact"/>
        <w:rPr>
          <w:rFonts w:ascii="Courier New" w:cs="Courier New" w:eastAsia="Courier New" w:hAnsi="Courier New"/>
          <w:sz w:val="15"/>
          <w:szCs w:val="15"/>
          <w:color w:val="auto"/>
        </w:rPr>
      </w:pPr>
    </w:p>
    <w:p>
      <w:pPr>
        <w:ind w:right="3179" w:firstLine="797"/>
        <w:spacing w:after="0" w:line="237" w:lineRule="auto"/>
        <w:tabs>
          <w:tab w:leader="none" w:pos="1146"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Section 4 hereof in the event of your breach of any of the restrictions imposed by Sections 10 or 11 hereof, in addition to any other remedies and damages available by the Corporation, the Corporation shall have the right to terminate payments of Consulting Fees.</w:t>
      </w:r>
    </w:p>
    <w:p>
      <w:pPr>
        <w:spacing w:after="0" w:line="178" w:lineRule="exact"/>
        <w:rPr>
          <w:rFonts w:ascii="Courier New" w:cs="Courier New" w:eastAsia="Courier New" w:hAnsi="Courier New"/>
          <w:sz w:val="15"/>
          <w:szCs w:val="15"/>
          <w:color w:val="auto"/>
        </w:rPr>
      </w:pPr>
    </w:p>
    <w:p>
      <w:pPr>
        <w:ind w:left="-780" w:right="3179" w:firstLine="784"/>
        <w:spacing w:after="0" w:line="237" w:lineRule="auto"/>
        <w:tabs>
          <w:tab w:leader="none" w:pos="80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Consulting Period. The Consulting Period shall terminate prior to February 28, 2003 or the Extended Term Expiration Date, as the case may be, upon the occurrence of any of the following:</w:t>
      </w:r>
    </w:p>
    <w:p>
      <w:pPr>
        <w:spacing w:after="0" w:line="169" w:lineRule="exact"/>
        <w:rPr>
          <w:rFonts w:ascii="Courier New" w:cs="Courier New" w:eastAsia="Courier New" w:hAnsi="Courier New"/>
          <w:sz w:val="15"/>
          <w:szCs w:val="15"/>
          <w:color w:val="auto"/>
        </w:rPr>
      </w:pPr>
    </w:p>
    <w:p>
      <w:pPr>
        <w:ind w:left="1140" w:hanging="343"/>
        <w:spacing w:after="0"/>
        <w:tabs>
          <w:tab w:leader="none" w:pos="114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The Consulting Period shall terminate upon your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death.</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458" w:right="1440" w:bottom="1440" w:gutter="0" w:footer="0" w:header="0"/>
        </w:sectPr>
      </w:pPr>
    </w:p>
    <w:bookmarkStart w:id="21" w:name="page22"/>
    <w:bookmarkEnd w:id="21"/>
    <w:p>
      <w:pPr>
        <w:ind w:left="-4" w:right="3179" w:firstLine="797"/>
        <w:spacing w:after="0" w:line="238" w:lineRule="auto"/>
        <w:tabs>
          <w:tab w:leader="none" w:pos="1142"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you become physically or mentally disabled (regardless of whether such illness or injury is job related) so as to become unable, for a total of one hundred eighty days within any one year period during the Consulting Period, to perform your duties hereunder when requested, the Corporation may, at its option, terminate the Consulting Period.</w:t>
      </w:r>
    </w:p>
    <w:p>
      <w:pPr>
        <w:spacing w:after="0" w:line="175" w:lineRule="exact"/>
        <w:rPr>
          <w:rFonts w:ascii="Courier New" w:cs="Courier New" w:eastAsia="Courier New" w:hAnsi="Courier New"/>
          <w:sz w:val="15"/>
          <w:szCs w:val="15"/>
          <w:color w:val="auto"/>
        </w:rPr>
      </w:pPr>
    </w:p>
    <w:p>
      <w:pPr>
        <w:ind w:left="-4" w:right="3179" w:firstLine="797"/>
        <w:spacing w:after="0" w:line="256" w:lineRule="auto"/>
        <w:tabs>
          <w:tab w:leader="none" w:pos="1142"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Corporation may terminate the Consulting Period for "Cause." As used in this Agreement, "Cause" shall include (i) your willful and continued failure to substantially perform your duties with the Corporation after a written demand for substantial performance is delivered to you that specifically identifies the manner in which the Corporation believes that you have not substantially performed your duties, and you have failed to resume substantial performance of your duties on a basis consistent with your part-time status within ten days after receiving such demand, (ii) your willful engaging in conduct which is demonstrably and materially injurious to the Manpower Group, monetarily or otherwise, (iii) any dishonest or fraudulent conduct which results or is intended to result in gain to you or your personal enrichment at the expense of the Manpower Group, (iv) your conviction of a felony, misdemeanor or criminal offense, as evidenced by a binding and final judgment, order or decree of a court of competent jurisdiction which impairs your ability substantially to perform your duties with the Corporation, or (v) your violation of any covenant restricting competition with any member of the Manpower Group or restricting the use and/or disclosure of confidential information of any member of the Manpower Group, including any of the covenants set forth in Sections 10 and 11 hereof.</w:t>
      </w:r>
    </w:p>
    <w:p>
      <w:pPr>
        <w:spacing w:after="0" w:line="176" w:lineRule="exact"/>
        <w:rPr>
          <w:rFonts w:ascii="Courier New" w:cs="Courier New" w:eastAsia="Courier New" w:hAnsi="Courier New"/>
          <w:sz w:val="14"/>
          <w:szCs w:val="14"/>
          <w:color w:val="auto"/>
        </w:rPr>
      </w:pPr>
    </w:p>
    <w:p>
      <w:pPr>
        <w:ind w:left="-784" w:right="3179" w:firstLine="784"/>
        <w:spacing w:after="0" w:line="238" w:lineRule="auto"/>
        <w:tabs>
          <w:tab w:leader="none" w:pos="80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Non-Disparagement. You agree that you, and the Corporation agrees that it, shall not at any time engage in any form of conduct, or made any statements or representations, that disparage or otherwise impair the reputation, goodwill, or commercial interests of, in the case of you, Manpower Released Persons (as defined below) and, in the case of the Corporation, Your Released Parties (as defined below); provided that, nothing contained herein shall preclude either party from providing truthful testimony pursuant to subpoena or other legal process, or in the course of any proceeding that may be commenced for purposes of enforcing this Agreement.</w:t>
      </w:r>
    </w:p>
    <w:p>
      <w:pPr>
        <w:spacing w:after="0" w:line="172" w:lineRule="exact"/>
        <w:rPr>
          <w:rFonts w:ascii="Courier New" w:cs="Courier New" w:eastAsia="Courier New" w:hAnsi="Courier New"/>
          <w:sz w:val="15"/>
          <w:szCs w:val="15"/>
          <w:color w:val="auto"/>
        </w:rPr>
      </w:pPr>
    </w:p>
    <w:p>
      <w:pPr>
        <w:ind w:left="796" w:hanging="796"/>
        <w:spacing w:after="0"/>
        <w:tabs>
          <w:tab w:leader="none" w:pos="79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w:t>
      </w:r>
    </w:p>
    <w:p>
      <w:pPr>
        <w:spacing w:after="0" w:line="174" w:lineRule="exact"/>
        <w:rPr>
          <w:rFonts w:ascii="Courier New" w:cs="Courier New" w:eastAsia="Courier New" w:hAnsi="Courier New"/>
          <w:sz w:val="15"/>
          <w:szCs w:val="15"/>
          <w:color w:val="auto"/>
        </w:rPr>
      </w:pPr>
    </w:p>
    <w:p>
      <w:pPr>
        <w:ind w:left="-4" w:right="3179" w:firstLine="797"/>
        <w:spacing w:after="0" w:line="257" w:lineRule="auto"/>
        <w:tabs>
          <w:tab w:leader="none" w:pos="1142"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of Claims by You. As further consideration for the benefits and payments to you as described in this letter (which you acknowledge to be greater, in their totality, than any benefits due you absent the commitments being made by the Corporation in this letter), you hereby irrevocably and unconditionally release, waive, and fully and forever discharge all companies within the Manpower Group and their past and current agents, servants, officers, directors, stockholders, attorneys, and employees and their respective successors and assigns (collectively, the "Manpower Released Parties") from and against any and all claims, liabilities, obligations, covenants, rights, demands and damages of any nature whatsoever, whether known or unknown, anticipated or unanticipated, relating to or arising out of any agreement, act, omission, occurrence, transaction or matter up to and including the date you sign this letter confirming your</w:t>
      </w:r>
    </w:p>
    <w:p>
      <w:pPr>
        <w:spacing w:after="0" w:line="329" w:lineRule="exact"/>
        <w:rPr>
          <w:sz w:val="20"/>
          <w:szCs w:val="20"/>
          <w:color w:val="auto"/>
        </w:rPr>
      </w:pPr>
    </w:p>
    <w:p>
      <w:pPr>
        <w:ind w:left="263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6"/>
          </w:cols>
          <w:pgMar w:left="1024" w:top="627" w:right="1440" w:bottom="1440" w:gutter="0" w:footer="0" w:header="0"/>
        </w:sectPr>
      </w:pPr>
    </w:p>
    <w:bookmarkStart w:id="22" w:name="page23"/>
    <w:bookmarkEnd w:id="22"/>
    <w:p>
      <w:pPr>
        <w:ind w:right="3259"/>
        <w:spacing w:after="0" w:line="256" w:lineRule="auto"/>
        <w:rPr>
          <w:sz w:val="20"/>
          <w:szCs w:val="20"/>
          <w:color w:val="auto"/>
        </w:rPr>
      </w:pPr>
      <w:r>
        <w:rPr>
          <w:rFonts w:ascii="Courier New" w:cs="Courier New" w:eastAsia="Courier New" w:hAnsi="Courier New"/>
          <w:sz w:val="14"/>
          <w:szCs w:val="14"/>
          <w:color w:val="auto"/>
        </w:rPr>
        <w:t>agreement to its terms as provided below, including, without limitation, any and all claims relating to or arising out of your employment by the Manpower Group and also including any claim that might arise regarding our agreement set forth above providing for your continuation of full-time employment until February 28, 2002, your reduction to part-time employment commencing March 1, 2002, and your eventual termination of employment on February 28, 2003 or the later Extended Terms Expiration Date, if any. This release of claims includes, but is not limited to, any claims or remedies arising under or affected by the Age Discrimination in Employment Act of 1967, as amended, Title VII of the Civil Rights Act of 1964, as amended, the Civil Rights Act of 1991, the Equal Pay Act, as amended, the Employee Retirement Income Security Act, as amended, the Americans With Disabilities Act, the Fair Labor Standards Act, as amended, the Family and Medical Leave Act of 1993, the Wisconsin Fair Employment Act, as amended, the Wisconsin Family and Medical Leave Act, or any other local, state or federal laws, whether statutorily codified or not, or any claim arising in contract or in tort. You agree to give up any benefit conferred on you by any order or judgment issued in connection with any proceeding filed against any of the Manpower Released Parties regarding the matters released in this Subsection 15(a).</w:t>
      </w:r>
    </w:p>
    <w:p>
      <w:pPr>
        <w:spacing w:after="0" w:line="346" w:lineRule="exact"/>
        <w:rPr>
          <w:sz w:val="20"/>
          <w:szCs w:val="20"/>
          <w:color w:val="auto"/>
        </w:rPr>
      </w:pPr>
    </w:p>
    <w:p>
      <w:pPr>
        <w:ind w:right="3179" w:firstLine="797"/>
        <w:spacing w:after="0" w:line="238" w:lineRule="auto"/>
        <w:tabs>
          <w:tab w:leader="none" w:pos="1146"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Claims by the Manpower Group. As further consideration for the agreements being made by you as provided in this letter, the Corporation, on behalf of all companies within the Manpower Group, hereby irrevocably and unconditionally releases, waives, and fully and forever discharges you and your successors and assigns (collectively, "Your Released Parties") from and against any and all claims, liabilities, obligations, covenants, rights, demands and damages of any nature whatsoever, whether known or unknown, anticipated or unanticipated, relating to or arising out of any agreement, act, omission, occurrence, transaction or matter up to and including the date you sign this letter confirming your agreement to its terms as provided below.</w:t>
      </w:r>
    </w:p>
    <w:p>
      <w:pPr>
        <w:spacing w:after="0" w:line="181" w:lineRule="exact"/>
        <w:rPr>
          <w:rFonts w:ascii="Courier New" w:cs="Courier New" w:eastAsia="Courier New" w:hAnsi="Courier New"/>
          <w:sz w:val="15"/>
          <w:szCs w:val="15"/>
          <w:color w:val="auto"/>
        </w:rPr>
      </w:pPr>
    </w:p>
    <w:p>
      <w:pPr>
        <w:ind w:right="3359" w:firstLine="797"/>
        <w:spacing w:after="0" w:line="259" w:lineRule="auto"/>
        <w:tabs>
          <w:tab w:leader="none" w:pos="1146"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Release. Nothing in the waivers or releases set forth in this letter shall be construed to constitute any release or waiver by you of any rights or claims against the Corporation, or by the Corporation against you, arising under this letter.</w:t>
      </w:r>
    </w:p>
    <w:p>
      <w:pPr>
        <w:spacing w:after="0" w:line="162" w:lineRule="exact"/>
        <w:rPr>
          <w:rFonts w:ascii="Courier New" w:cs="Courier New" w:eastAsia="Courier New" w:hAnsi="Courier New"/>
          <w:sz w:val="14"/>
          <w:szCs w:val="14"/>
          <w:color w:val="auto"/>
        </w:rPr>
      </w:pPr>
    </w:p>
    <w:p>
      <w:pPr>
        <w:ind w:right="3259" w:firstLine="797"/>
        <w:spacing w:after="0" w:line="260" w:lineRule="auto"/>
        <w:tabs>
          <w:tab w:leader="none" w:pos="1146"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Reinstatement. You waive any and all rights to reinstatement to full-time employment, and hereby agree not to reapply for full-time employment with any company in the Manpower Group.</w:t>
      </w:r>
    </w:p>
    <w:p>
      <w:pPr>
        <w:spacing w:after="0" w:line="162" w:lineRule="exact"/>
        <w:rPr>
          <w:rFonts w:ascii="Courier New" w:cs="Courier New" w:eastAsia="Courier New" w:hAnsi="Courier New"/>
          <w:sz w:val="14"/>
          <w:szCs w:val="14"/>
          <w:color w:val="auto"/>
        </w:rPr>
      </w:pPr>
    </w:p>
    <w:p>
      <w:pPr>
        <w:ind w:right="3179" w:firstLine="797"/>
        <w:spacing w:after="0" w:line="256" w:lineRule="auto"/>
        <w:tabs>
          <w:tab w:leader="none" w:pos="1146" w:val="left"/>
        </w:tabs>
        <w:numPr>
          <w:ilvl w:val="1"/>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You represent and warrant to the Corporation that: (i) BY SIGNING THIS LETTER TO CONFIRM YOUR AGREEMENT, YOU UNDERSTAND THAT YOU HEREBY WAIVE AND RELEASE ANY AND ALL RIGHTS AND CLAIMS ARISING UNDER THE AGE DISCRIMINATION IN EMPLOYMENT ACT OF 1967, AS AMENDED, ITS STATE LAW EQUIVALENT AND ALL OTHER CLAIMS AGAINST THE CORPORATION ARISING UP TO AND INCLUDING THE DATE YOU SIGN THIS LETTER, AND ANY CLAIM ARISING FROM YOUR RESIGNATION FROM FULL-TIME EMPLOYMENT,</w:t>
      </w:r>
    </w:p>
    <w:p>
      <w:pPr>
        <w:ind w:left="440" w:hanging="436"/>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have executed this letter to confirm your agreement on the</w:t>
      </w:r>
    </w:p>
    <w:p>
      <w:pPr>
        <w:spacing w:after="0" w:line="33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458" w:right="1440" w:bottom="1440" w:gutter="0" w:footer="0" w:header="0"/>
        </w:sectPr>
      </w:pPr>
    </w:p>
    <w:bookmarkStart w:id="23" w:name="page24"/>
    <w:bookmarkEnd w:id="23"/>
    <w:p>
      <w:pPr>
        <w:ind w:right="3259"/>
        <w:spacing w:after="0" w:line="238" w:lineRule="auto"/>
        <w:rPr>
          <w:sz w:val="20"/>
          <w:szCs w:val="20"/>
          <w:color w:val="auto"/>
        </w:rPr>
      </w:pPr>
      <w:r>
        <w:rPr>
          <w:rFonts w:ascii="Courier New" w:cs="Courier New" w:eastAsia="Courier New" w:hAnsi="Courier New"/>
          <w:sz w:val="15"/>
          <w:szCs w:val="15"/>
          <w:color w:val="auto"/>
        </w:rPr>
        <w:t>date set forth below your name on the signature page hereof, (iii) you have carefully read this letter, you know and understand its contents, you signed this letter freely and voluntarily, and you intend to be bound by it, and (iv) you are not relying on any representations, statements, or promises whatsoever of the Corporation or anyone else, other than as set forth in this letter, as an inducement to execute this letter.</w:t>
      </w:r>
    </w:p>
    <w:p>
      <w:pPr>
        <w:spacing w:after="0" w:line="177" w:lineRule="exact"/>
        <w:rPr>
          <w:sz w:val="20"/>
          <w:szCs w:val="20"/>
          <w:color w:val="auto"/>
        </w:rPr>
      </w:pPr>
    </w:p>
    <w:p>
      <w:pPr>
        <w:ind w:right="3359" w:firstLine="797"/>
        <w:spacing w:after="0" w:line="237" w:lineRule="auto"/>
        <w:tabs>
          <w:tab w:leader="none" w:pos="1146"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Admission. Nothing in this letter shall be deemed an admission by you or any company in the Manpower Group of liability or wrongdoing of any nature.</w:t>
      </w:r>
    </w:p>
    <w:p>
      <w:pPr>
        <w:spacing w:after="0" w:line="169" w:lineRule="exact"/>
        <w:rPr>
          <w:rFonts w:ascii="Courier New" w:cs="Courier New" w:eastAsia="Courier New" w:hAnsi="Courier New"/>
          <w:sz w:val="15"/>
          <w:szCs w:val="15"/>
          <w:color w:val="auto"/>
        </w:rPr>
      </w:pPr>
    </w:p>
    <w:p>
      <w:pPr>
        <w:ind w:left="800" w:hanging="796"/>
        <w:spacing w:after="0"/>
        <w:tabs>
          <w:tab w:leader="none" w:pos="8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and Revocation Rights.</w:t>
      </w:r>
    </w:p>
    <w:p>
      <w:pPr>
        <w:spacing w:after="0" w:line="174" w:lineRule="exact"/>
        <w:rPr>
          <w:rFonts w:ascii="Courier New" w:cs="Courier New" w:eastAsia="Courier New" w:hAnsi="Courier New"/>
          <w:sz w:val="15"/>
          <w:szCs w:val="15"/>
          <w:color w:val="auto"/>
        </w:rPr>
      </w:pPr>
    </w:p>
    <w:p>
      <w:pPr>
        <w:ind w:right="3539" w:firstLine="797"/>
        <w:spacing w:after="0" w:line="237" w:lineRule="auto"/>
        <w:tabs>
          <w:tab w:leader="none" w:pos="114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You have the right to sign this letter, confirming your agreement, any time within twenty-one (21) calendar days following receipt of the letter.</w:t>
      </w:r>
    </w:p>
    <w:p>
      <w:pPr>
        <w:spacing w:after="0" w:line="174" w:lineRule="exact"/>
        <w:rPr>
          <w:rFonts w:ascii="Courier New" w:cs="Courier New" w:eastAsia="Courier New" w:hAnsi="Courier New"/>
          <w:sz w:val="15"/>
          <w:szCs w:val="15"/>
          <w:color w:val="auto"/>
        </w:rPr>
      </w:pPr>
    </w:p>
    <w:p>
      <w:pPr>
        <w:ind w:right="3179" w:firstLine="797"/>
        <w:spacing w:after="0" w:line="238" w:lineRule="auto"/>
        <w:tabs>
          <w:tab w:leader="none" w:pos="114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Revocation. Following the date you sign, you have the right to revoke the agreement reflected by this letter at any time within seven (7) calendar days of your signing it, not including the date of your signing (the "Revocation Period"). Any notice of revocation shall be deemed effective when it is deemed to have been given as provided below. Our agreement as reflected by this letter will not become effective or enforceable until the Revocation Period has expired. If you give a notice of revocation during the Revocation Period, this agreement reflected by this letter will be null and void, all rights and claims of the parties which would have existed, but for the execution of this letter, will be restored.</w:t>
      </w:r>
    </w:p>
    <w:p>
      <w:pPr>
        <w:spacing w:after="0" w:line="180" w:lineRule="exact"/>
        <w:rPr>
          <w:rFonts w:ascii="Courier New" w:cs="Courier New" w:eastAsia="Courier New" w:hAnsi="Courier New"/>
          <w:sz w:val="15"/>
          <w:szCs w:val="15"/>
          <w:color w:val="auto"/>
        </w:rPr>
      </w:pPr>
    </w:p>
    <w:p>
      <w:pPr>
        <w:ind w:left="-780" w:right="3179" w:firstLine="784"/>
        <w:spacing w:after="0" w:line="238" w:lineRule="auto"/>
        <w:tabs>
          <w:tab w:leader="none" w:pos="8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Support Services; Indemnity. The Corporation shall provide you with all reasonably necessary equipment and support personnel including, without limitation, a secretary, needed by you to perform the consulting services as described in Subsection 2(a) hereof during the Consulting Period. You will continue to be indemnified by the Corporation in connection with your prior duties as an officer of the Corporation to the same extent that officers and former officers are entitled to such indemnification.</w:t>
      </w:r>
    </w:p>
    <w:p>
      <w:pPr>
        <w:spacing w:after="0" w:line="176" w:lineRule="exact"/>
        <w:rPr>
          <w:rFonts w:ascii="Courier New" w:cs="Courier New" w:eastAsia="Courier New" w:hAnsi="Courier New"/>
          <w:sz w:val="15"/>
          <w:szCs w:val="15"/>
          <w:color w:val="auto"/>
        </w:rPr>
      </w:pPr>
    </w:p>
    <w:p>
      <w:pPr>
        <w:ind w:left="-780" w:right="3179" w:firstLine="784"/>
        <w:spacing w:after="0" w:line="257" w:lineRule="auto"/>
        <w:tabs>
          <w:tab w:leader="none" w:pos="80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Binding Agreement. This letter agreement will be binding on any successor of the Corporation and will inure to the benefit of and be enforceable by your personal or legal representatives, executors, administrators, successors, heirs, distributees, devisees and legatees. If you should die while any amount would still be payable to you or while any benefits would still be due to you and/or your eligible dependents hereunder if you had continued to live, all such amounts, unless otherwise provided herein, will be paid in accordance with the terms of this letter to your estate.</w:t>
      </w:r>
    </w:p>
    <w:p>
      <w:pPr>
        <w:spacing w:after="0" w:line="166" w:lineRule="exact"/>
        <w:rPr>
          <w:rFonts w:ascii="Courier New" w:cs="Courier New" w:eastAsia="Courier New" w:hAnsi="Courier New"/>
          <w:sz w:val="14"/>
          <w:szCs w:val="14"/>
          <w:color w:val="auto"/>
        </w:rPr>
      </w:pPr>
    </w:p>
    <w:p>
      <w:pPr>
        <w:ind w:left="-780" w:right="3179" w:firstLine="784"/>
        <w:spacing w:after="0" w:line="238" w:lineRule="auto"/>
        <w:tabs>
          <w:tab w:leader="none" w:pos="8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or made hereunder shall be sufficient if, and occur when, hand delivered, mailed postage prepaid, sent by prepaid express or courier service or sent by facsimile transmission and actually received, to the party to receive such notice at its address set forth beneath its signature hereto or to such changed address as such party shall designate by proper notice to the other.</w:t>
      </w:r>
    </w:p>
    <w:p>
      <w:pPr>
        <w:spacing w:after="0" w:line="175" w:lineRule="exact"/>
        <w:rPr>
          <w:rFonts w:ascii="Courier New" w:cs="Courier New" w:eastAsia="Courier New" w:hAnsi="Courier New"/>
          <w:sz w:val="15"/>
          <w:szCs w:val="15"/>
          <w:color w:val="auto"/>
        </w:rPr>
      </w:pPr>
    </w:p>
    <w:p>
      <w:pPr>
        <w:ind w:left="-780" w:right="3259" w:firstLine="784"/>
        <w:spacing w:after="0" w:line="237" w:lineRule="auto"/>
        <w:tabs>
          <w:tab w:leader="none" w:pos="80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 Agreement. This letter, upon acceptance by you, expressly supersedes any and all previous agreements or understandings relating to your employment by the Corporation or termination of employment, including, but not limited to, your Employment-</w:t>
      </w:r>
    </w:p>
    <w:p>
      <w:pPr>
        <w:spacing w:after="0" w:line="340"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9"/>
          </w:cols>
          <w:pgMar w:left="1020" w:top="458" w:right="1440" w:bottom="1440" w:gutter="0" w:footer="0" w:header="0"/>
        </w:sectPr>
      </w:pPr>
    </w:p>
    <w:bookmarkStart w:id="24" w:name="page25"/>
    <w:bookmarkEnd w:id="24"/>
    <w:p>
      <w:pPr>
        <w:ind w:left="10" w:right="3179"/>
        <w:spacing w:after="0" w:line="235" w:lineRule="auto"/>
        <w:rPr>
          <w:sz w:val="20"/>
          <w:szCs w:val="20"/>
          <w:color w:val="auto"/>
        </w:rPr>
      </w:pPr>
      <w:r>
        <w:rPr>
          <w:rFonts w:ascii="Courier New" w:cs="Courier New" w:eastAsia="Courier New" w:hAnsi="Courier New"/>
          <w:sz w:val="15"/>
          <w:szCs w:val="15"/>
          <w:color w:val="auto"/>
        </w:rPr>
        <w:t>Related Agreement, and all such agreements and understandings shall, as of March 1, 2002, have no further force and effect.</w:t>
      </w:r>
    </w:p>
    <w:p>
      <w:pPr>
        <w:spacing w:after="0" w:line="176" w:lineRule="exact"/>
        <w:rPr>
          <w:sz w:val="20"/>
          <w:szCs w:val="20"/>
          <w:color w:val="auto"/>
        </w:rPr>
      </w:pPr>
    </w:p>
    <w:p>
      <w:pPr>
        <w:ind w:left="10" w:right="3359" w:firstLine="784"/>
        <w:spacing w:after="0" w:line="238" w:lineRule="auto"/>
        <w:tabs>
          <w:tab w:leader="none" w:pos="159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The invalidity or unenforceability of any provision of this Agreement will not affect the validity or enforceability of any other provision of this Agreement, which shall remain in full force and effect; provided, that this Section 21 shall not be interpreted to contemplate any "blue-penciling" or reformation of the restrictions imposed under Sections 10 or 11 hereof.</w:t>
      </w:r>
    </w:p>
    <w:p>
      <w:pPr>
        <w:spacing w:after="0" w:line="175" w:lineRule="exact"/>
        <w:rPr>
          <w:rFonts w:ascii="Courier New" w:cs="Courier New" w:eastAsia="Courier New" w:hAnsi="Courier New"/>
          <w:sz w:val="15"/>
          <w:szCs w:val="15"/>
          <w:color w:val="auto"/>
        </w:rPr>
      </w:pPr>
    </w:p>
    <w:p>
      <w:pPr>
        <w:ind w:left="10" w:right="3259" w:firstLine="784"/>
        <w:spacing w:after="0" w:line="237" w:lineRule="auto"/>
        <w:tabs>
          <w:tab w:leader="none" w:pos="159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No provision of this letter may be modified, waived or discharged unless such waiver, modification or discharge is agreed to in writing by you and the Corporation.</w:t>
      </w:r>
    </w:p>
    <w:p>
      <w:pPr>
        <w:spacing w:after="0" w:line="174" w:lineRule="exact"/>
        <w:rPr>
          <w:rFonts w:ascii="Courier New" w:cs="Courier New" w:eastAsia="Courier New" w:hAnsi="Courier New"/>
          <w:sz w:val="15"/>
          <w:szCs w:val="15"/>
          <w:color w:val="auto"/>
        </w:rPr>
      </w:pPr>
    </w:p>
    <w:p>
      <w:pPr>
        <w:ind w:left="10" w:right="3259" w:firstLine="784"/>
        <w:spacing w:after="0" w:line="237" w:lineRule="auto"/>
        <w:tabs>
          <w:tab w:leader="none" w:pos="159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The amounts payable to you hereunder are stated before deductions, if any, required to be made by the Corporation under applicable law.</w:t>
      </w:r>
    </w:p>
    <w:p>
      <w:pPr>
        <w:spacing w:after="0" w:line="175" w:lineRule="exact"/>
        <w:rPr>
          <w:sz w:val="20"/>
          <w:szCs w:val="20"/>
          <w:color w:val="auto"/>
        </w:rPr>
      </w:pPr>
    </w:p>
    <w:p>
      <w:pPr>
        <w:ind w:left="10" w:right="3359" w:firstLine="793"/>
        <w:spacing w:after="0" w:line="237" w:lineRule="auto"/>
        <w:rPr>
          <w:sz w:val="20"/>
          <w:szCs w:val="20"/>
          <w:color w:val="auto"/>
        </w:rPr>
      </w:pPr>
      <w:r>
        <w:rPr>
          <w:rFonts w:ascii="Courier New" w:cs="Courier New" w:eastAsia="Courier New" w:hAnsi="Courier New"/>
          <w:sz w:val="15"/>
          <w:szCs w:val="15"/>
          <w:color w:val="auto"/>
        </w:rPr>
        <w:t>THIS LETTER WAIVES LEGAL CLAIMS AGAINST THE CORPORATION, INCLUDING POTENTIAL AGE DISCRIMINATION AND OTHER CLAIMS. YOU ARE ADVISED TO CONSULT YOUR OWN ATTORNEY PRIOR TO SIGNING THE DOCUMENT. YOU HAVE TWENTY-ONE (21) DAYS TO SIGN THIS LETTER. YOU CAN REVOKE YOUR ACCEPTANCE AS PROVIDED IN THIS LETTER. YOUR DECISION TO SIGN THIS LETTER MUST BE KNOWING AND VOLUNTARY.</w:t>
      </w:r>
    </w:p>
    <w:p>
      <w:pPr>
        <w:spacing w:after="0" w:line="173" w:lineRule="exact"/>
        <w:rPr>
          <w:sz w:val="20"/>
          <w:szCs w:val="20"/>
          <w:color w:val="auto"/>
        </w:rPr>
      </w:pPr>
    </w:p>
    <w:p>
      <w:pPr>
        <w:ind w:left="4310"/>
        <w:spacing w:after="0"/>
        <w:rPr>
          <w:sz w:val="20"/>
          <w:szCs w:val="20"/>
          <w:color w:val="auto"/>
        </w:rPr>
      </w:pPr>
      <w:r>
        <w:rPr>
          <w:rFonts w:ascii="Courier New" w:cs="Courier New" w:eastAsia="Courier New" w:hAnsi="Courier New"/>
          <w:sz w:val="15"/>
          <w:szCs w:val="15"/>
          <w:color w:val="auto"/>
        </w:rPr>
        <w:t>Sincerely,</w:t>
      </w:r>
    </w:p>
    <w:p>
      <w:pPr>
        <w:spacing w:after="0" w:line="169" w:lineRule="exact"/>
        <w:rPr>
          <w:sz w:val="20"/>
          <w:szCs w:val="20"/>
          <w:color w:val="auto"/>
        </w:rPr>
      </w:pPr>
    </w:p>
    <w:p>
      <w:pPr>
        <w:jc w:val="center"/>
        <w:ind w:right="450"/>
        <w:spacing w:after="0"/>
        <w:rPr>
          <w:sz w:val="20"/>
          <w:szCs w:val="20"/>
          <w:color w:val="auto"/>
        </w:rPr>
      </w:pPr>
      <w:r>
        <w:rPr>
          <w:rFonts w:ascii="Courier New" w:cs="Courier New" w:eastAsia="Courier New" w:hAnsi="Courier New"/>
          <w:sz w:val="15"/>
          <w:szCs w:val="15"/>
          <w:color w:val="auto"/>
        </w:rPr>
        <w:t>MANPOWER INC.</w:t>
      </w:r>
    </w:p>
    <w:p>
      <w:pPr>
        <w:spacing w:after="0" w:line="200" w:lineRule="exact"/>
        <w:rPr>
          <w:sz w:val="20"/>
          <w:szCs w:val="20"/>
          <w:color w:val="auto"/>
        </w:rPr>
      </w:pPr>
    </w:p>
    <w:p>
      <w:pPr>
        <w:spacing w:after="0" w:line="308" w:lineRule="exact"/>
        <w:rPr>
          <w:sz w:val="20"/>
          <w:szCs w:val="20"/>
          <w:color w:val="auto"/>
        </w:rPr>
      </w:pPr>
    </w:p>
    <w:p>
      <w:pPr>
        <w:ind w:left="4310"/>
        <w:spacing w:after="0"/>
        <w:tabs>
          <w:tab w:leader="none" w:pos="4749"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Jeffrey A. Joerres</w:t>
      </w:r>
    </w:p>
    <w:p>
      <w:pPr>
        <w:spacing w:after="0" w:line="5" w:lineRule="exact"/>
        <w:rPr>
          <w:sz w:val="20"/>
          <w:szCs w:val="20"/>
          <w:color w:val="auto"/>
        </w:rPr>
      </w:pPr>
    </w:p>
    <w:p>
      <w:pPr>
        <w:ind w:left="47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310"/>
        <w:spacing w:after="0"/>
        <w:rPr>
          <w:sz w:val="20"/>
          <w:szCs w:val="20"/>
          <w:color w:val="auto"/>
        </w:rPr>
      </w:pPr>
      <w:r>
        <w:rPr>
          <w:rFonts w:ascii="Courier New" w:cs="Courier New" w:eastAsia="Courier New" w:hAnsi="Courier New"/>
          <w:sz w:val="15"/>
          <w:szCs w:val="15"/>
          <w:color w:val="auto"/>
        </w:rPr>
        <w:t>Address for Notice:</w:t>
      </w:r>
    </w:p>
    <w:p>
      <w:pPr>
        <w:ind w:left="4310"/>
        <w:spacing w:after="0"/>
        <w:rPr>
          <w:sz w:val="20"/>
          <w:szCs w:val="20"/>
          <w:color w:val="auto"/>
        </w:rPr>
      </w:pPr>
      <w:r>
        <w:rPr>
          <w:rFonts w:ascii="Courier New" w:cs="Courier New" w:eastAsia="Courier New" w:hAnsi="Courier New"/>
          <w:sz w:val="15"/>
          <w:szCs w:val="15"/>
          <w:color w:val="auto"/>
        </w:rPr>
        <w:t>5301 North Ironwood Road</w:t>
      </w:r>
    </w:p>
    <w:p>
      <w:pPr>
        <w:ind w:left="4310"/>
        <w:spacing w:after="0"/>
        <w:tabs>
          <w:tab w:leader="none" w:pos="5629" w:val="left"/>
        </w:tabs>
        <w:rPr>
          <w:sz w:val="20"/>
          <w:szCs w:val="20"/>
          <w:color w:val="auto"/>
        </w:rPr>
      </w:pPr>
      <w:r>
        <w:rPr>
          <w:rFonts w:ascii="Courier New" w:cs="Courier New" w:eastAsia="Courier New" w:hAnsi="Courier New"/>
          <w:sz w:val="15"/>
          <w:szCs w:val="15"/>
          <w:color w:val="auto"/>
        </w:rPr>
        <w:t>Milwaukee, WI</w:t>
      </w:r>
      <w:r>
        <w:rPr>
          <w:sz w:val="20"/>
          <w:szCs w:val="20"/>
          <w:color w:val="auto"/>
        </w:rPr>
        <w:tab/>
      </w:r>
      <w:r>
        <w:rPr>
          <w:rFonts w:ascii="Courier New" w:cs="Courier New" w:eastAsia="Courier New" w:hAnsi="Courier New"/>
          <w:sz w:val="14"/>
          <w:szCs w:val="14"/>
          <w:color w:val="auto"/>
        </w:rPr>
        <w:t>53217</w:t>
      </w:r>
    </w:p>
    <w:p>
      <w:pPr>
        <w:ind w:left="4310"/>
        <w:spacing w:after="0" w:line="238" w:lineRule="auto"/>
        <w:rPr>
          <w:sz w:val="20"/>
          <w:szCs w:val="20"/>
          <w:color w:val="auto"/>
        </w:rPr>
      </w:pPr>
      <w:r>
        <w:rPr>
          <w:rFonts w:ascii="Courier New" w:cs="Courier New" w:eastAsia="Courier New" w:hAnsi="Courier New"/>
          <w:sz w:val="15"/>
          <w:szCs w:val="15"/>
          <w:color w:val="auto"/>
        </w:rPr>
        <w:t>Attn: President</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Agreed this 28th day of March, 2002.</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Terry A. Hueneke</w:t>
      </w:r>
    </w:p>
    <w:p>
      <w:pPr>
        <w:ind w:left="170" w:hanging="170"/>
        <w:spacing w:after="0"/>
        <w:tabs>
          <w:tab w:leader="none" w:pos="1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Terry A. Hueneke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Address for Notice: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855 West County Line Road</w:t>
      </w:r>
    </w:p>
    <w:p>
      <w:pPr>
        <w:ind w:left="10"/>
        <w:spacing w:after="0"/>
        <w:tabs>
          <w:tab w:leader="none" w:pos="1909" w:val="left"/>
        </w:tabs>
        <w:rPr>
          <w:sz w:val="20"/>
          <w:szCs w:val="20"/>
          <w:color w:val="auto"/>
        </w:rPr>
      </w:pPr>
      <w:r>
        <w:rPr>
          <w:rFonts w:ascii="Courier New" w:cs="Courier New" w:eastAsia="Courier New" w:hAnsi="Courier New"/>
          <w:sz w:val="15"/>
          <w:szCs w:val="15"/>
          <w:color w:val="auto"/>
        </w:rPr>
        <w:t>Milwaukee, Wisconsin</w:t>
        <w:tab/>
        <w:t>53271</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8" w:right="1440" w:bottom="1440" w:gutter="0" w:footer="0" w:header="0"/>
        </w:sectPr>
      </w:pPr>
    </w:p>
    <w:bookmarkStart w:id="25" w:name="page26"/>
    <w:bookmarkEnd w:id="25"/>
    <w:p>
      <w:pPr>
        <w:jc w:val="right"/>
        <w:ind w:right="3179"/>
        <w:spacing w:after="0"/>
        <w:rPr>
          <w:sz w:val="20"/>
          <w:szCs w:val="20"/>
          <w:color w:val="auto"/>
        </w:rPr>
      </w:pPr>
      <w:r>
        <w:rPr>
          <w:rFonts w:ascii="Courier New" w:cs="Courier New" w:eastAsia="Courier New" w:hAnsi="Courier New"/>
          <w:sz w:val="15"/>
          <w:szCs w:val="15"/>
          <w:color w:val="auto"/>
        </w:rPr>
        <w:t>EXHIBIT A</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OPERATING UNITS</w:t>
      </w:r>
    </w:p>
    <w:p>
      <w:pPr>
        <w:spacing w:after="0" w:line="169"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United States</w:t>
      </w:r>
    </w:p>
    <w:p>
      <w:pPr>
        <w:ind w:left="1700"/>
        <w:spacing w:after="0"/>
        <w:rPr>
          <w:sz w:val="20"/>
          <w:szCs w:val="20"/>
          <w:color w:val="auto"/>
        </w:rPr>
      </w:pPr>
      <w:r>
        <w:rPr>
          <w:rFonts w:ascii="Courier New" w:cs="Courier New" w:eastAsia="Courier New" w:hAnsi="Courier New"/>
          <w:sz w:val="15"/>
          <w:szCs w:val="15"/>
          <w:color w:val="auto"/>
        </w:rPr>
        <w:t>Canada</w:t>
      </w:r>
    </w:p>
    <w:p>
      <w:pPr>
        <w:ind w:left="1700"/>
        <w:spacing w:after="0"/>
        <w:rPr>
          <w:sz w:val="20"/>
          <w:szCs w:val="20"/>
          <w:color w:val="auto"/>
        </w:rPr>
      </w:pPr>
      <w:r>
        <w:rPr>
          <w:rFonts w:ascii="Courier New" w:cs="Courier New" w:eastAsia="Courier New" w:hAnsi="Courier New"/>
          <w:sz w:val="15"/>
          <w:szCs w:val="15"/>
          <w:color w:val="auto"/>
        </w:rPr>
        <w:t>Australia</w:t>
      </w:r>
    </w:p>
    <w:p>
      <w:pPr>
        <w:ind w:left="1700"/>
        <w:spacing w:after="0" w:line="238" w:lineRule="auto"/>
        <w:rPr>
          <w:sz w:val="20"/>
          <w:szCs w:val="20"/>
          <w:color w:val="auto"/>
        </w:rPr>
      </w:pPr>
      <w:r>
        <w:rPr>
          <w:rFonts w:ascii="Courier New" w:cs="Courier New" w:eastAsia="Courier New" w:hAnsi="Courier New"/>
          <w:sz w:val="15"/>
          <w:szCs w:val="15"/>
          <w:color w:val="auto"/>
        </w:rPr>
        <w:t>Mexico</w:t>
      </w:r>
    </w:p>
    <w:p>
      <w:pPr>
        <w:ind w:left="1700"/>
        <w:spacing w:after="0"/>
        <w:rPr>
          <w:sz w:val="20"/>
          <w:szCs w:val="20"/>
          <w:color w:val="auto"/>
        </w:rPr>
      </w:pPr>
      <w:r>
        <w:rPr>
          <w:rFonts w:ascii="Courier New" w:cs="Courier New" w:eastAsia="Courier New" w:hAnsi="Courier New"/>
          <w:sz w:val="15"/>
          <w:szCs w:val="15"/>
          <w:color w:val="auto"/>
        </w:rPr>
        <w:t>Argentina</w:t>
      </w:r>
    </w:p>
    <w:p>
      <w:pPr>
        <w:ind w:left="1700"/>
        <w:spacing w:after="0"/>
        <w:rPr>
          <w:sz w:val="20"/>
          <w:szCs w:val="20"/>
          <w:color w:val="auto"/>
        </w:rPr>
      </w:pPr>
      <w:r>
        <w:rPr>
          <w:rFonts w:ascii="Courier New" w:cs="Courier New" w:eastAsia="Courier New" w:hAnsi="Courier New"/>
          <w:sz w:val="15"/>
          <w:szCs w:val="15"/>
          <w:color w:val="auto"/>
        </w:rPr>
        <w:t>Brazil</w:t>
      </w:r>
    </w:p>
    <w:p>
      <w:pPr>
        <w:ind w:left="1700"/>
        <w:spacing w:after="0" w:line="238" w:lineRule="auto"/>
        <w:rPr>
          <w:sz w:val="20"/>
          <w:szCs w:val="20"/>
          <w:color w:val="auto"/>
        </w:rPr>
      </w:pPr>
      <w:r>
        <w:rPr>
          <w:rFonts w:ascii="Courier New" w:cs="Courier New" w:eastAsia="Courier New" w:hAnsi="Courier New"/>
          <w:sz w:val="15"/>
          <w:szCs w:val="15"/>
          <w:color w:val="auto"/>
        </w:rPr>
        <w:t>Columbia</w:t>
      </w:r>
    </w:p>
    <w:p>
      <w:pPr>
        <w:ind w:left="1700"/>
        <w:spacing w:after="0"/>
        <w:rPr>
          <w:sz w:val="20"/>
          <w:szCs w:val="20"/>
          <w:color w:val="auto"/>
        </w:rPr>
      </w:pPr>
      <w:r>
        <w:rPr>
          <w:rFonts w:ascii="Courier New" w:cs="Courier New" w:eastAsia="Courier New" w:hAnsi="Courier New"/>
          <w:sz w:val="15"/>
          <w:szCs w:val="15"/>
          <w:color w:val="auto"/>
        </w:rPr>
        <w:t>Peru</w:t>
      </w:r>
    </w:p>
    <w:p>
      <w:pPr>
        <w:ind w:left="1700"/>
        <w:spacing w:after="0"/>
        <w:rPr>
          <w:sz w:val="20"/>
          <w:szCs w:val="20"/>
          <w:color w:val="auto"/>
        </w:rPr>
      </w:pPr>
      <w:r>
        <w:rPr>
          <w:rFonts w:ascii="Courier New" w:cs="Courier New" w:eastAsia="Courier New" w:hAnsi="Courier New"/>
          <w:sz w:val="15"/>
          <w:szCs w:val="15"/>
          <w:color w:val="auto"/>
        </w:rPr>
        <w:t>Uruguay</w:t>
      </w:r>
    </w:p>
    <w:p>
      <w:pPr>
        <w:ind w:left="1700"/>
        <w:spacing w:after="0"/>
        <w:rPr>
          <w:sz w:val="20"/>
          <w:szCs w:val="20"/>
          <w:color w:val="auto"/>
        </w:rPr>
      </w:pPr>
      <w:r>
        <w:rPr>
          <w:rFonts w:ascii="Courier New" w:cs="Courier New" w:eastAsia="Courier New" w:hAnsi="Courier New"/>
          <w:sz w:val="15"/>
          <w:szCs w:val="15"/>
          <w:color w:val="auto"/>
        </w:rPr>
        <w:t>Venezuela</w:t>
      </w:r>
    </w:p>
    <w:p>
      <w:pPr>
        <w:ind w:left="1700"/>
        <w:spacing w:after="0" w:line="238" w:lineRule="auto"/>
        <w:rPr>
          <w:sz w:val="20"/>
          <w:szCs w:val="20"/>
          <w:color w:val="auto"/>
        </w:rPr>
      </w:pPr>
      <w:r>
        <w:rPr>
          <w:rFonts w:ascii="Courier New" w:cs="Courier New" w:eastAsia="Courier New" w:hAnsi="Courier New"/>
          <w:sz w:val="15"/>
          <w:szCs w:val="15"/>
          <w:color w:val="auto"/>
        </w:rPr>
        <w:t>South American Region</w:t>
      </w:r>
    </w:p>
    <w:p>
      <w:pPr>
        <w:ind w:left="1700"/>
        <w:spacing w:after="0"/>
        <w:rPr>
          <w:sz w:val="20"/>
          <w:szCs w:val="20"/>
          <w:color w:val="auto"/>
        </w:rPr>
      </w:pPr>
      <w:r>
        <w:rPr>
          <w:rFonts w:ascii="Courier New" w:cs="Courier New" w:eastAsia="Courier New" w:hAnsi="Courier New"/>
          <w:sz w:val="15"/>
          <w:szCs w:val="15"/>
          <w:color w:val="auto"/>
        </w:rPr>
        <w:t>Caribbean Region</w:t>
      </w:r>
    </w:p>
    <w:p>
      <w:pPr>
        <w:ind w:left="1700"/>
        <w:spacing w:after="0"/>
        <w:rPr>
          <w:sz w:val="20"/>
          <w:szCs w:val="20"/>
          <w:color w:val="auto"/>
        </w:rPr>
      </w:pPr>
      <w:r>
        <w:rPr>
          <w:rFonts w:ascii="Courier New" w:cs="Courier New" w:eastAsia="Courier New" w:hAnsi="Courier New"/>
          <w:sz w:val="15"/>
          <w:szCs w:val="15"/>
          <w:color w:val="auto"/>
        </w:rPr>
        <w:t>New Zealand</w:t>
      </w:r>
    </w:p>
    <w:p>
      <w:pPr>
        <w:ind w:left="1700"/>
        <w:spacing w:after="0" w:line="238" w:lineRule="auto"/>
        <w:rPr>
          <w:sz w:val="20"/>
          <w:szCs w:val="20"/>
          <w:color w:val="auto"/>
        </w:rPr>
      </w:pPr>
      <w:r>
        <w:rPr>
          <w:rFonts w:ascii="Courier New" w:cs="Courier New" w:eastAsia="Courier New" w:hAnsi="Courier New"/>
          <w:sz w:val="15"/>
          <w:szCs w:val="15"/>
          <w:color w:val="auto"/>
        </w:rPr>
        <w:t>Japan</w:t>
      </w:r>
    </w:p>
    <w:p>
      <w:pPr>
        <w:ind w:left="1700"/>
        <w:spacing w:after="0"/>
        <w:rPr>
          <w:sz w:val="20"/>
          <w:szCs w:val="20"/>
          <w:color w:val="auto"/>
        </w:rPr>
      </w:pPr>
      <w:r>
        <w:rPr>
          <w:rFonts w:ascii="Courier New" w:cs="Courier New" w:eastAsia="Courier New" w:hAnsi="Courier New"/>
          <w:sz w:val="15"/>
          <w:szCs w:val="15"/>
          <w:color w:val="auto"/>
        </w:rPr>
        <w:t>Far East Region</w:t>
      </w:r>
    </w:p>
    <w:p>
      <w:pPr>
        <w:ind w:left="1700"/>
        <w:spacing w:after="0"/>
        <w:rPr>
          <w:sz w:val="20"/>
          <w:szCs w:val="20"/>
          <w:color w:val="auto"/>
        </w:rPr>
      </w:pPr>
      <w:r>
        <w:rPr>
          <w:rFonts w:ascii="Courier New" w:cs="Courier New" w:eastAsia="Courier New" w:hAnsi="Courier New"/>
          <w:sz w:val="15"/>
          <w:szCs w:val="15"/>
          <w:color w:val="auto"/>
        </w:rPr>
        <w:t>Costa Rica</w:t>
      </w:r>
    </w:p>
    <w:p>
      <w:pPr>
        <w:ind w:left="1700"/>
        <w:spacing w:after="0"/>
        <w:rPr>
          <w:sz w:val="20"/>
          <w:szCs w:val="20"/>
          <w:color w:val="auto"/>
        </w:rPr>
      </w:pPr>
      <w:r>
        <w:rPr>
          <w:rFonts w:ascii="Courier New" w:cs="Courier New" w:eastAsia="Courier New" w:hAnsi="Courier New"/>
          <w:sz w:val="15"/>
          <w:szCs w:val="15"/>
          <w:color w:val="auto"/>
        </w:rPr>
        <w:t>El Salvador</w:t>
      </w:r>
    </w:p>
    <w:p>
      <w:pPr>
        <w:ind w:left="1700"/>
        <w:spacing w:after="0" w:line="238" w:lineRule="auto"/>
        <w:rPr>
          <w:sz w:val="20"/>
          <w:szCs w:val="20"/>
          <w:color w:val="auto"/>
        </w:rPr>
      </w:pPr>
      <w:r>
        <w:rPr>
          <w:rFonts w:ascii="Courier New" w:cs="Courier New" w:eastAsia="Courier New" w:hAnsi="Courier New"/>
          <w:sz w:val="15"/>
          <w:szCs w:val="15"/>
          <w:color w:val="auto"/>
        </w:rPr>
        <w:t>Guatemala</w:t>
      </w:r>
    </w:p>
    <w:p>
      <w:pPr>
        <w:ind w:left="1700"/>
        <w:spacing w:after="0"/>
        <w:rPr>
          <w:sz w:val="20"/>
          <w:szCs w:val="20"/>
          <w:color w:val="auto"/>
        </w:rPr>
      </w:pPr>
      <w:r>
        <w:rPr>
          <w:rFonts w:ascii="Courier New" w:cs="Courier New" w:eastAsia="Courier New" w:hAnsi="Courier New"/>
          <w:sz w:val="15"/>
          <w:szCs w:val="15"/>
          <w:color w:val="auto"/>
        </w:rPr>
        <w:t>Honduras</w:t>
      </w:r>
    </w:p>
    <w:p>
      <w:pPr>
        <w:ind w:left="1700"/>
        <w:spacing w:after="0"/>
        <w:rPr>
          <w:sz w:val="20"/>
          <w:szCs w:val="20"/>
          <w:color w:val="auto"/>
        </w:rPr>
      </w:pPr>
      <w:r>
        <w:rPr>
          <w:rFonts w:ascii="Courier New" w:cs="Courier New" w:eastAsia="Courier New" w:hAnsi="Courier New"/>
          <w:sz w:val="15"/>
          <w:szCs w:val="15"/>
          <w:color w:val="auto"/>
        </w:rPr>
        <w:t>Panama</w:t>
      </w:r>
    </w:p>
    <w:p>
      <w:pPr>
        <w:ind w:left="1700"/>
        <w:spacing w:after="0" w:line="238" w:lineRule="auto"/>
        <w:rPr>
          <w:sz w:val="20"/>
          <w:szCs w:val="20"/>
          <w:color w:val="auto"/>
        </w:rPr>
      </w:pPr>
      <w:r>
        <w:rPr>
          <w:rFonts w:ascii="Courier New" w:cs="Courier New" w:eastAsia="Courier New" w:hAnsi="Courier New"/>
          <w:sz w:val="15"/>
          <w:szCs w:val="15"/>
          <w:color w:val="auto"/>
        </w:rPr>
        <w:t>China</w:t>
      </w:r>
    </w:p>
    <w:p>
      <w:pPr>
        <w:ind w:left="1700"/>
        <w:spacing w:after="0"/>
        <w:rPr>
          <w:sz w:val="20"/>
          <w:szCs w:val="20"/>
          <w:color w:val="auto"/>
        </w:rPr>
      </w:pPr>
      <w:r>
        <w:rPr>
          <w:rFonts w:ascii="Courier New" w:cs="Courier New" w:eastAsia="Courier New" w:hAnsi="Courier New"/>
          <w:sz w:val="15"/>
          <w:szCs w:val="15"/>
          <w:color w:val="auto"/>
        </w:rPr>
        <w:t>Hong Kong</w:t>
      </w:r>
    </w:p>
    <w:p>
      <w:pPr>
        <w:ind w:left="1700"/>
        <w:spacing w:after="0"/>
        <w:rPr>
          <w:sz w:val="20"/>
          <w:szCs w:val="20"/>
          <w:color w:val="auto"/>
        </w:rPr>
      </w:pPr>
      <w:r>
        <w:rPr>
          <w:rFonts w:ascii="Courier New" w:cs="Courier New" w:eastAsia="Courier New" w:hAnsi="Courier New"/>
          <w:sz w:val="15"/>
          <w:szCs w:val="15"/>
          <w:color w:val="auto"/>
        </w:rPr>
        <w:t>India</w:t>
      </w:r>
    </w:p>
    <w:p>
      <w:pPr>
        <w:ind w:left="1700"/>
        <w:spacing w:after="0"/>
        <w:rPr>
          <w:sz w:val="20"/>
          <w:szCs w:val="20"/>
          <w:color w:val="auto"/>
        </w:rPr>
      </w:pPr>
      <w:r>
        <w:rPr>
          <w:rFonts w:ascii="Courier New" w:cs="Courier New" w:eastAsia="Courier New" w:hAnsi="Courier New"/>
          <w:sz w:val="15"/>
          <w:szCs w:val="15"/>
          <w:color w:val="auto"/>
        </w:rPr>
        <w:t>Korea</w:t>
      </w:r>
    </w:p>
    <w:p>
      <w:pPr>
        <w:ind w:left="1700"/>
        <w:spacing w:after="0" w:line="238" w:lineRule="auto"/>
        <w:rPr>
          <w:sz w:val="20"/>
          <w:szCs w:val="20"/>
          <w:color w:val="auto"/>
        </w:rPr>
      </w:pPr>
      <w:r>
        <w:rPr>
          <w:rFonts w:ascii="Courier New" w:cs="Courier New" w:eastAsia="Courier New" w:hAnsi="Courier New"/>
          <w:sz w:val="15"/>
          <w:szCs w:val="15"/>
          <w:color w:val="auto"/>
        </w:rPr>
        <w:t>Malaysia</w:t>
      </w:r>
    </w:p>
    <w:p>
      <w:pPr>
        <w:ind w:left="1700"/>
        <w:spacing w:after="0"/>
        <w:rPr>
          <w:sz w:val="20"/>
          <w:szCs w:val="20"/>
          <w:color w:val="auto"/>
        </w:rPr>
      </w:pPr>
      <w:r>
        <w:rPr>
          <w:rFonts w:ascii="Courier New" w:cs="Courier New" w:eastAsia="Courier New" w:hAnsi="Courier New"/>
          <w:sz w:val="15"/>
          <w:szCs w:val="15"/>
          <w:color w:val="auto"/>
        </w:rPr>
        <w:t>Philippines</w:t>
      </w:r>
    </w:p>
    <w:p>
      <w:pPr>
        <w:ind w:left="1700"/>
        <w:spacing w:after="0"/>
        <w:rPr>
          <w:sz w:val="20"/>
          <w:szCs w:val="20"/>
          <w:color w:val="auto"/>
        </w:rPr>
      </w:pPr>
      <w:r>
        <w:rPr>
          <w:rFonts w:ascii="Courier New" w:cs="Courier New" w:eastAsia="Courier New" w:hAnsi="Courier New"/>
          <w:sz w:val="15"/>
          <w:szCs w:val="15"/>
          <w:color w:val="auto"/>
        </w:rPr>
        <w:t>Singapore</w:t>
      </w:r>
    </w:p>
    <w:p>
      <w:pPr>
        <w:ind w:left="1700"/>
        <w:spacing w:after="0" w:line="238" w:lineRule="auto"/>
        <w:rPr>
          <w:sz w:val="20"/>
          <w:szCs w:val="20"/>
          <w:color w:val="auto"/>
        </w:rPr>
      </w:pPr>
      <w:r>
        <w:rPr>
          <w:rFonts w:ascii="Courier New" w:cs="Courier New" w:eastAsia="Courier New" w:hAnsi="Courier New"/>
          <w:sz w:val="15"/>
          <w:szCs w:val="15"/>
          <w:color w:val="auto"/>
        </w:rPr>
        <w:t>Southeast Asia Region</w:t>
      </w:r>
    </w:p>
    <w:p>
      <w:pPr>
        <w:ind w:left="1700"/>
        <w:spacing w:after="0"/>
        <w:rPr>
          <w:sz w:val="20"/>
          <w:szCs w:val="20"/>
          <w:color w:val="auto"/>
        </w:rPr>
      </w:pPr>
      <w:r>
        <w:rPr>
          <w:rFonts w:ascii="Courier New" w:cs="Courier New" w:eastAsia="Courier New" w:hAnsi="Courier New"/>
          <w:sz w:val="15"/>
          <w:szCs w:val="15"/>
          <w:color w:val="auto"/>
        </w:rPr>
        <w:t>Taiwan</w:t>
      </w:r>
    </w:p>
    <w:p>
      <w:pPr>
        <w:ind w:left="1700"/>
        <w:spacing w:after="0"/>
        <w:rPr>
          <w:sz w:val="20"/>
          <w:szCs w:val="20"/>
          <w:color w:val="auto"/>
        </w:rPr>
      </w:pPr>
      <w:r>
        <w:rPr>
          <w:rFonts w:ascii="Courier New" w:cs="Courier New" w:eastAsia="Courier New" w:hAnsi="Courier New"/>
          <w:sz w:val="15"/>
          <w:szCs w:val="15"/>
          <w:color w:val="auto"/>
        </w:rPr>
        <w:t>Thailand</w:t>
      </w:r>
    </w:p>
    <w:p>
      <w:pPr>
        <w:sectPr>
          <w:pgSz w:w="11900" w:h="16838" w:orient="portrait"/>
          <w:cols w:equalWidth="0" w:num="1">
            <w:col w:w="9019"/>
          </w:cols>
          <w:pgMar w:left="1440" w:top="452" w:right="1440" w:bottom="1440" w:gutter="0" w:footer="0" w:header="0"/>
        </w:sectPr>
      </w:pPr>
    </w:p>
    <w:bookmarkStart w:id="26" w:name="page27"/>
    <w:bookmarkEnd w:id="26"/>
    <w:p>
      <w:pPr>
        <w:ind w:left="5980"/>
        <w:spacing w:after="0"/>
        <w:rPr>
          <w:sz w:val="20"/>
          <w:szCs w:val="20"/>
          <w:color w:val="auto"/>
        </w:rPr>
      </w:pPr>
      <w:r>
        <w:rPr>
          <w:rFonts w:ascii="Courier New" w:cs="Courier New" w:eastAsia="Courier New" w:hAnsi="Courier New"/>
          <w:sz w:val="15"/>
          <w:szCs w:val="15"/>
          <w:color w:val="auto"/>
        </w:rPr>
        <w:t>EXHIBIT 12.1</w:t>
      </w:r>
    </w:p>
    <w:p>
      <w:pPr>
        <w:spacing w:after="0" w:line="16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MANPOWER INC.</w:t>
      </w:r>
    </w:p>
    <w:p>
      <w:pPr>
        <w:spacing w:after="0" w:line="169"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Statement Regarding Computation of Ratio of Earnings to Fixed Charges</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9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3 MONTHS ENDED</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940" w:type="dxa"/>
            <w:vAlign w:val="bottom"/>
            <w:gridSpan w:val="2"/>
          </w:tcPr>
          <w:p>
            <w:pPr>
              <w:jc w:val="center"/>
              <w:ind w:left="27"/>
              <w:spacing w:after="0"/>
              <w:rPr>
                <w:sz w:val="20"/>
                <w:szCs w:val="20"/>
                <w:color w:val="auto"/>
              </w:rPr>
            </w:pPr>
            <w:r>
              <w:rPr>
                <w:rFonts w:ascii="Courier New" w:cs="Courier New" w:eastAsia="Courier New" w:hAnsi="Courier New"/>
                <w:sz w:val="15"/>
                <w:szCs w:val="15"/>
                <w:color w:val="auto"/>
                <w:w w:val="98"/>
              </w:rPr>
              <w:t>MARCH 31, 2002</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Earnings before income taxes</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10.7</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Fixed charges</w:t>
            </w:r>
          </w:p>
        </w:tc>
        <w:tc>
          <w:tcPr>
            <w:tcW w:w="8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27.6</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38.3</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509"/>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Interest (expensed or capitalized)</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9.9</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Estimated interest portion of rent expense</w:t>
            </w:r>
          </w:p>
        </w:tc>
        <w:tc>
          <w:tcPr>
            <w:tcW w:w="8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17.7</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27.6</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84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509"/>
        </w:trPr>
        <w:tc>
          <w:tcPr>
            <w:tcW w:w="4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YEARS ENDED DECEMBER 31,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0"/>
        </w:trPr>
        <w:tc>
          <w:tcPr>
            <w:tcW w:w="4260" w:type="dxa"/>
            <w:vAlign w:val="bottom"/>
          </w:tcPr>
          <w:p>
            <w:pPr>
              <w:spacing w:after="0"/>
              <w:rPr>
                <w:sz w:val="14"/>
                <w:szCs w:val="14"/>
                <w:color w:val="auto"/>
              </w:rPr>
            </w:pPr>
          </w:p>
        </w:tc>
        <w:tc>
          <w:tcPr>
            <w:tcW w:w="726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jc w:val="center"/>
              <w:ind w:right="667"/>
              <w:spacing w:after="0"/>
              <w:rPr>
                <w:sz w:val="20"/>
                <w:szCs w:val="20"/>
                <w:color w:val="auto"/>
              </w:rPr>
            </w:pPr>
            <w:r>
              <w:rPr>
                <w:rFonts w:ascii="Courier New" w:cs="Courier New" w:eastAsia="Courier New" w:hAnsi="Courier New"/>
                <w:sz w:val="15"/>
                <w:szCs w:val="15"/>
                <w:color w:val="auto"/>
                <w:w w:val="99"/>
              </w:rPr>
              <w:t>2001</w:t>
            </w:r>
          </w:p>
        </w:tc>
        <w:tc>
          <w:tcPr>
            <w:tcW w:w="360" w:type="dxa"/>
            <w:vAlign w:val="bottom"/>
          </w:tcPr>
          <w:p>
            <w:pPr>
              <w:spacing w:after="0"/>
              <w:rPr>
                <w:sz w:val="14"/>
                <w:szCs w:val="1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14"/>
                <w:szCs w:val="14"/>
                <w:color w:val="auto"/>
              </w:rPr>
            </w:pPr>
          </w:p>
        </w:tc>
        <w:tc>
          <w:tcPr>
            <w:tcW w:w="1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580" w:type="dxa"/>
            <w:vAlign w:val="bottom"/>
          </w:tcPr>
          <w:p>
            <w:pPr>
              <w:spacing w:after="0"/>
              <w:rPr>
                <w:sz w:val="14"/>
                <w:szCs w:val="14"/>
                <w:color w:val="auto"/>
              </w:rPr>
            </w:pPr>
          </w:p>
        </w:tc>
        <w:tc>
          <w:tcPr>
            <w:tcW w:w="4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1997</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Earnings before income taxes</w:t>
            </w: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$ 197.9</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$ 265.2</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$ 205.8</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$ 113.8</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$ 249.2</w:t>
            </w: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Fixed charges</w:t>
            </w:r>
          </w:p>
        </w:tc>
        <w:tc>
          <w:tcPr>
            <w:tcW w:w="8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3"/>
              </w:rPr>
              <w:t>107.4</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94.0</w:t>
            </w:r>
          </w:p>
        </w:tc>
        <w:tc>
          <w:tcPr>
            <w:tcW w:w="980" w:type="dxa"/>
            <w:vAlign w:val="bottom"/>
          </w:tcPr>
          <w:p>
            <w:pPr>
              <w:spacing w:after="0"/>
              <w:rPr>
                <w:sz w:val="14"/>
                <w:szCs w:val="14"/>
                <w:color w:val="auto"/>
              </w:rPr>
            </w:pP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71.6</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65.1</w:t>
            </w:r>
          </w:p>
        </w:tc>
        <w:tc>
          <w:tcPr>
            <w:tcW w:w="5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$ 305.3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$ 359.2</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$ 277.4</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$ 178.9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$ 296.4</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26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Interest (expensed or capitalized)</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39.1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0"/>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Estimated interest portion of rent expense</w:t>
            </w:r>
          </w:p>
        </w:tc>
        <w:tc>
          <w:tcPr>
            <w:tcW w:w="84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68.3</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c>
          <w:tcPr>
            <w:tcW w:w="980" w:type="dxa"/>
            <w:vAlign w:val="bottom"/>
          </w:tcPr>
          <w:p>
            <w:pPr>
              <w:spacing w:after="0"/>
              <w:rPr>
                <w:sz w:val="14"/>
                <w:szCs w:val="14"/>
                <w:color w:val="auto"/>
              </w:rPr>
            </w:pP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54.3</w:t>
            </w:r>
          </w:p>
        </w:tc>
        <w:tc>
          <w:tcPr>
            <w:tcW w:w="22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45.9</w:t>
            </w:r>
          </w:p>
        </w:tc>
        <w:tc>
          <w:tcPr>
            <w:tcW w:w="5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36.1</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$ 107.4</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71.6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47.2</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26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840" w:type="dxa"/>
            <w:vAlign w:val="bottom"/>
          </w:tcPr>
          <w:p>
            <w:pPr>
              <w:spacing w:after="0"/>
              <w:rPr>
                <w:sz w:val="24"/>
                <w:szCs w:val="2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2.8</w:t>
            </w: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980" w:type="dxa"/>
            <w:vAlign w:val="bottom"/>
          </w:tcPr>
          <w:p>
            <w:pPr>
              <w:spacing w:after="0"/>
              <w:rPr>
                <w:sz w:val="24"/>
                <w:szCs w:val="24"/>
                <w:color w:val="auto"/>
              </w:rPr>
            </w:pPr>
          </w:p>
        </w:tc>
        <w:tc>
          <w:tcPr>
            <w:tcW w:w="1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24"/>
                <w:szCs w:val="2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w:t>
            </w:r>
          </w:p>
        </w:tc>
        <w:tc>
          <w:tcPr>
            <w:tcW w:w="5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4260" w:type="dxa"/>
            <w:vAlign w:val="bottom"/>
          </w:tcPr>
          <w:p>
            <w:pPr>
              <w:spacing w:after="0"/>
              <w:rPr>
                <w:sz w:val="14"/>
                <w:szCs w:val="14"/>
                <w:color w:val="auto"/>
              </w:rPr>
            </w:pPr>
          </w:p>
        </w:tc>
        <w:tc>
          <w:tcPr>
            <w:tcW w:w="194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00" w:right="4480" w:hanging="699"/>
        <w:spacing w:after="0" w:line="237" w:lineRule="auto"/>
        <w:tabs>
          <w:tab w:leader="none" w:pos="680" w:val="left"/>
        </w:tabs>
        <w:rPr>
          <w:sz w:val="20"/>
          <w:szCs w:val="20"/>
          <w:color w:val="auto"/>
        </w:rPr>
      </w:pPr>
      <w:r>
        <w:rPr>
          <w:rFonts w:ascii="Courier New" w:cs="Courier New" w:eastAsia="Courier New" w:hAnsi="Courier New"/>
          <w:sz w:val="15"/>
          <w:szCs w:val="15"/>
          <w:color w:val="auto"/>
        </w:rPr>
        <w:t>NOTE:</w:t>
        <w:tab/>
        <w:t>The calculation of Ratio of Earnings to Fixed Charges set forth above is different than the calculation of Ratio of Earnings to Fixed Charges that is required by our various borrowing facilities.</w:t>
      </w:r>
    </w:p>
    <w:sectPr>
      <w:pgSz w:w="11900" w:h="16838" w:orient="portrait"/>
      <w:cols w:equalWidth="0" w:num="1">
        <w:col w:w="11520"/>
      </w:cols>
      <w:pgMar w:left="240" w:top="475"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6"/>
    </w:lvl>
  </w:abstractNum>
  <w:abstractNum w:abstractNumId="3">
    <w:nsid w:val="4E6AFB66"/>
    <w:multiLevelType w:val="hybridMultilevel"/>
    <w:lvl w:ilvl="0">
      <w:lvlJc w:val="left"/>
      <w:lvlText w:val="(%1)"/>
      <w:numFmt w:val="lowerLetter"/>
      <w:start w:val="1"/>
    </w:lvl>
  </w:abstractNum>
  <w:abstractNum w:abstractNumId="4">
    <w:nsid w:val="25E45D32"/>
    <w:multiLevelType w:val="hybridMultilevel"/>
    <w:lvl w:ilvl="0">
      <w:lvlJc w:val="left"/>
      <w:lvlText w:val="(%1)"/>
      <w:numFmt w:val="lowerLetter"/>
      <w:start w:val="1"/>
    </w:lvl>
  </w:abstractNum>
  <w:abstractNum w:abstractNumId="5">
    <w:nsid w:val="519B50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
    <w:nsid w:val="431BD7B7"/>
    <w:multiLevelType w:val="hybridMultilevel"/>
    <w:lvl w:ilvl="0">
      <w:lvlJc w:val="left"/>
      <w:lvlText w:val="(%1)"/>
      <w:numFmt w:val="lowerRoman"/>
      <w:start w:val="2"/>
    </w:lvl>
    <w:lvl w:ilvl="1">
      <w:lvlJc w:val="left"/>
      <w:lvlText w:val="(%2)"/>
      <w:numFmt w:val="upperLetter"/>
      <w:start w:val="1"/>
    </w:lvl>
  </w:abstractNum>
  <w:abstractNum w:abstractNumId="7">
    <w:nsid w:val="3F2DBA31"/>
    <w:multiLevelType w:val="hybridMultilevel"/>
    <w:lvl w:ilvl="0">
      <w:lvlJc w:val="left"/>
      <w:lvlText w:val="%1"/>
      <w:numFmt w:val="decimal"/>
      <w:start w:val="1"/>
    </w:lvl>
    <w:lvl w:ilvl="1">
      <w:lvlJc w:val="left"/>
      <w:lvlText w:val="(%2)"/>
      <w:numFmt w:val="lowerLetter"/>
      <w:start w:val="2"/>
    </w:lvl>
  </w:abstractNum>
  <w:abstractNum w:abstractNumId="8">
    <w:nsid w:val="7C83E458"/>
    <w:multiLevelType w:val="hybridMultilevel"/>
    <w:lvl w:ilvl="0">
      <w:lvlJc w:val="left"/>
      <w:lvlText w:val="%1."/>
      <w:numFmt w:val="decimal"/>
      <w:start w:val="3"/>
    </w:lvl>
    <w:lvl w:ilvl="1">
      <w:lvlJc w:val="left"/>
      <w:lvlText w:val="%2"/>
      <w:numFmt w:val="lowerLetter"/>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3"/>
    </w:lvl>
  </w:abstractNum>
  <w:abstractNum w:abstractNumId="11">
    <w:nsid w:val="436C6125"/>
    <w:multiLevelType w:val="hybridMultilevel"/>
    <w:lvl w:ilvl="0">
      <w:lvlJc w:val="left"/>
      <w:lvlText w:val="%1."/>
      <w:numFmt w:val="decimal"/>
      <w:start w:val="4"/>
    </w:lvl>
  </w:abstractNum>
  <w:abstractNum w:abstractNumId="12">
    <w:nsid w:val="628C895D"/>
    <w:multiLevelType w:val="hybridMultilevel"/>
    <w:lvl w:ilvl="0">
      <w:lvlJc w:val="left"/>
      <w:lvlText w:val="%1."/>
      <w:numFmt w:val="decimal"/>
      <w:start w:val="6"/>
    </w:lvl>
    <w:lvl w:ilvl="1">
      <w:lvlJc w:val="left"/>
      <w:lvlText w:val="(%2)"/>
      <w:numFmt w:val="lowerLetter"/>
      <w:start w:val="1"/>
    </w:lvl>
  </w:abstractNum>
  <w:abstractNum w:abstractNumId="13">
    <w:nsid w:val="333AB105"/>
    <w:multiLevelType w:val="hybridMultilevel"/>
    <w:lvl w:ilvl="0">
      <w:lvlJc w:val="left"/>
      <w:lvlText w:val="%1"/>
      <w:numFmt w:val="decimal"/>
      <w:start w:val="1"/>
    </w:lvl>
    <w:lvl w:ilvl="1">
      <w:lvlJc w:val="left"/>
      <w:lvlText w:val="(%2)"/>
      <w:numFmt w:val="lowerLetter"/>
      <w:start w:val="3"/>
    </w:lvl>
  </w:abstractNum>
  <w:abstractNum w:abstractNumId="14">
    <w:nsid w:val="721DA317"/>
    <w:multiLevelType w:val="hybridMultilevel"/>
    <w:lvl w:ilvl="0">
      <w:lvlJc w:val="left"/>
      <w:lvlText w:val="%1."/>
      <w:numFmt w:val="decimal"/>
      <w:start w:val="7"/>
    </w:lvl>
    <w:lvl w:ilvl="1">
      <w:lvlJc w:val="left"/>
      <w:lvlText w:val="(%2)"/>
      <w:numFmt w:val="lowerLetter"/>
      <w:start w:val="1"/>
    </w:lvl>
  </w:abstractNum>
  <w:abstractNum w:abstractNumId="15">
    <w:nsid w:val="2443A858"/>
    <w:multiLevelType w:val="hybridMultilevel"/>
    <w:lvl w:ilvl="0">
      <w:lvlJc w:val="left"/>
      <w:lvlText w:val="%1"/>
      <w:numFmt w:val="decimal"/>
      <w:start w:val="1"/>
    </w:lvl>
    <w:lvl w:ilvl="1">
      <w:lvlJc w:val="left"/>
      <w:lvlText w:val="(%2)"/>
      <w:numFmt w:val="lowerLetter"/>
      <w:start w:val="2"/>
    </w:lvl>
  </w:abstractNum>
  <w:abstractNum w:abstractNumId="16">
    <w:nsid w:val="2D1D5AE9"/>
    <w:multiLevelType w:val="hybridMultilevel"/>
    <w:lvl w:ilvl="0">
      <w:lvlJc w:val="left"/>
      <w:lvlText w:val="%1."/>
      <w:numFmt w:val="decimal"/>
      <w:start w:val="10"/>
    </w:lvl>
    <w:lvl w:ilvl="1">
      <w:lvlJc w:val="left"/>
      <w:lvlText w:val="(%2)"/>
      <w:numFmt w:val="lowerLetter"/>
      <w:start w:val="1"/>
    </w:lvl>
  </w:abstractNum>
  <w:abstractNum w:abstractNumId="17">
    <w:nsid w:val="6763845E"/>
    <w:multiLevelType w:val="hybridMultilevel"/>
    <w:lvl w:ilvl="0">
      <w:lvlJc w:val="left"/>
      <w:lvlText w:val="%1"/>
      <w:numFmt w:val="decimal"/>
      <w:start w:val="1"/>
    </w:lvl>
    <w:lvl w:ilvl="1">
      <w:lvlJc w:val="left"/>
      <w:lvlText w:val="(%2)"/>
      <w:numFmt w:val="lowerLetter"/>
      <w:start w:val="2"/>
    </w:lvl>
  </w:abstractNum>
  <w:abstractNum w:abstractNumId="18">
    <w:nsid w:val="75A2A8D4"/>
    <w:multiLevelType w:val="hybridMultilevel"/>
    <w:lvl w:ilvl="0">
      <w:lvlJc w:val="left"/>
      <w:lvlText w:val="%1."/>
      <w:numFmt w:val="decimal"/>
      <w:start w:val="12"/>
    </w:lvl>
    <w:lvl w:ilvl="1">
      <w:lvlJc w:val="left"/>
      <w:lvlText w:val="(%2)"/>
      <w:numFmt w:val="lowerLetter"/>
      <w:start w:val="1"/>
    </w:lvl>
  </w:abstractNum>
  <w:abstractNum w:abstractNumId="19">
    <w:nsid w:val="8EDBDAB"/>
    <w:multiLevelType w:val="hybridMultilevel"/>
    <w:lvl w:ilvl="0">
      <w:lvlJc w:val="left"/>
      <w:lvlText w:val="%1"/>
      <w:numFmt w:val="decimal"/>
      <w:start w:val="10"/>
    </w:lvl>
    <w:lvl w:ilvl="1">
      <w:lvlJc w:val="left"/>
      <w:lvlText w:val="(%2)"/>
      <w:numFmt w:val="lowerLetter"/>
      <w:start w:val="2"/>
    </w:lvl>
  </w:abstractNum>
  <w:abstractNum w:abstractNumId="20">
    <w:nsid w:val="79838CB2"/>
    <w:multiLevelType w:val="hybridMultilevel"/>
    <w:lvl w:ilvl="0">
      <w:lvlJc w:val="left"/>
      <w:lvlText w:val="%1."/>
      <w:numFmt w:val="decimal"/>
      <w:start w:val="13"/>
    </w:lvl>
    <w:lvl w:ilvl="1">
      <w:lvlJc w:val="left"/>
      <w:lvlText w:val="(%2)"/>
      <w:numFmt w:val="lowerLetter"/>
      <w:start w:val="1"/>
    </w:lvl>
  </w:abstractNum>
  <w:abstractNum w:abstractNumId="21">
    <w:nsid w:val="4353D0CD"/>
    <w:multiLevelType w:val="hybridMultilevel"/>
    <w:lvl w:ilvl="0">
      <w:lvlJc w:val="left"/>
      <w:lvlText w:val="%1"/>
      <w:numFmt w:val="decimal"/>
      <w:start w:val="1"/>
    </w:lvl>
    <w:lvl w:ilvl="1">
      <w:lvlJc w:val="left"/>
      <w:lvlText w:val="(%2)"/>
      <w:numFmt w:val="lowerLetter"/>
      <w:start w:val="2"/>
    </w:lvl>
  </w:abstractNum>
  <w:abstractNum w:abstractNumId="22">
    <w:nsid w:val="B03E0C6"/>
    <w:multiLevelType w:val="hybridMultilevel"/>
    <w:lvl w:ilvl="0">
      <w:lvlJc w:val="left"/>
      <w:lvlText w:val="%1."/>
      <w:numFmt w:val="decimal"/>
      <w:start w:val="14"/>
    </w:lvl>
    <w:lvl w:ilvl="1">
      <w:lvlJc w:val="left"/>
      <w:lvlText w:val="(%2)"/>
      <w:numFmt w:val="lowerLetter"/>
      <w:start w:val="1"/>
    </w:lvl>
  </w:abstractNum>
  <w:abstractNum w:abstractNumId="23">
    <w:nsid w:val="189A769B"/>
    <w:multiLevelType w:val="hybridMultilevel"/>
    <w:lvl w:ilvl="0">
      <w:lvlJc w:val="left"/>
      <w:lvlText w:val="%1"/>
      <w:numFmt w:val="lowerLetter"/>
      <w:start w:val="1"/>
    </w:lvl>
    <w:lvl w:ilvl="1">
      <w:lvlJc w:val="left"/>
      <w:lvlText w:val="(%2)"/>
      <w:numFmt w:val="lowerLetter"/>
      <w:start w:val="2"/>
    </w:lvl>
  </w:abstractNum>
  <w:abstractNum w:abstractNumId="24">
    <w:nsid w:val="54E49EB4"/>
    <w:multiLevelType w:val="hybridMultilevel"/>
    <w:lvl w:ilvl="0">
      <w:lvlJc w:val="left"/>
      <w:lvlText w:val="(%1)"/>
      <w:numFmt w:val="lowerLetter"/>
      <w:start w:val="35"/>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6"/>
    </w:lvl>
  </w:abstractNum>
  <w:abstractNum w:abstractNumId="26">
    <w:nsid w:val="2CA88611"/>
    <w:multiLevelType w:val="hybridMultilevel"/>
    <w:lvl w:ilvl="0">
      <w:lvlJc w:val="left"/>
      <w:lvlText w:val="%1."/>
      <w:numFmt w:val="decimal"/>
      <w:start w:val="16"/>
    </w:lvl>
    <w:lvl w:ilvl="1">
      <w:lvlJc w:val="left"/>
      <w:lvlText w:val="(%2)"/>
      <w:numFmt w:val="lowerLetter"/>
      <w:start w:val="1"/>
    </w:lvl>
  </w:abstractNum>
  <w:abstractNum w:abstractNumId="27">
    <w:nsid w:val="836C40E"/>
    <w:multiLevelType w:val="hybridMultilevel"/>
    <w:lvl w:ilvl="0">
      <w:lvlJc w:val="left"/>
      <w:lvlText w:val="%1."/>
      <w:numFmt w:val="decimal"/>
      <w:start w:val="2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2019-12-20T03:09:25Z</dcterms:created>
  <dcterms:modified xsi:type="dcterms:W3CDTF">2019-12-20T03:09:25Z</dcterms:modified>
</cp:coreProperties>
</file>