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 (Date of earliest event reported): January 31, 2019</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MANPOWERGROUP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84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7"/>
              </w:rPr>
              <w:t>Wisconsin</w:t>
            </w:r>
          </w:p>
        </w:tc>
        <w:tc>
          <w:tcPr>
            <w:tcW w:w="2920" w:type="dxa"/>
            <w:vAlign w:val="bottom"/>
          </w:tcPr>
          <w:p>
            <w:pPr>
              <w:jc w:val="right"/>
              <w:ind w:right="1186"/>
              <w:spacing w:after="0"/>
              <w:rPr>
                <w:sz w:val="20"/>
                <w:szCs w:val="20"/>
                <w:color w:val="auto"/>
              </w:rPr>
            </w:pPr>
            <w:r>
              <w:rPr>
                <w:rFonts w:ascii="Times New Roman" w:cs="Times New Roman" w:eastAsia="Times New Roman" w:hAnsi="Times New Roman"/>
                <w:sz w:val="15"/>
                <w:szCs w:val="15"/>
                <w:b w:val="1"/>
                <w:bCs w:val="1"/>
                <w:color w:val="auto"/>
              </w:rPr>
              <w:t>1-10686</w:t>
            </w:r>
          </w:p>
        </w:tc>
        <w:tc>
          <w:tcPr>
            <w:tcW w:w="3700" w:type="dxa"/>
            <w:vAlign w:val="bottom"/>
          </w:tcPr>
          <w:p>
            <w:pPr>
              <w:jc w:val="right"/>
              <w:ind w:right="1406"/>
              <w:spacing w:after="0"/>
              <w:rPr>
                <w:sz w:val="20"/>
                <w:szCs w:val="20"/>
                <w:color w:val="auto"/>
              </w:rPr>
            </w:pPr>
            <w:r>
              <w:rPr>
                <w:rFonts w:ascii="Times New Roman" w:cs="Times New Roman" w:eastAsia="Times New Roman" w:hAnsi="Times New Roman"/>
                <w:sz w:val="15"/>
                <w:szCs w:val="15"/>
                <w:b w:val="1"/>
                <w:bCs w:val="1"/>
                <w:color w:val="auto"/>
              </w:rPr>
              <w:t>39-1672779</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(State or other jurisdiction of incorporation)</w:t>
            </w:r>
          </w:p>
        </w:tc>
        <w:tc>
          <w:tcPr>
            <w:tcW w:w="2920" w:type="dxa"/>
            <w:vAlign w:val="bottom"/>
          </w:tcPr>
          <w:p>
            <w:pPr>
              <w:jc w:val="center"/>
              <w:ind w:right="6"/>
              <w:spacing w:after="0"/>
              <w:rPr>
                <w:sz w:val="20"/>
                <w:szCs w:val="20"/>
                <w:color w:val="auto"/>
              </w:rPr>
            </w:pPr>
            <w:r>
              <w:rPr>
                <w:rFonts w:ascii="Times New Roman" w:cs="Times New Roman" w:eastAsia="Times New Roman" w:hAnsi="Times New Roman"/>
                <w:sz w:val="15"/>
                <w:szCs w:val="15"/>
                <w:b w:val="1"/>
                <w:bCs w:val="1"/>
                <w:color w:val="auto"/>
                <w:w w:val="98"/>
              </w:rPr>
              <w:t>(Commission File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(IRS Employer Identification No.)</w:t>
            </w:r>
          </w:p>
        </w:tc>
      </w:tr>
      <w:tr>
        <w:trPr>
          <w:trHeight w:val="688"/>
        </w:trPr>
        <w:tc>
          <w:tcPr>
            <w:tcW w:w="4840" w:type="dxa"/>
            <w:vAlign w:val="bottom"/>
          </w:tcPr>
          <w:p>
            <w:pPr>
              <w:jc w:val="center"/>
              <w:ind w:left="1166"/>
              <w:spacing w:after="0"/>
              <w:rPr>
                <w:sz w:val="20"/>
                <w:szCs w:val="20"/>
                <w:color w:val="auto"/>
              </w:rPr>
            </w:pPr>
            <w:r>
              <w:rPr>
                <w:rFonts w:ascii="Times New Roman" w:cs="Times New Roman" w:eastAsia="Times New Roman" w:hAnsi="Times New Roman"/>
                <w:sz w:val="15"/>
                <w:szCs w:val="15"/>
                <w:b w:val="1"/>
                <w:bCs w:val="1"/>
                <w:color w:val="auto"/>
                <w:w w:val="98"/>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2"/>
        </w:trPr>
        <w:tc>
          <w:tcPr>
            <w:tcW w:w="4840" w:type="dxa"/>
            <w:vAlign w:val="bottom"/>
          </w:tcPr>
          <w:p>
            <w:pPr>
              <w:jc w:val="center"/>
              <w:ind w:left="1186"/>
              <w:spacing w:after="0"/>
              <w:rPr>
                <w:sz w:val="20"/>
                <w:szCs w:val="20"/>
                <w:color w:val="auto"/>
              </w:rPr>
            </w:pPr>
            <w:r>
              <w:rPr>
                <w:rFonts w:ascii="Times New Roman" w:cs="Times New Roman" w:eastAsia="Times New Roman" w:hAnsi="Times New Roman"/>
                <w:sz w:val="15"/>
                <w:szCs w:val="15"/>
                <w:b w:val="1"/>
                <w:bCs w:val="1"/>
                <w:color w:val="auto"/>
                <w:w w:val="98"/>
              </w:rPr>
              <w:t>Milwaukee, Wisconsin</w:t>
            </w:r>
          </w:p>
        </w:tc>
        <w:tc>
          <w:tcPr>
            <w:tcW w:w="2920" w:type="dxa"/>
            <w:vAlign w:val="bottom"/>
          </w:tcPr>
          <w:p>
            <w:pPr>
              <w:spacing w:after="0"/>
              <w:rPr>
                <w:sz w:val="19"/>
                <w:szCs w:val="19"/>
                <w:color w:val="auto"/>
              </w:rPr>
            </w:pPr>
          </w:p>
        </w:tc>
        <w:tc>
          <w:tcPr>
            <w:tcW w:w="3700" w:type="dxa"/>
            <w:vAlign w:val="bottom"/>
          </w:tcPr>
          <w:p>
            <w:pPr>
              <w:jc w:val="right"/>
              <w:ind w:right="2426"/>
              <w:spacing w:after="0"/>
              <w:rPr>
                <w:sz w:val="20"/>
                <w:szCs w:val="20"/>
                <w:color w:val="auto"/>
              </w:rPr>
            </w:pPr>
            <w:r>
              <w:rPr>
                <w:rFonts w:ascii="Times New Roman" w:cs="Times New Roman" w:eastAsia="Times New Roman" w:hAnsi="Times New Roman"/>
                <w:sz w:val="15"/>
                <w:szCs w:val="15"/>
                <w:b w:val="1"/>
                <w:bCs w:val="1"/>
                <w:color w:val="auto"/>
              </w:rPr>
              <w:t>53212</w:t>
            </w:r>
          </w:p>
        </w:tc>
      </w:tr>
      <w:tr>
        <w:trPr>
          <w:trHeight w:val="23"/>
        </w:trPr>
        <w:tc>
          <w:tcPr>
            <w:tcW w:w="48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r>
      <w:tr>
        <w:trPr>
          <w:trHeight w:val="190"/>
        </w:trPr>
        <w:tc>
          <w:tcPr>
            <w:tcW w:w="4840" w:type="dxa"/>
            <w:vAlign w:val="bottom"/>
          </w:tcPr>
          <w:p>
            <w:pPr>
              <w:jc w:val="center"/>
              <w:ind w:left="1166"/>
              <w:spacing w:after="0"/>
              <w:rPr>
                <w:sz w:val="20"/>
                <w:szCs w:val="20"/>
                <w:color w:val="auto"/>
              </w:rPr>
            </w:pPr>
            <w:r>
              <w:rPr>
                <w:rFonts w:ascii="Times New Roman" w:cs="Times New Roman" w:eastAsia="Times New Roman" w:hAnsi="Times New Roman"/>
                <w:sz w:val="15"/>
                <w:szCs w:val="15"/>
                <w:b w:val="1"/>
                <w:bCs w:val="1"/>
                <w:color w:val="auto"/>
                <w:w w:val="98"/>
              </w:rPr>
              <w:t>(Address of principal executive offices)</w:t>
            </w:r>
          </w:p>
        </w:tc>
        <w:tc>
          <w:tcPr>
            <w:tcW w:w="2920" w:type="dxa"/>
            <w:vAlign w:val="bottom"/>
          </w:tcPr>
          <w:p>
            <w:pPr>
              <w:spacing w:after="0"/>
              <w:rPr>
                <w:sz w:val="16"/>
                <w:szCs w:val="16"/>
                <w:color w:val="auto"/>
              </w:rPr>
            </w:pPr>
          </w:p>
        </w:tc>
        <w:tc>
          <w:tcPr>
            <w:tcW w:w="3700" w:type="dxa"/>
            <w:vAlign w:val="bottom"/>
          </w:tcPr>
          <w:p>
            <w:pPr>
              <w:jc w:val="center"/>
              <w:ind w:right="1606"/>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 (414) 961-1000</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316" w:lineRule="exact"/>
        <w:rPr>
          <w:sz w:val="24"/>
          <w:szCs w:val="24"/>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Securities Act (17 CFR 240.14a-12)</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337" w:lineRule="exact"/>
        <w:rPr>
          <w:rFonts w:ascii="MS PGothic" w:cs="MS PGothic" w:eastAsia="MS PGothic" w:hAnsi="MS PGothic"/>
          <w:sz w:val="15"/>
          <w:szCs w:val="15"/>
          <w:color w:val="auto"/>
        </w:rPr>
      </w:pPr>
    </w:p>
    <w:p>
      <w:pPr>
        <w:ind w:left="500" w:hanging="469"/>
        <w:spacing w:after="0"/>
        <w:tabs>
          <w:tab w:leader="none" w:pos="5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38"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6" w:lineRule="exact"/>
        <w:rPr>
          <w:sz w:val="24"/>
          <w:szCs w:val="24"/>
          <w:color w:val="auto"/>
        </w:rPr>
      </w:pPr>
    </w:p>
    <w:p>
      <w:pPr>
        <w:ind w:right="500"/>
        <w:spacing w:after="0" w:line="19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460"/>
          </w:cols>
          <w:pgMar w:left="220" w:top="933"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2.02  Results of Operations and Financial Condition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5"/>
          <w:szCs w:val="15"/>
          <w:color w:val="auto"/>
        </w:rPr>
        <w:t>On January 31, 2019, we issued a press release announcing our results of operations for the three months and year ended December 31, 2018. A copy of the press release is attached hereto as Exhibit 99.1 and is incorporated herein by reference.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1036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Exhibits</w:t>
            </w:r>
            <w:r>
              <w:rPr>
                <w:rFonts w:ascii="Times New Roman" w:cs="Times New Roman" w:eastAsia="Times New Roman" w:hAnsi="Times New Roman"/>
                <w:sz w:val="15"/>
                <w:szCs w:val="15"/>
                <w:color w:val="auto"/>
              </w:rPr>
              <w:t>.</w:t>
            </w:r>
          </w:p>
        </w:tc>
      </w:tr>
      <w:tr>
        <w:trPr>
          <w:trHeight w:val="488"/>
        </w:trPr>
        <w:tc>
          <w:tcPr>
            <w:tcW w:w="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2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Times New Roman" w:cs="Times New Roman" w:eastAsia="Times New Roman" w:hAnsi="Times New Roman"/>
                <w:sz w:val="15"/>
                <w:szCs w:val="15"/>
                <w:color w:val="0000FF"/>
                <w:w w:val="83"/>
              </w:rPr>
            </w:pPr>
            <w:hyperlink w:anchor="page5">
              <w:r>
                <w:rPr>
                  <w:rFonts w:ascii="Times New Roman" w:cs="Times New Roman" w:eastAsia="Times New Roman" w:hAnsi="Times New Roman"/>
                  <w:sz w:val="15"/>
                  <w:szCs w:val="15"/>
                  <w:color w:val="0000FF"/>
                  <w:w w:val="83"/>
                </w:rPr>
                <w:t>99.</w:t>
              </w:r>
              <w:r>
                <w:rPr>
                  <w:rFonts w:ascii="Times New Roman" w:cs="Times New Roman" w:eastAsia="Times New Roman" w:hAnsi="Times New Roman"/>
                  <w:sz w:val="15"/>
                  <w:szCs w:val="15"/>
                  <w:u w:val="single" w:color="auto"/>
                  <w:color w:val="0000FF"/>
                  <w:w w:val="83"/>
                </w:rPr>
                <w:t>1</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140" w:type="dxa"/>
            <w:vAlign w:val="bottom"/>
            <w:gridSpan w:val="3"/>
          </w:tcPr>
          <w:p>
            <w:pPr>
              <w:spacing w:after="0" w:line="158" w:lineRule="exact"/>
              <w:rPr>
                <w:rFonts w:ascii="Times New Roman" w:cs="Times New Roman" w:eastAsia="Times New Roman" w:hAnsi="Times New Roman"/>
                <w:sz w:val="15"/>
                <w:szCs w:val="15"/>
                <w:color w:val="0000FF"/>
              </w:rPr>
            </w:pPr>
            <w:hyperlink w:anchor="page5">
              <w:r>
                <w:rPr>
                  <w:rFonts w:ascii="Times New Roman" w:cs="Times New Roman" w:eastAsia="Times New Roman" w:hAnsi="Times New Roman"/>
                  <w:sz w:val="15"/>
                  <w:szCs w:val="15"/>
                  <w:color w:val="0000FF"/>
                </w:rPr>
                <w:t>Press Release dated January 31, 2019</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Times New Roman" w:cs="Times New Roman" w:eastAsia="Times New Roman" w:hAnsi="Times New Roman"/>
                <w:sz w:val="15"/>
                <w:szCs w:val="15"/>
                <w:color w:val="0000FF"/>
                <w:w w:val="83"/>
              </w:rPr>
            </w:pPr>
            <w:hyperlink w:anchor="page13">
              <w:r>
                <w:rPr>
                  <w:rFonts w:ascii="Times New Roman" w:cs="Times New Roman" w:eastAsia="Times New Roman" w:hAnsi="Times New Roman"/>
                  <w:sz w:val="15"/>
                  <w:szCs w:val="15"/>
                  <w:color w:val="0000FF"/>
                  <w:w w:val="83"/>
                </w:rPr>
                <w:t>99.</w:t>
              </w:r>
              <w:r>
                <w:rPr>
                  <w:rFonts w:ascii="Times New Roman" w:cs="Times New Roman" w:eastAsia="Times New Roman" w:hAnsi="Times New Roman"/>
                  <w:sz w:val="15"/>
                  <w:szCs w:val="15"/>
                  <w:u w:val="single" w:color="auto"/>
                  <w:color w:val="0000FF"/>
                  <w:w w:val="83"/>
                </w:rPr>
                <w:t>2</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140" w:type="dxa"/>
            <w:vAlign w:val="bottom"/>
            <w:gridSpan w:val="3"/>
          </w:tcPr>
          <w:p>
            <w:pPr>
              <w:spacing w:after="0"/>
              <w:rPr>
                <w:rFonts w:ascii="Times New Roman" w:cs="Times New Roman" w:eastAsia="Times New Roman" w:hAnsi="Times New Roman"/>
                <w:sz w:val="15"/>
                <w:szCs w:val="15"/>
                <w:color w:val="0000FF"/>
              </w:rPr>
            </w:pPr>
            <w:hyperlink w:anchor="page13">
              <w:r>
                <w:rPr>
                  <w:rFonts w:ascii="Times New Roman" w:cs="Times New Roman" w:eastAsia="Times New Roman" w:hAnsi="Times New Roman"/>
                  <w:sz w:val="15"/>
                  <w:szCs w:val="15"/>
                  <w:color w:val="0000FF"/>
                </w:rPr>
                <w:t>Presentation materials for January 31, 2019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ectPr>
          <w:pgSz w:w="11900" w:h="16838" w:orient="portrait"/>
          <w:cols w:equalWidth="0" w:num="1">
            <w:col w:w="11460"/>
          </w:cols>
          <w:pgMar w:left="220" w:top="678" w:right="2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color w:val="auto"/>
        </w:rPr>
        <w:t>MANPOWERGROUP INC.</w:t>
      </w:r>
    </w:p>
    <w:p>
      <w:pPr>
        <w:spacing w:after="0" w:line="271" w:lineRule="exact"/>
        <w:rPr>
          <w:sz w:val="20"/>
          <w:szCs w:val="20"/>
          <w:color w:val="auto"/>
        </w:rPr>
      </w:pPr>
    </w:p>
    <w:p>
      <w:pPr>
        <w:spacing w:after="0"/>
        <w:tabs>
          <w:tab w:leader="none" w:pos="3680" w:val="left"/>
          <w:tab w:leader="none" w:pos="4340" w:val="left"/>
        </w:tabs>
        <w:rPr>
          <w:sz w:val="20"/>
          <w:szCs w:val="20"/>
          <w:color w:val="auto"/>
        </w:rPr>
      </w:pPr>
      <w:r>
        <w:rPr>
          <w:rFonts w:ascii="Times New Roman" w:cs="Times New Roman" w:eastAsia="Times New Roman" w:hAnsi="Times New Roman"/>
          <w:sz w:val="15"/>
          <w:szCs w:val="15"/>
          <w:color w:val="auto"/>
        </w:rPr>
        <w:t>Dated: January 31, 2019</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26670</wp:posOffset>
            </wp:positionV>
            <wp:extent cx="1958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8975" cy="6985"/>
                    </a:xfrm>
                    <a:prstGeom prst="rect">
                      <a:avLst/>
                    </a:prstGeom>
                    <a:noFill/>
                  </pic:spPr>
                </pic:pic>
              </a:graphicData>
            </a:graphic>
          </wp:anchor>
        </w:drawing>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color w:val="auto"/>
        </w:rPr>
        <w:t>John T. McGinnis</w:t>
      </w:r>
    </w:p>
    <w:p>
      <w:pPr>
        <w:spacing w:after="0" w:line="1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color w:val="auto"/>
        </w:rPr>
        <w:t>Executive Vice President and</w:t>
      </w:r>
    </w:p>
    <w:p>
      <w:pPr>
        <w:spacing w:after="0" w:line="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360"/>
          </w:cols>
          <w:pgMar w:left="260" w:top="85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692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488"/>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1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r>
      <w:tr>
        <w:trPr>
          <w:trHeight w:val="158"/>
        </w:trPr>
        <w:tc>
          <w:tcPr>
            <w:tcW w:w="280" w:type="dxa"/>
            <w:vAlign w:val="bottom"/>
            <w:gridSpan w:val="2"/>
          </w:tcPr>
          <w:p>
            <w:pPr>
              <w:ind w:left="40"/>
              <w:spacing w:after="0" w:line="158" w:lineRule="exact"/>
              <w:rPr>
                <w:rFonts w:ascii="Times New Roman" w:cs="Times New Roman" w:eastAsia="Times New Roman" w:hAnsi="Times New Roman"/>
                <w:sz w:val="15"/>
                <w:szCs w:val="15"/>
                <w:color w:val="0000FF"/>
                <w:w w:val="83"/>
              </w:rPr>
            </w:pPr>
            <w:hyperlink w:anchor="page5">
              <w:r>
                <w:rPr>
                  <w:rFonts w:ascii="Times New Roman" w:cs="Times New Roman" w:eastAsia="Times New Roman" w:hAnsi="Times New Roman"/>
                  <w:sz w:val="15"/>
                  <w:szCs w:val="15"/>
                  <w:color w:val="0000FF"/>
                  <w:w w:val="83"/>
                </w:rPr>
                <w:t>99.</w:t>
              </w:r>
              <w:r>
                <w:rPr>
                  <w:rFonts w:ascii="Times New Roman" w:cs="Times New Roman" w:eastAsia="Times New Roman" w:hAnsi="Times New Roman"/>
                  <w:sz w:val="15"/>
                  <w:szCs w:val="15"/>
                  <w:u w:val="single" w:color="auto"/>
                  <w:color w:val="0000FF"/>
                  <w:w w:val="83"/>
                </w:rPr>
                <w:t>1</w:t>
              </w:r>
            </w:hyperlink>
          </w:p>
        </w:tc>
        <w:tc>
          <w:tcPr>
            <w:tcW w:w="2040" w:type="dxa"/>
            <w:vAlign w:val="bottom"/>
          </w:tcPr>
          <w:p>
            <w:pPr>
              <w:spacing w:after="0"/>
              <w:rPr>
                <w:sz w:val="13"/>
                <w:szCs w:val="13"/>
                <w:color w:val="auto"/>
              </w:rPr>
            </w:pPr>
          </w:p>
        </w:tc>
        <w:tc>
          <w:tcPr>
            <w:tcW w:w="9140" w:type="dxa"/>
            <w:vAlign w:val="bottom"/>
            <w:gridSpan w:val="3"/>
          </w:tcPr>
          <w:p>
            <w:pPr>
              <w:spacing w:after="0" w:line="158" w:lineRule="exact"/>
              <w:rPr>
                <w:rFonts w:ascii="Times New Roman" w:cs="Times New Roman" w:eastAsia="Times New Roman" w:hAnsi="Times New Roman"/>
                <w:sz w:val="15"/>
                <w:szCs w:val="15"/>
                <w:color w:val="0000FF"/>
              </w:rPr>
            </w:pPr>
            <w:hyperlink w:anchor="page5">
              <w:r>
                <w:rPr>
                  <w:rFonts w:ascii="Times New Roman" w:cs="Times New Roman" w:eastAsia="Times New Roman" w:hAnsi="Times New Roman"/>
                  <w:sz w:val="15"/>
                  <w:szCs w:val="15"/>
                  <w:color w:val="0000FF"/>
                </w:rPr>
                <w:t>Press Release dated January 31, 2019</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202"/>
        </w:trPr>
        <w:tc>
          <w:tcPr>
            <w:tcW w:w="280" w:type="dxa"/>
            <w:vAlign w:val="bottom"/>
            <w:gridSpan w:val="2"/>
          </w:tcPr>
          <w:p>
            <w:pPr>
              <w:ind w:left="40"/>
              <w:spacing w:after="0"/>
              <w:rPr>
                <w:rFonts w:ascii="Times New Roman" w:cs="Times New Roman" w:eastAsia="Times New Roman" w:hAnsi="Times New Roman"/>
                <w:sz w:val="15"/>
                <w:szCs w:val="15"/>
                <w:color w:val="0000FF"/>
                <w:w w:val="83"/>
              </w:rPr>
            </w:pPr>
            <w:hyperlink w:anchor="page13">
              <w:r>
                <w:rPr>
                  <w:rFonts w:ascii="Times New Roman" w:cs="Times New Roman" w:eastAsia="Times New Roman" w:hAnsi="Times New Roman"/>
                  <w:sz w:val="15"/>
                  <w:szCs w:val="15"/>
                  <w:color w:val="0000FF"/>
                  <w:w w:val="83"/>
                </w:rPr>
                <w:t>99.</w:t>
              </w:r>
              <w:r>
                <w:rPr>
                  <w:rFonts w:ascii="Times New Roman" w:cs="Times New Roman" w:eastAsia="Times New Roman" w:hAnsi="Times New Roman"/>
                  <w:sz w:val="15"/>
                  <w:szCs w:val="15"/>
                  <w:u w:val="single" w:color="auto"/>
                  <w:color w:val="0000FF"/>
                  <w:w w:val="83"/>
                </w:rPr>
                <w:t>2</w:t>
              </w:r>
            </w:hyperlink>
          </w:p>
        </w:tc>
        <w:tc>
          <w:tcPr>
            <w:tcW w:w="2040" w:type="dxa"/>
            <w:vAlign w:val="bottom"/>
          </w:tcPr>
          <w:p>
            <w:pPr>
              <w:spacing w:after="0"/>
              <w:rPr>
                <w:sz w:val="17"/>
                <w:szCs w:val="17"/>
                <w:color w:val="auto"/>
              </w:rPr>
            </w:pPr>
          </w:p>
        </w:tc>
        <w:tc>
          <w:tcPr>
            <w:tcW w:w="9140" w:type="dxa"/>
            <w:vAlign w:val="bottom"/>
            <w:gridSpan w:val="3"/>
          </w:tcPr>
          <w:p>
            <w:pPr>
              <w:spacing w:after="0"/>
              <w:rPr>
                <w:rFonts w:ascii="Times New Roman" w:cs="Times New Roman" w:eastAsia="Times New Roman" w:hAnsi="Times New Roman"/>
                <w:sz w:val="15"/>
                <w:szCs w:val="15"/>
                <w:color w:val="0000FF"/>
              </w:rPr>
            </w:pPr>
            <w:hyperlink w:anchor="page13">
              <w:r>
                <w:rPr>
                  <w:rFonts w:ascii="Times New Roman" w:cs="Times New Roman" w:eastAsia="Times New Roman" w:hAnsi="Times New Roman"/>
                  <w:sz w:val="15"/>
                  <w:szCs w:val="15"/>
                  <w:color w:val="0000FF"/>
                </w:rPr>
                <w:t>Presentation materials for January 31, 2019 Conference Call</w:t>
              </w:r>
            </w:hyperlink>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ectPr>
          <w:pgSz w:w="11900" w:h="16838" w:orient="portrait"/>
          <w:cols w:equalWidth="0" w:num="1">
            <w:col w:w="11460"/>
          </w:cols>
          <w:pgMar w:left="220" w:top="855" w:right="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993140" cy="542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3140" cy="54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tabs>
          <w:tab w:leader="none" w:pos="3020" w:val="left"/>
        </w:tabs>
        <w:rPr>
          <w:sz w:val="20"/>
          <w:szCs w:val="20"/>
          <w:color w:val="auto"/>
        </w:rPr>
      </w:pPr>
      <w:r>
        <w:rPr>
          <w:rFonts w:ascii="Arial" w:cs="Arial" w:eastAsia="Arial" w:hAnsi="Arial"/>
          <w:sz w:val="15"/>
          <w:szCs w:val="15"/>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74"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Jack McGinnis</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5"/>
          <w:szCs w:val="15"/>
          <w:color w:val="auto"/>
        </w:rPr>
        <w:t>+1.414.906.7977</w:t>
      </w:r>
    </w:p>
    <w:p>
      <w:pPr>
        <w:spacing w:after="0" w:line="5" w:lineRule="exact"/>
        <w:rPr>
          <w:sz w:val="20"/>
          <w:szCs w:val="20"/>
          <w:color w:val="auto"/>
        </w:rPr>
      </w:pPr>
    </w:p>
    <w:p>
      <w:pPr>
        <w:ind w:left="3740"/>
        <w:spacing w:after="0"/>
        <w:rPr>
          <w:sz w:val="20"/>
          <w:szCs w:val="20"/>
          <w:color w:val="auto"/>
        </w:rPr>
      </w:pPr>
      <w:r>
        <w:rPr>
          <w:rFonts w:ascii="Arial" w:cs="Arial" w:eastAsia="Arial" w:hAnsi="Arial"/>
          <w:sz w:val="15"/>
          <w:szCs w:val="15"/>
          <w:u w:val="single" w:color="auto"/>
          <w:color w:val="0000FF"/>
        </w:rPr>
        <w:t>jack.mcginnis@manpowergroup.com</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Reports 4th Quarter and Full Year 2018 Results</w:t>
      </w:r>
    </w:p>
    <w:p>
      <w:pPr>
        <w:spacing w:after="0" w:line="208" w:lineRule="exact"/>
        <w:rPr>
          <w:sz w:val="20"/>
          <w:szCs w:val="20"/>
          <w:color w:val="auto"/>
        </w:rPr>
      </w:pPr>
    </w:p>
    <w:p>
      <w:pPr>
        <w:jc w:val="both"/>
        <w:ind w:left="80"/>
        <w:spacing w:after="0" w:line="386" w:lineRule="auto"/>
        <w:rPr>
          <w:sz w:val="20"/>
          <w:szCs w:val="20"/>
          <w:color w:val="auto"/>
        </w:rPr>
      </w:pPr>
      <w:r>
        <w:rPr>
          <w:rFonts w:ascii="Arial" w:cs="Arial" w:eastAsia="Arial" w:hAnsi="Arial"/>
          <w:sz w:val="16"/>
          <w:szCs w:val="16"/>
          <w:b w:val="1"/>
          <w:bCs w:val="1"/>
          <w:color w:val="auto"/>
        </w:rPr>
        <w:t xml:space="preserve">MILWAUKEE, January 31, 2019 -- </w:t>
      </w:r>
      <w:r>
        <w:rPr>
          <w:rFonts w:ascii="Arial" w:cs="Arial" w:eastAsia="Arial" w:hAnsi="Arial"/>
          <w:sz w:val="16"/>
          <w:szCs w:val="16"/>
          <w:color w:val="auto"/>
        </w:rPr>
        <w:t>ManpowerGroup (NYSE: MAN) today reported net earnings of $2.54 per diluted share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2018 compared to $3.22 per diluted share in the prior year period. The net earnings in the quarter were $158.3 million compared to $216.3 million a year earlier. Revenues for the fourth quarter totaled $5.4 billion, a decrease of 4% from the year earlier period.</w:t>
      </w:r>
    </w:p>
    <w:p>
      <w:pPr>
        <w:spacing w:after="0" w:line="202" w:lineRule="exact"/>
        <w:rPr>
          <w:sz w:val="20"/>
          <w:szCs w:val="20"/>
          <w:color w:val="auto"/>
        </w:rPr>
      </w:pPr>
    </w:p>
    <w:p>
      <w:pPr>
        <w:jc w:val="both"/>
        <w:ind w:left="80" w:firstLine="510"/>
        <w:spacing w:after="0" w:line="377" w:lineRule="auto"/>
        <w:rPr>
          <w:sz w:val="20"/>
          <w:szCs w:val="20"/>
          <w:color w:val="auto"/>
        </w:rPr>
      </w:pPr>
      <w:r>
        <w:rPr>
          <w:rFonts w:ascii="Arial" w:cs="Arial" w:eastAsia="Arial" w:hAnsi="Arial"/>
          <w:sz w:val="16"/>
          <w:szCs w:val="16"/>
          <w:color w:val="auto"/>
        </w:rPr>
        <w:t>Financial results in the quarter were impacted by the sale of our non-core language translation business in the Netherlands. The gain on sale of this business positively impacted earnings per share by 10 cents in the fourth quarter. Financial results in the prior year period were significantly impacted by discrete net tax benefits primarily related to U.S. tax reform through the enactment of the Tax Cuts and Jobs Act in the fourth quarter of 2017. Discrete net tax benefits positively impacted earnings per share by $1.10 in the fourth quarter of 2017.</w:t>
      </w:r>
    </w:p>
    <w:p>
      <w:pPr>
        <w:spacing w:after="0" w:line="209" w:lineRule="exact"/>
        <w:rPr>
          <w:sz w:val="20"/>
          <w:szCs w:val="20"/>
          <w:color w:val="auto"/>
        </w:rPr>
      </w:pPr>
    </w:p>
    <w:p>
      <w:pPr>
        <w:jc w:val="both"/>
        <w:ind w:firstLine="599"/>
        <w:spacing w:after="0" w:line="377" w:lineRule="auto"/>
        <w:rPr>
          <w:sz w:val="20"/>
          <w:szCs w:val="20"/>
          <w:color w:val="auto"/>
        </w:rPr>
      </w:pPr>
      <w:r>
        <w:rPr>
          <w:rFonts w:ascii="Arial" w:cs="Arial" w:eastAsia="Arial" w:hAnsi="Arial"/>
          <w:sz w:val="16"/>
          <w:szCs w:val="16"/>
          <w:color w:val="auto"/>
        </w:rPr>
        <w:t>Financial results in the quarter were also impacted by the stronger U.S. dollar relative to foreign currencies compared to the prior year period. On a constant currency basis, revenues decreased 1% and net earnings per diluted share decreased 18%. Excluding the gain on sale of the language translation business in the quarter and the discrete net tax benefits in the prior year period, on a constant currency basis, net earnings per diluted share increased 20%. Earnings per share in the quarter were negatively impacted 11 cents by changes in foreign currencies compared to the prior year.</w:t>
      </w:r>
    </w:p>
    <w:p>
      <w:pPr>
        <w:spacing w:after="0" w:line="209" w:lineRule="exact"/>
        <w:rPr>
          <w:sz w:val="20"/>
          <w:szCs w:val="20"/>
          <w:color w:val="auto"/>
        </w:rPr>
      </w:pPr>
    </w:p>
    <w:p>
      <w:pPr>
        <w:jc w:val="both"/>
        <w:ind w:firstLine="533"/>
        <w:spacing w:after="0" w:line="377" w:lineRule="auto"/>
        <w:rPr>
          <w:sz w:val="20"/>
          <w:szCs w:val="20"/>
          <w:color w:val="auto"/>
        </w:rPr>
      </w:pPr>
      <w:r>
        <w:rPr>
          <w:rFonts w:ascii="Arial" w:cs="Arial" w:eastAsia="Arial" w:hAnsi="Arial"/>
          <w:sz w:val="16"/>
          <w:szCs w:val="16"/>
          <w:color w:val="auto"/>
        </w:rPr>
        <w:t>Jonas Prising, ManpowerGroup Chairman &amp; CEO, said, “The fourth quarter results reflect a more challenging environment, particularly in Europe. Our performance demonstrates our capability to respond rapidly as market dynamics in some parts of the world change. We are confident in our ability to manage in a more uncertain environment and believe our market-leading global footprint and extensive portfolio of workforce solutions will continue to serve us well and provide us with opportunities for profitable growth.</w:t>
      </w:r>
    </w:p>
    <w:p>
      <w:pPr>
        <w:sectPr>
          <w:pgSz w:w="11900" w:h="16838" w:orient="portrait"/>
          <w:cols w:equalWidth="0" w:num="1">
            <w:col w:w="11460"/>
          </w:cols>
          <w:pgMar w:left="220" w:top="500" w:right="219" w:bottom="1440" w:gutter="0" w:footer="0" w:header="0"/>
        </w:sectPr>
      </w:pPr>
    </w:p>
    <w:bookmarkStart w:id="5" w:name="page6"/>
    <w:bookmarkEnd w:id="5"/>
    <w:p>
      <w:pPr>
        <w:jc w:val="both"/>
        <w:ind w:right="20" w:firstLine="533"/>
        <w:spacing w:after="0" w:line="407" w:lineRule="auto"/>
        <w:rPr>
          <w:sz w:val="20"/>
          <w:szCs w:val="20"/>
          <w:color w:val="auto"/>
        </w:rPr>
      </w:pPr>
      <w:r>
        <w:rPr>
          <w:rFonts w:ascii="Arial" w:cs="Arial" w:eastAsia="Arial" w:hAnsi="Arial"/>
          <w:sz w:val="16"/>
          <w:szCs w:val="16"/>
          <w:color w:val="auto"/>
        </w:rPr>
        <w:t>“We are anticipating diluted earnings per share in the first quarter of 2019 to be in the range of $1.30 to $1.38, which includes an estimated unfavorable currency impact of 13 cents,” Prising stated.</w:t>
      </w:r>
    </w:p>
    <w:p>
      <w:pPr>
        <w:spacing w:after="0" w:line="108" w:lineRule="exact"/>
        <w:rPr>
          <w:sz w:val="20"/>
          <w:szCs w:val="20"/>
          <w:color w:val="auto"/>
        </w:rPr>
      </w:pPr>
    </w:p>
    <w:p>
      <w:pPr>
        <w:jc w:val="both"/>
        <w:ind w:firstLine="510"/>
        <w:spacing w:after="0" w:line="371" w:lineRule="auto"/>
        <w:rPr>
          <w:sz w:val="20"/>
          <w:szCs w:val="20"/>
          <w:color w:val="auto"/>
        </w:rPr>
      </w:pPr>
      <w:r>
        <w:rPr>
          <w:rFonts w:ascii="Arial" w:cs="Arial" w:eastAsia="Arial" w:hAnsi="Arial"/>
          <w:sz w:val="16"/>
          <w:szCs w:val="16"/>
          <w:color w:val="auto"/>
        </w:rPr>
        <w:t>Net earnings for the year ended December 31, 2018 were $556.7 million, or $8.56 per diluted share compared to net earnings of $545.4 million, or $8.04 per diluted share in the prior year. The year to date period included restructuring costs which reduced earnings per share by 46 cents. The prior year to date period included restructuring costs which reduced earnings per share by 41 cents and discrete income tax benefits which increased earnings per share by $1.31. Revenues for the year were $22.0 billion, an increase of 5% from the prior year in reported U.S. dollars or 2% in constant currency. Earnings per share for the year were positively impacted 8 cents by changes in foreign currencies compared to the prior year, or 12 cents excluding the restructuring costs. Earnings per share for the year were also positively impacted 10 cents by the gain on sale of the language translation business.</w:t>
      </w:r>
    </w:p>
    <w:p>
      <w:pPr>
        <w:spacing w:after="0" w:line="135" w:lineRule="exact"/>
        <w:rPr>
          <w:sz w:val="20"/>
          <w:szCs w:val="20"/>
          <w:color w:val="auto"/>
        </w:rPr>
      </w:pPr>
    </w:p>
    <w:p>
      <w:pPr>
        <w:jc w:val="both"/>
        <w:ind w:firstLine="510"/>
        <w:spacing w:after="0" w:line="384" w:lineRule="auto"/>
        <w:rPr>
          <w:sz w:val="20"/>
          <w:szCs w:val="20"/>
          <w:color w:val="auto"/>
        </w:rPr>
      </w:pPr>
      <w:r>
        <w:rPr>
          <w:rFonts w:ascii="Arial" w:cs="Arial" w:eastAsia="Arial" w:hAnsi="Arial"/>
          <w:sz w:val="16"/>
          <w:szCs w:val="16"/>
          <w:color w:val="auto"/>
        </w:rPr>
        <w:t xml:space="preserve">In conjunction with its fourth quarter and full year earnings release, ManpowerGroup will broadcast its conference call live over the Internet on January 31, 2019 at 7:30 a.m. CST (8:30 a.m. EST). Interested parties are invited to listen to the webcast and view the presentation by logging on to </w:t>
      </w:r>
      <w:r>
        <w:rPr>
          <w:rFonts w:ascii="Arial" w:cs="Arial" w:eastAsia="Arial" w:hAnsi="Arial"/>
          <w:sz w:val="16"/>
          <w:szCs w:val="16"/>
          <w:u w:val="single" w:color="auto"/>
          <w:color w:val="0000FF"/>
        </w:rPr>
        <w:t>http://investor.manpowergroup.com/</w:t>
      </w:r>
      <w:r>
        <w:rPr>
          <w:rFonts w:ascii="Arial" w:cs="Arial" w:eastAsia="Arial" w:hAnsi="Arial"/>
          <w:sz w:val="16"/>
          <w:szCs w:val="16"/>
          <w:color w:val="0000FF"/>
        </w:rPr>
        <w:t xml:space="preserve"> </w:t>
      </w:r>
      <w:r>
        <w:rPr>
          <w:rFonts w:ascii="Arial" w:cs="Arial" w:eastAsia="Arial" w:hAnsi="Arial"/>
          <w:sz w:val="16"/>
          <w:szCs w:val="16"/>
          <w:color w:val="000000"/>
        </w:rPr>
        <w:t>in the section titled “Investor Relations.”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0000FF"/>
        </w:rPr>
        <w:t>http://investor.manpowergroup.com/</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ManpowerGroup</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70 years. In 2018, ManpowerGroup was named one of the World's Most Ethical Companies for the ninth year and one of Fortune's Most Admired Companies for the seventeenth year, confirming our position as the most trusted and admired brand in the industry. See how ManpowerGroup is powering the future of work: </w:t>
      </w:r>
      <w:r>
        <w:rPr>
          <w:rFonts w:ascii="Arial" w:cs="Arial" w:eastAsia="Arial" w:hAnsi="Arial"/>
          <w:sz w:val="15"/>
          <w:szCs w:val="15"/>
          <w:u w:val="single" w:color="auto"/>
          <w:color w:val="0000FF"/>
        </w:rPr>
        <w:t>www.manpowergroup.com</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2017, which information is incorporated herein by reference.</w:t>
      </w:r>
    </w:p>
    <w:p>
      <w:pPr>
        <w:spacing w:after="0" w:line="37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w:t>
      </w:r>
    </w:p>
    <w:p>
      <w:pPr>
        <w:sectPr>
          <w:pgSz w:w="11900" w:h="16838" w:orient="portrait"/>
          <w:cols w:equalWidth="0" w:num="1">
            <w:col w:w="11460"/>
          </w:cols>
          <w:pgMar w:left="220" w:top="638" w:right="2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Results of Operations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center"/>
              <w:ind w:right="526"/>
              <w:spacing w:after="0"/>
              <w:rPr>
                <w:sz w:val="20"/>
                <w:szCs w:val="20"/>
                <w:color w:val="auto"/>
              </w:rPr>
            </w:pPr>
            <w:r>
              <w:rPr>
                <w:rFonts w:ascii="Times New Roman" w:cs="Times New Roman" w:eastAsia="Times New Roman" w:hAnsi="Times New Roman"/>
                <w:sz w:val="15"/>
                <w:szCs w:val="15"/>
                <w:b w:val="1"/>
                <w:bCs w:val="1"/>
                <w:color w:val="auto"/>
                <w:w w:val="99"/>
              </w:rPr>
              <w:t>Three Months Ended December 31</w:t>
            </w:r>
          </w:p>
        </w:tc>
        <w:tc>
          <w:tcPr>
            <w:tcW w:w="1060" w:type="dxa"/>
            <w:vAlign w:val="bottom"/>
          </w:tcPr>
          <w:p>
            <w:pPr>
              <w:spacing w:after="0"/>
              <w:rPr>
                <w:sz w:val="16"/>
                <w:szCs w:val="16"/>
                <w:color w:val="auto"/>
              </w:rPr>
            </w:pPr>
          </w:p>
        </w:tc>
      </w:tr>
      <w:tr>
        <w:trPr>
          <w:trHeight w:val="25"/>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846"/>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Constant</w:t>
            </w:r>
          </w:p>
        </w:tc>
      </w:tr>
      <w:tr>
        <w:trPr>
          <w:trHeight w:val="222"/>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ind w:right="806"/>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06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Currency</w:t>
            </w:r>
          </w:p>
        </w:tc>
      </w:tr>
      <w:tr>
        <w:trPr>
          <w:trHeight w:val="25"/>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tcPr>
          <w:p>
            <w:pPr>
              <w:jc w:val="center"/>
              <w:ind w:left="806"/>
              <w:spacing w:after="0"/>
              <w:rPr>
                <w:sz w:val="20"/>
                <w:szCs w:val="20"/>
                <w:color w:val="auto"/>
              </w:rPr>
            </w:pPr>
            <w:r>
              <w:rPr>
                <w:rFonts w:ascii="Times New Roman" w:cs="Times New Roman" w:eastAsia="Times New Roman" w:hAnsi="Times New Roman"/>
                <w:sz w:val="15"/>
                <w:szCs w:val="15"/>
                <w:color w:val="auto"/>
                <w:w w:val="96"/>
              </w:rPr>
              <w:t>(Unaudited)</w:t>
            </w:r>
          </w:p>
        </w:tc>
        <w:tc>
          <w:tcPr>
            <w:tcW w:w="1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services (a)</w:t>
            </w:r>
          </w:p>
        </w:tc>
        <w:tc>
          <w:tcPr>
            <w:tcW w:w="3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5,393.2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5,637.5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-4.3 %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4,512.9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4,703.0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-4.0 %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Gross profit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880.3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934.5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-5.8 %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Selling and administrative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662.4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697.1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-5.0 %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-1.8 %</w:t>
            </w: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profit</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217.9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237.4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-8.2 %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and other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-72.5 %</w:t>
            </w:r>
          </w:p>
        </w:tc>
        <w:tc>
          <w:tcPr>
            <w:tcW w:w="1060" w:type="dxa"/>
            <w:vAlign w:val="bottom"/>
            <w:tcBorders>
              <w:bottom w:val="single" w:sz="8" w:color="CCEEFF"/>
            </w:tcBorders>
          </w:tcPr>
          <w:p>
            <w:pPr>
              <w:spacing w:after="0"/>
              <w:rPr>
                <w:sz w:val="19"/>
                <w:szCs w:val="19"/>
                <w:color w:val="auto"/>
              </w:rPr>
            </w:pPr>
          </w:p>
        </w:tc>
      </w:tr>
      <w:tr>
        <w:trPr>
          <w:trHeight w:val="202"/>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Earnings before income taxes</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214.3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224.0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224"/>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622.2 %</w:t>
            </w:r>
          </w:p>
        </w:tc>
        <w:tc>
          <w:tcPr>
            <w:tcW w:w="1060" w:type="dxa"/>
            <w:vAlign w:val="bottom"/>
            <w:tcBorders>
              <w:bottom w:val="single" w:sz="8" w:color="CCEEFF"/>
            </w:tcBorders>
          </w:tcPr>
          <w:p>
            <w:pPr>
              <w:spacing w:after="0"/>
              <w:rPr>
                <w:sz w:val="19"/>
                <w:szCs w:val="19"/>
                <w:color w:val="auto"/>
              </w:rPr>
            </w:pPr>
          </w:p>
        </w:tc>
      </w:tr>
      <w:tr>
        <w:trPr>
          <w:trHeight w:val="216"/>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earnings</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216.3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-26.8 %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earnings per share - basic</w:t>
            </w:r>
          </w:p>
        </w:tc>
        <w:tc>
          <w:tcPr>
            <w:tcW w:w="3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-21.5 %</w:t>
            </w:r>
          </w:p>
        </w:tc>
        <w:tc>
          <w:tcPr>
            <w:tcW w:w="1060" w:type="dxa"/>
            <w:vAlign w:val="bottom"/>
            <w:tcBorders>
              <w:bottom w:val="single" w:sz="8" w:color="CCEEFF"/>
            </w:tcBorders>
          </w:tcPr>
          <w:p>
            <w:pPr>
              <w:spacing w:after="0"/>
              <w:rPr>
                <w:sz w:val="20"/>
                <w:szCs w:val="20"/>
                <w:color w:val="auto"/>
              </w:rPr>
            </w:pPr>
          </w:p>
        </w:tc>
      </w:tr>
      <w:tr>
        <w:trPr>
          <w:trHeight w:val="19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earnings per share - diluted</w:t>
            </w: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-21.1 %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-17.7 %</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Weighted average shares - basic</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66.4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jc w:val="right"/>
              <w:ind w:right="426"/>
              <w:spacing w:after="0"/>
              <w:rPr>
                <w:sz w:val="20"/>
                <w:szCs w:val="20"/>
                <w:color w:val="auto"/>
              </w:rPr>
            </w:pPr>
            <w:r>
              <w:rPr>
                <w:rFonts w:ascii="Times New Roman" w:cs="Times New Roman" w:eastAsia="Times New Roman" w:hAnsi="Times New Roman"/>
                <w:sz w:val="15"/>
                <w:szCs w:val="15"/>
                <w:color w:val="auto"/>
              </w:rPr>
              <w:t>-6.8 %</w:t>
            </w:r>
          </w:p>
        </w:tc>
        <w:tc>
          <w:tcPr>
            <w:tcW w:w="1060" w:type="dxa"/>
            <w:vAlign w:val="bottom"/>
            <w:tcBorders>
              <w:bottom w:val="single" w:sz="8" w:color="CCEEFF"/>
            </w:tcBorders>
          </w:tcPr>
          <w:p>
            <w:pPr>
              <w:spacing w:after="0"/>
              <w:rPr>
                <w:sz w:val="20"/>
                <w:szCs w:val="20"/>
                <w:color w:val="auto"/>
              </w:rPr>
            </w:pPr>
          </w:p>
        </w:tc>
      </w:tr>
      <w:tr>
        <w:trPr>
          <w:trHeight w:val="19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shares - diluted</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15"/>
                <w:szCs w:val="15"/>
                <w:color w:val="auto"/>
              </w:rPr>
              <w:t>-7.4 %</w:t>
            </w: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1" w:lineRule="exact"/>
        <w:rPr>
          <w:sz w:val="20"/>
          <w:szCs w:val="20"/>
          <w:color w:val="auto"/>
        </w:rPr>
      </w:pPr>
    </w:p>
    <w:p>
      <w:pPr>
        <w:ind w:left="20" w:right="220"/>
        <w:spacing w:after="0" w:line="260" w:lineRule="auto"/>
        <w:tabs>
          <w:tab w:leader="none" w:pos="22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services include fees received from our franchise offices of $6.5 million and $6.2 million for the three months ended December 31, 2018 and 2017, respectively. These fees are primarily based on revenues generated by the franchise offices, which were $267.2 million and $270.5 million for the three months ended December 31, 2018 and 2017, respectively.</w:t>
      </w:r>
    </w:p>
    <w:p>
      <w:pPr>
        <w:sectPr>
          <w:pgSz w:w="11900" w:h="16838" w:orient="portrait"/>
          <w:cols w:equalWidth="0" w:num="1">
            <w:col w:w="11260"/>
          </w:cols>
          <w:pgMar w:left="420" w:top="630" w:right="2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Operating Unit Results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center"/>
              <w:ind w:right="546"/>
              <w:spacing w:after="0"/>
              <w:rPr>
                <w:sz w:val="20"/>
                <w:szCs w:val="20"/>
                <w:color w:val="auto"/>
              </w:rPr>
            </w:pPr>
            <w:r>
              <w:rPr>
                <w:rFonts w:ascii="Times New Roman" w:cs="Times New Roman" w:eastAsia="Times New Roman" w:hAnsi="Times New Roman"/>
                <w:sz w:val="15"/>
                <w:szCs w:val="15"/>
                <w:b w:val="1"/>
                <w:bCs w:val="1"/>
                <w:color w:val="auto"/>
                <w:w w:val="98"/>
              </w:rPr>
              <w:t>Three Months Ended December 31</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center"/>
              <w:ind w:left="806"/>
              <w:spacing w:after="0"/>
              <w:rPr>
                <w:sz w:val="20"/>
                <w:szCs w:val="20"/>
                <w:color w:val="auto"/>
              </w:rPr>
            </w:pPr>
            <w:r>
              <w:rPr>
                <w:rFonts w:ascii="Times New Roman" w:cs="Times New Roman" w:eastAsia="Times New Roman" w:hAnsi="Times New Roman"/>
                <w:sz w:val="15"/>
                <w:szCs w:val="15"/>
                <w:color w:val="auto"/>
                <w:w w:val="99"/>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632.3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666.3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-5.1 %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411.9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405.5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1.6 %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14.0 %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1,044.2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1,071.8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-2.6 %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r>
      <w:tr>
        <w:trPr>
          <w:trHeight w:val="187"/>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1,430.6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1,501.7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-4.7 %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99"/>
        </w:trPr>
        <w:tc>
          <w:tcPr>
            <w:tcW w:w="5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403.8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428.9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-5.9 %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459.6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468.4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2,294.0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2,399.0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-4.4 %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1,272.6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1,418.1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-10.3 %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732.3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695.2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5.3 %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53.4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-6.3 %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5,393.2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5,637.5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-4.3 %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37.8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-13.4 %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2.7 %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16.1 %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-7.9 %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-3.3 %</w:t>
            </w:r>
          </w:p>
        </w:tc>
      </w:tr>
      <w:tr>
        <w:trPr>
          <w:trHeight w:val="187"/>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80.9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81.1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-0.2 %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r>
      <w:tr>
        <w:trPr>
          <w:trHeight w:val="199"/>
        </w:trPr>
        <w:tc>
          <w:tcPr>
            <w:tcW w:w="5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34.5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-17.7 %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126.6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133.6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-5.2 %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40.9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45.4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-9.8 %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-6.2 %</w:t>
            </w: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-2.7 %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257.2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275.3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217.9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237.4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-8.2 %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214.3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224.0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20" w:right="220" w:firstLine="5"/>
        <w:spacing w:after="0" w:line="260" w:lineRule="auto"/>
        <w:tabs>
          <w:tab w:leader="none" w:pos="221"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United States, revenues from services include fees received from our franchise offices of $4.2 million and $3.8 million for the three months ended December 31, 2018 and 2017, respectively. These fees are primarily based on revenues generated by the franchise offices, which were $165.6 million and $164.3 million for the three months ended December 31, 2018 and 2017, respectively.</w:t>
      </w:r>
    </w:p>
    <w:p>
      <w:pPr>
        <w:spacing w:after="0" w:line="127" w:lineRule="exact"/>
        <w:rPr>
          <w:rFonts w:ascii="Times New Roman" w:cs="Times New Roman" w:eastAsia="Times New Roman" w:hAnsi="Times New Roman"/>
          <w:sz w:val="15"/>
          <w:szCs w:val="15"/>
          <w:color w:val="auto"/>
        </w:rPr>
      </w:pPr>
    </w:p>
    <w:p>
      <w:pPr>
        <w:ind w:left="240" w:hanging="215"/>
        <w:spacing w:after="0"/>
        <w:tabs>
          <w:tab w:leader="none" w:pos="2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components of interest and other expenses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308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13.0</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Interest income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308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exchange (gain) loss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0.4</w:t>
            </w:r>
          </w:p>
        </w:tc>
        <w:tc>
          <w:tcPr>
            <w:tcW w:w="308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Miscellaneous (income) expense,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1.4</w:t>
            </w:r>
          </w:p>
        </w:tc>
        <w:tc>
          <w:tcPr>
            <w:tcW w:w="308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13.4</w:t>
            </w:r>
          </w:p>
        </w:tc>
        <w:tc>
          <w:tcPr>
            <w:tcW w:w="308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0"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Results of Operations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746"/>
              <w:spacing w:after="0"/>
              <w:rPr>
                <w:sz w:val="20"/>
                <w:szCs w:val="20"/>
                <w:color w:val="auto"/>
              </w:rPr>
            </w:pPr>
            <w:r>
              <w:rPr>
                <w:rFonts w:ascii="Times New Roman" w:cs="Times New Roman" w:eastAsia="Times New Roman" w:hAnsi="Times New Roman"/>
                <w:sz w:val="15"/>
                <w:szCs w:val="15"/>
                <w:color w:val="auto"/>
                <w:w w:val="99"/>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services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21,991.2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21,034.3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4.5 %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18,412.2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17,549.7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4.9 %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3,579.0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3,484.6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2.7 %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Selling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2,782.3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2,695.4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3.2 %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796.7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789.2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and other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-19.1 %</w:t>
            </w: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Earnings before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754.7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737.3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2.4 %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198.0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191.9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3.2 %</w:t>
            </w: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earnings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556.7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545.4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2.1 %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earnings per share - basic</w:t>
            </w: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8.62</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8.13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6.0 %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earnings per share - diluted</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8.56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8.04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6.5 %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5"/>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Weighted average shares - basic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64.6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67.1</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-3.7 %</w:t>
            </w:r>
          </w:p>
        </w:tc>
        <w:tc>
          <w:tcPr>
            <w:tcW w:w="1060" w:type="dxa"/>
            <w:vAlign w:val="bottom"/>
            <w:tcBorders>
              <w:bottom w:val="single" w:sz="8" w:color="CCEEFF"/>
            </w:tcBorders>
          </w:tcPr>
          <w:p>
            <w:pPr>
              <w:spacing w:after="0"/>
              <w:rPr>
                <w:sz w:val="20"/>
                <w:szCs w:val="20"/>
                <w:color w:val="auto"/>
              </w:rPr>
            </w:pPr>
          </w:p>
        </w:tc>
      </w:tr>
      <w:tr>
        <w:trPr>
          <w:trHeight w:val="19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shares - diluted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65.1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67.9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-4.1 %</w:t>
            </w: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41" w:lineRule="exact"/>
        <w:rPr>
          <w:sz w:val="20"/>
          <w:szCs w:val="20"/>
          <w:color w:val="auto"/>
        </w:rPr>
      </w:pPr>
    </w:p>
    <w:p>
      <w:pPr>
        <w:ind w:left="20" w:right="60" w:firstLine="5"/>
        <w:spacing w:after="0" w:line="273" w:lineRule="auto"/>
        <w:tabs>
          <w:tab w:leader="none" w:pos="221"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Revenues from services include fees received from our franchise offices of $24.1 million and $23.7 million for the years ended December 31, 2018 and 2017, respectively. These fees are primarily based on revenues generated by the franchise offices, which were $1,056.6 million and $1,029.8 million for the years ended December 31, 2018 and 2017, respectively.</w:t>
      </w:r>
    </w:p>
    <w:p>
      <w:pPr>
        <w:sectPr>
          <w:pgSz w:w="11900" w:h="16838" w:orient="portrait"/>
          <w:cols w:equalWidth="0" w:num="1">
            <w:col w:w="11280"/>
          </w:cols>
          <w:pgMar w:left="320" w:top="808"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Operating Unit Results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4"/>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1060" w:type="dxa"/>
            <w:vAlign w:val="bottom"/>
          </w:tcPr>
          <w:p>
            <w:pPr>
              <w:spacing w:after="0"/>
              <w:rPr>
                <w:sz w:val="16"/>
                <w:szCs w:val="16"/>
                <w:color w:val="auto"/>
              </w:rPr>
            </w:pP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Variance</w:t>
            </w:r>
          </w:p>
        </w:tc>
        <w:tc>
          <w:tcPr>
            <w:tcW w:w="1060" w:type="dxa"/>
            <w:vAlign w:val="bottom"/>
          </w:tcPr>
          <w:p>
            <w:pPr>
              <w:spacing w:after="0"/>
              <w:rPr>
                <w:sz w:val="17"/>
                <w:szCs w:val="17"/>
                <w:color w:val="auto"/>
              </w:rPr>
            </w:pPr>
          </w:p>
        </w:tc>
      </w:tr>
      <w:tr>
        <w:trPr>
          <w:trHeight w:val="25"/>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866"/>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Constant</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ind w:right="826"/>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Currency</w:t>
            </w:r>
          </w:p>
        </w:tc>
      </w:tr>
      <w:tr>
        <w:trPr>
          <w:trHeight w:val="25"/>
        </w:trPr>
        <w:tc>
          <w:tcPr>
            <w:tcW w:w="5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center"/>
              <w:ind w:left="746"/>
              <w:spacing w:after="0"/>
              <w:rPr>
                <w:sz w:val="20"/>
                <w:szCs w:val="20"/>
                <w:color w:val="auto"/>
              </w:rPr>
            </w:pPr>
            <w:r>
              <w:rPr>
                <w:rFonts w:ascii="Times New Roman" w:cs="Times New Roman" w:eastAsia="Times New Roman" w:hAnsi="Times New Roman"/>
                <w:sz w:val="15"/>
                <w:szCs w:val="15"/>
                <w:color w:val="auto"/>
                <w:w w:val="99"/>
              </w:rPr>
              <w:t>(Unaudited)</w:t>
            </w: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from Services: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United States (a)</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2,522.3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2,659.0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-5.1 %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1,637.0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1,557.4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5.1 %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12.4 %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4,159.3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4,216.4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187"/>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5,827.7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5,477.2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6.4 %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199"/>
        </w:trPr>
        <w:tc>
          <w:tcPr>
            <w:tcW w:w="5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1,670.6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1,475.9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13.2 %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1,873.3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1,703.9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9.9 %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9,371.6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8,657.0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8.3 %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4.0 %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5,370.5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5,306.4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2,890.3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2,636.4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9.6 %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199.5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218.1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-8.5 %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-9.4 %</w:t>
            </w:r>
          </w:p>
        </w:tc>
      </w:tr>
      <w:tr>
        <w:trPr>
          <w:trHeight w:val="256"/>
        </w:trPr>
        <w:tc>
          <w:tcPr>
            <w:tcW w:w="5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21,991.2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21,034.3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4.5 %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18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Unit Profit:</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Americas: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United States</w:t>
            </w: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130.8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152.1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-14.0 %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-14.0 %</w:t>
            </w:r>
          </w:p>
        </w:tc>
      </w:tr>
      <w:tr>
        <w:trPr>
          <w:trHeight w:val="224"/>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Other Americas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19.6 %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27.9 %</w:t>
            </w:r>
          </w:p>
        </w:tc>
      </w:tr>
      <w:tr>
        <w:trPr>
          <w:trHeight w:val="236"/>
        </w:trPr>
        <w:tc>
          <w:tcPr>
            <w:tcW w:w="5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203.9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213.3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r>
      <w:tr>
        <w:trPr>
          <w:trHeight w:val="187"/>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Southern Europe: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France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290.4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280.0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3.7 %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r>
      <w:tr>
        <w:trPr>
          <w:trHeight w:val="199"/>
        </w:trPr>
        <w:tc>
          <w:tcPr>
            <w:tcW w:w="54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Italy</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104.5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6.3 %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Southern Europe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11.1 %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9.9 %</w:t>
            </w:r>
          </w:p>
        </w:tc>
      </w:tr>
      <w:tr>
        <w:trPr>
          <w:trHeight w:val="224"/>
        </w:trPr>
        <w:tc>
          <w:tcPr>
            <w:tcW w:w="5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467.6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443.9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446"/>
              <w:spacing w:after="0"/>
              <w:rPr>
                <w:sz w:val="20"/>
                <w:szCs w:val="20"/>
                <w:color w:val="auto"/>
              </w:rPr>
            </w:pPr>
            <w:r>
              <w:rPr>
                <w:rFonts w:ascii="Times New Roman" w:cs="Times New Roman" w:eastAsia="Times New Roman" w:hAnsi="Times New Roman"/>
                <w:sz w:val="15"/>
                <w:szCs w:val="15"/>
                <w:color w:val="auto"/>
              </w:rPr>
              <w:t>5.3 %</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202"/>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Northern Europe</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122.7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140.1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-12.4 %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-12.8 %</w:t>
            </w:r>
          </w:p>
        </w:tc>
      </w:tr>
      <w:tr>
        <w:trPr>
          <w:trHeight w:val="199"/>
        </w:trPr>
        <w:tc>
          <w:tcPr>
            <w:tcW w:w="54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APME</w:t>
            </w: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114.8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98.9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16.0 %</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15.6 %</w:t>
            </w: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Right Management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32.8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36.0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-9.1 %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-9.2 %</w:t>
            </w:r>
          </w:p>
        </w:tc>
      </w:tr>
      <w:tr>
        <w:trPr>
          <w:trHeight w:val="199"/>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941.8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932.2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Corporate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Intangible asset amortization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02"/>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Operating profit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796.7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789.2</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0.9 %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-0.4 %</w:t>
            </w:r>
          </w:p>
        </w:tc>
      </w:tr>
      <w:tr>
        <w:trPr>
          <w:trHeight w:val="224"/>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and other expenses (b)</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r>
      <w:tr>
        <w:trPr>
          <w:trHeight w:val="216"/>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Earnings before income taxes</w:t>
            </w: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754.7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737.3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 w:right="80" w:firstLine="5"/>
        <w:spacing w:after="0" w:line="260" w:lineRule="auto"/>
        <w:tabs>
          <w:tab w:leader="none" w:pos="22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United States, revenues from services include fees received from our franchise offices of $15.0 million and $14.8 million for the years ended December 31, 2018 and 2017, respectively. These fees are primarily based on revenues generated by the franchise offices, which were $651.2 million and $651.9 million for the years ended December 31, 2018 and 2017, respectively.</w:t>
      </w:r>
    </w:p>
    <w:p>
      <w:pPr>
        <w:spacing w:after="0" w:line="127" w:lineRule="exact"/>
        <w:rPr>
          <w:rFonts w:ascii="Times New Roman" w:cs="Times New Roman" w:eastAsia="Times New Roman" w:hAnsi="Times New Roman"/>
          <w:sz w:val="15"/>
          <w:szCs w:val="15"/>
          <w:color w:val="auto"/>
        </w:rPr>
      </w:pPr>
    </w:p>
    <w:p>
      <w:pPr>
        <w:ind w:left="240" w:hanging="215"/>
        <w:spacing w:after="0"/>
        <w:tabs>
          <w:tab w:leader="none" w:pos="2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components of interest and other expenses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40" w:type="dxa"/>
            <w:vAlign w:val="bottom"/>
          </w:tcPr>
          <w:p>
            <w:pPr>
              <w:spacing w:after="0"/>
              <w:rPr>
                <w:sz w:val="16"/>
                <w:szCs w:val="16"/>
                <w:color w:val="auto"/>
              </w:rPr>
            </w:pPr>
          </w:p>
        </w:tc>
        <w:tc>
          <w:tcPr>
            <w:tcW w:w="880" w:type="dxa"/>
            <w:vAlign w:val="bottom"/>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2018</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6"/>
              <w:spacing w:after="0"/>
              <w:rPr>
                <w:sz w:val="20"/>
                <w:szCs w:val="20"/>
                <w:color w:val="auto"/>
              </w:rPr>
            </w:pPr>
            <w:r>
              <w:rPr>
                <w:rFonts w:ascii="Times New Roman" w:cs="Times New Roman" w:eastAsia="Times New Roman" w:hAnsi="Times New Roman"/>
                <w:sz w:val="15"/>
                <w:szCs w:val="15"/>
                <w:b w:val="1"/>
                <w:bCs w:val="1"/>
                <w:color w:val="auto"/>
              </w:rPr>
              <w:t>2017</w:t>
            </w:r>
          </w:p>
        </w:tc>
        <w:tc>
          <w:tcPr>
            <w:tcW w:w="3060" w:type="dxa"/>
            <w:vAlign w:val="bottom"/>
          </w:tcPr>
          <w:p>
            <w:pPr>
              <w:spacing w:after="0"/>
              <w:rPr>
                <w:sz w:val="16"/>
                <w:szCs w:val="16"/>
                <w:color w:val="auto"/>
              </w:rPr>
            </w:pPr>
          </w:p>
        </w:tc>
      </w:tr>
      <w:tr>
        <w:trPr>
          <w:trHeight w:val="25"/>
        </w:trPr>
        <w:tc>
          <w:tcPr>
            <w:tcW w:w="5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expense</w:t>
            </w: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49.4</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199"/>
        </w:trPr>
        <w:tc>
          <w:tcPr>
            <w:tcW w:w="54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Interest income</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3060" w:type="dxa"/>
            <w:vAlign w:val="bottom"/>
          </w:tcPr>
          <w:p>
            <w:pPr>
              <w:spacing w:after="0"/>
              <w:rPr>
                <w:sz w:val="17"/>
                <w:szCs w:val="17"/>
                <w:color w:val="auto"/>
              </w:rPr>
            </w:pPr>
          </w:p>
        </w:tc>
      </w:tr>
      <w:tr>
        <w:trPr>
          <w:trHeight w:val="23"/>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2"/>
        </w:trPr>
        <w:tc>
          <w:tcPr>
            <w:tcW w:w="5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Foreign exchange loss</w:t>
            </w:r>
          </w:p>
        </w:tc>
        <w:tc>
          <w:tcPr>
            <w:tcW w:w="8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0.8</w:t>
            </w:r>
          </w:p>
        </w:tc>
        <w:tc>
          <w:tcPr>
            <w:tcW w:w="3060" w:type="dxa"/>
            <w:vAlign w:val="bottom"/>
            <w:tcBorders>
              <w:bottom w:val="single" w:sz="8" w:color="CCEEFF"/>
            </w:tcBorders>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Miscellaneous (income) expense, net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6.5</w:t>
            </w:r>
          </w:p>
        </w:tc>
        <w:tc>
          <w:tcPr>
            <w:tcW w:w="3060" w:type="dxa"/>
            <w:vAlign w:val="bottom"/>
            <w:tcBorders>
              <w:bottom w:val="single" w:sz="8" w:color="CCEEFF"/>
            </w:tcBorders>
          </w:tcPr>
          <w:p>
            <w:pPr>
              <w:spacing w:after="0"/>
              <w:rPr>
                <w:sz w:val="19"/>
                <w:szCs w:val="19"/>
                <w:color w:val="auto"/>
              </w:rPr>
            </w:pPr>
          </w:p>
        </w:tc>
      </w:tr>
      <w:tr>
        <w:trPr>
          <w:trHeight w:val="227"/>
        </w:trPr>
        <w:tc>
          <w:tcPr>
            <w:tcW w:w="5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26"/>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51.9</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80"/>
          </w:cols>
          <w:pgMar w:left="320" w:top="630"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Consolidated Balance Sheets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Dec. 31</w:t>
            </w:r>
          </w:p>
        </w:tc>
        <w:tc>
          <w:tcPr>
            <w:tcW w:w="340" w:type="dxa"/>
            <w:vAlign w:val="bottom"/>
          </w:tcPr>
          <w:p>
            <w:pPr>
              <w:spacing w:after="0"/>
              <w:rPr>
                <w:sz w:val="16"/>
                <w:szCs w:val="16"/>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5"/>
                <w:szCs w:val="15"/>
                <w:b w:val="1"/>
                <w:bCs w:val="1"/>
                <w:color w:val="auto"/>
              </w:rPr>
              <w:t>Dec. 31</w:t>
            </w:r>
          </w:p>
        </w:tc>
      </w:tr>
      <w:tr>
        <w:trPr>
          <w:trHeight w:val="222"/>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2017</w:t>
            </w:r>
          </w:p>
        </w:tc>
      </w:tr>
      <w:tr>
        <w:trPr>
          <w:trHeight w:val="25"/>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(Unaudited)</w:t>
            </w: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591.9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689.0</w:t>
            </w:r>
          </w:p>
        </w:tc>
      </w:tr>
      <w:tr>
        <w:trPr>
          <w:trHeight w:val="199"/>
        </w:trPr>
        <w:tc>
          <w:tcPr>
            <w:tcW w:w="8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5,276.1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5,370.5</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4"/>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129.1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111.7</w:t>
            </w:r>
          </w:p>
        </w:tc>
      </w:tr>
      <w:tr>
        <w:trPr>
          <w:trHeight w:val="199"/>
        </w:trPr>
        <w:tc>
          <w:tcPr>
            <w:tcW w:w="8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5,997.1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6,171.2</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1,297.1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1,343.0</w:t>
            </w:r>
          </w:p>
        </w:tc>
      </w:tr>
      <w:tr>
        <w:trPr>
          <w:trHeight w:val="23"/>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Intangible assets, net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246.3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284.0</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826.7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927.7</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2,370.1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2,554.7</w:t>
            </w:r>
          </w:p>
        </w:tc>
      </w:tr>
      <w:tr>
        <w:trPr>
          <w:trHeight w:val="199"/>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1370" cy="140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1370" cy="140970"/>
                    </a:xfrm>
                    <a:prstGeom prst="rect">
                      <a:avLst/>
                    </a:prstGeom>
                    <a:noFill/>
                  </pic:spPr>
                </pic:pic>
              </a:graphicData>
            </a:graphic>
          </wp:anchor>
        </w:drawing>
      </w:r>
    </w:p>
    <w:p>
      <w:pPr>
        <w:sectPr>
          <w:pgSz w:w="11900" w:h="16838" w:orient="portrait"/>
          <w:cols w:equalWidth="0" w:num="1">
            <w:col w:w="11280"/>
          </w:cols>
          <w:pgMar w:left="320" w:top="630" w:right="299" w:bottom="1440" w:gutter="0" w:footer="0" w:header="0"/>
        </w:sectPr>
      </w:pP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Land, buildings, leasehold improvements and equipment</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1370" cy="154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5"/>
          <w:szCs w:val="15"/>
          <w:color w:val="auto"/>
        </w:rPr>
        <w:t>Net property and equipment</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1370" cy="154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137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613.6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633.4</w:t>
            </w:r>
          </w:p>
        </w:tc>
      </w:tr>
      <w:tr>
        <w:trPr>
          <w:trHeight w:val="222"/>
        </w:trPr>
        <w:tc>
          <w:tcPr>
            <w:tcW w:w="400" w:type="dxa"/>
            <w:vAlign w:val="bottom"/>
          </w:tcPr>
          <w:p>
            <w:pPr>
              <w:spacing w:after="0"/>
              <w:rPr>
                <w:sz w:val="19"/>
                <w:szCs w:val="19"/>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461.0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475.7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spacing w:after="0"/>
              <w:rPr>
                <w:sz w:val="17"/>
                <w:szCs w:val="17"/>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152.6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157.7</w:t>
            </w:r>
          </w:p>
        </w:tc>
      </w:tr>
      <w:tr>
        <w:trPr>
          <w:trHeight w:val="25"/>
        </w:trPr>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9"/>
        </w:trPr>
        <w:tc>
          <w:tcPr>
            <w:tcW w:w="40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8,519.8</w:t>
            </w:r>
          </w:p>
        </w:tc>
        <w:tc>
          <w:tcPr>
            <w:tcW w:w="1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6414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1475" cy="698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7960" w:space="720"/>
            <w:col w:w="2600"/>
          </w:cols>
          <w:pgMar w:left="320" w:top="630" w:right="2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2,266.7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2,279.4</w:t>
            </w:r>
          </w:p>
        </w:tc>
      </w:tr>
      <w:tr>
        <w:trPr>
          <w:trHeight w:val="199"/>
        </w:trPr>
        <w:tc>
          <w:tcPr>
            <w:tcW w:w="8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Employee compensation payable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209.7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230.6</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411.0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490.9</w:t>
            </w:r>
          </w:p>
        </w:tc>
      </w:tr>
      <w:tr>
        <w:trPr>
          <w:trHeight w:val="199"/>
        </w:trPr>
        <w:tc>
          <w:tcPr>
            <w:tcW w:w="8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payroll taxes and insurance</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729.8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794.7</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Value added taxes payable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508.6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545.4</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Short-term borrowings and current maturities of long-term debt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469.4</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4,175.9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4,810.4</w:t>
            </w:r>
          </w:p>
        </w:tc>
      </w:tr>
      <w:tr>
        <w:trPr>
          <w:trHeight w:val="199"/>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Long-term debt</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1,025.3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478.1</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620.1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737.5</w:t>
            </w:r>
          </w:p>
        </w:tc>
      </w:tr>
      <w:tr>
        <w:trPr>
          <w:trHeight w:val="202"/>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other liabilities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1,645.4</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1,215.6</w:t>
            </w:r>
          </w:p>
        </w:tc>
      </w:tr>
      <w:tr>
        <w:trPr>
          <w:trHeight w:val="199"/>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ManpowerGroup shareholders'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Common stock</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1.2</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Capital in excess of par value</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3,337.5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3,302.6</w:t>
            </w:r>
          </w:p>
        </w:tc>
      </w:tr>
      <w:tr>
        <w:trPr>
          <w:trHeight w:val="199"/>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Retained earnings</w:t>
            </w:r>
          </w:p>
        </w:tc>
        <w:tc>
          <w:tcPr>
            <w:tcW w:w="360" w:type="dxa"/>
            <w:vAlign w:val="bottom"/>
          </w:tcPr>
          <w:p>
            <w:pPr>
              <w:spacing w:after="0"/>
              <w:rPr>
                <w:sz w:val="17"/>
                <w:szCs w:val="17"/>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3,157.7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2,713.0</w:t>
            </w:r>
          </w:p>
        </w:tc>
      </w:tr>
      <w:tr>
        <w:trPr>
          <w:trHeight w:val="23"/>
        </w:trPr>
        <w:tc>
          <w:tcPr>
            <w:tcW w:w="8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(288.2)</w:t>
            </w:r>
          </w:p>
        </w:tc>
      </w:tr>
      <w:tr>
        <w:trPr>
          <w:trHeight w:val="224"/>
        </w:trPr>
        <w:tc>
          <w:tcPr>
            <w:tcW w:w="8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Treasury stock, at cost</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(3,471.7)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(2,953.7)</w:t>
            </w:r>
          </w:p>
        </w:tc>
      </w:tr>
      <w:tr>
        <w:trPr>
          <w:trHeight w:val="224"/>
        </w:trPr>
        <w:tc>
          <w:tcPr>
            <w:tcW w:w="8680" w:type="dxa"/>
            <w:vAlign w:val="bottom"/>
            <w:tcBorders>
              <w:bottom w:val="single" w:sz="8" w:color="CCEEFF"/>
            </w:tcBorders>
            <w:shd w:val="clear" w:color="auto" w:fill="CCEEFF"/>
          </w:tcPr>
          <w:p>
            <w:pPr>
              <w:jc w:val="right"/>
              <w:ind w:right="5706"/>
              <w:spacing w:after="0"/>
              <w:rPr>
                <w:sz w:val="20"/>
                <w:szCs w:val="20"/>
                <w:color w:val="auto"/>
              </w:rPr>
            </w:pPr>
            <w:r>
              <w:rPr>
                <w:rFonts w:ascii="Times New Roman" w:cs="Times New Roman" w:eastAsia="Times New Roman" w:hAnsi="Times New Roman"/>
                <w:sz w:val="15"/>
                <w:szCs w:val="15"/>
                <w:color w:val="auto"/>
              </w:rPr>
              <w:t>Total ManpowerGroup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2,624.9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2,774.9</w:t>
            </w:r>
          </w:p>
        </w:tc>
      </w:tr>
      <w:tr>
        <w:trPr>
          <w:trHeight w:val="224"/>
        </w:trPr>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Noncontrolling interests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82.7</w:t>
            </w:r>
          </w:p>
        </w:tc>
      </w:tr>
      <w:tr>
        <w:trPr>
          <w:trHeight w:val="224"/>
        </w:trPr>
        <w:tc>
          <w:tcPr>
            <w:tcW w:w="8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2,698.5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2,857.6</w:t>
            </w:r>
          </w:p>
        </w:tc>
      </w:tr>
      <w:tr>
        <w:trPr>
          <w:trHeight w:val="216"/>
        </w:trPr>
        <w:tc>
          <w:tcPr>
            <w:tcW w:w="8680" w:type="dxa"/>
            <w:vAlign w:val="bottom"/>
          </w:tcPr>
          <w:p>
            <w:pPr>
              <w:jc w:val="right"/>
              <w:ind w:right="5706"/>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3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8,519.8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8,883.6</w:t>
            </w:r>
          </w:p>
        </w:tc>
      </w:tr>
      <w:tr>
        <w:trPr>
          <w:trHeight w:val="20"/>
        </w:trPr>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20" w:top="630" w:right="29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1"/>
          <w:szCs w:val="21"/>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Consolidated Statements of Cash Flows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86"/>
              <w:spacing w:after="0"/>
              <w:rPr>
                <w:sz w:val="20"/>
                <w:szCs w:val="20"/>
                <w:color w:val="auto"/>
              </w:rPr>
            </w:pPr>
            <w:r>
              <w:rPr>
                <w:rFonts w:ascii="Times New Roman" w:cs="Times New Roman" w:eastAsia="Times New Roman" w:hAnsi="Times New Roman"/>
                <w:sz w:val="15"/>
                <w:szCs w:val="15"/>
                <w:b w:val="1"/>
                <w:bCs w:val="1"/>
                <w:color w:val="auto"/>
                <w:w w:val="95"/>
              </w:rPr>
              <w:t>Year Ended</w:t>
            </w:r>
          </w:p>
        </w:tc>
        <w:tc>
          <w:tcPr>
            <w:tcW w:w="820" w:type="dxa"/>
            <w:vAlign w:val="bottom"/>
          </w:tcPr>
          <w:p>
            <w:pPr>
              <w:spacing w:after="0"/>
              <w:rPr>
                <w:sz w:val="16"/>
                <w:szCs w:val="16"/>
                <w:color w:val="auto"/>
              </w:rPr>
            </w:pPr>
          </w:p>
        </w:tc>
      </w:tr>
      <w:tr>
        <w:trPr>
          <w:trHeight w:val="222"/>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center"/>
              <w:ind w:left="486"/>
              <w:spacing w:after="0"/>
              <w:rPr>
                <w:sz w:val="20"/>
                <w:szCs w:val="20"/>
                <w:color w:val="auto"/>
              </w:rPr>
            </w:pPr>
            <w:r>
              <w:rPr>
                <w:rFonts w:ascii="Times New Roman" w:cs="Times New Roman" w:eastAsia="Times New Roman" w:hAnsi="Times New Roman"/>
                <w:sz w:val="15"/>
                <w:szCs w:val="15"/>
                <w:b w:val="1"/>
                <w:bCs w:val="1"/>
                <w:color w:val="auto"/>
                <w:w w:val="97"/>
              </w:rPr>
              <w:t>December 31</w:t>
            </w:r>
          </w:p>
        </w:tc>
        <w:tc>
          <w:tcPr>
            <w:tcW w:w="820" w:type="dxa"/>
            <w:vAlign w:val="bottom"/>
          </w:tcPr>
          <w:p>
            <w:pPr>
              <w:spacing w:after="0"/>
              <w:rPr>
                <w:sz w:val="19"/>
                <w:szCs w:val="19"/>
                <w:color w:val="auto"/>
              </w:rPr>
            </w:pP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26"/>
              <w:spacing w:after="0"/>
              <w:rPr>
                <w:sz w:val="20"/>
                <w:szCs w:val="20"/>
                <w:color w:val="auto"/>
              </w:rPr>
            </w:pPr>
            <w:r>
              <w:rPr>
                <w:rFonts w:ascii="Times New Roman" w:cs="Times New Roman" w:eastAsia="Times New Roman" w:hAnsi="Times New Roman"/>
                <w:sz w:val="15"/>
                <w:szCs w:val="15"/>
                <w:b w:val="1"/>
                <w:bCs w:val="1"/>
                <w:color w:val="auto"/>
              </w:rPr>
              <w:t>2018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2017</w:t>
            </w:r>
          </w:p>
        </w:tc>
      </w:tr>
      <w:tr>
        <w:trPr>
          <w:trHeight w:val="25"/>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9"/>
        </w:trPr>
        <w:tc>
          <w:tcPr>
            <w:tcW w:w="8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left="466"/>
              <w:spacing w:after="0"/>
              <w:rPr>
                <w:sz w:val="20"/>
                <w:szCs w:val="20"/>
                <w:color w:val="auto"/>
              </w:rPr>
            </w:pPr>
            <w:r>
              <w:rPr>
                <w:rFonts w:ascii="Times New Roman" w:cs="Times New Roman" w:eastAsia="Times New Roman" w:hAnsi="Times New Roman"/>
                <w:sz w:val="15"/>
                <w:szCs w:val="15"/>
                <w:color w:val="auto"/>
                <w:w w:val="99"/>
              </w:rPr>
              <w:t>(Unaudited)</w:t>
            </w:r>
          </w:p>
        </w:tc>
        <w:tc>
          <w:tcPr>
            <w:tcW w:w="82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Net earnings</w:t>
            </w:r>
          </w:p>
        </w:tc>
        <w:tc>
          <w:tcPr>
            <w:tcW w:w="30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556.7</w:t>
            </w:r>
          </w:p>
        </w:tc>
        <w:tc>
          <w:tcPr>
            <w:tcW w:w="100" w:type="dxa"/>
            <w:vAlign w:val="bottom"/>
          </w:tcPr>
          <w:p>
            <w:pPr>
              <w:spacing w:after="0"/>
              <w:rPr>
                <w:sz w:val="17"/>
                <w:szCs w:val="17"/>
                <w:color w:val="auto"/>
              </w:rPr>
            </w:pPr>
          </w:p>
        </w:tc>
        <w:tc>
          <w:tcPr>
            <w:tcW w:w="42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545.4</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84.4</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(196.8)</w:t>
            </w:r>
          </w:p>
        </w:tc>
      </w:tr>
      <w:tr>
        <w:trPr>
          <w:trHeight w:val="199"/>
        </w:trPr>
        <w:tc>
          <w:tcPr>
            <w:tcW w:w="87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Provision for doubtful accounts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18.1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27.8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28.7</w:t>
            </w: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Changes in operating assets and liabilities, excluding the impact of acquisitions: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receivable</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(146.4)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(544.9)</w:t>
            </w:r>
          </w:p>
        </w:tc>
      </w:tr>
      <w:tr>
        <w:trPr>
          <w:trHeight w:val="199"/>
        </w:trPr>
        <w:tc>
          <w:tcPr>
            <w:tcW w:w="87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Other assets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(110.6)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534.6</w:t>
            </w:r>
          </w:p>
        </w:tc>
      </w:tr>
      <w:tr>
        <w:trPr>
          <w:trHeight w:val="224"/>
        </w:trPr>
        <w:tc>
          <w:tcPr>
            <w:tcW w:w="8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5"/>
                <w:szCs w:val="15"/>
                <w:color w:val="auto"/>
              </w:rPr>
              <w:t>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483.1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400.9</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Capital expenditures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(64.7)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Acquisitions of businesses, net of cash acquired</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Proceeds from the sale of investments, property and equipment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12.9</w:t>
            </w:r>
          </w:p>
        </w:tc>
      </w:tr>
      <w:tr>
        <w:trPr>
          <w:trHeight w:val="236"/>
        </w:trPr>
        <w:tc>
          <w:tcPr>
            <w:tcW w:w="8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Cash used in investing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w:t>
            </w:r>
          </w:p>
        </w:tc>
      </w:tr>
      <w:tr>
        <w:trPr>
          <w:trHeight w:val="187"/>
        </w:trPr>
        <w:tc>
          <w:tcPr>
            <w:tcW w:w="8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Net change in short-term borrowings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5.5</w:t>
            </w: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Proceeds from long-term debt</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583.3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0.1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Repayments of long-term debt</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(408.6)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Payments for debt issuance costs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Payments of contingent consideration for acquisitions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Proceeds from share-based awards and other equity transactions</w:t>
            </w:r>
          </w:p>
        </w:tc>
        <w:tc>
          <w:tcPr>
            <w:tcW w:w="300" w:type="dxa"/>
            <w:vAlign w:val="bottom"/>
          </w:tcPr>
          <w:p>
            <w:pPr>
              <w:spacing w:after="0"/>
              <w:rPr>
                <w:sz w:val="17"/>
                <w:szCs w:val="17"/>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44.2</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Payments to noncontrolling interests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9"/>
        </w:trPr>
        <w:tc>
          <w:tcPr>
            <w:tcW w:w="87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 share-based award transactions</w:t>
            </w:r>
          </w:p>
        </w:tc>
        <w:tc>
          <w:tcPr>
            <w:tcW w:w="300" w:type="dxa"/>
            <w:vAlign w:val="bottom"/>
          </w:tcPr>
          <w:p>
            <w:pPr>
              <w:spacing w:after="0"/>
              <w:rPr>
                <w:sz w:val="17"/>
                <w:szCs w:val="17"/>
                <w:color w:val="auto"/>
              </w:rPr>
            </w:pP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(17.3)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23"/>
        </w:trPr>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2"/>
        </w:trPr>
        <w:tc>
          <w:tcPr>
            <w:tcW w:w="8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Repurchases of 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(500.7)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w:t>
            </w:r>
          </w:p>
        </w:tc>
      </w:tr>
      <w:tr>
        <w:trPr>
          <w:trHeight w:val="224"/>
        </w:trPr>
        <w:tc>
          <w:tcPr>
            <w:tcW w:w="8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Dividends paid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(123.7)</w:t>
            </w:r>
          </w:p>
        </w:tc>
      </w:tr>
      <w:tr>
        <w:trPr>
          <w:trHeight w:val="224"/>
        </w:trPr>
        <w:tc>
          <w:tcPr>
            <w:tcW w:w="8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(484.9)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(319.3)</w:t>
            </w:r>
          </w:p>
        </w:tc>
      </w:tr>
      <w:tr>
        <w:trPr>
          <w:trHeight w:val="224"/>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83.4</w:t>
            </w:r>
          </w:p>
        </w:tc>
      </w:tr>
      <w:tr>
        <w:trPr>
          <w:trHeight w:val="202"/>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cash and cash equivalents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(97.1)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90.5</w:t>
            </w:r>
          </w:p>
        </w:tc>
      </w:tr>
      <w:tr>
        <w:trPr>
          <w:trHeight w:val="224"/>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689.0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598.5</w:t>
            </w:r>
          </w:p>
        </w:tc>
      </w:tr>
      <w:tr>
        <w:trPr>
          <w:trHeight w:val="216"/>
        </w:trPr>
        <w:tc>
          <w:tcPr>
            <w:tcW w:w="8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0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591.9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689.0</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60" w:top="630"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2019-12-28T16:53:23Z</dcterms:created>
  <dcterms:modified xsi:type="dcterms:W3CDTF">2019-12-28T16:53:23Z</dcterms:modified>
</cp:coreProperties>
</file>