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UNITED STATES</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SECURITIES AND EXCHANGE COMMISSION</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33"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 8-K/A</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(Amendment No. 1)</w:t>
      </w:r>
    </w:p>
    <w:p>
      <w:pPr>
        <w:spacing w:after="0" w:line="215"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CURRENT REPORT</w:t>
      </w:r>
    </w:p>
    <w:p>
      <w:pPr>
        <w:spacing w:after="0" w:line="200" w:lineRule="exact"/>
        <w:rPr>
          <w:sz w:val="24"/>
          <w:szCs w:val="24"/>
          <w:color w:val="auto"/>
        </w:rPr>
      </w:pPr>
    </w:p>
    <w:p>
      <w:pPr>
        <w:spacing w:after="0" w:line="276"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Pursuant to Section 13 or 15(d) of the Securities Exchange Act of 1934</w:t>
      </w:r>
    </w:p>
    <w:p>
      <w:pPr>
        <w:spacing w:after="0" w:line="233"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Report (Date of earliest event reported): July 27, 2005</w:t>
      </w:r>
    </w:p>
    <w:p>
      <w:pPr>
        <w:spacing w:after="0" w:line="200" w:lineRule="exact"/>
        <w:rPr>
          <w:sz w:val="24"/>
          <w:szCs w:val="24"/>
          <w:color w:val="auto"/>
        </w:rPr>
      </w:pPr>
    </w:p>
    <w:p>
      <w:pPr>
        <w:spacing w:after="0" w:line="276"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MANPOWER INC.</w:t>
      </w:r>
    </w:p>
    <w:p>
      <w:pPr>
        <w:spacing w:after="0" w:line="8"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0" w:lineRule="exact"/>
        <w:rPr>
          <w:sz w:val="24"/>
          <w:szCs w:val="24"/>
          <w:color w:val="auto"/>
        </w:rPr>
      </w:pPr>
    </w:p>
    <w:p>
      <w:pPr>
        <w:spacing w:after="0" w:line="243" w:lineRule="exact"/>
        <w:rPr>
          <w:sz w:val="24"/>
          <w:szCs w:val="24"/>
          <w:color w:val="auto"/>
        </w:rPr>
      </w:pPr>
    </w:p>
    <w:tbl>
      <w:tblPr>
        <w:tblLayout w:type="fixed"/>
        <w:tblInd w:w="176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60" w:type="dxa"/>
            <w:vAlign w:val="bottom"/>
            <w:tcBorders>
              <w:bottom w:val="single" w:sz="8" w:color="auto"/>
            </w:tcBorders>
          </w:tcPr>
          <w:p>
            <w:pPr>
              <w:ind w:left="600"/>
              <w:spacing w:after="0"/>
              <w:rPr>
                <w:sz w:val="20"/>
                <w:szCs w:val="20"/>
                <w:color w:val="auto"/>
              </w:rPr>
            </w:pPr>
            <w:r>
              <w:rPr>
                <w:rFonts w:ascii="Arial" w:cs="Arial" w:eastAsia="Arial" w:hAnsi="Arial"/>
                <w:sz w:val="22"/>
                <w:szCs w:val="22"/>
                <w:color w:val="auto"/>
              </w:rPr>
              <w:t>Wisconsin</w:t>
            </w:r>
          </w:p>
        </w:tc>
        <w:tc>
          <w:tcPr>
            <w:tcW w:w="1080" w:type="dxa"/>
            <w:vAlign w:val="bottom"/>
            <w:gridSpan w:val="2"/>
          </w:tcPr>
          <w:p>
            <w:pPr>
              <w:spacing w:after="0"/>
              <w:rPr>
                <w:sz w:val="21"/>
                <w:szCs w:val="21"/>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9"/>
              </w:rPr>
              <w:t>1-10686</w:t>
            </w:r>
          </w:p>
        </w:tc>
        <w:tc>
          <w:tcPr>
            <w:tcW w:w="1300" w:type="dxa"/>
            <w:vAlign w:val="bottom"/>
          </w:tcPr>
          <w:p>
            <w:pPr>
              <w:spacing w:after="0"/>
              <w:rPr>
                <w:sz w:val="21"/>
                <w:szCs w:val="21"/>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22"/>
                <w:szCs w:val="22"/>
                <w:color w:val="auto"/>
                <w:w w:val="88"/>
              </w:rPr>
              <w:t>39-1672779</w:t>
            </w:r>
          </w:p>
        </w:tc>
      </w:tr>
      <w:tr>
        <w:trPr>
          <w:trHeight w:val="269"/>
        </w:trPr>
        <w:tc>
          <w:tcPr>
            <w:tcW w:w="20" w:type="dxa"/>
            <w:vAlign w:val="bottom"/>
          </w:tcPr>
          <w:p>
            <w:pPr>
              <w:spacing w:after="0"/>
              <w:rPr>
                <w:sz w:val="23"/>
                <w:szCs w:val="23"/>
                <w:color w:val="auto"/>
              </w:rPr>
            </w:pPr>
          </w:p>
        </w:tc>
        <w:tc>
          <w:tcPr>
            <w:tcW w:w="3420" w:type="dxa"/>
            <w:vAlign w:val="bottom"/>
            <w:gridSpan w:val="4"/>
          </w:tcPr>
          <w:p>
            <w:pPr>
              <w:jc w:val="center"/>
              <w:ind w:right="980"/>
              <w:spacing w:after="0"/>
              <w:rPr>
                <w:sz w:val="20"/>
                <w:szCs w:val="20"/>
                <w:color w:val="auto"/>
              </w:rPr>
            </w:pPr>
            <w:r>
              <w:rPr>
                <w:rFonts w:ascii="Arial" w:cs="Arial" w:eastAsia="Arial" w:hAnsi="Arial"/>
                <w:sz w:val="22"/>
                <w:szCs w:val="22"/>
                <w:color w:val="auto"/>
                <w:w w:val="90"/>
              </w:rPr>
              <w:t>(State or other jurisdiction</w:t>
            </w:r>
          </w:p>
        </w:tc>
        <w:tc>
          <w:tcPr>
            <w:tcW w:w="2460" w:type="dxa"/>
            <w:vAlign w:val="bottom"/>
            <w:gridSpan w:val="2"/>
          </w:tcPr>
          <w:p>
            <w:pPr>
              <w:jc w:val="center"/>
              <w:ind w:right="1300"/>
              <w:spacing w:after="0"/>
              <w:rPr>
                <w:sz w:val="20"/>
                <w:szCs w:val="20"/>
                <w:color w:val="auto"/>
              </w:rPr>
            </w:pPr>
            <w:r>
              <w:rPr>
                <w:rFonts w:ascii="Arial" w:cs="Arial" w:eastAsia="Arial" w:hAnsi="Arial"/>
                <w:sz w:val="22"/>
                <w:szCs w:val="22"/>
                <w:color w:val="auto"/>
                <w:w w:val="90"/>
              </w:rPr>
              <w:t>(Commission</w:t>
            </w:r>
          </w:p>
        </w:tc>
        <w:tc>
          <w:tcPr>
            <w:tcW w:w="120" w:type="dxa"/>
            <w:vAlign w:val="bottom"/>
          </w:tcPr>
          <w:p>
            <w:pPr>
              <w:spacing w:after="0"/>
              <w:rPr>
                <w:sz w:val="23"/>
                <w:szCs w:val="23"/>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22"/>
                <w:szCs w:val="22"/>
                <w:color w:val="auto"/>
                <w:w w:val="92"/>
              </w:rPr>
              <w:t>(IRS Employer</w:t>
            </w:r>
          </w:p>
        </w:tc>
      </w:tr>
      <w:tr>
        <w:trPr>
          <w:trHeight w:val="27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340" w:type="dxa"/>
            <w:vAlign w:val="bottom"/>
            <w:gridSpan w:val="3"/>
          </w:tcPr>
          <w:p>
            <w:pPr>
              <w:jc w:val="center"/>
              <w:ind w:right="1080"/>
              <w:spacing w:after="0"/>
              <w:rPr>
                <w:sz w:val="20"/>
                <w:szCs w:val="20"/>
                <w:color w:val="auto"/>
              </w:rPr>
            </w:pPr>
            <w:r>
              <w:rPr>
                <w:rFonts w:ascii="Arial" w:cs="Arial" w:eastAsia="Arial" w:hAnsi="Arial"/>
                <w:sz w:val="22"/>
                <w:szCs w:val="22"/>
                <w:color w:val="auto"/>
                <w:w w:val="91"/>
              </w:rPr>
              <w:t>of incorporation)</w:t>
            </w:r>
          </w:p>
        </w:tc>
        <w:tc>
          <w:tcPr>
            <w:tcW w:w="2460" w:type="dxa"/>
            <w:vAlign w:val="bottom"/>
            <w:gridSpan w:val="2"/>
          </w:tcPr>
          <w:p>
            <w:pPr>
              <w:jc w:val="center"/>
              <w:ind w:right="1300"/>
              <w:spacing w:after="0"/>
              <w:rPr>
                <w:sz w:val="20"/>
                <w:szCs w:val="20"/>
                <w:color w:val="auto"/>
              </w:rPr>
            </w:pPr>
            <w:r>
              <w:rPr>
                <w:rFonts w:ascii="Arial" w:cs="Arial" w:eastAsia="Arial" w:hAnsi="Arial"/>
                <w:sz w:val="22"/>
                <w:szCs w:val="22"/>
                <w:color w:val="auto"/>
                <w:w w:val="91"/>
              </w:rPr>
              <w:t>File Number)</w:t>
            </w:r>
          </w:p>
        </w:tc>
        <w:tc>
          <w:tcPr>
            <w:tcW w:w="1680" w:type="dxa"/>
            <w:vAlign w:val="bottom"/>
            <w:gridSpan w:val="3"/>
          </w:tcPr>
          <w:p>
            <w:pPr>
              <w:jc w:val="center"/>
              <w:spacing w:after="0"/>
              <w:rPr>
                <w:sz w:val="20"/>
                <w:szCs w:val="20"/>
                <w:color w:val="auto"/>
              </w:rPr>
            </w:pPr>
            <w:r>
              <w:rPr>
                <w:rFonts w:ascii="Arial" w:cs="Arial" w:eastAsia="Arial" w:hAnsi="Arial"/>
                <w:sz w:val="22"/>
                <w:szCs w:val="22"/>
                <w:color w:val="auto"/>
                <w:w w:val="93"/>
              </w:rPr>
              <w:t>Identification No.)</w:t>
            </w:r>
          </w:p>
        </w:tc>
      </w:tr>
      <w:tr>
        <w:trPr>
          <w:trHeight w:val="48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40" w:type="dxa"/>
            <w:vAlign w:val="bottom"/>
            <w:gridSpan w:val="3"/>
          </w:tcPr>
          <w:p>
            <w:pPr>
              <w:jc w:val="center"/>
              <w:ind w:right="100"/>
              <w:spacing w:after="0"/>
              <w:rPr>
                <w:sz w:val="20"/>
                <w:szCs w:val="20"/>
                <w:color w:val="auto"/>
              </w:rPr>
            </w:pPr>
            <w:r>
              <w:rPr>
                <w:rFonts w:ascii="Arial" w:cs="Arial" w:eastAsia="Arial" w:hAnsi="Arial"/>
                <w:sz w:val="22"/>
                <w:szCs w:val="22"/>
                <w:color w:val="auto"/>
                <w:w w:val="90"/>
              </w:rPr>
              <w:t>5301 North Ironwood Road</w:t>
            </w: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2"/>
          </w:tcPr>
          <w:p>
            <w:pPr>
              <w:jc w:val="center"/>
              <w:ind w:right="80"/>
              <w:spacing w:after="0" w:line="224" w:lineRule="exact"/>
              <w:rPr>
                <w:sz w:val="20"/>
                <w:szCs w:val="20"/>
                <w:color w:val="auto"/>
              </w:rPr>
            </w:pPr>
            <w:r>
              <w:rPr>
                <w:rFonts w:ascii="Arial" w:cs="Arial" w:eastAsia="Arial" w:hAnsi="Arial"/>
                <w:sz w:val="22"/>
                <w:szCs w:val="22"/>
                <w:color w:val="auto"/>
                <w:w w:val="92"/>
              </w:rPr>
              <w:t>Milwaukee, Wisconsin</w:t>
            </w: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52"/>
              <w:spacing w:after="0" w:line="224" w:lineRule="exact"/>
              <w:rPr>
                <w:sz w:val="20"/>
                <w:szCs w:val="20"/>
                <w:color w:val="auto"/>
              </w:rPr>
            </w:pPr>
            <w:r>
              <w:rPr>
                <w:rFonts w:ascii="Arial" w:cs="Arial" w:eastAsia="Arial" w:hAnsi="Arial"/>
                <w:sz w:val="22"/>
                <w:szCs w:val="22"/>
                <w:color w:val="auto"/>
              </w:rPr>
              <w:t>53217</w:t>
            </w:r>
          </w:p>
        </w:tc>
        <w:tc>
          <w:tcPr>
            <w:tcW w:w="700" w:type="dxa"/>
            <w:vAlign w:val="bottom"/>
          </w:tcPr>
          <w:p>
            <w:pPr>
              <w:spacing w:after="0"/>
              <w:rPr>
                <w:sz w:val="19"/>
                <w:szCs w:val="19"/>
                <w:color w:val="auto"/>
              </w:rPr>
            </w:pPr>
          </w:p>
        </w:tc>
      </w:tr>
      <w:tr>
        <w:trPr>
          <w:trHeight w:val="301"/>
        </w:trPr>
        <w:tc>
          <w:tcPr>
            <w:tcW w:w="3440" w:type="dxa"/>
            <w:vAlign w:val="bottom"/>
            <w:gridSpan w:val="5"/>
          </w:tcPr>
          <w:p>
            <w:pPr>
              <w:jc w:val="center"/>
              <w:spacing w:after="0"/>
              <w:rPr>
                <w:sz w:val="20"/>
                <w:szCs w:val="20"/>
                <w:color w:val="auto"/>
              </w:rPr>
            </w:pPr>
            <w:r>
              <w:rPr>
                <w:rFonts w:ascii="Arial" w:cs="Arial" w:eastAsia="Arial" w:hAnsi="Arial"/>
                <w:sz w:val="22"/>
                <w:szCs w:val="22"/>
                <w:color w:val="auto"/>
                <w:w w:val="91"/>
              </w:rPr>
              <w:t>(Address of principal executive offices)</w:t>
            </w: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80" w:type="dxa"/>
            <w:vAlign w:val="bottom"/>
            <w:gridSpan w:val="3"/>
          </w:tcPr>
          <w:p>
            <w:pPr>
              <w:jc w:val="center"/>
              <w:ind w:right="580"/>
              <w:spacing w:after="0"/>
              <w:rPr>
                <w:sz w:val="20"/>
                <w:szCs w:val="20"/>
                <w:color w:val="auto"/>
              </w:rPr>
            </w:pPr>
            <w:r>
              <w:rPr>
                <w:rFonts w:ascii="Arial" w:cs="Arial" w:eastAsia="Arial" w:hAnsi="Arial"/>
                <w:sz w:val="22"/>
                <w:szCs w:val="22"/>
                <w:color w:val="auto"/>
                <w:w w:val="90"/>
              </w:rPr>
              <w:t>(Zip Code)</w:t>
            </w:r>
          </w:p>
        </w:tc>
      </w:tr>
    </w:tbl>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22"/>
          <w:szCs w:val="22"/>
          <w:color w:val="auto"/>
        </w:rPr>
        <w:t>Registrant’s telephone number, including area code: (414) 961-1000</w:t>
      </w:r>
    </w:p>
    <w:p>
      <w:pPr>
        <w:spacing w:after="0" w:line="200" w:lineRule="exact"/>
        <w:rPr>
          <w:sz w:val="24"/>
          <w:szCs w:val="24"/>
          <w:color w:val="auto"/>
        </w:rPr>
      </w:pPr>
    </w:p>
    <w:p>
      <w:pPr>
        <w:spacing w:after="0" w:line="276" w:lineRule="exact"/>
        <w:rPr>
          <w:sz w:val="24"/>
          <w:szCs w:val="24"/>
          <w:color w:val="auto"/>
        </w:rPr>
      </w:pPr>
    </w:p>
    <w:p>
      <w:pPr>
        <w:ind w:right="820"/>
        <w:spacing w:after="0" w:line="251" w:lineRule="auto"/>
        <w:rPr>
          <w:sz w:val="20"/>
          <w:szCs w:val="20"/>
          <w:color w:val="auto"/>
        </w:rPr>
      </w:pPr>
      <w:r>
        <w:rPr>
          <w:rFonts w:ascii="Arial" w:cs="Arial" w:eastAsia="Arial" w:hAnsi="Arial"/>
          <w:sz w:val="22"/>
          <w:szCs w:val="22"/>
          <w:color w:val="auto"/>
        </w:rPr>
        <w:t>Check the appropriate box below if the Form 8-K/A filing is intended to simultaneously satisfy the filing obligation of the registrant under any of the following provisions:</w:t>
      </w:r>
    </w:p>
    <w:p>
      <w:pPr>
        <w:spacing w:after="0" w:line="187" w:lineRule="exact"/>
        <w:rPr>
          <w:sz w:val="24"/>
          <w:szCs w:val="24"/>
          <w:color w:val="auto"/>
        </w:rPr>
      </w:pPr>
    </w:p>
    <w:p>
      <w:pPr>
        <w:ind w:left="380" w:hanging="358"/>
        <w:spacing w:after="0"/>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60" w:lineRule="exact"/>
        <w:rPr>
          <w:rFonts w:ascii="Arial" w:cs="Arial" w:eastAsia="Arial" w:hAnsi="Arial"/>
          <w:sz w:val="22"/>
          <w:szCs w:val="22"/>
          <w:color w:val="auto"/>
        </w:rPr>
      </w:pPr>
    </w:p>
    <w:p>
      <w:pPr>
        <w:ind w:left="380" w:hanging="358"/>
        <w:spacing w:after="0"/>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60" w:lineRule="exact"/>
        <w:rPr>
          <w:rFonts w:ascii="Arial" w:cs="Arial" w:eastAsia="Arial" w:hAnsi="Arial"/>
          <w:sz w:val="22"/>
          <w:szCs w:val="22"/>
          <w:color w:val="auto"/>
        </w:rPr>
      </w:pPr>
    </w:p>
    <w:p>
      <w:pPr>
        <w:ind w:left="380" w:right="3020" w:hanging="358"/>
        <w:spacing w:after="0" w:line="251" w:lineRule="auto"/>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227" w:lineRule="exact"/>
        <w:rPr>
          <w:rFonts w:ascii="Arial" w:cs="Arial" w:eastAsia="Arial" w:hAnsi="Arial"/>
          <w:sz w:val="22"/>
          <w:szCs w:val="22"/>
          <w:color w:val="auto"/>
        </w:rPr>
      </w:pPr>
    </w:p>
    <w:p>
      <w:pPr>
        <w:ind w:left="380" w:right="3040" w:hanging="358"/>
        <w:spacing w:after="0" w:line="251" w:lineRule="auto"/>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color w:val="auto"/>
        </w:rPr>
        <w:t>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4.01</w:t>
      </w:r>
      <w:r>
        <w:rPr>
          <w:sz w:val="20"/>
          <w:szCs w:val="20"/>
          <w:color w:val="auto"/>
        </w:rPr>
        <w:tab/>
      </w:r>
      <w:r>
        <w:rPr>
          <w:rFonts w:ascii="Arial" w:cs="Arial" w:eastAsia="Arial" w:hAnsi="Arial"/>
          <w:sz w:val="19"/>
          <w:szCs w:val="19"/>
          <w:b w:val="1"/>
          <w:bCs w:val="1"/>
          <w:u w:val="single" w:color="auto"/>
          <w:color w:val="auto"/>
        </w:rPr>
        <w:t>Changes in Registrant’s Certifying Accountant</w:t>
      </w:r>
    </w:p>
    <w:p>
      <w:pPr>
        <w:spacing w:after="0" w:line="212" w:lineRule="exact"/>
        <w:rPr>
          <w:sz w:val="24"/>
          <w:szCs w:val="24"/>
          <w:color w:val="auto"/>
        </w:rPr>
      </w:pPr>
    </w:p>
    <w:p>
      <w:pPr>
        <w:spacing w:after="0" w:line="282" w:lineRule="auto"/>
        <w:rPr>
          <w:sz w:val="20"/>
          <w:szCs w:val="20"/>
          <w:color w:val="auto"/>
        </w:rPr>
      </w:pPr>
      <w:r>
        <w:rPr>
          <w:rFonts w:ascii="Arial" w:cs="Arial" w:eastAsia="Arial" w:hAnsi="Arial"/>
          <w:sz w:val="19"/>
          <w:szCs w:val="19"/>
          <w:color w:val="auto"/>
        </w:rPr>
        <w:t>On July 27, 2005, the Audit Committee of the Board of Directors of Manpower Inc. (the “Company”) dismissed PricewaterhouseCoopers LLP as the Company’s independent registered public accounting firm, subject to completion of its procedures on the unaudited interim financial statements for the three and six month periods ended June 30, 2005 and the Quarterly Report on Form 10-Q in which such financial statements will be included, and appointed Deloitte &amp; Touche LLP as the Company’s new independent registered public accounting firm, subject to the completion of their new client acceptance procedures.</w:t>
      </w:r>
    </w:p>
    <w:p>
      <w:pPr>
        <w:spacing w:after="0" w:line="175"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On July 29, 2005, PricewaterhouseCoopers LLP completed its procedures on the unaudited financial statements for the three and six month periods ended June 30, 2005 and the Quarterly Report on Form 10-Q was filed.</w:t>
      </w:r>
    </w:p>
    <w:p>
      <w:pPr>
        <w:spacing w:after="0" w:line="200" w:lineRule="exact"/>
        <w:rPr>
          <w:sz w:val="24"/>
          <w:szCs w:val="24"/>
          <w:color w:val="auto"/>
        </w:rPr>
      </w:pPr>
    </w:p>
    <w:p>
      <w:pPr>
        <w:ind w:right="100"/>
        <w:spacing w:after="0"/>
        <w:rPr>
          <w:sz w:val="20"/>
          <w:szCs w:val="20"/>
          <w:color w:val="auto"/>
        </w:rPr>
      </w:pPr>
      <w:r>
        <w:rPr>
          <w:rFonts w:ascii="Arial" w:cs="Arial" w:eastAsia="Arial" w:hAnsi="Arial"/>
          <w:sz w:val="22"/>
          <w:szCs w:val="22"/>
          <w:color w:val="auto"/>
        </w:rPr>
        <w:t>PricewaterhouseCoopers LLP’s reports on the Company’s consolidated financial statements for each of the years ended December 31, 2004 and 2003 did not contain an adverse opinion or disclaimer of opinion, nor were they qualified or modified as to uncertainty, audit scope, or accounting principle.</w:t>
      </w:r>
    </w:p>
    <w:p>
      <w:pPr>
        <w:spacing w:after="0" w:line="213" w:lineRule="exact"/>
        <w:rPr>
          <w:sz w:val="24"/>
          <w:szCs w:val="24"/>
          <w:color w:val="auto"/>
        </w:rPr>
      </w:pPr>
    </w:p>
    <w:p>
      <w:pPr>
        <w:ind w:right="480"/>
        <w:spacing w:after="0" w:line="328" w:lineRule="auto"/>
        <w:rPr>
          <w:sz w:val="20"/>
          <w:szCs w:val="20"/>
          <w:color w:val="auto"/>
        </w:rPr>
      </w:pPr>
      <w:r>
        <w:rPr>
          <w:rFonts w:ascii="Arial" w:cs="Arial" w:eastAsia="Arial" w:hAnsi="Arial"/>
          <w:sz w:val="19"/>
          <w:szCs w:val="19"/>
          <w:color w:val="auto"/>
        </w:rPr>
        <w:t>During the years ended December 31, 2004 and 2003, and the subsequent interim period through July 29, 2005, there were no disagreements between the Company and PricewaterhouseCoopers LLP on any matter of accounting principles or practices,</w:t>
      </w:r>
    </w:p>
    <w:p>
      <w:pPr>
        <w:sectPr>
          <w:pgSz w:w="11900" w:h="16919" w:orient="portrait"/>
          <w:cols w:equalWidth="0" w:num="1">
            <w:col w:w="11380"/>
          </w:cols>
          <w:pgMar w:left="240" w:top="712" w:right="279" w:bottom="0" w:gutter="0" w:footer="0" w:header="0"/>
        </w:sectPr>
      </w:pPr>
    </w:p>
    <w:bookmarkStart w:id="1" w:name="page2"/>
    <w:bookmarkEnd w:id="1"/>
    <w:p>
      <w:pPr>
        <w:jc w:val="both"/>
        <w:ind w:right="160"/>
        <w:spacing w:after="0" w:line="241" w:lineRule="auto"/>
        <w:rPr>
          <w:sz w:val="20"/>
          <w:szCs w:val="20"/>
          <w:color w:val="auto"/>
        </w:rPr>
      </w:pPr>
      <w:r>
        <w:rPr>
          <w:rFonts w:ascii="Arial" w:cs="Arial" w:eastAsia="Arial" w:hAnsi="Arial"/>
          <w:sz w:val="22"/>
          <w:szCs w:val="22"/>
          <w:color w:val="auto"/>
        </w:rPr>
        <w:t>financial statement disclosure, or auditing scope or procedure, which disagreements, if not resolved to PricewaterhouseCoopers LLP’s satisfaction, would have caused them to make reference to the subject matter of the disagreement in connection with their reports on the financial statements of the Company for such years.</w:t>
      </w:r>
    </w:p>
    <w:p>
      <w:pPr>
        <w:spacing w:after="0" w:line="211"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None of the reportable events described in Item 304(a)(1)(v) of Regulation S-K occurred during the years ended December 31, 2004 and 2003 or during the subsequent interim period through July 29, 2005.</w:t>
      </w:r>
    </w:p>
    <w:p>
      <w:pPr>
        <w:spacing w:after="0" w:line="200" w:lineRule="exact"/>
        <w:rPr>
          <w:sz w:val="20"/>
          <w:szCs w:val="20"/>
          <w:color w:val="auto"/>
        </w:rPr>
      </w:pPr>
    </w:p>
    <w:p>
      <w:pPr>
        <w:ind w:right="60"/>
        <w:spacing w:after="0" w:line="274" w:lineRule="auto"/>
        <w:rPr>
          <w:sz w:val="20"/>
          <w:szCs w:val="20"/>
          <w:color w:val="auto"/>
        </w:rPr>
      </w:pPr>
      <w:r>
        <w:rPr>
          <w:rFonts w:ascii="Arial" w:cs="Arial" w:eastAsia="Arial" w:hAnsi="Arial"/>
          <w:sz w:val="21"/>
          <w:szCs w:val="21"/>
          <w:color w:val="auto"/>
        </w:rPr>
        <w:t>The Company has provided PricewaterhouseCoopers LLP with a copy of the foregoing disclosures. Attached as Exhibit 16.1 is a letter from PricewaterhouseCoopers LLP, dated August 5, 2005, stating their agreement with such statements.</w:t>
      </w:r>
    </w:p>
    <w:p>
      <w:pPr>
        <w:spacing w:after="0" w:line="178" w:lineRule="exact"/>
        <w:rPr>
          <w:sz w:val="20"/>
          <w:szCs w:val="20"/>
          <w:color w:val="auto"/>
        </w:rPr>
      </w:pPr>
    </w:p>
    <w:p>
      <w:pPr>
        <w:jc w:val="both"/>
        <w:spacing w:after="0"/>
        <w:rPr>
          <w:sz w:val="20"/>
          <w:szCs w:val="20"/>
          <w:color w:val="auto"/>
        </w:rPr>
      </w:pPr>
      <w:r>
        <w:rPr>
          <w:rFonts w:ascii="Arial" w:cs="Arial" w:eastAsia="Arial" w:hAnsi="Arial"/>
          <w:sz w:val="22"/>
          <w:szCs w:val="22"/>
          <w:color w:val="auto"/>
        </w:rPr>
        <w:t>During the years ended December 31, 2004 and 2003, and the subsequent interim period through July 29, 2005, the Company did not consult with Deloitte &amp; Touche LLP regarding any of the matters or events set forth in Item 304(a)(2)(i) and (ii) of Regulation S-K.</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300" w:type="dxa"/>
            <w:vAlign w:val="bottom"/>
            <w:gridSpan w:val="2"/>
          </w:tcPr>
          <w:p>
            <w:pPr>
              <w:spacing w:after="0"/>
              <w:rPr>
                <w:sz w:val="20"/>
                <w:szCs w:val="20"/>
                <w:color w:val="auto"/>
              </w:rPr>
            </w:pPr>
            <w:r>
              <w:rPr>
                <w:rFonts w:ascii="Arial" w:cs="Arial" w:eastAsia="Arial" w:hAnsi="Arial"/>
                <w:sz w:val="22"/>
                <w:szCs w:val="22"/>
                <w:b w:val="1"/>
                <w:bCs w:val="1"/>
                <w:color w:val="auto"/>
              </w:rPr>
              <w:t>Item 9.01</w:t>
            </w:r>
          </w:p>
        </w:tc>
        <w:tc>
          <w:tcPr>
            <w:tcW w:w="6460" w:type="dxa"/>
            <w:vAlign w:val="bottom"/>
            <w:gridSpan w:val="4"/>
          </w:tcPr>
          <w:p>
            <w:pPr>
              <w:spacing w:after="0"/>
              <w:rPr>
                <w:sz w:val="20"/>
                <w:szCs w:val="20"/>
                <w:color w:val="auto"/>
              </w:rPr>
            </w:pPr>
            <w:r>
              <w:rPr>
                <w:rFonts w:ascii="Arial" w:cs="Arial" w:eastAsia="Arial" w:hAnsi="Arial"/>
                <w:sz w:val="22"/>
                <w:szCs w:val="22"/>
                <w:b w:val="1"/>
                <w:bCs w:val="1"/>
                <w:color w:val="auto"/>
              </w:rPr>
              <w:t>Financial Statements and Exhibits</w:t>
            </w:r>
          </w:p>
        </w:tc>
      </w:tr>
      <w:tr>
        <w:trPr>
          <w:trHeight w:val="655"/>
        </w:trPr>
        <w:tc>
          <w:tcPr>
            <w:tcW w:w="1020" w:type="dxa"/>
            <w:vAlign w:val="bottom"/>
          </w:tcPr>
          <w:p>
            <w:pPr>
              <w:spacing w:after="0"/>
              <w:rPr>
                <w:sz w:val="20"/>
                <w:szCs w:val="20"/>
                <w:color w:val="auto"/>
              </w:rPr>
            </w:pPr>
            <w:r>
              <w:rPr>
                <w:rFonts w:ascii="Arial" w:cs="Arial" w:eastAsia="Arial" w:hAnsi="Arial"/>
                <w:sz w:val="22"/>
                <w:szCs w:val="22"/>
                <w:color w:val="auto"/>
                <w:w w:val="93"/>
              </w:rPr>
              <w:t>Exhibit No.</w:t>
            </w:r>
          </w:p>
        </w:tc>
        <w:tc>
          <w:tcPr>
            <w:tcW w:w="280" w:type="dxa"/>
            <w:vAlign w:val="bottom"/>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860" w:type="dxa"/>
            <w:vAlign w:val="bottom"/>
            <w:tcBorders>
              <w:top w:val="single" w:sz="8" w:color="auto"/>
            </w:tcBorders>
            <w:gridSpan w:val="2"/>
          </w:tcPr>
          <w:p>
            <w:pPr>
              <w:spacing w:after="0"/>
              <w:rPr>
                <w:sz w:val="20"/>
                <w:szCs w:val="20"/>
                <w:color w:val="auto"/>
              </w:rPr>
            </w:pPr>
            <w:r>
              <w:rPr>
                <w:rFonts w:ascii="Arial" w:cs="Arial" w:eastAsia="Arial" w:hAnsi="Arial"/>
                <w:sz w:val="22"/>
                <w:szCs w:val="22"/>
                <w:color w:val="auto"/>
              </w:rPr>
              <w:t>Description</w:t>
            </w:r>
          </w:p>
        </w:tc>
        <w:tc>
          <w:tcPr>
            <w:tcW w:w="3300" w:type="dxa"/>
            <w:vAlign w:val="bottom"/>
          </w:tcPr>
          <w:p>
            <w:pPr>
              <w:spacing w:after="0"/>
              <w:rPr>
                <w:sz w:val="24"/>
                <w:szCs w:val="24"/>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160" w:type="dxa"/>
            <w:vAlign w:val="bottom"/>
            <w:gridSpan w:val="2"/>
          </w:tcPr>
          <w:p>
            <w:pPr>
              <w:spacing w:after="0" w:line="20" w:lineRule="exact"/>
              <w:rPr>
                <w:sz w:val="1"/>
                <w:szCs w:val="1"/>
                <w:color w:val="auto"/>
              </w:rPr>
            </w:pPr>
          </w:p>
        </w:tc>
      </w:tr>
      <w:tr>
        <w:trPr>
          <w:trHeight w:val="661"/>
        </w:trPr>
        <w:tc>
          <w:tcPr>
            <w:tcW w:w="1020" w:type="dxa"/>
            <w:vAlign w:val="bottom"/>
          </w:tcPr>
          <w:p>
            <w:pPr>
              <w:spacing w:after="0"/>
              <w:rPr>
                <w:sz w:val="20"/>
                <w:szCs w:val="20"/>
                <w:color w:val="auto"/>
              </w:rPr>
            </w:pPr>
            <w:r>
              <w:rPr>
                <w:rFonts w:ascii="Arial" w:cs="Arial" w:eastAsia="Arial" w:hAnsi="Arial"/>
                <w:sz w:val="22"/>
                <w:szCs w:val="22"/>
                <w:color w:val="auto"/>
              </w:rPr>
              <w:t>16.1</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160" w:type="dxa"/>
            <w:vAlign w:val="bottom"/>
            <w:gridSpan w:val="3"/>
          </w:tcPr>
          <w:p>
            <w:pPr>
              <w:spacing w:after="0"/>
              <w:rPr>
                <w:sz w:val="20"/>
                <w:szCs w:val="20"/>
                <w:color w:val="auto"/>
              </w:rPr>
            </w:pPr>
            <w:r>
              <w:rPr>
                <w:rFonts w:ascii="Arial" w:cs="Arial" w:eastAsia="Arial" w:hAnsi="Arial"/>
                <w:sz w:val="22"/>
                <w:szCs w:val="22"/>
                <w:color w:val="auto"/>
                <w:w w:val="88"/>
              </w:rPr>
              <w:t>Letter of PricewaterhouseCoopers LLP regarding change in</w:t>
            </w:r>
          </w:p>
        </w:tc>
      </w:tr>
      <w:tr>
        <w:trPr>
          <w:trHeight w:val="275"/>
        </w:trPr>
        <w:tc>
          <w:tcPr>
            <w:tcW w:w="10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60" w:type="dxa"/>
            <w:vAlign w:val="bottom"/>
            <w:gridSpan w:val="4"/>
          </w:tcPr>
          <w:p>
            <w:pPr>
              <w:ind w:left="1300"/>
              <w:spacing w:after="0"/>
              <w:rPr>
                <w:sz w:val="20"/>
                <w:szCs w:val="20"/>
                <w:color w:val="auto"/>
              </w:rPr>
            </w:pPr>
            <w:r>
              <w:rPr>
                <w:rFonts w:ascii="Arial" w:cs="Arial" w:eastAsia="Arial" w:hAnsi="Arial"/>
                <w:sz w:val="22"/>
                <w:szCs w:val="22"/>
                <w:color w:val="auto"/>
              </w:rPr>
              <w:t>independent registered public accounting firm.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59"/>
        <w:spacing w:after="0"/>
        <w:rPr>
          <w:sz w:val="20"/>
          <w:szCs w:val="20"/>
          <w:color w:val="auto"/>
        </w:rPr>
      </w:pPr>
      <w:r>
        <w:rPr>
          <w:rFonts w:ascii="Arial" w:cs="Arial" w:eastAsia="Arial" w:hAnsi="Arial"/>
          <w:sz w:val="22"/>
          <w:szCs w:val="22"/>
          <w:u w:val="single" w:color="auto"/>
          <w:color w:val="auto"/>
        </w:rPr>
        <w:t>SIGNATURES</w:t>
      </w:r>
    </w:p>
    <w:p>
      <w:pPr>
        <w:spacing w:after="0" w:line="200" w:lineRule="exact"/>
        <w:rPr>
          <w:sz w:val="20"/>
          <w:szCs w:val="20"/>
          <w:color w:val="auto"/>
        </w:rPr>
      </w:pPr>
    </w:p>
    <w:p>
      <w:pPr>
        <w:spacing w:after="0" w:line="222" w:lineRule="exact"/>
        <w:rPr>
          <w:sz w:val="20"/>
          <w:szCs w:val="20"/>
          <w:color w:val="auto"/>
        </w:rPr>
      </w:pPr>
    </w:p>
    <w:p>
      <w:pPr>
        <w:ind w:right="440"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87" w:lineRule="exact"/>
        <w:rPr>
          <w:sz w:val="20"/>
          <w:szCs w:val="20"/>
          <w:color w:val="auto"/>
        </w:rPr>
      </w:pPr>
    </w:p>
    <w:p>
      <w:pPr>
        <w:ind w:left="1380"/>
        <w:spacing w:after="0"/>
        <w:tabs>
          <w:tab w:leader="none" w:pos="5700" w:val="left"/>
        </w:tabs>
        <w:rPr>
          <w:sz w:val="20"/>
          <w:szCs w:val="20"/>
          <w:color w:val="auto"/>
        </w:rPr>
      </w:pPr>
      <w:r>
        <w:rPr>
          <w:rFonts w:ascii="Arial" w:cs="Arial" w:eastAsia="Arial" w:hAnsi="Arial"/>
          <w:sz w:val="22"/>
          <w:szCs w:val="22"/>
          <w:color w:val="auto"/>
        </w:rPr>
        <w:t>Dated: August 5, 2005</w:t>
      </w:r>
      <w:r>
        <w:rPr>
          <w:sz w:val="20"/>
          <w:szCs w:val="20"/>
          <w:color w:val="auto"/>
        </w:rPr>
        <w:tab/>
      </w:r>
      <w:r>
        <w:rPr>
          <w:rFonts w:ascii="Arial" w:cs="Arial" w:eastAsia="Arial" w:hAnsi="Arial"/>
          <w:sz w:val="21"/>
          <w:szCs w:val="21"/>
          <w:color w:val="auto"/>
        </w:rPr>
        <w:t>MANPOWER INC.</w:t>
      </w:r>
    </w:p>
    <w:p>
      <w:pPr>
        <w:spacing w:after="0" w:line="200" w:lineRule="exact"/>
        <w:rPr>
          <w:sz w:val="20"/>
          <w:szCs w:val="20"/>
          <w:color w:val="auto"/>
        </w:rPr>
      </w:pPr>
    </w:p>
    <w:p>
      <w:pPr>
        <w:spacing w:after="0" w:line="303"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By: /s/ Michael J. Van 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3835400</wp:posOffset>
            </wp:positionH>
            <wp:positionV relativeFrom="paragraph">
              <wp:posOffset>-17780</wp:posOffset>
            </wp:positionV>
            <wp:extent cx="24085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2" w:lineRule="exact"/>
        <w:rPr>
          <w:sz w:val="20"/>
          <w:szCs w:val="20"/>
          <w:color w:val="auto"/>
        </w:rPr>
      </w:pPr>
    </w:p>
    <w:p>
      <w:pPr>
        <w:ind w:left="6120"/>
        <w:spacing w:after="0"/>
        <w:rPr>
          <w:sz w:val="20"/>
          <w:szCs w:val="20"/>
          <w:color w:val="auto"/>
        </w:rPr>
      </w:pPr>
      <w:r>
        <w:rPr>
          <w:rFonts w:ascii="Arial" w:cs="Arial" w:eastAsia="Arial" w:hAnsi="Arial"/>
          <w:sz w:val="22"/>
          <w:szCs w:val="22"/>
          <w:color w:val="auto"/>
        </w:rPr>
        <w:t>Michael J. Van Handel</w:t>
      </w:r>
    </w:p>
    <w:p>
      <w:pPr>
        <w:ind w:left="6120"/>
        <w:spacing w:after="0" w:line="234" w:lineRule="auto"/>
        <w:rPr>
          <w:sz w:val="20"/>
          <w:szCs w:val="20"/>
          <w:color w:val="auto"/>
        </w:rPr>
      </w:pPr>
      <w:r>
        <w:rPr>
          <w:rFonts w:ascii="Arial" w:cs="Arial" w:eastAsia="Arial" w:hAnsi="Arial"/>
          <w:sz w:val="22"/>
          <w:szCs w:val="22"/>
          <w:color w:val="auto"/>
        </w:rPr>
        <w:t>Executive Vice President,</w:t>
      </w:r>
    </w:p>
    <w:p>
      <w:pPr>
        <w:ind w:left="6120"/>
        <w:spacing w:after="0"/>
        <w:rPr>
          <w:sz w:val="20"/>
          <w:szCs w:val="20"/>
          <w:color w:val="auto"/>
        </w:rPr>
      </w:pPr>
      <w:r>
        <w:rPr>
          <w:rFonts w:ascii="Arial" w:cs="Arial" w:eastAsia="Arial" w:hAnsi="Arial"/>
          <w:sz w:val="22"/>
          <w:szCs w:val="22"/>
          <w:color w:val="auto"/>
        </w:rPr>
        <w:t>Chief Financial Officer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160" w:type="dxa"/>
            <w:vAlign w:val="bottom"/>
          </w:tcPr>
          <w:p>
            <w:pPr>
              <w:ind w:left="1480"/>
              <w:spacing w:after="0"/>
              <w:rPr>
                <w:sz w:val="20"/>
                <w:szCs w:val="20"/>
                <w:color w:val="auto"/>
              </w:rPr>
            </w:pPr>
            <w:r>
              <w:rPr>
                <w:rFonts w:ascii="Arial" w:cs="Arial" w:eastAsia="Arial" w:hAnsi="Arial"/>
                <w:sz w:val="22"/>
                <w:szCs w:val="22"/>
                <w:b w:val="1"/>
                <w:bCs w:val="1"/>
                <w:color w:val="auto"/>
              </w:rPr>
              <w:t>Exhibit Index</w:t>
            </w:r>
          </w:p>
        </w:tc>
      </w:tr>
      <w:tr>
        <w:trPr>
          <w:trHeight w:val="854"/>
        </w:trPr>
        <w:tc>
          <w:tcPr>
            <w:tcW w:w="1020" w:type="dxa"/>
            <w:vAlign w:val="bottom"/>
          </w:tcPr>
          <w:p>
            <w:pPr>
              <w:spacing w:after="0"/>
              <w:rPr>
                <w:sz w:val="20"/>
                <w:szCs w:val="20"/>
                <w:color w:val="auto"/>
              </w:rPr>
            </w:pPr>
            <w:r>
              <w:rPr>
                <w:rFonts w:ascii="Arial" w:cs="Arial" w:eastAsia="Arial" w:hAnsi="Arial"/>
                <w:sz w:val="22"/>
                <w:szCs w:val="22"/>
                <w:color w:val="auto"/>
                <w:w w:val="93"/>
              </w:rPr>
              <w:t>Exhibit No.</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22"/>
                <w:szCs w:val="22"/>
                <w:color w:val="auto"/>
              </w:rPr>
              <w:t>Description</w:t>
            </w:r>
          </w:p>
        </w:tc>
      </w:tr>
      <w:tr>
        <w:trPr>
          <w:trHeight w:val="27"/>
        </w:trPr>
        <w:tc>
          <w:tcPr>
            <w:tcW w:w="10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160" w:type="dxa"/>
            <w:vAlign w:val="bottom"/>
          </w:tcPr>
          <w:p>
            <w:pPr>
              <w:spacing w:after="0"/>
              <w:rPr>
                <w:sz w:val="2"/>
                <w:szCs w:val="2"/>
                <w:color w:val="auto"/>
              </w:rPr>
            </w:pPr>
          </w:p>
        </w:tc>
      </w:tr>
      <w:tr>
        <w:trPr>
          <w:trHeight w:val="667"/>
        </w:trPr>
        <w:tc>
          <w:tcPr>
            <w:tcW w:w="1020" w:type="dxa"/>
            <w:vAlign w:val="bottom"/>
          </w:tcPr>
          <w:p>
            <w:pPr>
              <w:spacing w:after="0"/>
              <w:rPr>
                <w:sz w:val="20"/>
                <w:szCs w:val="20"/>
                <w:color w:val="auto"/>
              </w:rPr>
            </w:pPr>
            <w:r>
              <w:rPr>
                <w:rFonts w:ascii="Arial" w:cs="Arial" w:eastAsia="Arial" w:hAnsi="Arial"/>
                <w:sz w:val="22"/>
                <w:szCs w:val="22"/>
                <w:color w:val="auto"/>
              </w:rPr>
              <w:t>16.1</w:t>
            </w: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22"/>
                <w:szCs w:val="22"/>
                <w:color w:val="auto"/>
                <w:w w:val="88"/>
              </w:rPr>
              <w:t>Letter of PricewaterhouseCoopers LLP regarding change in</w:t>
            </w:r>
          </w:p>
        </w:tc>
      </w:tr>
      <w:tr>
        <w:trPr>
          <w:trHeight w:val="275"/>
        </w:trPr>
        <w:tc>
          <w:tcPr>
            <w:tcW w:w="10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960" w:type="dxa"/>
            <w:vAlign w:val="bottom"/>
            <w:gridSpan w:val="3"/>
          </w:tcPr>
          <w:p>
            <w:pPr>
              <w:ind w:left="800"/>
              <w:spacing w:after="0"/>
              <w:rPr>
                <w:sz w:val="20"/>
                <w:szCs w:val="20"/>
                <w:color w:val="auto"/>
              </w:rPr>
            </w:pPr>
            <w:r>
              <w:rPr>
                <w:rFonts w:ascii="Arial" w:cs="Arial" w:eastAsia="Arial" w:hAnsi="Arial"/>
                <w:sz w:val="22"/>
                <w:szCs w:val="22"/>
                <w:color w:val="auto"/>
              </w:rPr>
              <w:t>independent registered public accounting firm.</w:t>
            </w:r>
          </w:p>
        </w:tc>
      </w:tr>
    </w:tbl>
    <w:p>
      <w:pPr>
        <w:sectPr>
          <w:pgSz w:w="11900" w:h="16838" w:orient="portrait"/>
          <w:cols w:equalWidth="0" w:num="1">
            <w:col w:w="11260"/>
          </w:cols>
          <w:pgMar w:left="240" w:top="118" w:right="399" w:bottom="1440" w:gutter="0" w:footer="0" w:header="0"/>
        </w:sectPr>
      </w:pPr>
    </w:p>
    <w:bookmarkStart w:id="2" w:name="page3"/>
    <w:bookmarkEnd w:id="2"/>
    <w:p>
      <w:pPr>
        <w:ind w:left="7580"/>
        <w:spacing w:after="0"/>
        <w:rPr>
          <w:sz w:val="20"/>
          <w:szCs w:val="20"/>
          <w:color w:val="auto"/>
        </w:rPr>
      </w:pPr>
      <w:r>
        <w:rPr>
          <w:rFonts w:ascii="Arial" w:cs="Arial" w:eastAsia="Arial" w:hAnsi="Arial"/>
          <w:sz w:val="22"/>
          <w:szCs w:val="22"/>
          <w:b w:val="1"/>
          <w:bCs w:val="1"/>
          <w:color w:val="auto"/>
        </w:rPr>
        <w:t>Exhibit 16.1</w:t>
      </w:r>
    </w:p>
    <w:p>
      <w:pPr>
        <w:spacing w:after="0" w:line="265"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PRICEWATERHOUSECOOPERS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552259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22595" cy="574675"/>
                    </a:xfrm>
                    <a:prstGeom prst="rect">
                      <a:avLst/>
                    </a:prstGeom>
                    <a:noFill/>
                  </pic:spPr>
                </pic:pic>
              </a:graphicData>
            </a:graphic>
          </wp:anchor>
        </w:drawing>
      </w:r>
    </w:p>
    <w:p>
      <w:pPr>
        <w:spacing w:after="0" w:line="21"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PricewaterhouseCoopers LLP</w:t>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100 E. Wisconsin Ave., Suite 1500</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Milwaukee, WI 53202</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Telephone (414) 212-1600</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August 5, 2005</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100 F Street, N.E.</w:t>
      </w:r>
    </w:p>
    <w:p>
      <w:pPr>
        <w:spacing w:after="0"/>
        <w:rPr>
          <w:sz w:val="20"/>
          <w:szCs w:val="20"/>
          <w:color w:val="auto"/>
        </w:rPr>
      </w:pPr>
      <w:r>
        <w:rPr>
          <w:rFonts w:ascii="Arial" w:cs="Arial" w:eastAsia="Arial" w:hAnsi="Arial"/>
          <w:sz w:val="22"/>
          <w:szCs w:val="22"/>
          <w:color w:val="auto"/>
        </w:rPr>
        <w:t>Washington, DC 20549</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Commissioners: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We have read the statements made by Manpower Inc. (copy attached), which we understand will be filed with the Commission, pursuant to Item 4.01 of Form 8-K, as part of Manpower Inc.’s Form 8-K/A report dated July 27, 2005. We agree with the statements concerning our Firm in such Form 8-K/A.</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/s/ PricewaterhouseCoopers LLP</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PricewaterhouseCoopers LLP</w:t>
      </w:r>
    </w:p>
    <w:sectPr>
      <w:pgSz w:w="11900" w:h="16838" w:orient="portrait"/>
      <w:cols w:equalWidth="0" w:num="1">
        <w:col w:w="11020"/>
      </w:cols>
      <w:pgMar w:left="240" w:top="1098"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2019-12-19T23:46:29Z</dcterms:created>
  <dcterms:modified xsi:type="dcterms:W3CDTF">2019-12-19T23:46:29Z</dcterms:modified>
</cp:coreProperties>
</file>