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820" w:type="dxa"/>
            <w:vAlign w:val="bottom"/>
            <w:gridSpan w:val="7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Sartain Elizabeth P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MANPOWER INC /WI/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MAN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3. Date of Earliest Transaction (Month/Day/Year)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6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9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MANPOWER INC.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20" w:type="dxa"/>
            <w:vAlign w:val="bottom"/>
            <w:gridSpan w:val="5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01/01/2013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100 MANPOWER PLACE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11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MILWAUKEE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0"/>
              </w:rPr>
              <w:t>WI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53212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80" w:type="dxa"/>
            <w:vAlign w:val="bottom"/>
            <w:gridSpan w:val="3"/>
            <w:vMerge w:val="restart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3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60" w:type="dxa"/>
            <w:vAlign w:val="bottom"/>
            <w:gridSpan w:val="16"/>
          </w:tcPr>
          <w:p>
            <w:pPr>
              <w:jc w:val="right"/>
              <w:ind w:right="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4.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32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   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jc w:val="center"/>
              <w:ind w:right="77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jc w:val="center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0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2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5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9"/>
              </w:rPr>
              <w:t>36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ind w:right="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9"/>
              </w:rPr>
              <w:t>36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1,728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76"/>
              </w:rPr>
              <w:t>7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79"/>
              </w:rPr>
              <w:t>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40.34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(3)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341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Deferred</w:t>
            </w:r>
          </w:p>
        </w:tc>
        <w:tc>
          <w:tcPr>
            <w:tcW w:w="66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01/01/2013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7"/>
                <w:szCs w:val="27"/>
                <w:color w:val="0000FF"/>
                <w:vertAlign w:val="subscript"/>
              </w:rPr>
              <w:t>A</w:t>
            </w: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(6)</w:t>
            </w:r>
          </w:p>
        </w:tc>
        <w:tc>
          <w:tcPr>
            <w:tcW w:w="600" w:type="dxa"/>
            <w:vAlign w:val="bottom"/>
            <w:vMerge w:val="restart"/>
          </w:tcPr>
          <w:p>
            <w:pPr>
              <w:jc w:val="center"/>
              <w:ind w:lef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2,474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(5)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2,474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ind w:right="3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  <w:w w:val="87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  <w:w w:val="87"/>
              </w:rPr>
              <w:t>42.44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w w:val="87"/>
                <w:vertAlign w:val="superscript"/>
              </w:rPr>
              <w:t>(7)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5"/>
              </w:rPr>
              <w:t>2,474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0"/>
          <w:szCs w:val="20"/>
          <w:color w:val="auto"/>
        </w:rPr>
      </w:pPr>
    </w:p>
    <w:p>
      <w:pPr>
        <w:ind w:left="40" w:right="38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date of grant and will be settled in shares of ManpowerGroup common stock on a 1 for 1 basis on the earlier of January 1, 2014 or within 30 days after the reporting person's termination of service as a director, except as otherwise provided in the Terms and Conditions (as defined below).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Receipt of deferred stock under the Plan and the Terms and Conditions in lieu of dividends.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Average Trading Price (as defined in the Terms and Conditions).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22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shares of deferred stock are fully vested on the date of grant and will be settled in shares of ManpowerGroup common stock on a 1 for 1 basis on the earlier of August 3, 2013 or within 30 days after the reporting person's termination of service as a director, except as otherwise provided in the Terms and Conditions.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40" w:right="180" w:firstLine="9"/>
        <w:spacing w:after="0" w:line="305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008000"/>
        </w:rPr>
      </w:pPr>
      <w:r>
        <w:rPr>
          <w:rFonts w:ascii="Arial" w:cs="Arial" w:eastAsia="Arial" w:hAnsi="Arial"/>
          <w:sz w:val="12"/>
          <w:szCs w:val="12"/>
          <w:color w:val="008000"/>
        </w:rPr>
        <w:t>The shares of deferred stock vest in quarterly installments on the last day of each calendar quarter during 2013 and will be settled in shares of ManpowerGroup common stock on a 1 for 1 bases on the earlier of January 1, 2016 or within 30 days after the reporting person's termination of service as a director, except as otherwise provided in the Terms and Conditions.</w:t>
      </w:r>
    </w:p>
    <w:p>
      <w:pPr>
        <w:ind w:left="40" w:right="300" w:firstLine="9"/>
        <w:spacing w:after="0" w:line="239" w:lineRule="auto"/>
        <w:tabs>
          <w:tab w:leader="none" w:pos="175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Annual grant of deferred stock under the 2011 Equity Incentive Plan of Manpower Inc. and the Terms and Conditions Regarding the Grant of Awards to Non-Employee Directors under the Plan (Amended and Restated effective February 16, 2011) (the "Terms and Conditions").</w:t>
      </w:r>
    </w:p>
    <w:p>
      <w:pPr>
        <w:spacing w:after="0" w:line="30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Represents the Market Price (as defined in the Plan) on the last trading day of 2012.</w:t>
      </w:r>
    </w:p>
    <w:p>
      <w:pPr>
        <w:spacing w:after="0" w:line="34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/s/ Kenneth C. Hunt (pursuant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-13970</wp:posOffset>
            </wp:positionV>
            <wp:extent cx="134048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048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to Power of Attorney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5"/>
          <w:szCs w:val="15"/>
          <w:color w:val="0000FF"/>
        </w:rPr>
        <w:t>01/03/2013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195707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5707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previously filed)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73977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977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2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091943" TargetMode="External"/><Relationship Id="rId13" Type="http://schemas.openxmlformats.org/officeDocument/2006/relationships/hyperlink" Target="http://www.sec.gov/cgi-bin/browse-edgar?action=getcompany&amp;CIK=000087176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2019-12-18T03:12:22Z</dcterms:created>
  <dcterms:modified xsi:type="dcterms:W3CDTF">2019-12-18T03:12:22Z</dcterms:modified>
</cp:coreProperties>
</file>