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3" w:lineRule="exact"/>
        <w:rPr>
          <w:sz w:val="24"/>
          <w:szCs w:val="24"/>
          <w:color w:val="auto"/>
        </w:rPr>
      </w:pPr>
    </w:p>
    <w:p>
      <w:pPr>
        <w:ind w:left="3860" w:right="2200" w:hanging="3852"/>
        <w:spacing w:after="0" w:line="343" w:lineRule="auto"/>
        <w:tabs>
          <w:tab w:leader="none" w:pos="68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color w:val="auto"/>
        </w:rPr>
        <w:t>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380" w:right="480" w:hanging="372"/>
        <w:spacing w:after="0" w:line="256" w:lineRule="auto"/>
        <w:tabs>
          <w:tab w:leader="none" w:pos="6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1-10686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B89B4"/>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820" w:type="dxa"/>
        <w:tblCellMar>
          <w:top w:w="0" w:type="dxa"/>
          <w:left w:w="0" w:type="dxa"/>
          <w:bottom w:w="0" w:type="dxa"/>
          <w:right w:w="0" w:type="dxa"/>
        </w:tblCellMar>
      </w:tblP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WISCONSIN</w:t>
            </w:r>
          </w:p>
        </w:tc>
        <w:tc>
          <w:tcPr>
            <w:tcW w:w="2580" w:type="dxa"/>
            <w:vAlign w:val="bottom"/>
          </w:tcPr>
          <w:p>
            <w:pPr>
              <w:jc w:val="right"/>
              <w:ind w:right="159"/>
              <w:spacing w:after="0"/>
              <w:rPr>
                <w:sz w:val="20"/>
                <w:szCs w:val="20"/>
                <w:color w:val="auto"/>
              </w:rPr>
            </w:pPr>
            <w:r>
              <w:rPr>
                <w:rFonts w:ascii="Arial" w:cs="Arial" w:eastAsia="Arial" w:hAnsi="Arial"/>
                <w:sz w:val="16"/>
                <w:szCs w:val="16"/>
                <w:b w:val="1"/>
                <w:bCs w:val="1"/>
                <w:color w:val="auto"/>
              </w:rPr>
              <w:t>39-1672779</w:t>
            </w:r>
          </w:p>
        </w:tc>
      </w:tr>
      <w:tr>
        <w:trPr>
          <w:trHeight w:val="224"/>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(State or other jurisdiction</w:t>
            </w:r>
          </w:p>
        </w:tc>
        <w:tc>
          <w:tcPr>
            <w:tcW w:w="2580" w:type="dxa"/>
            <w:vAlign w:val="bottom"/>
          </w:tcPr>
          <w:p>
            <w:pPr>
              <w:jc w:val="center"/>
              <w:ind w:left="1079"/>
              <w:spacing w:after="0"/>
              <w:rPr>
                <w:sz w:val="20"/>
                <w:szCs w:val="20"/>
                <w:color w:val="auto"/>
              </w:rPr>
            </w:pPr>
            <w:r>
              <w:rPr>
                <w:rFonts w:ascii="Arial" w:cs="Arial" w:eastAsia="Arial" w:hAnsi="Arial"/>
                <w:sz w:val="16"/>
                <w:szCs w:val="16"/>
                <w:b w:val="1"/>
                <w:bCs w:val="1"/>
                <w:color w:val="auto"/>
              </w:rPr>
              <w:t>(IRS Employer</w:t>
            </w:r>
          </w:p>
        </w:tc>
      </w:tr>
      <w:tr>
        <w:trPr>
          <w:trHeight w:val="218"/>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of incorporation)</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Identification No.)</w:t>
            </w:r>
          </w:p>
        </w:tc>
      </w:t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100 MANPOWER PLACE, MILWAUKEE, WISCONSIN</w:t>
            </w:r>
          </w:p>
        </w:tc>
        <w:tc>
          <w:tcPr>
            <w:tcW w:w="2580" w:type="dxa"/>
            <w:vAlign w:val="bottom"/>
          </w:tcPr>
          <w:p>
            <w:pPr>
              <w:jc w:val="right"/>
              <w:ind w:right="379"/>
              <w:spacing w:after="0"/>
              <w:rPr>
                <w:sz w:val="20"/>
                <w:szCs w:val="20"/>
                <w:color w:val="auto"/>
              </w:rPr>
            </w:pPr>
            <w:r>
              <w:rPr>
                <w:rFonts w:ascii="Arial" w:cs="Arial" w:eastAsia="Arial" w:hAnsi="Arial"/>
                <w:sz w:val="16"/>
                <w:szCs w:val="16"/>
                <w:b w:val="1"/>
                <w:bCs w:val="1"/>
                <w:color w:val="auto"/>
              </w:rPr>
              <w:t>53212</w:t>
            </w:r>
          </w:p>
        </w:tc>
      </w:tr>
      <w:tr>
        <w:trPr>
          <w:trHeight w:val="223"/>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(Address of principal executive offices)</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255" w:right="339" w:bottom="1440" w:gutter="0" w:footer="0" w:header="0"/>
        </w:sectPr>
      </w:pPr>
    </w:p>
    <w:p>
      <w:pPr>
        <w:spacing w:after="0" w:line="106"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Trading Symbol(s)</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3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 Stock Exchange</w:t>
      </w:r>
    </w:p>
    <w:p>
      <w:pPr>
        <w:spacing w:after="0" w:line="150" w:lineRule="exact"/>
        <w:rPr>
          <w:sz w:val="24"/>
          <w:szCs w:val="24"/>
          <w:color w:val="auto"/>
        </w:rPr>
      </w:pPr>
    </w:p>
    <w:p>
      <w:pPr>
        <w:sectPr>
          <w:pgSz w:w="11900" w:h="16838" w:orient="portrait"/>
          <w:cols w:equalWidth="0" w:num="3">
            <w:col w:w="3640" w:space="720"/>
            <w:col w:w="2020" w:space="720"/>
            <w:col w:w="4140"/>
          </w:cols>
          <w:pgMar w:left="320" w:top="1255" w:right="339" w:bottom="1440" w:gutter="0" w:footer="0" w:header="0"/>
          <w:type w:val="continuous"/>
        </w:sect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20"/>
        <w:spacing w:after="0" w:line="20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5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5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6"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60"/>
        <w:spacing w:after="0" w:line="21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Shares Outstanding</w:t>
            </w: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Class</w:t>
            </w: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at April 30, 2025</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Common Stock, $.01 par value</w:t>
            </w:r>
          </w:p>
        </w:tc>
        <w:tc>
          <w:tcPr>
            <w:tcW w:w="6260" w:type="dxa"/>
            <w:vAlign w:val="bottom"/>
          </w:tcPr>
          <w:p>
            <w:pPr>
              <w:jc w:val="center"/>
              <w:ind w:left="719"/>
              <w:spacing w:after="0"/>
              <w:rPr>
                <w:sz w:val="20"/>
                <w:szCs w:val="20"/>
                <w:color w:val="auto"/>
              </w:rPr>
            </w:pPr>
            <w:r>
              <w:rPr>
                <w:rFonts w:ascii="Arial" w:cs="Arial" w:eastAsia="Arial" w:hAnsi="Arial"/>
                <w:sz w:val="16"/>
                <w:szCs w:val="16"/>
                <w:color w:val="auto"/>
              </w:rPr>
              <w:t>46,282,435</w:t>
            </w:r>
          </w:p>
        </w:tc>
      </w:tr>
      <w:tr>
        <w:trPr>
          <w:trHeight w:val="1413"/>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INDEX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Number</w:t>
            </w:r>
          </w:p>
        </w:tc>
      </w:tr>
      <w:tr>
        <w:trPr>
          <w:trHeight w:val="137"/>
        </w:trPr>
        <w:tc>
          <w:tcPr>
            <w:tcW w:w="500" w:type="dxa"/>
            <w:vAlign w:val="bottom"/>
            <w:tcBorders>
              <w:bottom w:val="single" w:sz="8" w:color="5B89B4"/>
            </w:tcBorders>
          </w:tcPr>
          <w:p>
            <w:pPr>
              <w:spacing w:after="0"/>
              <w:rPr>
                <w:sz w:val="11"/>
                <w:szCs w:val="11"/>
                <w:color w:val="auto"/>
              </w:rPr>
            </w:pPr>
          </w:p>
        </w:tc>
        <w:tc>
          <w:tcPr>
            <w:tcW w:w="80" w:type="dxa"/>
            <w:vAlign w:val="bottom"/>
            <w:tcBorders>
              <w:bottom w:val="single" w:sz="8" w:color="5B89B4"/>
            </w:tcBorders>
          </w:tcPr>
          <w:p>
            <w:pPr>
              <w:spacing w:after="0"/>
              <w:rPr>
                <w:sz w:val="11"/>
                <w:szCs w:val="11"/>
                <w:color w:val="auto"/>
              </w:rPr>
            </w:pPr>
          </w:p>
        </w:tc>
        <w:tc>
          <w:tcPr>
            <w:tcW w:w="4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520" w:type="dxa"/>
            <w:vAlign w:val="bottom"/>
            <w:tcBorders>
              <w:bottom w:val="single" w:sz="8" w:color="5B89B4"/>
            </w:tcBorders>
          </w:tcPr>
          <w:p>
            <w:pPr>
              <w:spacing w:after="0"/>
              <w:rPr>
                <w:sz w:val="11"/>
                <w:szCs w:val="11"/>
                <w:color w:val="auto"/>
              </w:rPr>
            </w:pPr>
          </w:p>
        </w:tc>
        <w:tc>
          <w:tcPr>
            <w:tcW w:w="640" w:type="dxa"/>
            <w:vAlign w:val="bottom"/>
            <w:tcBorders>
              <w:bottom w:val="single" w:sz="8" w:color="5B89B4"/>
            </w:tcBorders>
          </w:tcPr>
          <w:p>
            <w:pPr>
              <w:spacing w:after="0"/>
              <w:rPr>
                <w:sz w:val="11"/>
                <w:szCs w:val="11"/>
                <w:color w:val="auto"/>
              </w:rPr>
            </w:pPr>
          </w:p>
        </w:tc>
        <w:tc>
          <w:tcPr>
            <w:tcW w:w="360" w:type="dxa"/>
            <w:vAlign w:val="bottom"/>
            <w:tcBorders>
              <w:bottom w:val="single" w:sz="8" w:color="5B89B4"/>
            </w:tcBorders>
          </w:tcPr>
          <w:p>
            <w:pPr>
              <w:spacing w:after="0"/>
              <w:rPr>
                <w:sz w:val="11"/>
                <w:szCs w:val="11"/>
                <w:color w:val="auto"/>
              </w:rPr>
            </w:pPr>
          </w:p>
        </w:tc>
        <w:tc>
          <w:tcPr>
            <w:tcW w:w="40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260" w:type="dxa"/>
            <w:vAlign w:val="bottom"/>
            <w:tcBorders>
              <w:bottom w:val="single" w:sz="8" w:color="5B89B4"/>
            </w:tcBorders>
          </w:tcPr>
          <w:p>
            <w:pPr>
              <w:spacing w:after="0"/>
              <w:rPr>
                <w:sz w:val="11"/>
                <w:szCs w:val="11"/>
                <w:color w:val="auto"/>
              </w:rPr>
            </w:pPr>
          </w:p>
        </w:tc>
        <w:tc>
          <w:tcPr>
            <w:tcW w:w="100" w:type="dxa"/>
            <w:vAlign w:val="bottom"/>
            <w:tcBorders>
              <w:bottom w:val="single" w:sz="8" w:color="5B89B4"/>
            </w:tcBorders>
          </w:tcPr>
          <w:p>
            <w:pPr>
              <w:spacing w:after="0"/>
              <w:rPr>
                <w:sz w:val="11"/>
                <w:szCs w:val="11"/>
                <w:color w:val="auto"/>
              </w:rPr>
            </w:pPr>
          </w:p>
        </w:tc>
        <w:tc>
          <w:tcPr>
            <w:tcW w:w="280" w:type="dxa"/>
            <w:vAlign w:val="bottom"/>
            <w:tcBorders>
              <w:bottom w:val="single" w:sz="8" w:color="5B89B4"/>
            </w:tcBorders>
          </w:tcPr>
          <w:p>
            <w:pPr>
              <w:spacing w:after="0"/>
              <w:rPr>
                <w:sz w:val="11"/>
                <w:szCs w:val="11"/>
                <w:color w:val="auto"/>
              </w:rPr>
            </w:pPr>
          </w:p>
        </w:tc>
        <w:tc>
          <w:tcPr>
            <w:tcW w:w="50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300" w:type="dxa"/>
            <w:vAlign w:val="bottom"/>
            <w:tcBorders>
              <w:bottom w:val="single" w:sz="8" w:color="5B89B4"/>
            </w:tcBorders>
          </w:tcPr>
          <w:p>
            <w:pPr>
              <w:spacing w:after="0"/>
              <w:rPr>
                <w:sz w:val="11"/>
                <w:szCs w:val="11"/>
                <w:color w:val="auto"/>
              </w:rPr>
            </w:pPr>
          </w:p>
        </w:tc>
        <w:tc>
          <w:tcPr>
            <w:tcW w:w="420" w:type="dxa"/>
            <w:vAlign w:val="bottom"/>
            <w:tcBorders>
              <w:bottom w:val="single" w:sz="8" w:color="5B89B4"/>
            </w:tcBorders>
          </w:tcPr>
          <w:p>
            <w:pPr>
              <w:spacing w:after="0"/>
              <w:rPr>
                <w:sz w:val="11"/>
                <w:szCs w:val="11"/>
                <w:color w:val="auto"/>
              </w:rPr>
            </w:pPr>
          </w:p>
        </w:tc>
        <w:tc>
          <w:tcPr>
            <w:tcW w:w="240" w:type="dxa"/>
            <w:vAlign w:val="bottom"/>
            <w:tcBorders>
              <w:bottom w:val="single" w:sz="8" w:color="5B89B4"/>
            </w:tcBorders>
          </w:tcPr>
          <w:p>
            <w:pPr>
              <w:spacing w:after="0"/>
              <w:rPr>
                <w:sz w:val="11"/>
                <w:szCs w:val="11"/>
                <w:color w:val="auto"/>
              </w:rPr>
            </w:pPr>
          </w:p>
        </w:tc>
        <w:tc>
          <w:tcPr>
            <w:tcW w:w="560" w:type="dxa"/>
            <w:vAlign w:val="bottom"/>
            <w:tcBorders>
              <w:bottom w:val="single" w:sz="8" w:color="5B89B4"/>
            </w:tcBorders>
          </w:tcPr>
          <w:p>
            <w:pPr>
              <w:spacing w:after="0"/>
              <w:rPr>
                <w:sz w:val="11"/>
                <w:szCs w:val="11"/>
                <w:color w:val="auto"/>
              </w:rPr>
            </w:pPr>
          </w:p>
        </w:tc>
        <w:tc>
          <w:tcPr>
            <w:tcW w:w="140" w:type="dxa"/>
            <w:vAlign w:val="bottom"/>
            <w:tcBorders>
              <w:bottom w:val="single" w:sz="8" w:color="5B89B4"/>
            </w:tcBorders>
          </w:tcPr>
          <w:p>
            <w:pPr>
              <w:spacing w:after="0"/>
              <w:rPr>
                <w:sz w:val="11"/>
                <w:szCs w:val="11"/>
                <w:color w:val="auto"/>
              </w:rPr>
            </w:pPr>
          </w:p>
        </w:tc>
        <w:tc>
          <w:tcPr>
            <w:tcW w:w="2220" w:type="dxa"/>
            <w:vAlign w:val="bottom"/>
            <w:tcBorders>
              <w:bottom w:val="single" w:sz="8" w:color="5B89B4"/>
            </w:tcBorders>
          </w:tcPr>
          <w:p>
            <w:pPr>
              <w:spacing w:after="0"/>
              <w:rPr>
                <w:sz w:val="11"/>
                <w:szCs w:val="11"/>
                <w:color w:val="auto"/>
              </w:rPr>
            </w:pPr>
          </w:p>
        </w:tc>
        <w:tc>
          <w:tcPr>
            <w:tcW w:w="860" w:type="dxa"/>
            <w:vAlign w:val="bottom"/>
            <w:tcBorders>
              <w:bottom w:val="single" w:sz="8" w:color="5B89B4"/>
            </w:tcBorders>
          </w:tcPr>
          <w:p>
            <w:pPr>
              <w:spacing w:after="0"/>
              <w:rPr>
                <w:sz w:val="11"/>
                <w:szCs w:val="11"/>
                <w:color w:val="auto"/>
              </w:rPr>
            </w:pPr>
          </w:p>
        </w:tc>
        <w:tc>
          <w:tcPr>
            <w:tcW w:w="1600" w:type="dxa"/>
            <w:vAlign w:val="bottom"/>
            <w:tcBorders>
              <w:bottom w:val="single" w:sz="8" w:color="5B89B4"/>
            </w:tcBorders>
          </w:tcPr>
          <w:p>
            <w:pPr>
              <w:spacing w:after="0"/>
              <w:rPr>
                <w:sz w:val="11"/>
                <w:szCs w:val="11"/>
                <w:color w:val="auto"/>
              </w:rPr>
            </w:pPr>
          </w:p>
        </w:tc>
      </w:tr>
      <w:tr>
        <w:trPr>
          <w:trHeight w:val="210"/>
        </w:trPr>
        <w:tc>
          <w:tcPr>
            <w:tcW w:w="1700" w:type="dxa"/>
            <w:vAlign w:val="bottom"/>
            <w:gridSpan w:val="6"/>
          </w:tcPr>
          <w:p>
            <w:pPr>
              <w:spacing w:after="0"/>
              <w:rPr>
                <w:sz w:val="20"/>
                <w:szCs w:val="20"/>
                <w:color w:val="auto"/>
              </w:rPr>
            </w:pPr>
            <w:r>
              <w:rPr>
                <w:rFonts w:ascii="Arial" w:cs="Arial" w:eastAsia="Arial" w:hAnsi="Arial"/>
                <w:sz w:val="18"/>
                <w:szCs w:val="18"/>
                <w:color w:val="5B89B4"/>
              </w:rPr>
              <w:t>PART I</w:t>
            </w:r>
          </w:p>
        </w:tc>
        <w:tc>
          <w:tcPr>
            <w:tcW w:w="7940" w:type="dxa"/>
            <w:vAlign w:val="bottom"/>
            <w:gridSpan w:val="17"/>
          </w:tcPr>
          <w:p>
            <w:pPr>
              <w:spacing w:after="0"/>
              <w:rPr>
                <w:sz w:val="20"/>
                <w:szCs w:val="20"/>
                <w:color w:val="auto"/>
              </w:rPr>
            </w:pPr>
            <w:r>
              <w:rPr>
                <w:rFonts w:ascii="Arial" w:cs="Arial" w:eastAsia="Arial" w:hAnsi="Arial"/>
                <w:sz w:val="18"/>
                <w:szCs w:val="18"/>
                <w:color w:val="5B89B4"/>
              </w:rPr>
              <w:t>FINANCIAL INFORMATION</w:t>
            </w:r>
          </w:p>
        </w:tc>
        <w:tc>
          <w:tcPr>
            <w:tcW w:w="1600" w:type="dxa"/>
            <w:vAlign w:val="bottom"/>
          </w:tcPr>
          <w:p>
            <w:pPr>
              <w:spacing w:after="0"/>
              <w:rPr>
                <w:sz w:val="18"/>
                <w:szCs w:val="18"/>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120" w:type="dxa"/>
            <w:vAlign w:val="bottom"/>
            <w:gridSpan w:val="4"/>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237"/>
        </w:trPr>
        <w:tc>
          <w:tcPr>
            <w:tcW w:w="5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Balance Sheets</w:t>
            </w:r>
          </w:p>
        </w:tc>
        <w:tc>
          <w:tcPr>
            <w:tcW w:w="5300" w:type="dxa"/>
            <w:vAlign w:val="bottom"/>
            <w:gridSpan w:val="9"/>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3-4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Income</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36"/>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1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Consolidated Statements of Cash Flows</w:t>
            </w:r>
          </w:p>
        </w:tc>
        <w:tc>
          <w:tcPr>
            <w:tcW w:w="3780" w:type="dxa"/>
            <w:vAlign w:val="bottom"/>
            <w:gridSpan w:val="4"/>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Shareholders' Equity</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7</w:t>
            </w: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Notes to Consolidated Financial Statements</w:t>
            </w:r>
          </w:p>
        </w:tc>
        <w:tc>
          <w:tcPr>
            <w:tcW w:w="4020" w:type="dxa"/>
            <w:vAlign w:val="bottom"/>
            <w:gridSpan w:val="5"/>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8-20</w:t>
            </w:r>
          </w:p>
        </w:tc>
      </w:tr>
      <w:tr>
        <w:trPr>
          <w:trHeight w:val="20"/>
        </w:trPr>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21-29</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794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29</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940" w:type="dxa"/>
            <w:vAlign w:val="bottom"/>
            <w:gridSpan w:val="17"/>
          </w:tcPr>
          <w:p>
            <w:pPr>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29</w:t>
            </w:r>
          </w:p>
        </w:tc>
      </w:tr>
      <w:tr>
        <w:trPr>
          <w:trHeight w:val="277"/>
        </w:trPr>
        <w:tc>
          <w:tcPr>
            <w:tcW w:w="500" w:type="dxa"/>
            <w:vAlign w:val="bottom"/>
            <w:tcBorders>
              <w:top w:val="single" w:sz="8" w:color="0000EE"/>
              <w:bottom w:val="single" w:sz="8" w:color="5B89B4"/>
            </w:tcBorders>
          </w:tcPr>
          <w:p>
            <w:pPr>
              <w:spacing w:after="0"/>
              <w:rPr>
                <w:sz w:val="24"/>
                <w:szCs w:val="24"/>
                <w:color w:val="auto"/>
              </w:rPr>
            </w:pPr>
          </w:p>
        </w:tc>
        <w:tc>
          <w:tcPr>
            <w:tcW w:w="80" w:type="dxa"/>
            <w:vAlign w:val="bottom"/>
            <w:tcBorders>
              <w:bottom w:val="single" w:sz="8" w:color="5B89B4"/>
            </w:tcBorders>
          </w:tcPr>
          <w:p>
            <w:pPr>
              <w:spacing w:after="0"/>
              <w:rPr>
                <w:sz w:val="24"/>
                <w:szCs w:val="24"/>
                <w:color w:val="auto"/>
              </w:rPr>
            </w:pPr>
          </w:p>
        </w:tc>
        <w:tc>
          <w:tcPr>
            <w:tcW w:w="4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540" w:type="dxa"/>
            <w:vAlign w:val="bottom"/>
            <w:tcBorders>
              <w:bottom w:val="single" w:sz="8" w:color="5B89B4"/>
            </w:tcBorders>
          </w:tcPr>
          <w:p>
            <w:pPr>
              <w:spacing w:after="0"/>
              <w:rPr>
                <w:sz w:val="24"/>
                <w:szCs w:val="24"/>
                <w:color w:val="auto"/>
              </w:rPr>
            </w:pPr>
          </w:p>
        </w:tc>
        <w:tc>
          <w:tcPr>
            <w:tcW w:w="520" w:type="dxa"/>
            <w:vAlign w:val="bottom"/>
            <w:tcBorders>
              <w:bottom w:val="single" w:sz="8" w:color="5B89B4"/>
            </w:tcBorders>
          </w:tcPr>
          <w:p>
            <w:pPr>
              <w:spacing w:after="0"/>
              <w:rPr>
                <w:sz w:val="24"/>
                <w:szCs w:val="24"/>
                <w:color w:val="auto"/>
              </w:rPr>
            </w:pPr>
          </w:p>
        </w:tc>
        <w:tc>
          <w:tcPr>
            <w:tcW w:w="640" w:type="dxa"/>
            <w:vAlign w:val="bottom"/>
            <w:tcBorders>
              <w:top w:val="single" w:sz="8" w:color="0000EE"/>
              <w:bottom w:val="single" w:sz="8" w:color="5B89B4"/>
            </w:tcBorders>
          </w:tcPr>
          <w:p>
            <w:pPr>
              <w:spacing w:after="0"/>
              <w:rPr>
                <w:sz w:val="24"/>
                <w:szCs w:val="24"/>
                <w:color w:val="auto"/>
              </w:rPr>
            </w:pPr>
          </w:p>
        </w:tc>
        <w:tc>
          <w:tcPr>
            <w:tcW w:w="360" w:type="dxa"/>
            <w:vAlign w:val="bottom"/>
            <w:tcBorders>
              <w:top w:val="single" w:sz="8" w:color="0000EE"/>
              <w:bottom w:val="single" w:sz="8" w:color="5B89B4"/>
            </w:tcBorders>
          </w:tcPr>
          <w:p>
            <w:pPr>
              <w:spacing w:after="0"/>
              <w:rPr>
                <w:sz w:val="24"/>
                <w:szCs w:val="24"/>
                <w:color w:val="auto"/>
              </w:rPr>
            </w:pPr>
          </w:p>
        </w:tc>
        <w:tc>
          <w:tcPr>
            <w:tcW w:w="400" w:type="dxa"/>
            <w:vAlign w:val="bottom"/>
            <w:tcBorders>
              <w:top w:val="single" w:sz="8" w:color="0000EE"/>
              <w:bottom w:val="single" w:sz="8" w:color="5B89B4"/>
            </w:tcBorders>
          </w:tcPr>
          <w:p>
            <w:pPr>
              <w:spacing w:after="0"/>
              <w:rPr>
                <w:sz w:val="24"/>
                <w:szCs w:val="24"/>
                <w:color w:val="auto"/>
              </w:rPr>
            </w:pPr>
          </w:p>
        </w:tc>
        <w:tc>
          <w:tcPr>
            <w:tcW w:w="540" w:type="dxa"/>
            <w:vAlign w:val="bottom"/>
            <w:tcBorders>
              <w:top w:val="single" w:sz="8" w:color="0000EE"/>
              <w:bottom w:val="single" w:sz="8" w:color="5B89B4"/>
            </w:tcBorders>
          </w:tcPr>
          <w:p>
            <w:pPr>
              <w:spacing w:after="0"/>
              <w:rPr>
                <w:sz w:val="24"/>
                <w:szCs w:val="24"/>
                <w:color w:val="auto"/>
              </w:rPr>
            </w:pPr>
          </w:p>
        </w:tc>
        <w:tc>
          <w:tcPr>
            <w:tcW w:w="60" w:type="dxa"/>
            <w:vAlign w:val="bottom"/>
            <w:tcBorders>
              <w:top w:val="single" w:sz="8" w:color="0000EE"/>
              <w:bottom w:val="single" w:sz="8" w:color="5B89B4"/>
            </w:tcBorders>
          </w:tcPr>
          <w:p>
            <w:pPr>
              <w:spacing w:after="0"/>
              <w:rPr>
                <w:sz w:val="24"/>
                <w:szCs w:val="24"/>
                <w:color w:val="auto"/>
              </w:rPr>
            </w:pPr>
          </w:p>
        </w:tc>
        <w:tc>
          <w:tcPr>
            <w:tcW w:w="260" w:type="dxa"/>
            <w:vAlign w:val="bottom"/>
            <w:tcBorders>
              <w:bottom w:val="single" w:sz="8" w:color="5B89B4"/>
            </w:tcBorders>
          </w:tcPr>
          <w:p>
            <w:pPr>
              <w:spacing w:after="0"/>
              <w:rPr>
                <w:sz w:val="24"/>
                <w:szCs w:val="24"/>
                <w:color w:val="auto"/>
              </w:rPr>
            </w:pPr>
          </w:p>
        </w:tc>
        <w:tc>
          <w:tcPr>
            <w:tcW w:w="100" w:type="dxa"/>
            <w:vAlign w:val="bottom"/>
            <w:tcBorders>
              <w:bottom w:val="single" w:sz="8" w:color="5B89B4"/>
            </w:tcBorders>
          </w:tcPr>
          <w:p>
            <w:pPr>
              <w:spacing w:after="0"/>
              <w:rPr>
                <w:sz w:val="24"/>
                <w:szCs w:val="24"/>
                <w:color w:val="auto"/>
              </w:rPr>
            </w:pPr>
          </w:p>
        </w:tc>
        <w:tc>
          <w:tcPr>
            <w:tcW w:w="280" w:type="dxa"/>
            <w:vAlign w:val="bottom"/>
            <w:tcBorders>
              <w:bottom w:val="single" w:sz="8" w:color="5B89B4"/>
            </w:tcBorders>
          </w:tcPr>
          <w:p>
            <w:pPr>
              <w:spacing w:after="0"/>
              <w:rPr>
                <w:sz w:val="24"/>
                <w:szCs w:val="24"/>
                <w:color w:val="auto"/>
              </w:rPr>
            </w:pPr>
          </w:p>
        </w:tc>
        <w:tc>
          <w:tcPr>
            <w:tcW w:w="500" w:type="dxa"/>
            <w:vAlign w:val="bottom"/>
            <w:tcBorders>
              <w:bottom w:val="single" w:sz="8" w:color="5B89B4"/>
            </w:tcBorders>
          </w:tcPr>
          <w:p>
            <w:pPr>
              <w:spacing w:after="0"/>
              <w:rPr>
                <w:sz w:val="24"/>
                <w:szCs w:val="24"/>
                <w:color w:val="auto"/>
              </w:rPr>
            </w:pPr>
          </w:p>
        </w:tc>
        <w:tc>
          <w:tcPr>
            <w:tcW w:w="60" w:type="dxa"/>
            <w:vAlign w:val="bottom"/>
            <w:tcBorders>
              <w:bottom w:val="single" w:sz="8" w:color="5B89B4"/>
            </w:tcBorders>
          </w:tcPr>
          <w:p>
            <w:pPr>
              <w:spacing w:after="0"/>
              <w:rPr>
                <w:sz w:val="24"/>
                <w:szCs w:val="24"/>
                <w:color w:val="auto"/>
              </w:rPr>
            </w:pPr>
          </w:p>
        </w:tc>
        <w:tc>
          <w:tcPr>
            <w:tcW w:w="300" w:type="dxa"/>
            <w:vAlign w:val="bottom"/>
            <w:tcBorders>
              <w:bottom w:val="single" w:sz="8" w:color="5B89B4"/>
            </w:tcBorders>
          </w:tcPr>
          <w:p>
            <w:pPr>
              <w:spacing w:after="0"/>
              <w:rPr>
                <w:sz w:val="24"/>
                <w:szCs w:val="24"/>
                <w:color w:val="auto"/>
              </w:rPr>
            </w:pPr>
          </w:p>
        </w:tc>
        <w:tc>
          <w:tcPr>
            <w:tcW w:w="420" w:type="dxa"/>
            <w:vAlign w:val="bottom"/>
            <w:tcBorders>
              <w:bottom w:val="single" w:sz="8" w:color="5B89B4"/>
            </w:tcBorders>
          </w:tcPr>
          <w:p>
            <w:pPr>
              <w:spacing w:after="0"/>
              <w:rPr>
                <w:sz w:val="24"/>
                <w:szCs w:val="24"/>
                <w:color w:val="auto"/>
              </w:rPr>
            </w:pPr>
          </w:p>
        </w:tc>
        <w:tc>
          <w:tcPr>
            <w:tcW w:w="240" w:type="dxa"/>
            <w:vAlign w:val="bottom"/>
            <w:tcBorders>
              <w:bottom w:val="single" w:sz="8" w:color="5B89B4"/>
            </w:tcBorders>
          </w:tcPr>
          <w:p>
            <w:pPr>
              <w:spacing w:after="0"/>
              <w:rPr>
                <w:sz w:val="24"/>
                <w:szCs w:val="24"/>
                <w:color w:val="auto"/>
              </w:rPr>
            </w:pPr>
          </w:p>
        </w:tc>
        <w:tc>
          <w:tcPr>
            <w:tcW w:w="560" w:type="dxa"/>
            <w:vAlign w:val="bottom"/>
            <w:tcBorders>
              <w:bottom w:val="single" w:sz="8" w:color="5B89B4"/>
            </w:tcBorders>
          </w:tcPr>
          <w:p>
            <w:pPr>
              <w:spacing w:after="0"/>
              <w:rPr>
                <w:sz w:val="24"/>
                <w:szCs w:val="24"/>
                <w:color w:val="auto"/>
              </w:rPr>
            </w:pPr>
          </w:p>
        </w:tc>
        <w:tc>
          <w:tcPr>
            <w:tcW w:w="140" w:type="dxa"/>
            <w:vAlign w:val="bottom"/>
            <w:tcBorders>
              <w:bottom w:val="single" w:sz="8" w:color="5B89B4"/>
            </w:tcBorders>
          </w:tcPr>
          <w:p>
            <w:pPr>
              <w:spacing w:after="0"/>
              <w:rPr>
                <w:sz w:val="24"/>
                <w:szCs w:val="24"/>
                <w:color w:val="auto"/>
              </w:rPr>
            </w:pPr>
          </w:p>
        </w:tc>
        <w:tc>
          <w:tcPr>
            <w:tcW w:w="2220" w:type="dxa"/>
            <w:vAlign w:val="bottom"/>
            <w:tcBorders>
              <w:bottom w:val="single" w:sz="8" w:color="5B89B4"/>
            </w:tcBorders>
          </w:tcPr>
          <w:p>
            <w:pPr>
              <w:spacing w:after="0"/>
              <w:rPr>
                <w:sz w:val="24"/>
                <w:szCs w:val="24"/>
                <w:color w:val="auto"/>
              </w:rPr>
            </w:pPr>
          </w:p>
        </w:tc>
        <w:tc>
          <w:tcPr>
            <w:tcW w:w="860" w:type="dxa"/>
            <w:vAlign w:val="bottom"/>
            <w:tcBorders>
              <w:bottom w:val="single" w:sz="8" w:color="5B89B4"/>
            </w:tcBorders>
          </w:tcPr>
          <w:p>
            <w:pPr>
              <w:spacing w:after="0"/>
              <w:rPr>
                <w:sz w:val="24"/>
                <w:szCs w:val="24"/>
                <w:color w:val="auto"/>
              </w:rPr>
            </w:pPr>
          </w:p>
        </w:tc>
        <w:tc>
          <w:tcPr>
            <w:tcW w:w="1600" w:type="dxa"/>
            <w:vAlign w:val="bottom"/>
            <w:tcBorders>
              <w:bottom w:val="single" w:sz="8" w:color="5B89B4"/>
            </w:tcBorders>
          </w:tcPr>
          <w:p>
            <w:pPr>
              <w:spacing w:after="0"/>
              <w:rPr>
                <w:sz w:val="24"/>
                <w:szCs w:val="24"/>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5B89B4"/>
                <w:w w:val="98"/>
              </w:rPr>
              <w:t>PART II</w:t>
            </w:r>
          </w:p>
        </w:tc>
        <w:tc>
          <w:tcPr>
            <w:tcW w:w="1060" w:type="dxa"/>
            <w:vAlign w:val="bottom"/>
            <w:gridSpan w:val="2"/>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5B89B4"/>
              </w:rPr>
              <w:t>OTHER INFORMATION</w:t>
            </w:r>
          </w:p>
        </w:tc>
        <w:tc>
          <w:tcPr>
            <w:tcW w:w="1600" w:type="dxa"/>
            <w:vAlign w:val="bottom"/>
          </w:tcPr>
          <w:p>
            <w:pPr>
              <w:spacing w:after="0"/>
              <w:rPr>
                <w:sz w:val="18"/>
                <w:szCs w:val="18"/>
                <w:color w:val="auto"/>
              </w:rPr>
            </w:pPr>
          </w:p>
        </w:tc>
      </w:tr>
      <w:tr>
        <w:trPr>
          <w:trHeight w:val="237"/>
        </w:trPr>
        <w:tc>
          <w:tcPr>
            <w:tcW w:w="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9"/>
              </w:rPr>
              <w:t>Item 1A</w:t>
            </w:r>
          </w:p>
        </w:tc>
        <w:tc>
          <w:tcPr>
            <w:tcW w:w="1060" w:type="dxa"/>
            <w:vAlign w:val="bottom"/>
            <w:gridSpan w:val="2"/>
          </w:tcPr>
          <w:p>
            <w:pPr>
              <w:spacing w:after="0"/>
              <w:rPr>
                <w:sz w:val="20"/>
                <w:szCs w:val="20"/>
                <w:color w:val="auto"/>
              </w:rPr>
            </w:pPr>
          </w:p>
        </w:tc>
        <w:tc>
          <w:tcPr>
            <w:tcW w:w="19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13"/>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6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80" w:type="dxa"/>
            <w:vAlign w:val="bottom"/>
            <w:gridSpan w:val="3"/>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60" w:type="dxa"/>
            <w:vAlign w:val="bottom"/>
            <w:gridSpan w:val="1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5</w:t>
            </w:r>
          </w:p>
        </w:tc>
        <w:tc>
          <w:tcPr>
            <w:tcW w:w="794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6</w:t>
            </w:r>
          </w:p>
        </w:tc>
        <w:tc>
          <w:tcPr>
            <w:tcW w:w="7940" w:type="dxa"/>
            <w:vAlign w:val="bottom"/>
            <w:gridSpan w:val="17"/>
          </w:tcPr>
          <w:p>
            <w:pPr>
              <w:spacing w:after="0"/>
              <w:rPr>
                <w:sz w:val="20"/>
                <w:szCs w:val="20"/>
                <w:color w:val="auto"/>
              </w:rPr>
            </w:pPr>
            <w:r>
              <w:rPr>
                <w:rFonts w:ascii="Arial" w:cs="Arial" w:eastAsia="Arial" w:hAnsi="Arial"/>
                <w:sz w:val="18"/>
                <w:szCs w:val="18"/>
                <w:color w:val="auto"/>
              </w:rPr>
              <w:t>Exhibits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31</w:t>
            </w:r>
          </w:p>
        </w:tc>
      </w:tr>
      <w:tr>
        <w:trPr>
          <w:trHeight w:val="237"/>
        </w:trPr>
        <w:tc>
          <w:tcPr>
            <w:tcW w:w="500" w:type="dxa"/>
            <w:vAlign w:val="bottom"/>
            <w:tcBorders>
              <w:top w:val="single" w:sz="8" w:color="0000EE"/>
              <w:bottom w:val="single" w:sz="8" w:color="5B89B4"/>
            </w:tcBorders>
          </w:tcPr>
          <w:p>
            <w:pPr>
              <w:spacing w:after="0"/>
              <w:rPr>
                <w:sz w:val="20"/>
                <w:szCs w:val="20"/>
                <w:color w:val="auto"/>
              </w:rPr>
            </w:pPr>
          </w:p>
        </w:tc>
        <w:tc>
          <w:tcPr>
            <w:tcW w:w="80" w:type="dxa"/>
            <w:vAlign w:val="bottom"/>
            <w:tcBorders>
              <w:bottom w:val="single" w:sz="8" w:color="5B89B4"/>
            </w:tcBorders>
          </w:tcPr>
          <w:p>
            <w:pPr>
              <w:spacing w:after="0"/>
              <w:rPr>
                <w:sz w:val="20"/>
                <w:szCs w:val="20"/>
                <w:color w:val="auto"/>
              </w:rPr>
            </w:pPr>
          </w:p>
        </w:tc>
        <w:tc>
          <w:tcPr>
            <w:tcW w:w="4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520" w:type="dxa"/>
            <w:vAlign w:val="bottom"/>
            <w:tcBorders>
              <w:bottom w:val="single" w:sz="8" w:color="5B89B4"/>
            </w:tcBorders>
          </w:tcPr>
          <w:p>
            <w:pPr>
              <w:spacing w:after="0"/>
              <w:rPr>
                <w:sz w:val="20"/>
                <w:szCs w:val="20"/>
                <w:color w:val="auto"/>
              </w:rPr>
            </w:pPr>
          </w:p>
        </w:tc>
        <w:tc>
          <w:tcPr>
            <w:tcW w:w="640" w:type="dxa"/>
            <w:vAlign w:val="bottom"/>
            <w:tcBorders>
              <w:top w:val="single" w:sz="8" w:color="0000EE"/>
              <w:bottom w:val="single" w:sz="8" w:color="5B89B4"/>
            </w:tcBorders>
          </w:tcPr>
          <w:p>
            <w:pPr>
              <w:spacing w:after="0"/>
              <w:rPr>
                <w:sz w:val="20"/>
                <w:szCs w:val="20"/>
                <w:color w:val="auto"/>
              </w:rPr>
            </w:pPr>
          </w:p>
        </w:tc>
        <w:tc>
          <w:tcPr>
            <w:tcW w:w="360" w:type="dxa"/>
            <w:vAlign w:val="bottom"/>
            <w:tcBorders>
              <w:bottom w:val="single" w:sz="8" w:color="5B89B4"/>
            </w:tcBorders>
          </w:tcPr>
          <w:p>
            <w:pPr>
              <w:spacing w:after="0"/>
              <w:rPr>
                <w:sz w:val="20"/>
                <w:szCs w:val="20"/>
                <w:color w:val="auto"/>
              </w:rPr>
            </w:pPr>
          </w:p>
        </w:tc>
        <w:tc>
          <w:tcPr>
            <w:tcW w:w="40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260" w:type="dxa"/>
            <w:vAlign w:val="bottom"/>
            <w:tcBorders>
              <w:bottom w:val="single" w:sz="8" w:color="5B89B4"/>
            </w:tcBorders>
          </w:tcPr>
          <w:p>
            <w:pPr>
              <w:spacing w:after="0"/>
              <w:rPr>
                <w:sz w:val="20"/>
                <w:szCs w:val="20"/>
                <w:color w:val="auto"/>
              </w:rPr>
            </w:pPr>
          </w:p>
        </w:tc>
        <w:tc>
          <w:tcPr>
            <w:tcW w:w="100" w:type="dxa"/>
            <w:vAlign w:val="bottom"/>
            <w:tcBorders>
              <w:bottom w:val="single" w:sz="8" w:color="5B89B4"/>
            </w:tcBorders>
          </w:tcPr>
          <w:p>
            <w:pPr>
              <w:spacing w:after="0"/>
              <w:rPr>
                <w:sz w:val="20"/>
                <w:szCs w:val="20"/>
                <w:color w:val="auto"/>
              </w:rPr>
            </w:pPr>
          </w:p>
        </w:tc>
        <w:tc>
          <w:tcPr>
            <w:tcW w:w="280" w:type="dxa"/>
            <w:vAlign w:val="bottom"/>
            <w:tcBorders>
              <w:bottom w:val="single" w:sz="8" w:color="5B89B4"/>
            </w:tcBorders>
          </w:tcPr>
          <w:p>
            <w:pPr>
              <w:spacing w:after="0"/>
              <w:rPr>
                <w:sz w:val="20"/>
                <w:szCs w:val="20"/>
                <w:color w:val="auto"/>
              </w:rPr>
            </w:pPr>
          </w:p>
        </w:tc>
        <w:tc>
          <w:tcPr>
            <w:tcW w:w="50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300" w:type="dxa"/>
            <w:vAlign w:val="bottom"/>
            <w:tcBorders>
              <w:bottom w:val="single" w:sz="8" w:color="5B89B4"/>
            </w:tcBorders>
          </w:tcPr>
          <w:p>
            <w:pPr>
              <w:spacing w:after="0"/>
              <w:rPr>
                <w:sz w:val="20"/>
                <w:szCs w:val="20"/>
                <w:color w:val="auto"/>
              </w:rPr>
            </w:pPr>
          </w:p>
        </w:tc>
        <w:tc>
          <w:tcPr>
            <w:tcW w:w="420" w:type="dxa"/>
            <w:vAlign w:val="bottom"/>
            <w:tcBorders>
              <w:bottom w:val="single" w:sz="8" w:color="5B89B4"/>
            </w:tcBorders>
          </w:tcPr>
          <w:p>
            <w:pPr>
              <w:spacing w:after="0"/>
              <w:rPr>
                <w:sz w:val="20"/>
                <w:szCs w:val="20"/>
                <w:color w:val="auto"/>
              </w:rPr>
            </w:pPr>
          </w:p>
        </w:tc>
        <w:tc>
          <w:tcPr>
            <w:tcW w:w="240" w:type="dxa"/>
            <w:vAlign w:val="bottom"/>
            <w:tcBorders>
              <w:bottom w:val="single" w:sz="8" w:color="5B89B4"/>
            </w:tcBorders>
          </w:tcPr>
          <w:p>
            <w:pPr>
              <w:spacing w:after="0"/>
              <w:rPr>
                <w:sz w:val="20"/>
                <w:szCs w:val="20"/>
                <w:color w:val="auto"/>
              </w:rPr>
            </w:pPr>
          </w:p>
        </w:tc>
        <w:tc>
          <w:tcPr>
            <w:tcW w:w="560" w:type="dxa"/>
            <w:vAlign w:val="bottom"/>
            <w:tcBorders>
              <w:bottom w:val="single" w:sz="8" w:color="5B89B4"/>
            </w:tcBorders>
          </w:tcPr>
          <w:p>
            <w:pPr>
              <w:spacing w:after="0"/>
              <w:rPr>
                <w:sz w:val="20"/>
                <w:szCs w:val="20"/>
                <w:color w:val="auto"/>
              </w:rPr>
            </w:pPr>
          </w:p>
        </w:tc>
        <w:tc>
          <w:tcPr>
            <w:tcW w:w="140" w:type="dxa"/>
            <w:vAlign w:val="bottom"/>
            <w:tcBorders>
              <w:bottom w:val="single" w:sz="8" w:color="5B89B4"/>
            </w:tcBorders>
          </w:tcPr>
          <w:p>
            <w:pPr>
              <w:spacing w:after="0"/>
              <w:rPr>
                <w:sz w:val="20"/>
                <w:szCs w:val="20"/>
                <w:color w:val="auto"/>
              </w:rPr>
            </w:pPr>
          </w:p>
        </w:tc>
        <w:tc>
          <w:tcPr>
            <w:tcW w:w="2220" w:type="dxa"/>
            <w:vAlign w:val="bottom"/>
            <w:tcBorders>
              <w:bottom w:val="single" w:sz="8" w:color="5B89B4"/>
            </w:tcBorders>
          </w:tcPr>
          <w:p>
            <w:pPr>
              <w:spacing w:after="0"/>
              <w:rPr>
                <w:sz w:val="20"/>
                <w:szCs w:val="20"/>
                <w:color w:val="auto"/>
              </w:rPr>
            </w:pPr>
          </w:p>
        </w:tc>
        <w:tc>
          <w:tcPr>
            <w:tcW w:w="860" w:type="dxa"/>
            <w:vAlign w:val="bottom"/>
            <w:tcBorders>
              <w:bottom w:val="single" w:sz="8" w:color="5B89B4"/>
            </w:tcBorders>
          </w:tcPr>
          <w:p>
            <w:pPr>
              <w:spacing w:after="0"/>
              <w:rPr>
                <w:sz w:val="20"/>
                <w:szCs w:val="20"/>
                <w:color w:val="auto"/>
              </w:rPr>
            </w:pPr>
          </w:p>
        </w:tc>
        <w:tc>
          <w:tcPr>
            <w:tcW w:w="1600" w:type="dxa"/>
            <w:vAlign w:val="bottom"/>
            <w:tcBorders>
              <w:bottom w:val="single" w:sz="8" w:color="5B89B4"/>
            </w:tcBorders>
          </w:tcPr>
          <w:p>
            <w:pPr>
              <w:spacing w:after="0"/>
              <w:rPr>
                <w:sz w:val="20"/>
                <w:szCs w:val="20"/>
                <w:color w:val="auto"/>
              </w:rPr>
            </w:pPr>
          </w:p>
        </w:tc>
      </w:tr>
      <w:tr>
        <w:trPr>
          <w:trHeight w:val="263"/>
        </w:trPr>
        <w:tc>
          <w:tcPr>
            <w:tcW w:w="1700" w:type="dxa"/>
            <w:vAlign w:val="bottom"/>
            <w:gridSpan w:val="6"/>
          </w:tcPr>
          <w:p>
            <w:pPr>
              <w:spacing w:after="0"/>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32</w:t>
            </w:r>
          </w:p>
        </w:tc>
      </w:tr>
      <w:tr>
        <w:trPr>
          <w:trHeight w:val="250"/>
        </w:trPr>
        <w:tc>
          <w:tcPr>
            <w:tcW w:w="500" w:type="dxa"/>
            <w:vAlign w:val="bottom"/>
            <w:tcBorders>
              <w:top w:val="single" w:sz="8" w:color="0000EE"/>
              <w:bottom w:val="single" w:sz="8" w:color="5B89B4"/>
            </w:tcBorders>
          </w:tcPr>
          <w:p>
            <w:pPr>
              <w:spacing w:after="0"/>
              <w:rPr>
                <w:sz w:val="21"/>
                <w:szCs w:val="21"/>
                <w:color w:val="auto"/>
              </w:rPr>
            </w:pPr>
          </w:p>
        </w:tc>
        <w:tc>
          <w:tcPr>
            <w:tcW w:w="80" w:type="dxa"/>
            <w:vAlign w:val="bottom"/>
            <w:tcBorders>
              <w:top w:val="single" w:sz="8" w:color="0000EE"/>
              <w:bottom w:val="single" w:sz="8" w:color="5B89B4"/>
            </w:tcBorders>
          </w:tcPr>
          <w:p>
            <w:pPr>
              <w:spacing w:after="0"/>
              <w:rPr>
                <w:sz w:val="21"/>
                <w:szCs w:val="21"/>
                <w:color w:val="auto"/>
              </w:rPr>
            </w:pPr>
          </w:p>
        </w:tc>
        <w:tc>
          <w:tcPr>
            <w:tcW w:w="40" w:type="dxa"/>
            <w:vAlign w:val="bottom"/>
            <w:tcBorders>
              <w:top w:val="single" w:sz="8" w:color="0000EE"/>
              <w:bottom w:val="single" w:sz="8" w:color="5B89B4"/>
            </w:tcBorders>
          </w:tcPr>
          <w:p>
            <w:pPr>
              <w:spacing w:after="0"/>
              <w:rPr>
                <w:sz w:val="21"/>
                <w:szCs w:val="21"/>
                <w:color w:val="auto"/>
              </w:rPr>
            </w:pPr>
          </w:p>
        </w:tc>
        <w:tc>
          <w:tcPr>
            <w:tcW w:w="20" w:type="dxa"/>
            <w:vAlign w:val="bottom"/>
            <w:tcBorders>
              <w:top w:val="single" w:sz="8" w:color="0000EE"/>
              <w:bottom w:val="single" w:sz="8" w:color="5B89B4"/>
            </w:tcBorders>
          </w:tcPr>
          <w:p>
            <w:pPr>
              <w:spacing w:after="0"/>
              <w:rPr>
                <w:sz w:val="21"/>
                <w:szCs w:val="21"/>
                <w:color w:val="auto"/>
              </w:rPr>
            </w:pPr>
          </w:p>
        </w:tc>
        <w:tc>
          <w:tcPr>
            <w:tcW w:w="540" w:type="dxa"/>
            <w:vAlign w:val="bottom"/>
            <w:tcBorders>
              <w:top w:val="single" w:sz="8" w:color="0000EE"/>
              <w:bottom w:val="single" w:sz="8" w:color="5B89B4"/>
            </w:tcBorders>
          </w:tcPr>
          <w:p>
            <w:pPr>
              <w:spacing w:after="0"/>
              <w:rPr>
                <w:sz w:val="21"/>
                <w:szCs w:val="21"/>
                <w:color w:val="auto"/>
              </w:rPr>
            </w:pPr>
          </w:p>
        </w:tc>
        <w:tc>
          <w:tcPr>
            <w:tcW w:w="520" w:type="dxa"/>
            <w:vAlign w:val="bottom"/>
            <w:tcBorders>
              <w:bottom w:val="single" w:sz="8" w:color="5B89B4"/>
            </w:tcBorders>
          </w:tcPr>
          <w:p>
            <w:pPr>
              <w:spacing w:after="0"/>
              <w:rPr>
                <w:sz w:val="21"/>
                <w:szCs w:val="21"/>
                <w:color w:val="auto"/>
              </w:rPr>
            </w:pPr>
          </w:p>
        </w:tc>
        <w:tc>
          <w:tcPr>
            <w:tcW w:w="640" w:type="dxa"/>
            <w:vAlign w:val="bottom"/>
            <w:tcBorders>
              <w:bottom w:val="single" w:sz="8" w:color="5B89B4"/>
            </w:tcBorders>
          </w:tcPr>
          <w:p>
            <w:pPr>
              <w:spacing w:after="0"/>
              <w:rPr>
                <w:sz w:val="21"/>
                <w:szCs w:val="21"/>
                <w:color w:val="auto"/>
              </w:rPr>
            </w:pPr>
          </w:p>
        </w:tc>
        <w:tc>
          <w:tcPr>
            <w:tcW w:w="360" w:type="dxa"/>
            <w:vAlign w:val="bottom"/>
            <w:tcBorders>
              <w:bottom w:val="single" w:sz="8" w:color="5B89B4"/>
            </w:tcBorders>
          </w:tcPr>
          <w:p>
            <w:pPr>
              <w:spacing w:after="0"/>
              <w:rPr>
                <w:sz w:val="21"/>
                <w:szCs w:val="21"/>
                <w:color w:val="auto"/>
              </w:rPr>
            </w:pPr>
          </w:p>
        </w:tc>
        <w:tc>
          <w:tcPr>
            <w:tcW w:w="400" w:type="dxa"/>
            <w:vAlign w:val="bottom"/>
            <w:tcBorders>
              <w:bottom w:val="single" w:sz="8" w:color="5B89B4"/>
            </w:tcBorders>
          </w:tcPr>
          <w:p>
            <w:pPr>
              <w:spacing w:after="0"/>
              <w:rPr>
                <w:sz w:val="21"/>
                <w:szCs w:val="21"/>
                <w:color w:val="auto"/>
              </w:rPr>
            </w:pPr>
          </w:p>
        </w:tc>
        <w:tc>
          <w:tcPr>
            <w:tcW w:w="54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260" w:type="dxa"/>
            <w:vAlign w:val="bottom"/>
            <w:tcBorders>
              <w:bottom w:val="single" w:sz="8" w:color="5B89B4"/>
            </w:tcBorders>
          </w:tcPr>
          <w:p>
            <w:pPr>
              <w:spacing w:after="0"/>
              <w:rPr>
                <w:sz w:val="21"/>
                <w:szCs w:val="21"/>
                <w:color w:val="auto"/>
              </w:rPr>
            </w:pPr>
          </w:p>
        </w:tc>
        <w:tc>
          <w:tcPr>
            <w:tcW w:w="100" w:type="dxa"/>
            <w:vAlign w:val="bottom"/>
            <w:tcBorders>
              <w:bottom w:val="single" w:sz="8" w:color="5B89B4"/>
            </w:tcBorders>
          </w:tcPr>
          <w:p>
            <w:pPr>
              <w:spacing w:after="0"/>
              <w:rPr>
                <w:sz w:val="21"/>
                <w:szCs w:val="21"/>
                <w:color w:val="auto"/>
              </w:rPr>
            </w:pPr>
          </w:p>
        </w:tc>
        <w:tc>
          <w:tcPr>
            <w:tcW w:w="280" w:type="dxa"/>
            <w:vAlign w:val="bottom"/>
            <w:tcBorders>
              <w:bottom w:val="single" w:sz="8" w:color="5B89B4"/>
            </w:tcBorders>
          </w:tcPr>
          <w:p>
            <w:pPr>
              <w:spacing w:after="0"/>
              <w:rPr>
                <w:sz w:val="21"/>
                <w:szCs w:val="21"/>
                <w:color w:val="auto"/>
              </w:rPr>
            </w:pPr>
          </w:p>
        </w:tc>
        <w:tc>
          <w:tcPr>
            <w:tcW w:w="50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300" w:type="dxa"/>
            <w:vAlign w:val="bottom"/>
            <w:tcBorders>
              <w:bottom w:val="single" w:sz="8" w:color="5B89B4"/>
            </w:tcBorders>
          </w:tcPr>
          <w:p>
            <w:pPr>
              <w:spacing w:after="0"/>
              <w:rPr>
                <w:sz w:val="21"/>
                <w:szCs w:val="21"/>
                <w:color w:val="auto"/>
              </w:rPr>
            </w:pPr>
          </w:p>
        </w:tc>
        <w:tc>
          <w:tcPr>
            <w:tcW w:w="420" w:type="dxa"/>
            <w:vAlign w:val="bottom"/>
            <w:tcBorders>
              <w:bottom w:val="single" w:sz="8" w:color="5B89B4"/>
            </w:tcBorders>
          </w:tcPr>
          <w:p>
            <w:pPr>
              <w:spacing w:after="0"/>
              <w:rPr>
                <w:sz w:val="21"/>
                <w:szCs w:val="21"/>
                <w:color w:val="auto"/>
              </w:rPr>
            </w:pPr>
          </w:p>
        </w:tc>
        <w:tc>
          <w:tcPr>
            <w:tcW w:w="240" w:type="dxa"/>
            <w:vAlign w:val="bottom"/>
            <w:tcBorders>
              <w:bottom w:val="single" w:sz="8" w:color="5B89B4"/>
            </w:tcBorders>
          </w:tcPr>
          <w:p>
            <w:pPr>
              <w:spacing w:after="0"/>
              <w:rPr>
                <w:sz w:val="21"/>
                <w:szCs w:val="21"/>
                <w:color w:val="auto"/>
              </w:rPr>
            </w:pPr>
          </w:p>
        </w:tc>
        <w:tc>
          <w:tcPr>
            <w:tcW w:w="560" w:type="dxa"/>
            <w:vAlign w:val="bottom"/>
            <w:tcBorders>
              <w:bottom w:val="single" w:sz="8" w:color="5B89B4"/>
            </w:tcBorders>
          </w:tcPr>
          <w:p>
            <w:pPr>
              <w:spacing w:after="0"/>
              <w:rPr>
                <w:sz w:val="21"/>
                <w:szCs w:val="21"/>
                <w:color w:val="auto"/>
              </w:rPr>
            </w:pPr>
          </w:p>
        </w:tc>
        <w:tc>
          <w:tcPr>
            <w:tcW w:w="140" w:type="dxa"/>
            <w:vAlign w:val="bottom"/>
            <w:tcBorders>
              <w:bottom w:val="single" w:sz="8" w:color="5B89B4"/>
            </w:tcBorders>
          </w:tcPr>
          <w:p>
            <w:pPr>
              <w:spacing w:after="0"/>
              <w:rPr>
                <w:sz w:val="21"/>
                <w:szCs w:val="21"/>
                <w:color w:val="auto"/>
              </w:rPr>
            </w:pPr>
          </w:p>
        </w:tc>
        <w:tc>
          <w:tcPr>
            <w:tcW w:w="2220" w:type="dxa"/>
            <w:vAlign w:val="bottom"/>
            <w:tcBorders>
              <w:bottom w:val="single" w:sz="8" w:color="5B89B4"/>
            </w:tcBorders>
          </w:tcPr>
          <w:p>
            <w:pPr>
              <w:spacing w:after="0"/>
              <w:rPr>
                <w:sz w:val="21"/>
                <w:szCs w:val="21"/>
                <w:color w:val="auto"/>
              </w:rPr>
            </w:pPr>
          </w:p>
        </w:tc>
        <w:tc>
          <w:tcPr>
            <w:tcW w:w="860" w:type="dxa"/>
            <w:vAlign w:val="bottom"/>
            <w:tcBorders>
              <w:bottom w:val="single" w:sz="8" w:color="5B89B4"/>
            </w:tcBorders>
          </w:tcPr>
          <w:p>
            <w:pPr>
              <w:spacing w:after="0"/>
              <w:rPr>
                <w:sz w:val="21"/>
                <w:szCs w:val="21"/>
                <w:color w:val="auto"/>
              </w:rPr>
            </w:pPr>
          </w:p>
        </w:tc>
        <w:tc>
          <w:tcPr>
            <w:tcW w:w="1600" w:type="dxa"/>
            <w:vAlign w:val="bottom"/>
            <w:tcBorders>
              <w:bottom w:val="single" w:sz="8" w:color="5B89B4"/>
            </w:tcBorders>
          </w:tcPr>
          <w:p>
            <w:pPr>
              <w:spacing w:after="0"/>
              <w:rPr>
                <w:sz w:val="21"/>
                <w:szCs w:val="21"/>
                <w:color w:val="auto"/>
              </w:rPr>
            </w:pPr>
          </w:p>
        </w:tc>
      </w:tr>
      <w:tr>
        <w:trPr>
          <w:trHeight w:val="6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60" w:type="dxa"/>
            <w:vAlign w:val="bottom"/>
            <w:gridSpan w:val="13"/>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 -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 – Financial Statements (unaudited)</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B89B4"/>
        </w:rPr>
        <w:t>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00" w:type="dxa"/>
            <w:vAlign w:val="bottom"/>
            <w:tcBorders>
              <w:top w:val="single" w:sz="8" w:color="auto"/>
            </w:tcBorders>
            <w:shd w:val="clear" w:color="auto" w:fill="98B0CF"/>
          </w:tcPr>
          <w:p>
            <w:pPr>
              <w:spacing w:after="0"/>
              <w:rPr>
                <w:sz w:val="14"/>
                <w:szCs w:val="14"/>
                <w:color w:val="auto"/>
              </w:rPr>
            </w:pPr>
          </w:p>
        </w:tc>
        <w:tc>
          <w:tcPr>
            <w:tcW w:w="1820" w:type="dxa"/>
            <w:vAlign w:val="bottom"/>
            <w:tcBorders>
              <w:top w:val="single" w:sz="8" w:color="auto"/>
            </w:tcBorders>
            <w:shd w:val="clear" w:color="auto" w:fill="98B0CF"/>
          </w:tcPr>
          <w:p>
            <w:pPr>
              <w:spacing w:after="0"/>
              <w:rPr>
                <w:sz w:val="14"/>
                <w:szCs w:val="14"/>
                <w:color w:val="auto"/>
              </w:rPr>
            </w:pPr>
          </w:p>
        </w:tc>
        <w:tc>
          <w:tcPr>
            <w:tcW w:w="1420" w:type="dxa"/>
            <w:vAlign w:val="bottom"/>
            <w:tcBorders>
              <w:top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top w:val="single" w:sz="8" w:color="auto"/>
            </w:tcBorders>
            <w:shd w:val="clear" w:color="auto" w:fill="98B0CF"/>
          </w:tcPr>
          <w:p>
            <w:pPr>
              <w:spacing w:after="0"/>
              <w:rPr>
                <w:sz w:val="14"/>
                <w:szCs w:val="14"/>
                <w:color w:val="auto"/>
              </w:rPr>
            </w:pPr>
          </w:p>
        </w:tc>
        <w:tc>
          <w:tcPr>
            <w:tcW w:w="1500" w:type="dxa"/>
            <w:vAlign w:val="bottom"/>
            <w:tcBorders>
              <w:top w:val="single" w:sz="8" w:color="auto"/>
            </w:tcBorders>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auto"/>
            </w:tcBorders>
            <w:shd w:val="clear" w:color="auto" w:fill="98B0CF"/>
          </w:tcPr>
          <w:p>
            <w:pPr>
              <w:spacing w:after="0"/>
              <w:rPr>
                <w:sz w:val="14"/>
                <w:szCs w:val="14"/>
                <w:color w:val="auto"/>
              </w:rPr>
            </w:pPr>
          </w:p>
        </w:tc>
        <w:tc>
          <w:tcPr>
            <w:tcW w:w="182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shd w:val="clear" w:color="auto" w:fill="98B0CF"/>
          </w:tcPr>
          <w:p>
            <w:pPr>
              <w:jc w:val="right"/>
              <w:ind w:right="66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shd w:val="clear" w:color="auto" w:fill="98B0CF"/>
          </w:tcPr>
          <w:p>
            <w:pPr>
              <w:spacing w:after="0"/>
              <w:rPr>
                <w:sz w:val="14"/>
                <w:szCs w:val="14"/>
                <w:color w:val="auto"/>
              </w:rPr>
            </w:pPr>
          </w:p>
        </w:tc>
        <w:tc>
          <w:tcPr>
            <w:tcW w:w="1500" w:type="dxa"/>
            <w:vAlign w:val="bottom"/>
            <w:tcBorders>
              <w:bottom w:val="single" w:sz="8" w:color="auto"/>
            </w:tcBorders>
            <w:shd w:val="clear" w:color="auto" w:fill="98B0CF"/>
          </w:tcPr>
          <w:p>
            <w:pPr>
              <w:jc w:val="right"/>
              <w:ind w:right="680"/>
              <w:spacing w:after="0"/>
              <w:rPr>
                <w:sz w:val="20"/>
                <w:szCs w:val="20"/>
                <w:color w:val="auto"/>
              </w:rPr>
            </w:pPr>
            <w:r>
              <w:rPr>
                <w:rFonts w:ascii="Arial" w:cs="Arial" w:eastAsia="Arial" w:hAnsi="Arial"/>
                <w:sz w:val="14"/>
                <w:szCs w:val="14"/>
                <w:b w:val="1"/>
                <w:bCs w:val="1"/>
                <w:color w:val="auto"/>
              </w:rPr>
              <w:t>2024</w:t>
            </w:r>
          </w:p>
        </w:tc>
      </w:tr>
      <w:tr>
        <w:trPr>
          <w:trHeight w:val="183"/>
        </w:trPr>
        <w:tc>
          <w:tcPr>
            <w:tcW w:w="620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Cash and cash equivalents</w:t>
            </w:r>
          </w:p>
        </w:tc>
        <w:tc>
          <w:tcPr>
            <w:tcW w:w="1820" w:type="dxa"/>
            <w:vAlign w:val="bottom"/>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395.0</w:t>
            </w:r>
          </w:p>
        </w:tc>
        <w:tc>
          <w:tcPr>
            <w:tcW w:w="30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509.4</w:t>
            </w:r>
          </w:p>
        </w:tc>
      </w:tr>
      <w:tr>
        <w:trPr>
          <w:trHeight w:val="175"/>
        </w:trPr>
        <w:tc>
          <w:tcPr>
            <w:tcW w:w="6200" w:type="dxa"/>
            <w:vAlign w:val="bottom"/>
          </w:tcPr>
          <w:p>
            <w:pPr>
              <w:spacing w:after="0" w:line="175" w:lineRule="exact"/>
              <w:rPr>
                <w:sz w:val="20"/>
                <w:szCs w:val="20"/>
                <w:color w:val="auto"/>
              </w:rPr>
            </w:pPr>
            <w:r>
              <w:rPr>
                <w:rFonts w:ascii="Arial" w:cs="Arial" w:eastAsia="Arial" w:hAnsi="Arial"/>
                <w:sz w:val="16"/>
                <w:szCs w:val="16"/>
                <w:color w:val="auto"/>
              </w:rPr>
              <w:t>Accounts receivable, less allowance for expected credit losses of</w:t>
            </w:r>
          </w:p>
        </w:tc>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$71.3 and $67.6, respectively</w:t>
            </w:r>
          </w:p>
        </w:tc>
        <w:tc>
          <w:tcPr>
            <w:tcW w:w="18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4,168.8</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4,297.2</w:t>
            </w:r>
          </w:p>
        </w:tc>
      </w:tr>
      <w:tr>
        <w:trPr>
          <w:trHeight w:val="189"/>
        </w:trPr>
        <w:tc>
          <w:tcPr>
            <w:tcW w:w="62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Prepaid expenses and other assets</w:t>
            </w:r>
          </w:p>
        </w:tc>
        <w:tc>
          <w:tcPr>
            <w:tcW w:w="182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185.9</w:t>
            </w:r>
          </w:p>
        </w:tc>
        <w:tc>
          <w:tcPr>
            <w:tcW w:w="30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163.7</w:t>
            </w:r>
          </w:p>
        </w:tc>
      </w:tr>
      <w:tr>
        <w:trPr>
          <w:trHeight w:val="183"/>
        </w:trPr>
        <w:tc>
          <w:tcPr>
            <w:tcW w:w="6200" w:type="dxa"/>
            <w:vAlign w:val="bottom"/>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20" w:type="dxa"/>
            <w:vAlign w:val="bottom"/>
          </w:tcPr>
          <w:p>
            <w:pPr>
              <w:spacing w:after="0"/>
              <w:rPr>
                <w:sz w:val="15"/>
                <w:szCs w:val="15"/>
                <w:color w:val="auto"/>
              </w:rPr>
            </w:pPr>
          </w:p>
        </w:tc>
        <w:tc>
          <w:tcPr>
            <w:tcW w:w="14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4,749.7</w:t>
            </w:r>
          </w:p>
        </w:tc>
        <w:tc>
          <w:tcPr>
            <w:tcW w:w="300" w:type="dxa"/>
            <w:vAlign w:val="bottom"/>
          </w:tcPr>
          <w:p>
            <w:pPr>
              <w:spacing w:after="0"/>
              <w:rPr>
                <w:sz w:val="15"/>
                <w:szCs w:val="15"/>
                <w:color w:val="auto"/>
              </w:rPr>
            </w:pPr>
          </w:p>
        </w:tc>
        <w:tc>
          <w:tcPr>
            <w:tcW w:w="15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4,970.3</w:t>
            </w:r>
          </w:p>
        </w:tc>
      </w:tr>
      <w:tr>
        <w:trPr>
          <w:trHeight w:val="189"/>
        </w:trPr>
        <w:tc>
          <w:tcPr>
            <w:tcW w:w="6200" w:type="dxa"/>
            <w:vAlign w:val="bottom"/>
            <w:shd w:val="clear" w:color="auto" w:fill="E2E8F1"/>
          </w:tcPr>
          <w:p>
            <w:pPr>
              <w:spacing w:after="0"/>
              <w:rPr>
                <w:sz w:val="16"/>
                <w:szCs w:val="16"/>
                <w:color w:val="auto"/>
              </w:rPr>
            </w:pPr>
          </w:p>
        </w:tc>
        <w:tc>
          <w:tcPr>
            <w:tcW w:w="1820" w:type="dxa"/>
            <w:vAlign w:val="bottom"/>
            <w:shd w:val="clear" w:color="auto" w:fill="E2E8F1"/>
          </w:tcPr>
          <w:p>
            <w:pPr>
              <w:spacing w:after="0"/>
              <w:rPr>
                <w:sz w:val="16"/>
                <w:szCs w:val="16"/>
                <w:color w:val="auto"/>
              </w:rPr>
            </w:pPr>
          </w:p>
        </w:tc>
        <w:tc>
          <w:tcPr>
            <w:tcW w:w="142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color w:val="auto"/>
              </w:rPr>
              <w:t>Goodwill</w:t>
            </w:r>
          </w:p>
        </w:tc>
        <w:tc>
          <w:tcPr>
            <w:tcW w:w="1820" w:type="dxa"/>
            <w:vAlign w:val="bottom"/>
            <w:shd w:val="clear" w:color="auto" w:fill="E2E8F1"/>
          </w:tcPr>
          <w:p>
            <w:pPr>
              <w:spacing w:after="0"/>
              <w:rPr>
                <w:sz w:val="16"/>
                <w:szCs w:val="16"/>
                <w:color w:val="auto"/>
              </w:rPr>
            </w:pPr>
          </w:p>
        </w:tc>
        <w:tc>
          <w:tcPr>
            <w:tcW w:w="14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1,577.9</w:t>
            </w: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1,563.4</w:t>
            </w:r>
          </w:p>
        </w:tc>
      </w:tr>
      <w:tr>
        <w:trPr>
          <w:trHeight w:val="175"/>
        </w:trPr>
        <w:tc>
          <w:tcPr>
            <w:tcW w:w="6200" w:type="dxa"/>
            <w:vAlign w:val="bottom"/>
          </w:tcPr>
          <w:p>
            <w:pPr>
              <w:spacing w:after="0" w:line="175" w:lineRule="exact"/>
              <w:rPr>
                <w:sz w:val="20"/>
                <w:szCs w:val="20"/>
                <w:color w:val="auto"/>
              </w:rPr>
            </w:pPr>
            <w:r>
              <w:rPr>
                <w:rFonts w:ascii="Arial" w:cs="Arial" w:eastAsia="Arial" w:hAnsi="Arial"/>
                <w:sz w:val="16"/>
                <w:szCs w:val="16"/>
                <w:color w:val="auto"/>
              </w:rPr>
              <w:t>Intangible assets, less accumulated amortization of</w:t>
            </w:r>
          </w:p>
        </w:tc>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6200" w:type="dxa"/>
            <w:vAlign w:val="bottom"/>
          </w:tcPr>
          <w:p>
            <w:pPr>
              <w:ind w:left="60"/>
              <w:spacing w:after="0"/>
              <w:rPr>
                <w:sz w:val="20"/>
                <w:szCs w:val="20"/>
                <w:color w:val="auto"/>
              </w:rPr>
            </w:pPr>
            <w:r>
              <w:rPr>
                <w:rFonts w:ascii="Arial" w:cs="Arial" w:eastAsia="Arial" w:hAnsi="Arial"/>
                <w:sz w:val="16"/>
                <w:szCs w:val="16"/>
                <w:color w:val="auto"/>
              </w:rPr>
              <w:t>$544.2 and $530.4, respectively</w:t>
            </w:r>
          </w:p>
        </w:tc>
        <w:tc>
          <w:tcPr>
            <w:tcW w:w="18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479.4</w:t>
            </w:r>
          </w:p>
        </w:tc>
        <w:tc>
          <w:tcPr>
            <w:tcW w:w="300" w:type="dxa"/>
            <w:vAlign w:val="bottom"/>
          </w:tcPr>
          <w:p>
            <w:pPr>
              <w:spacing w:after="0"/>
              <w:rPr>
                <w:sz w:val="17"/>
                <w:szCs w:val="17"/>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486.1</w:t>
            </w: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color w:val="auto"/>
              </w:rPr>
              <w:t>Operating lease right-of-use assets</w:t>
            </w:r>
          </w:p>
        </w:tc>
        <w:tc>
          <w:tcPr>
            <w:tcW w:w="1820" w:type="dxa"/>
            <w:vAlign w:val="bottom"/>
            <w:shd w:val="clear" w:color="auto" w:fill="E2E8F1"/>
          </w:tcPr>
          <w:p>
            <w:pPr>
              <w:spacing w:after="0"/>
              <w:rPr>
                <w:sz w:val="16"/>
                <w:szCs w:val="16"/>
                <w:color w:val="auto"/>
              </w:rPr>
            </w:pPr>
          </w:p>
        </w:tc>
        <w:tc>
          <w:tcPr>
            <w:tcW w:w="14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381.0</w:t>
            </w: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361.3</w:t>
            </w:r>
          </w:p>
        </w:tc>
      </w:tr>
      <w:tr>
        <w:trPr>
          <w:trHeight w:val="189"/>
        </w:trPr>
        <w:tc>
          <w:tcPr>
            <w:tcW w:w="6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726.9</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701.5</w:t>
            </w:r>
          </w:p>
        </w:tc>
      </w:tr>
      <w:tr>
        <w:trPr>
          <w:trHeight w:val="183"/>
        </w:trPr>
        <w:tc>
          <w:tcPr>
            <w:tcW w:w="6200" w:type="dxa"/>
            <w:vAlign w:val="bottom"/>
            <w:shd w:val="clear" w:color="auto" w:fill="E2E8F1"/>
          </w:tcPr>
          <w:p>
            <w:pPr>
              <w:ind w:left="220"/>
              <w:spacing w:after="0" w:line="183" w:lineRule="exact"/>
              <w:rPr>
                <w:sz w:val="20"/>
                <w:szCs w:val="20"/>
                <w:color w:val="auto"/>
              </w:rPr>
            </w:pPr>
            <w:r>
              <w:rPr>
                <w:rFonts w:ascii="Arial" w:cs="Arial" w:eastAsia="Arial" w:hAnsi="Arial"/>
                <w:sz w:val="16"/>
                <w:szCs w:val="16"/>
                <w:color w:val="auto"/>
              </w:rPr>
              <w:t>Total other assets</w:t>
            </w:r>
          </w:p>
        </w:tc>
        <w:tc>
          <w:tcPr>
            <w:tcW w:w="1820" w:type="dxa"/>
            <w:vAlign w:val="bottom"/>
            <w:shd w:val="clear" w:color="auto" w:fill="E2E8F1"/>
          </w:tcPr>
          <w:p>
            <w:pPr>
              <w:spacing w:after="0"/>
              <w:rPr>
                <w:sz w:val="15"/>
                <w:szCs w:val="15"/>
                <w:color w:val="auto"/>
              </w:rPr>
            </w:pPr>
          </w:p>
        </w:tc>
        <w:tc>
          <w:tcPr>
            <w:tcW w:w="142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3,165.2</w:t>
            </w:r>
          </w:p>
        </w:tc>
        <w:tc>
          <w:tcPr>
            <w:tcW w:w="300" w:type="dxa"/>
            <w:vAlign w:val="bottom"/>
            <w:shd w:val="clear" w:color="auto" w:fill="E2E8F1"/>
          </w:tcPr>
          <w:p>
            <w:pPr>
              <w:spacing w:after="0"/>
              <w:rPr>
                <w:sz w:val="15"/>
                <w:szCs w:val="15"/>
                <w:color w:val="auto"/>
              </w:rPr>
            </w:pPr>
          </w:p>
        </w:tc>
        <w:tc>
          <w:tcPr>
            <w:tcW w:w="15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3,112.3</w:t>
            </w:r>
          </w:p>
        </w:tc>
      </w:tr>
      <w:tr>
        <w:trPr>
          <w:trHeight w:val="189"/>
        </w:trPr>
        <w:tc>
          <w:tcPr>
            <w:tcW w:w="6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620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Property and Equipment:</w:t>
            </w:r>
          </w:p>
        </w:tc>
        <w:tc>
          <w:tcPr>
            <w:tcW w:w="1820" w:type="dxa"/>
            <w:vAlign w:val="bottom"/>
            <w:shd w:val="clear" w:color="auto" w:fill="E2E8F1"/>
          </w:tcPr>
          <w:p>
            <w:pPr>
              <w:spacing w:after="0"/>
              <w:rPr>
                <w:sz w:val="16"/>
                <w:szCs w:val="16"/>
                <w:color w:val="auto"/>
              </w:rPr>
            </w:pPr>
          </w:p>
        </w:tc>
        <w:tc>
          <w:tcPr>
            <w:tcW w:w="142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Land, buildings, leasehold improvements and equipment</w:t>
            </w:r>
          </w:p>
        </w:tc>
        <w:tc>
          <w:tcPr>
            <w:tcW w:w="1820" w:type="dxa"/>
            <w:vAlign w:val="bottom"/>
          </w:tcPr>
          <w:p>
            <w:pPr>
              <w:spacing w:after="0"/>
              <w:rPr>
                <w:sz w:val="16"/>
                <w:szCs w:val="16"/>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511.7</w:t>
            </w:r>
          </w:p>
        </w:tc>
        <w:tc>
          <w:tcPr>
            <w:tcW w:w="300" w:type="dxa"/>
            <w:vAlign w:val="bottom"/>
          </w:tcPr>
          <w:p>
            <w:pPr>
              <w:spacing w:after="0"/>
              <w:rPr>
                <w:sz w:val="16"/>
                <w:szCs w:val="16"/>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488.2</w:t>
            </w:r>
          </w:p>
        </w:tc>
      </w:tr>
      <w:tr>
        <w:trPr>
          <w:trHeight w:val="189"/>
        </w:trPr>
        <w:tc>
          <w:tcPr>
            <w:tcW w:w="62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6"/>
                <w:szCs w:val="16"/>
                <w:color w:val="auto"/>
              </w:rPr>
              <w:t>Less: accumulated depreciation and amortization</w:t>
            </w:r>
          </w:p>
        </w:tc>
        <w:tc>
          <w:tcPr>
            <w:tcW w:w="182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389.4</w:t>
            </w:r>
          </w:p>
        </w:tc>
        <w:tc>
          <w:tcPr>
            <w:tcW w:w="30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369.8</w:t>
            </w:r>
          </w:p>
        </w:tc>
      </w:tr>
      <w:tr>
        <w:trPr>
          <w:trHeight w:val="183"/>
        </w:trPr>
        <w:tc>
          <w:tcPr>
            <w:tcW w:w="62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Net property and equipment</w:t>
            </w:r>
          </w:p>
        </w:tc>
        <w:tc>
          <w:tcPr>
            <w:tcW w:w="1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122.3</w:t>
            </w: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118.4</w:t>
            </w:r>
          </w:p>
        </w:tc>
      </w:tr>
      <w:tr>
        <w:trPr>
          <w:trHeight w:val="183"/>
        </w:trPr>
        <w:tc>
          <w:tcPr>
            <w:tcW w:w="6200" w:type="dxa"/>
            <w:vAlign w:val="bottom"/>
            <w:tcBorders>
              <w:bottom w:val="single" w:sz="8" w:color="auto"/>
            </w:tcBorders>
            <w:shd w:val="clear" w:color="auto" w:fill="E2E8F1"/>
          </w:tcPr>
          <w:p>
            <w:pPr>
              <w:ind w:left="360"/>
              <w:spacing w:after="0" w:line="183" w:lineRule="exact"/>
              <w:rPr>
                <w:sz w:val="20"/>
                <w:szCs w:val="20"/>
                <w:color w:val="auto"/>
              </w:rPr>
            </w:pPr>
            <w:r>
              <w:rPr>
                <w:rFonts w:ascii="Arial" w:cs="Arial" w:eastAsia="Arial" w:hAnsi="Arial"/>
                <w:sz w:val="16"/>
                <w:szCs w:val="16"/>
                <w:color w:val="auto"/>
              </w:rPr>
              <w:t>Total assets</w:t>
            </w:r>
          </w:p>
        </w:tc>
        <w:tc>
          <w:tcPr>
            <w:tcW w:w="182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8,037.2</w:t>
            </w:r>
          </w:p>
        </w:tc>
        <w:tc>
          <w:tcPr>
            <w:tcW w:w="30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8,201.0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B89B4"/>
        </w:rPr>
        <w:t>LIABILITIES AND SHAREHOLDERS’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80" w:type="dxa"/>
            <w:vAlign w:val="bottom"/>
            <w:tcBorders>
              <w:top w:val="single" w:sz="8" w:color="auto"/>
            </w:tcBorders>
            <w:shd w:val="clear" w:color="auto" w:fill="98B0CF"/>
          </w:tcPr>
          <w:p>
            <w:pPr>
              <w:spacing w:after="0"/>
              <w:rPr>
                <w:sz w:val="14"/>
                <w:szCs w:val="14"/>
                <w:color w:val="auto"/>
              </w:rPr>
            </w:pPr>
          </w:p>
        </w:tc>
        <w:tc>
          <w:tcPr>
            <w:tcW w:w="800" w:type="dxa"/>
            <w:vAlign w:val="bottom"/>
            <w:tcBorders>
              <w:top w:val="single" w:sz="8" w:color="auto"/>
            </w:tcBorders>
            <w:shd w:val="clear" w:color="auto" w:fill="98B0CF"/>
          </w:tcPr>
          <w:p>
            <w:pPr>
              <w:spacing w:after="0"/>
              <w:rPr>
                <w:sz w:val="14"/>
                <w:szCs w:val="14"/>
                <w:color w:val="auto"/>
              </w:rPr>
            </w:pPr>
          </w:p>
        </w:tc>
        <w:tc>
          <w:tcPr>
            <w:tcW w:w="1580" w:type="dxa"/>
            <w:vAlign w:val="bottom"/>
            <w:tcBorders>
              <w:top w:val="single" w:sz="8" w:color="auto"/>
            </w:tcBorders>
            <w:shd w:val="clear" w:color="auto" w:fill="98B0CF"/>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top w:val="single" w:sz="8" w:color="auto"/>
            </w:tcBorders>
            <w:shd w:val="clear" w:color="auto" w:fill="98B0CF"/>
          </w:tcPr>
          <w:p>
            <w:pPr>
              <w:spacing w:after="0"/>
              <w:rPr>
                <w:sz w:val="14"/>
                <w:szCs w:val="14"/>
                <w:color w:val="auto"/>
              </w:rPr>
            </w:pPr>
          </w:p>
        </w:tc>
        <w:tc>
          <w:tcPr>
            <w:tcW w:w="1640" w:type="dxa"/>
            <w:vAlign w:val="bottom"/>
            <w:tcBorders>
              <w:top w:val="single" w:sz="8" w:color="auto"/>
            </w:tcBorders>
            <w:shd w:val="clear" w:color="auto" w:fill="98B0CF"/>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80" w:type="dxa"/>
            <w:vAlign w:val="bottom"/>
            <w:tcBorders>
              <w:bottom w:val="single" w:sz="8" w:color="auto"/>
            </w:tcBorders>
            <w:shd w:val="clear" w:color="auto" w:fill="98B0CF"/>
          </w:tcPr>
          <w:p>
            <w:pPr>
              <w:spacing w:after="0"/>
              <w:rPr>
                <w:sz w:val="14"/>
                <w:szCs w:val="14"/>
                <w:color w:val="auto"/>
              </w:rPr>
            </w:pPr>
          </w:p>
        </w:tc>
        <w:tc>
          <w:tcPr>
            <w:tcW w:w="800" w:type="dxa"/>
            <w:vAlign w:val="bottom"/>
            <w:tcBorders>
              <w:bottom w:val="single" w:sz="8" w:color="auto"/>
            </w:tcBorders>
            <w:shd w:val="clear" w:color="auto" w:fill="98B0CF"/>
          </w:tcPr>
          <w:p>
            <w:pPr>
              <w:spacing w:after="0"/>
              <w:rPr>
                <w:sz w:val="14"/>
                <w:szCs w:val="14"/>
                <w:color w:val="auto"/>
              </w:rPr>
            </w:pPr>
          </w:p>
        </w:tc>
        <w:tc>
          <w:tcPr>
            <w:tcW w:w="1580" w:type="dxa"/>
            <w:vAlign w:val="bottom"/>
            <w:tcBorders>
              <w:bottom w:val="single" w:sz="8" w:color="auto"/>
            </w:tcBorders>
            <w:shd w:val="clear" w:color="auto" w:fill="98B0CF"/>
          </w:tcPr>
          <w:p>
            <w:pPr>
              <w:jc w:val="right"/>
              <w:ind w:right="80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shd w:val="clear" w:color="auto" w:fill="98B0CF"/>
          </w:tcPr>
          <w:p>
            <w:pPr>
              <w:spacing w:after="0"/>
              <w:rPr>
                <w:sz w:val="14"/>
                <w:szCs w:val="14"/>
                <w:color w:val="auto"/>
              </w:rPr>
            </w:pPr>
          </w:p>
        </w:tc>
        <w:tc>
          <w:tcPr>
            <w:tcW w:w="1640" w:type="dxa"/>
            <w:vAlign w:val="bottom"/>
            <w:tcBorders>
              <w:bottom w:val="single" w:sz="8" w:color="auto"/>
            </w:tcBorders>
            <w:shd w:val="clear" w:color="auto" w:fill="98B0CF"/>
          </w:tcPr>
          <w:p>
            <w:pPr>
              <w:jc w:val="right"/>
              <w:ind w:right="780"/>
              <w:spacing w:after="0"/>
              <w:rPr>
                <w:sz w:val="20"/>
                <w:szCs w:val="20"/>
                <w:color w:val="auto"/>
              </w:rPr>
            </w:pPr>
            <w:r>
              <w:rPr>
                <w:rFonts w:ascii="Arial" w:cs="Arial" w:eastAsia="Arial" w:hAnsi="Arial"/>
                <w:sz w:val="14"/>
                <w:szCs w:val="14"/>
                <w:b w:val="1"/>
                <w:bCs w:val="1"/>
                <w:color w:val="auto"/>
              </w:rPr>
              <w:t>2024</w:t>
            </w:r>
          </w:p>
        </w:tc>
      </w:tr>
      <w:tr>
        <w:trPr>
          <w:trHeight w:val="183"/>
        </w:trPr>
        <w:tc>
          <w:tcPr>
            <w:tcW w:w="6880" w:type="dxa"/>
            <w:vAlign w:val="bottom"/>
            <w:shd w:val="clear" w:color="auto" w:fill="E2E8F1"/>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800" w:type="dxa"/>
            <w:vAlign w:val="bottom"/>
            <w:shd w:val="clear" w:color="auto" w:fill="E2E8F1"/>
          </w:tcPr>
          <w:p>
            <w:pPr>
              <w:spacing w:after="0"/>
              <w:rPr>
                <w:sz w:val="15"/>
                <w:szCs w:val="15"/>
                <w:color w:val="auto"/>
              </w:rPr>
            </w:pPr>
          </w:p>
        </w:tc>
        <w:tc>
          <w:tcPr>
            <w:tcW w:w="158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spacing w:after="0"/>
              <w:rPr>
                <w:sz w:val="15"/>
                <w:szCs w:val="15"/>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Accounts payable</w:t>
            </w:r>
          </w:p>
        </w:tc>
        <w:tc>
          <w:tcPr>
            <w:tcW w:w="8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2,409.6</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2,612.9</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Employee compensation payable</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199.8</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241.1</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Accrued payroll taxes and insurance</w:t>
            </w:r>
          </w:p>
        </w:tc>
        <w:tc>
          <w:tcPr>
            <w:tcW w:w="8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594.3</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615.2</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Accrued liabilities</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472.2</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475.1</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Value added taxes payable</w:t>
            </w:r>
          </w:p>
        </w:tc>
        <w:tc>
          <w:tcPr>
            <w:tcW w:w="8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359.7</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370.8</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Short-term operating lease liability</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102.5</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98.6</w:t>
            </w:r>
          </w:p>
        </w:tc>
      </w:tr>
      <w:tr>
        <w:trPr>
          <w:trHeight w:val="189"/>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Short-term borrowings and current maturities of long-term debt</w:t>
            </w: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100.6</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w:t>
            </w:r>
          </w:p>
        </w:tc>
      </w:tr>
      <w:tr>
        <w:trPr>
          <w:trHeight w:val="183"/>
        </w:trPr>
        <w:tc>
          <w:tcPr>
            <w:tcW w:w="68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800" w:type="dxa"/>
            <w:vAlign w:val="bottom"/>
            <w:shd w:val="clear" w:color="auto" w:fill="E2E8F1"/>
          </w:tcPr>
          <w:p>
            <w:pPr>
              <w:spacing w:after="0"/>
              <w:rPr>
                <w:sz w:val="15"/>
                <w:szCs w:val="15"/>
                <w:color w:val="auto"/>
              </w:rPr>
            </w:pPr>
          </w:p>
        </w:tc>
        <w:tc>
          <w:tcPr>
            <w:tcW w:w="158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4,238.7</w:t>
            </w: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4,437.1</w:t>
            </w:r>
          </w:p>
        </w:tc>
      </w:tr>
      <w:tr>
        <w:trPr>
          <w:trHeight w:val="189"/>
        </w:trPr>
        <w:tc>
          <w:tcPr>
            <w:tcW w:w="6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Other Liabilities:</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Long-term debt</w:t>
            </w:r>
          </w:p>
        </w:tc>
        <w:tc>
          <w:tcPr>
            <w:tcW w:w="8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971.4</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929.4</w:t>
            </w: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color w:val="auto"/>
              </w:rPr>
              <w:t>Long-term operating lease liability</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295.0</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279.0</w:t>
            </w:r>
          </w:p>
        </w:tc>
      </w:tr>
      <w:tr>
        <w:trPr>
          <w:trHeight w:val="189"/>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long-term liabilities</w:t>
            </w: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427.2</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428.6</w:t>
            </w:r>
          </w:p>
        </w:tc>
      </w:tr>
      <w:tr>
        <w:trPr>
          <w:trHeight w:val="183"/>
        </w:trPr>
        <w:tc>
          <w:tcPr>
            <w:tcW w:w="68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other liabilities</w:t>
            </w:r>
          </w:p>
        </w:tc>
        <w:tc>
          <w:tcPr>
            <w:tcW w:w="800" w:type="dxa"/>
            <w:vAlign w:val="bottom"/>
            <w:shd w:val="clear" w:color="auto" w:fill="E2E8F1"/>
          </w:tcPr>
          <w:p>
            <w:pPr>
              <w:spacing w:after="0"/>
              <w:rPr>
                <w:sz w:val="15"/>
                <w:szCs w:val="15"/>
                <w:color w:val="auto"/>
              </w:rPr>
            </w:pPr>
          </w:p>
        </w:tc>
        <w:tc>
          <w:tcPr>
            <w:tcW w:w="158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1,693.6</w:t>
            </w:r>
          </w:p>
        </w:tc>
        <w:tc>
          <w:tcPr>
            <w:tcW w:w="340" w:type="dxa"/>
            <w:vAlign w:val="bottom"/>
            <w:shd w:val="clear" w:color="auto" w:fill="E2E8F1"/>
          </w:tcPr>
          <w:p>
            <w:pPr>
              <w:spacing w:after="0"/>
              <w:rPr>
                <w:sz w:val="15"/>
                <w:szCs w:val="15"/>
                <w:color w:val="auto"/>
              </w:rPr>
            </w:pPr>
          </w:p>
        </w:tc>
        <w:tc>
          <w:tcPr>
            <w:tcW w:w="164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1,637.0</w:t>
            </w:r>
          </w:p>
        </w:tc>
      </w:tr>
      <w:tr>
        <w:trPr>
          <w:trHeight w:val="189"/>
        </w:trPr>
        <w:tc>
          <w:tcPr>
            <w:tcW w:w="6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spacing w:after="0"/>
              <w:rPr>
                <w:sz w:val="20"/>
                <w:szCs w:val="20"/>
                <w:color w:val="auto"/>
              </w:rPr>
            </w:pPr>
            <w:r>
              <w:rPr>
                <w:rFonts w:ascii="Arial" w:cs="Arial" w:eastAsia="Arial" w:hAnsi="Arial"/>
                <w:sz w:val="16"/>
                <w:szCs w:val="16"/>
                <w:b w:val="1"/>
                <w:bCs w:val="1"/>
                <w:color w:val="auto"/>
              </w:rPr>
              <w:t>Shareholders’ Equity:</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ManpowerGroup shareholders' equity</w:t>
            </w: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Preferred stock, $.01 par value, authorized 25,000,000 shares, none issued</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r>
      <w:tr>
        <w:trPr>
          <w:trHeight w:val="175"/>
        </w:trPr>
        <w:tc>
          <w:tcPr>
            <w:tcW w:w="6880" w:type="dxa"/>
            <w:vAlign w:val="bottom"/>
          </w:tcPr>
          <w:p>
            <w:pPr>
              <w:ind w:left="80"/>
              <w:spacing w:after="0" w:line="175" w:lineRule="exact"/>
              <w:rPr>
                <w:sz w:val="20"/>
                <w:szCs w:val="20"/>
                <w:color w:val="auto"/>
              </w:rPr>
            </w:pPr>
            <w:r>
              <w:rPr>
                <w:rFonts w:ascii="Arial" w:cs="Arial" w:eastAsia="Arial" w:hAnsi="Arial"/>
                <w:sz w:val="16"/>
                <w:szCs w:val="16"/>
                <w:color w:val="auto"/>
              </w:rPr>
              <w:t>Common stock, $.01 par value, authorized 125,000,000 shares, issued 119,142,558 and</w:t>
            </w: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3"/>
        </w:trPr>
        <w:tc>
          <w:tcPr>
            <w:tcW w:w="6880" w:type="dxa"/>
            <w:vAlign w:val="bottom"/>
          </w:tcPr>
          <w:p>
            <w:pPr>
              <w:ind w:left="80"/>
              <w:spacing w:after="0"/>
              <w:rPr>
                <w:sz w:val="20"/>
                <w:szCs w:val="20"/>
                <w:color w:val="auto"/>
              </w:rPr>
            </w:pPr>
            <w:r>
              <w:rPr>
                <w:rFonts w:ascii="Arial" w:cs="Arial" w:eastAsia="Arial" w:hAnsi="Arial"/>
                <w:sz w:val="16"/>
                <w:szCs w:val="16"/>
                <w:color w:val="auto"/>
              </w:rPr>
              <w:t>118,853,620 shares, respectively</w:t>
            </w:r>
          </w:p>
        </w:tc>
        <w:tc>
          <w:tcPr>
            <w:tcW w:w="800" w:type="dxa"/>
            <w:vAlign w:val="bottom"/>
          </w:tcPr>
          <w:p>
            <w:pPr>
              <w:spacing w:after="0"/>
              <w:rPr>
                <w:sz w:val="17"/>
                <w:szCs w:val="17"/>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1.2</w:t>
            </w: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Capital in excess of par value</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3,552.8</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3,546.1</w:t>
            </w:r>
          </w:p>
        </w:tc>
      </w:tr>
      <w:tr>
        <w:trPr>
          <w:trHeight w:val="189"/>
        </w:trPr>
        <w:tc>
          <w:tcPr>
            <w:tcW w:w="688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800" w:type="dxa"/>
            <w:vAlign w:val="bottom"/>
          </w:tcPr>
          <w:p>
            <w:pPr>
              <w:spacing w:after="0"/>
              <w:rPr>
                <w:sz w:val="16"/>
                <w:szCs w:val="16"/>
                <w:color w:val="auto"/>
              </w:rPr>
            </w:pPr>
          </w:p>
        </w:tc>
        <w:tc>
          <w:tcPr>
            <w:tcW w:w="1580" w:type="dxa"/>
            <w:vAlign w:val="bottom"/>
          </w:tcPr>
          <w:p>
            <w:pPr>
              <w:jc w:val="right"/>
              <w:ind w:right="80"/>
              <w:spacing w:after="0"/>
              <w:rPr>
                <w:sz w:val="20"/>
                <w:szCs w:val="20"/>
                <w:color w:val="auto"/>
              </w:rPr>
            </w:pPr>
            <w:r>
              <w:rPr>
                <w:rFonts w:ascii="Arial" w:cs="Arial" w:eastAsia="Arial" w:hAnsi="Arial"/>
                <w:sz w:val="16"/>
                <w:szCs w:val="16"/>
                <w:color w:val="auto"/>
              </w:rPr>
              <w:t>3,817.9</w:t>
            </w:r>
          </w:p>
        </w:tc>
        <w:tc>
          <w:tcPr>
            <w:tcW w:w="340" w:type="dxa"/>
            <w:vAlign w:val="bottom"/>
          </w:tcPr>
          <w:p>
            <w:pPr>
              <w:spacing w:after="0"/>
              <w:rPr>
                <w:sz w:val="16"/>
                <w:szCs w:val="16"/>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3,812.3</w:t>
            </w:r>
          </w:p>
        </w:tc>
      </w:tr>
      <w:tr>
        <w:trPr>
          <w:trHeight w:val="189"/>
        </w:trPr>
        <w:tc>
          <w:tcPr>
            <w:tcW w:w="6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Accumulated other comprehensive loss</w:t>
            </w:r>
          </w:p>
        </w:tc>
        <w:tc>
          <w:tcPr>
            <w:tcW w:w="800" w:type="dxa"/>
            <w:vAlign w:val="bottom"/>
            <w:shd w:val="clear" w:color="auto" w:fill="E2E8F1"/>
          </w:tcPr>
          <w:p>
            <w:pPr>
              <w:spacing w:after="0"/>
              <w:rPr>
                <w:sz w:val="16"/>
                <w:szCs w:val="16"/>
                <w:color w:val="auto"/>
              </w:rPr>
            </w:pPr>
          </w:p>
        </w:tc>
        <w:tc>
          <w:tcPr>
            <w:tcW w:w="15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(447.1)</w:t>
            </w:r>
          </w:p>
        </w:tc>
        <w:tc>
          <w:tcPr>
            <w:tcW w:w="340" w:type="dxa"/>
            <w:vAlign w:val="bottom"/>
            <w:shd w:val="clear" w:color="auto" w:fill="E2E8F1"/>
          </w:tcPr>
          <w:p>
            <w:pPr>
              <w:spacing w:after="0"/>
              <w:rPr>
                <w:sz w:val="16"/>
                <w:szCs w:val="16"/>
                <w:color w:val="auto"/>
              </w:rPr>
            </w:pPr>
          </w:p>
        </w:tc>
        <w:tc>
          <w:tcPr>
            <w:tcW w:w="1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(443.0)</w:t>
            </w:r>
          </w:p>
        </w:tc>
      </w:tr>
      <w:tr>
        <w:trPr>
          <w:trHeight w:val="189"/>
        </w:trPr>
        <w:tc>
          <w:tcPr>
            <w:tcW w:w="6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Treasury stock at cost, 72,629,882 and 72,105,407 shares, respectively</w:t>
            </w:r>
          </w:p>
        </w:tc>
        <w:tc>
          <w:tcPr>
            <w:tcW w:w="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(4,822.0)</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(4,791.4)</w:t>
            </w:r>
          </w:p>
        </w:tc>
      </w:tr>
      <w:tr>
        <w:trPr>
          <w:trHeight w:val="183"/>
        </w:trPr>
        <w:tc>
          <w:tcPr>
            <w:tcW w:w="6880" w:type="dxa"/>
            <w:vAlign w:val="bottom"/>
            <w:tcBorders>
              <w:bottom w:val="single" w:sz="8" w:color="auto"/>
            </w:tcBorders>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ManpowerGroup shareholders’ equity</w:t>
            </w:r>
          </w:p>
        </w:tc>
        <w:tc>
          <w:tcPr>
            <w:tcW w:w="800" w:type="dxa"/>
            <w:vAlign w:val="bottom"/>
            <w:tcBorders>
              <w:bottom w:val="single" w:sz="8" w:color="auto"/>
            </w:tcBorders>
            <w:shd w:val="clear" w:color="auto" w:fill="E2E8F1"/>
          </w:tcPr>
          <w:p>
            <w:pPr>
              <w:spacing w:after="0"/>
              <w:rPr>
                <w:sz w:val="15"/>
                <w:szCs w:val="15"/>
                <w:color w:val="auto"/>
              </w:rPr>
            </w:pPr>
          </w:p>
        </w:tc>
        <w:tc>
          <w:tcPr>
            <w:tcW w:w="158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2,102.8</w:t>
            </w:r>
          </w:p>
        </w:tc>
        <w:tc>
          <w:tcPr>
            <w:tcW w:w="340" w:type="dxa"/>
            <w:vAlign w:val="bottom"/>
            <w:tcBorders>
              <w:bottom w:val="single" w:sz="8" w:color="auto"/>
            </w:tcBorders>
            <w:shd w:val="clear" w:color="auto" w:fill="E2E8F1"/>
          </w:tcPr>
          <w:p>
            <w:pPr>
              <w:spacing w:after="0"/>
              <w:rPr>
                <w:sz w:val="15"/>
                <w:szCs w:val="15"/>
                <w:color w:val="auto"/>
              </w:rPr>
            </w:pPr>
          </w:p>
        </w:tc>
        <w:tc>
          <w:tcPr>
            <w:tcW w:w="16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2,125.2</w:t>
            </w:r>
          </w:p>
        </w:tc>
      </w:tr>
      <w:tr>
        <w:trPr>
          <w:trHeight w:val="183"/>
        </w:trPr>
        <w:tc>
          <w:tcPr>
            <w:tcW w:w="68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Noncontrolling interests</w:t>
            </w:r>
          </w:p>
        </w:tc>
        <w:tc>
          <w:tcPr>
            <w:tcW w:w="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1.7</w:t>
            </w:r>
          </w:p>
        </w:tc>
      </w:tr>
      <w:tr>
        <w:trPr>
          <w:trHeight w:val="182"/>
        </w:trPr>
        <w:tc>
          <w:tcPr>
            <w:tcW w:w="6880" w:type="dxa"/>
            <w:vAlign w:val="bottom"/>
            <w:tcBorders>
              <w:bottom w:val="single" w:sz="8" w:color="auto"/>
            </w:tcBorders>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shareholders’ equity</w:t>
            </w:r>
          </w:p>
        </w:tc>
        <w:tc>
          <w:tcPr>
            <w:tcW w:w="800" w:type="dxa"/>
            <w:vAlign w:val="bottom"/>
            <w:tcBorders>
              <w:bottom w:val="single" w:sz="8" w:color="auto"/>
            </w:tcBorders>
            <w:shd w:val="clear" w:color="auto" w:fill="E2E8F1"/>
          </w:tcPr>
          <w:p>
            <w:pPr>
              <w:spacing w:after="0"/>
              <w:rPr>
                <w:sz w:val="15"/>
                <w:szCs w:val="15"/>
                <w:color w:val="auto"/>
              </w:rPr>
            </w:pPr>
          </w:p>
        </w:tc>
        <w:tc>
          <w:tcPr>
            <w:tcW w:w="158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2,104.9</w:t>
            </w:r>
          </w:p>
        </w:tc>
        <w:tc>
          <w:tcPr>
            <w:tcW w:w="340" w:type="dxa"/>
            <w:vAlign w:val="bottom"/>
            <w:tcBorders>
              <w:bottom w:val="single" w:sz="8" w:color="auto"/>
            </w:tcBorders>
            <w:shd w:val="clear" w:color="auto" w:fill="E2E8F1"/>
          </w:tcPr>
          <w:p>
            <w:pPr>
              <w:spacing w:after="0"/>
              <w:rPr>
                <w:sz w:val="15"/>
                <w:szCs w:val="15"/>
                <w:color w:val="auto"/>
              </w:rPr>
            </w:pPr>
          </w:p>
        </w:tc>
        <w:tc>
          <w:tcPr>
            <w:tcW w:w="16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2,126.9</w:t>
            </w:r>
          </w:p>
        </w:tc>
      </w:tr>
      <w:tr>
        <w:trPr>
          <w:trHeight w:val="183"/>
        </w:trPr>
        <w:tc>
          <w:tcPr>
            <w:tcW w:w="688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8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8,037.2</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8,201.0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Operations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Borders>
              <w:top w:val="single" w:sz="8" w:color="auto"/>
            </w:tcBorders>
            <w:shd w:val="clear" w:color="auto" w:fill="98B0CF"/>
          </w:tcPr>
          <w:p>
            <w:pPr>
              <w:spacing w:after="0"/>
              <w:rPr>
                <w:sz w:val="18"/>
                <w:szCs w:val="18"/>
                <w:color w:val="auto"/>
              </w:rPr>
            </w:pPr>
          </w:p>
        </w:tc>
        <w:tc>
          <w:tcPr>
            <w:tcW w:w="120" w:type="dxa"/>
            <w:vAlign w:val="bottom"/>
            <w:tcBorders>
              <w:top w:val="single" w:sz="8" w:color="auto"/>
            </w:tcBorders>
            <w:shd w:val="clear" w:color="auto" w:fill="98B0CF"/>
          </w:tcPr>
          <w:p>
            <w:pPr>
              <w:spacing w:after="0"/>
              <w:rPr>
                <w:sz w:val="18"/>
                <w:szCs w:val="18"/>
                <w:color w:val="auto"/>
              </w:rPr>
            </w:pPr>
          </w:p>
        </w:tc>
        <w:tc>
          <w:tcPr>
            <w:tcW w:w="260" w:type="dxa"/>
            <w:vAlign w:val="bottom"/>
            <w:tcBorders>
              <w:top w:val="single" w:sz="8" w:color="auto"/>
            </w:tcBorders>
            <w:shd w:val="clear" w:color="auto" w:fill="98B0CF"/>
          </w:tcPr>
          <w:p>
            <w:pPr>
              <w:spacing w:after="0"/>
              <w:rPr>
                <w:sz w:val="18"/>
                <w:szCs w:val="18"/>
                <w:color w:val="auto"/>
              </w:rPr>
            </w:pPr>
          </w:p>
        </w:tc>
        <w:tc>
          <w:tcPr>
            <w:tcW w:w="2500" w:type="dxa"/>
            <w:vAlign w:val="bottom"/>
            <w:tcBorders>
              <w:top w:val="single" w:sz="8" w:color="auto"/>
            </w:tcBorders>
            <w:gridSpan w:val="3"/>
            <w:shd w:val="clear" w:color="auto" w:fill="98B0CF"/>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360" w:type="dxa"/>
            <w:vAlign w:val="bottom"/>
            <w:tcBorders>
              <w:bottom w:val="single" w:sz="8" w:color="98B0CF"/>
            </w:tcBorders>
            <w:shd w:val="clear" w:color="auto" w:fill="98B0CF"/>
          </w:tcPr>
          <w:p>
            <w:pPr>
              <w:spacing w:after="0"/>
              <w:rPr>
                <w:sz w:val="16"/>
                <w:szCs w:val="16"/>
                <w:color w:val="auto"/>
              </w:rPr>
            </w:pPr>
          </w:p>
        </w:tc>
        <w:tc>
          <w:tcPr>
            <w:tcW w:w="120" w:type="dxa"/>
            <w:vAlign w:val="bottom"/>
            <w:tcBorders>
              <w:bottom w:val="single" w:sz="8" w:color="98B0CF"/>
            </w:tcBorders>
            <w:shd w:val="clear" w:color="auto" w:fill="98B0CF"/>
          </w:tcPr>
          <w:p>
            <w:pPr>
              <w:spacing w:after="0"/>
              <w:rPr>
                <w:sz w:val="16"/>
                <w:szCs w:val="16"/>
                <w:color w:val="auto"/>
              </w:rPr>
            </w:pPr>
          </w:p>
        </w:tc>
        <w:tc>
          <w:tcPr>
            <w:tcW w:w="260" w:type="dxa"/>
            <w:vAlign w:val="bottom"/>
            <w:tcBorders>
              <w:bottom w:val="single" w:sz="8" w:color="auto"/>
            </w:tcBorders>
            <w:shd w:val="clear" w:color="auto" w:fill="98B0CF"/>
          </w:tcPr>
          <w:p>
            <w:pPr>
              <w:spacing w:after="0"/>
              <w:rPr>
                <w:sz w:val="16"/>
                <w:szCs w:val="16"/>
                <w:color w:val="auto"/>
              </w:rPr>
            </w:pPr>
          </w:p>
        </w:tc>
        <w:tc>
          <w:tcPr>
            <w:tcW w:w="1500" w:type="dxa"/>
            <w:vAlign w:val="bottom"/>
            <w:tcBorders>
              <w:bottom w:val="single" w:sz="8" w:color="auto"/>
            </w:tcBorders>
            <w:gridSpan w:val="2"/>
            <w:shd w:val="clear" w:color="auto" w:fill="98B0CF"/>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shd w:val="clear" w:color="auto" w:fill="98B0CF"/>
          </w:tcPr>
          <w:p>
            <w:pPr>
              <w:spacing w:after="0"/>
              <w:rPr>
                <w:sz w:val="16"/>
                <w:szCs w:val="16"/>
                <w:color w:val="auto"/>
              </w:rPr>
            </w:pPr>
          </w:p>
        </w:tc>
      </w:tr>
      <w:tr>
        <w:trPr>
          <w:trHeight w:val="196"/>
        </w:trPr>
        <w:tc>
          <w:tcPr>
            <w:tcW w:w="8360" w:type="dxa"/>
            <w:vAlign w:val="bottom"/>
            <w:tcBorders>
              <w:bottom w:val="single" w:sz="8" w:color="auto"/>
            </w:tcBorders>
            <w:shd w:val="clear" w:color="auto" w:fill="98B0CF"/>
          </w:tcPr>
          <w:p>
            <w:pPr>
              <w:spacing w:after="0"/>
              <w:rPr>
                <w:sz w:val="17"/>
                <w:szCs w:val="17"/>
                <w:color w:val="auto"/>
              </w:rPr>
            </w:pPr>
          </w:p>
        </w:tc>
        <w:tc>
          <w:tcPr>
            <w:tcW w:w="120" w:type="dxa"/>
            <w:vAlign w:val="bottom"/>
            <w:tcBorders>
              <w:bottom w:val="single" w:sz="8" w:color="auto"/>
            </w:tcBorders>
            <w:shd w:val="clear" w:color="auto" w:fill="98B0CF"/>
          </w:tcPr>
          <w:p>
            <w:pPr>
              <w:spacing w:after="0"/>
              <w:rPr>
                <w:sz w:val="17"/>
                <w:szCs w:val="17"/>
                <w:color w:val="auto"/>
              </w:rPr>
            </w:pPr>
          </w:p>
        </w:tc>
        <w:tc>
          <w:tcPr>
            <w:tcW w:w="260" w:type="dxa"/>
            <w:vAlign w:val="bottom"/>
            <w:tcBorders>
              <w:bottom w:val="single" w:sz="8" w:color="auto"/>
            </w:tcBorders>
            <w:shd w:val="clear" w:color="auto" w:fill="98B0CF"/>
          </w:tcPr>
          <w:p>
            <w:pPr>
              <w:spacing w:after="0"/>
              <w:rPr>
                <w:sz w:val="17"/>
                <w:szCs w:val="17"/>
                <w:color w:val="auto"/>
              </w:rPr>
            </w:pPr>
          </w:p>
        </w:tc>
        <w:tc>
          <w:tcPr>
            <w:tcW w:w="1060" w:type="dxa"/>
            <w:vAlign w:val="bottom"/>
            <w:tcBorders>
              <w:bottom w:val="single" w:sz="8" w:color="auto"/>
            </w:tcBorders>
            <w:shd w:val="clear" w:color="auto" w:fill="98B0CF"/>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shd w:val="clear" w:color="auto" w:fill="98B0CF"/>
          </w:tcPr>
          <w:p>
            <w:pPr>
              <w:spacing w:after="0"/>
              <w:rPr>
                <w:sz w:val="17"/>
                <w:szCs w:val="17"/>
                <w:color w:val="auto"/>
              </w:rPr>
            </w:pPr>
          </w:p>
        </w:tc>
        <w:tc>
          <w:tcPr>
            <w:tcW w:w="100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2024</w:t>
            </w:r>
          </w:p>
        </w:tc>
      </w:tr>
      <w:tr>
        <w:trPr>
          <w:trHeight w:val="183"/>
        </w:trPr>
        <w:tc>
          <w:tcPr>
            <w:tcW w:w="836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4,090.3</w:t>
            </w:r>
          </w:p>
        </w:tc>
        <w:tc>
          <w:tcPr>
            <w:tcW w:w="440" w:type="dxa"/>
            <w:vAlign w:val="bottom"/>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4,403.3</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 of services</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3,392.0</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3,639.6</w:t>
            </w:r>
          </w:p>
        </w:tc>
      </w:tr>
      <w:tr>
        <w:trPr>
          <w:trHeight w:val="183"/>
        </w:trPr>
        <w:tc>
          <w:tcPr>
            <w:tcW w:w="836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106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698.3</w:t>
            </w:r>
          </w:p>
        </w:tc>
        <w:tc>
          <w:tcPr>
            <w:tcW w:w="4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763.7</w:t>
            </w:r>
          </w:p>
        </w:tc>
      </w:tr>
      <w:tr>
        <w:trPr>
          <w:trHeight w:val="183"/>
        </w:trPr>
        <w:tc>
          <w:tcPr>
            <w:tcW w:w="83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Selling and administrative expenses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670.1</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697.8</w:t>
            </w:r>
          </w:p>
        </w:tc>
      </w:tr>
      <w:tr>
        <w:trPr>
          <w:trHeight w:val="183"/>
        </w:trPr>
        <w:tc>
          <w:tcPr>
            <w:tcW w:w="8360" w:type="dxa"/>
            <w:vAlign w:val="bottom"/>
            <w:shd w:val="clear" w:color="auto" w:fill="E2E8F1"/>
          </w:tcPr>
          <w:p>
            <w:pPr>
              <w:ind w:left="160"/>
              <w:spacing w:after="0" w:line="183" w:lineRule="exact"/>
              <w:rPr>
                <w:sz w:val="20"/>
                <w:szCs w:val="20"/>
                <w:color w:val="auto"/>
              </w:rPr>
            </w:pPr>
            <w:r>
              <w:rPr>
                <w:rFonts w:ascii="Arial" w:cs="Arial" w:eastAsia="Arial" w:hAnsi="Arial"/>
                <w:sz w:val="16"/>
                <w:szCs w:val="16"/>
                <w:color w:val="auto"/>
              </w:rPr>
              <w:t>Operating profit</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06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28.2</w:t>
            </w:r>
          </w:p>
        </w:tc>
        <w:tc>
          <w:tcPr>
            <w:tcW w:w="44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65.9</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and other expenses, net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w:t>
            </w:r>
          </w:p>
        </w:tc>
      </w:tr>
      <w:tr>
        <w:trPr>
          <w:trHeight w:val="183"/>
        </w:trPr>
        <w:tc>
          <w:tcPr>
            <w:tcW w:w="8360" w:type="dxa"/>
            <w:vAlign w:val="bottom"/>
            <w:shd w:val="clear" w:color="auto" w:fill="E2E8F1"/>
          </w:tcPr>
          <w:p>
            <w:pPr>
              <w:ind w:left="160"/>
              <w:spacing w:after="0" w:line="183" w:lineRule="exact"/>
              <w:rPr>
                <w:sz w:val="20"/>
                <w:szCs w:val="20"/>
                <w:color w:val="auto"/>
              </w:rPr>
            </w:pPr>
            <w:r>
              <w:rPr>
                <w:rFonts w:ascii="Arial" w:cs="Arial" w:eastAsia="Arial" w:hAnsi="Arial"/>
                <w:sz w:val="16"/>
                <w:szCs w:val="16"/>
                <w:color w:val="auto"/>
              </w:rPr>
              <w:t>Earnings before income taxes</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06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16.7</w:t>
            </w:r>
          </w:p>
        </w:tc>
        <w:tc>
          <w:tcPr>
            <w:tcW w:w="44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57.5</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17.8</w:t>
            </w:r>
          </w:p>
        </w:tc>
      </w:tr>
      <w:tr>
        <w:trPr>
          <w:trHeight w:val="183"/>
        </w:trPr>
        <w:tc>
          <w:tcPr>
            <w:tcW w:w="836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Net earnings</w:t>
            </w:r>
          </w:p>
        </w:tc>
        <w:tc>
          <w:tcPr>
            <w:tcW w:w="380" w:type="dxa"/>
            <w:vAlign w:val="bottom"/>
            <w:tcBorders>
              <w:bottom w:val="single" w:sz="8" w:color="auto"/>
            </w:tcBorders>
            <w:gridSpan w:val="2"/>
            <w:shd w:val="clear" w:color="auto" w:fill="E2E8F1"/>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5.6</w:t>
            </w:r>
          </w:p>
        </w:tc>
        <w:tc>
          <w:tcPr>
            <w:tcW w:w="440" w:type="dxa"/>
            <w:vAlign w:val="bottom"/>
            <w:tcBorders>
              <w:bottom w:val="single" w:sz="8" w:color="auto"/>
            </w:tcBorders>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39.7</w:t>
            </w:r>
          </w:p>
        </w:tc>
      </w:tr>
      <w:tr>
        <w:trPr>
          <w:trHeight w:val="183"/>
        </w:trPr>
        <w:tc>
          <w:tcPr>
            <w:tcW w:w="8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earnings per share – basic</w:t>
            </w:r>
          </w:p>
        </w:tc>
        <w:tc>
          <w:tcPr>
            <w:tcW w:w="380" w:type="dxa"/>
            <w:vAlign w:val="bottom"/>
            <w:tcBorders>
              <w:bottom w:val="single" w:sz="8" w:color="auto"/>
            </w:tcBorders>
            <w:gridSpan w:val="2"/>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0.12</w:t>
            </w:r>
          </w:p>
        </w:tc>
        <w:tc>
          <w:tcPr>
            <w:tcW w:w="4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0.82</w:t>
            </w:r>
          </w:p>
        </w:tc>
      </w:tr>
      <w:tr>
        <w:trPr>
          <w:trHeight w:val="183"/>
        </w:trPr>
        <w:tc>
          <w:tcPr>
            <w:tcW w:w="836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Net earnings per share – diluted</w:t>
            </w:r>
          </w:p>
        </w:tc>
        <w:tc>
          <w:tcPr>
            <w:tcW w:w="380" w:type="dxa"/>
            <w:vAlign w:val="bottom"/>
            <w:tcBorders>
              <w:bottom w:val="single" w:sz="8" w:color="auto"/>
            </w:tcBorders>
            <w:gridSpan w:val="2"/>
            <w:shd w:val="clear" w:color="auto" w:fill="E2E8F1"/>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0.12</w:t>
            </w:r>
          </w:p>
        </w:tc>
        <w:tc>
          <w:tcPr>
            <w:tcW w:w="440" w:type="dxa"/>
            <w:vAlign w:val="bottom"/>
            <w:tcBorders>
              <w:bottom w:val="single" w:sz="8" w:color="auto"/>
            </w:tcBorders>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0.81</w:t>
            </w:r>
          </w:p>
        </w:tc>
      </w:tr>
      <w:tr>
        <w:trPr>
          <w:trHeight w:val="183"/>
        </w:trPr>
        <w:tc>
          <w:tcPr>
            <w:tcW w:w="8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Weighted average shares – basic</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46.8</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48.3</w:t>
            </w:r>
          </w:p>
        </w:tc>
      </w:tr>
      <w:tr>
        <w:trPr>
          <w:trHeight w:val="183"/>
        </w:trPr>
        <w:tc>
          <w:tcPr>
            <w:tcW w:w="836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106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47.3</w:t>
            </w:r>
          </w:p>
        </w:tc>
        <w:tc>
          <w:tcPr>
            <w:tcW w:w="4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48.9</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Comprehensive Income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tcBorders>
              <w:top w:val="single" w:sz="8" w:color="auto"/>
            </w:tcBorders>
            <w:shd w:val="clear" w:color="auto" w:fill="95B3D1"/>
          </w:tcPr>
          <w:p>
            <w:pPr>
              <w:spacing w:after="0"/>
              <w:rPr>
                <w:sz w:val="15"/>
                <w:szCs w:val="15"/>
                <w:color w:val="auto"/>
              </w:rPr>
            </w:pPr>
          </w:p>
        </w:tc>
        <w:tc>
          <w:tcPr>
            <w:tcW w:w="220" w:type="dxa"/>
            <w:vAlign w:val="bottom"/>
            <w:tcBorders>
              <w:top w:val="single" w:sz="8" w:color="auto"/>
            </w:tcBorders>
            <w:shd w:val="clear" w:color="auto" w:fill="95B3D1"/>
          </w:tcPr>
          <w:p>
            <w:pPr>
              <w:spacing w:after="0"/>
              <w:rPr>
                <w:sz w:val="15"/>
                <w:szCs w:val="15"/>
                <w:color w:val="auto"/>
              </w:rPr>
            </w:pPr>
          </w:p>
        </w:tc>
        <w:tc>
          <w:tcPr>
            <w:tcW w:w="2380" w:type="dxa"/>
            <w:vAlign w:val="bottom"/>
            <w:tcBorders>
              <w:top w:val="single" w:sz="8" w:color="auto"/>
            </w:tcBorders>
            <w:gridSpan w:val="3"/>
            <w:shd w:val="clear" w:color="auto" w:fill="95B3D1"/>
          </w:tcPr>
          <w:p>
            <w:pPr>
              <w:jc w:val="right"/>
              <w:ind w:right="20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top w:val="single" w:sz="8" w:color="auto"/>
            </w:tcBorders>
            <w:shd w:val="clear" w:color="auto" w:fill="95B3D1"/>
          </w:tcPr>
          <w:p>
            <w:pPr>
              <w:spacing w:after="0"/>
              <w:rPr>
                <w:sz w:val="15"/>
                <w:szCs w:val="15"/>
                <w:color w:val="auto"/>
              </w:rPr>
            </w:pPr>
          </w:p>
        </w:tc>
      </w:tr>
      <w:tr>
        <w:trPr>
          <w:trHeight w:val="162"/>
        </w:trPr>
        <w:tc>
          <w:tcPr>
            <w:tcW w:w="8120" w:type="dxa"/>
            <w:vAlign w:val="bottom"/>
            <w:tcBorders>
              <w:bottom w:val="single" w:sz="8" w:color="95B3D1"/>
            </w:tcBorders>
            <w:shd w:val="clear" w:color="auto" w:fill="95B3D1"/>
          </w:tcPr>
          <w:p>
            <w:pPr>
              <w:spacing w:after="0"/>
              <w:rPr>
                <w:sz w:val="14"/>
                <w:szCs w:val="14"/>
                <w:color w:val="auto"/>
              </w:rPr>
            </w:pPr>
          </w:p>
        </w:tc>
        <w:tc>
          <w:tcPr>
            <w:tcW w:w="220" w:type="dxa"/>
            <w:vAlign w:val="bottom"/>
            <w:tcBorders>
              <w:bottom w:val="single" w:sz="8" w:color="95B3D1"/>
            </w:tcBorders>
            <w:shd w:val="clear" w:color="auto" w:fill="95B3D1"/>
          </w:tcPr>
          <w:p>
            <w:pPr>
              <w:spacing w:after="0"/>
              <w:rPr>
                <w:sz w:val="14"/>
                <w:szCs w:val="14"/>
                <w:color w:val="auto"/>
              </w:rPr>
            </w:pPr>
          </w:p>
        </w:tc>
        <w:tc>
          <w:tcPr>
            <w:tcW w:w="820" w:type="dxa"/>
            <w:vAlign w:val="bottom"/>
            <w:tcBorders>
              <w:bottom w:val="single" w:sz="8" w:color="auto"/>
            </w:tcBorders>
            <w:shd w:val="clear" w:color="auto" w:fill="95B3D1"/>
          </w:tcPr>
          <w:p>
            <w:pPr>
              <w:spacing w:after="0"/>
              <w:rPr>
                <w:sz w:val="14"/>
                <w:szCs w:val="14"/>
                <w:color w:val="auto"/>
              </w:rPr>
            </w:pPr>
          </w:p>
        </w:tc>
        <w:tc>
          <w:tcPr>
            <w:tcW w:w="1560" w:type="dxa"/>
            <w:vAlign w:val="bottom"/>
            <w:tcBorders>
              <w:bottom w:val="single" w:sz="8" w:color="auto"/>
            </w:tcBorders>
            <w:gridSpan w:val="2"/>
            <w:shd w:val="clear" w:color="auto" w:fill="95B3D1"/>
          </w:tcPr>
          <w:p>
            <w:pPr>
              <w:jc w:val="right"/>
              <w:ind w:right="581"/>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shd w:val="clear" w:color="auto" w:fill="95B3D1"/>
          </w:tcPr>
          <w:p>
            <w:pPr>
              <w:spacing w:after="0"/>
              <w:rPr>
                <w:sz w:val="14"/>
                <w:szCs w:val="14"/>
                <w:color w:val="auto"/>
              </w:rPr>
            </w:pPr>
          </w:p>
        </w:tc>
      </w:tr>
      <w:tr>
        <w:trPr>
          <w:trHeight w:val="155"/>
        </w:trPr>
        <w:tc>
          <w:tcPr>
            <w:tcW w:w="8120" w:type="dxa"/>
            <w:vAlign w:val="bottom"/>
            <w:tcBorders>
              <w:bottom w:val="single" w:sz="8" w:color="auto"/>
            </w:tcBorders>
            <w:shd w:val="clear" w:color="auto" w:fill="95B3D1"/>
          </w:tcPr>
          <w:p>
            <w:pPr>
              <w:spacing w:after="0"/>
              <w:rPr>
                <w:sz w:val="13"/>
                <w:szCs w:val="13"/>
                <w:color w:val="auto"/>
              </w:rPr>
            </w:pPr>
          </w:p>
        </w:tc>
        <w:tc>
          <w:tcPr>
            <w:tcW w:w="220" w:type="dxa"/>
            <w:vAlign w:val="bottom"/>
            <w:tcBorders>
              <w:bottom w:val="single" w:sz="8" w:color="auto"/>
            </w:tcBorders>
            <w:shd w:val="clear" w:color="auto" w:fill="95B3D1"/>
          </w:tcPr>
          <w:p>
            <w:pPr>
              <w:spacing w:after="0"/>
              <w:rPr>
                <w:sz w:val="13"/>
                <w:szCs w:val="13"/>
                <w:color w:val="auto"/>
              </w:rPr>
            </w:pPr>
          </w:p>
        </w:tc>
        <w:tc>
          <w:tcPr>
            <w:tcW w:w="820" w:type="dxa"/>
            <w:vAlign w:val="bottom"/>
            <w:tcBorders>
              <w:bottom w:val="single" w:sz="8" w:color="auto"/>
            </w:tcBorders>
            <w:shd w:val="clear" w:color="auto" w:fill="95B3D1"/>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shd w:val="clear" w:color="auto" w:fill="95B3D1"/>
          </w:tcPr>
          <w:p>
            <w:pPr>
              <w:spacing w:after="0"/>
              <w:rPr>
                <w:sz w:val="13"/>
                <w:szCs w:val="13"/>
                <w:color w:val="auto"/>
              </w:rPr>
            </w:pPr>
          </w:p>
        </w:tc>
        <w:tc>
          <w:tcPr>
            <w:tcW w:w="940" w:type="dxa"/>
            <w:vAlign w:val="bottom"/>
            <w:tcBorders>
              <w:bottom w:val="single" w:sz="8" w:color="auto"/>
            </w:tcBorders>
            <w:shd w:val="clear" w:color="auto" w:fill="95B3D1"/>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shd w:val="clear" w:color="auto" w:fill="95B3D1"/>
          </w:tcPr>
          <w:p>
            <w:pPr>
              <w:spacing w:after="0"/>
              <w:rPr>
                <w:sz w:val="13"/>
                <w:szCs w:val="13"/>
                <w:color w:val="auto"/>
              </w:rPr>
            </w:pPr>
          </w:p>
        </w:tc>
      </w:tr>
      <w:tr>
        <w:trPr>
          <w:trHeight w:val="183"/>
        </w:trPr>
        <w:tc>
          <w:tcPr>
            <w:tcW w:w="812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w:t>
            </w:r>
          </w:p>
        </w:tc>
        <w:tc>
          <w:tcPr>
            <w:tcW w:w="22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6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5.6</w:t>
            </w:r>
          </w:p>
        </w:tc>
        <w:tc>
          <w:tcPr>
            <w:tcW w:w="940" w:type="dxa"/>
            <w:vAlign w:val="bottom"/>
            <w:shd w:val="clear" w:color="auto" w:fill="E2E8F1"/>
          </w:tcPr>
          <w:p>
            <w:pPr>
              <w:jc w:val="right"/>
              <w:ind w:right="641"/>
              <w:spacing w:after="0" w:line="183" w:lineRule="exact"/>
              <w:rPr>
                <w:sz w:val="20"/>
                <w:szCs w:val="20"/>
                <w:color w:val="auto"/>
              </w:rPr>
            </w:pPr>
            <w:r>
              <w:rPr>
                <w:rFonts w:ascii="Arial" w:cs="Arial" w:eastAsia="Arial" w:hAnsi="Arial"/>
                <w:sz w:val="16"/>
                <w:szCs w:val="16"/>
                <w:color w:val="auto"/>
              </w:rPr>
              <w:t>$</w:t>
            </w:r>
          </w:p>
        </w:tc>
        <w:tc>
          <w:tcPr>
            <w:tcW w:w="52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39.7</w:t>
            </w:r>
          </w:p>
        </w:tc>
      </w:tr>
      <w:tr>
        <w:trPr>
          <w:trHeight w:val="189"/>
        </w:trPr>
        <w:tc>
          <w:tcPr>
            <w:tcW w:w="8120" w:type="dxa"/>
            <w:vAlign w:val="bottom"/>
          </w:tcPr>
          <w:p>
            <w:pPr>
              <w:ind w:left="80"/>
              <w:spacing w:after="0"/>
              <w:rPr>
                <w:sz w:val="20"/>
                <w:szCs w:val="20"/>
                <w:color w:val="auto"/>
              </w:rPr>
            </w:pPr>
            <w:r>
              <w:rPr>
                <w:rFonts w:ascii="Arial" w:cs="Arial" w:eastAsia="Arial" w:hAnsi="Arial"/>
                <w:sz w:val="16"/>
                <w:szCs w:val="16"/>
                <w:color w:val="auto"/>
              </w:rPr>
              <w:t>Other comprehensive loss: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9"/>
        </w:trPr>
        <w:tc>
          <w:tcPr>
            <w:tcW w:w="8120" w:type="dxa"/>
            <w:vAlign w:val="bottom"/>
            <w:shd w:val="clear" w:color="auto" w:fill="E2E8F1"/>
          </w:tcPr>
          <w:p>
            <w:pPr>
              <w:ind w:left="160"/>
              <w:spacing w:after="0"/>
              <w:rPr>
                <w:sz w:val="20"/>
                <w:szCs w:val="20"/>
                <w:color w:val="auto"/>
              </w:rPr>
            </w:pPr>
            <w:r>
              <w:rPr>
                <w:rFonts w:ascii="Arial" w:cs="Arial" w:eastAsia="Arial" w:hAnsi="Arial"/>
                <w:sz w:val="16"/>
                <w:szCs w:val="16"/>
                <w:color w:val="auto"/>
              </w:rPr>
              <w:t>Foreign currency translation</w:t>
            </w:r>
          </w:p>
        </w:tc>
        <w:tc>
          <w:tcPr>
            <w:tcW w:w="220" w:type="dxa"/>
            <w:vAlign w:val="bottom"/>
            <w:shd w:val="clear" w:color="auto" w:fill="E2E8F1"/>
          </w:tcPr>
          <w:p>
            <w:pPr>
              <w:spacing w:after="0"/>
              <w:rPr>
                <w:sz w:val="16"/>
                <w:szCs w:val="16"/>
                <w:color w:val="auto"/>
              </w:rPr>
            </w:pPr>
          </w:p>
        </w:tc>
        <w:tc>
          <w:tcPr>
            <w:tcW w:w="820" w:type="dxa"/>
            <w:vAlign w:val="bottom"/>
            <w:shd w:val="clear" w:color="auto" w:fill="E2E8F1"/>
          </w:tcPr>
          <w:p>
            <w:pPr>
              <w:spacing w:after="0"/>
              <w:rPr>
                <w:sz w:val="16"/>
                <w:szCs w:val="16"/>
                <w:color w:val="auto"/>
              </w:rPr>
            </w:pPr>
          </w:p>
        </w:tc>
        <w:tc>
          <w:tcPr>
            <w:tcW w:w="620" w:type="dxa"/>
            <w:vAlign w:val="bottom"/>
            <w:shd w:val="clear" w:color="auto" w:fill="E2E8F1"/>
          </w:tcPr>
          <w:p>
            <w:pPr>
              <w:jc w:val="right"/>
              <w:ind w:right="120"/>
              <w:spacing w:after="0"/>
              <w:rPr>
                <w:sz w:val="20"/>
                <w:szCs w:val="20"/>
                <w:color w:val="auto"/>
              </w:rPr>
            </w:pPr>
            <w:r>
              <w:rPr>
                <w:rFonts w:ascii="Arial" w:cs="Arial" w:eastAsia="Arial" w:hAnsi="Arial"/>
                <w:sz w:val="16"/>
                <w:szCs w:val="16"/>
                <w:color w:val="auto"/>
              </w:rPr>
              <w:t>39.0</w:t>
            </w:r>
          </w:p>
        </w:tc>
        <w:tc>
          <w:tcPr>
            <w:tcW w:w="940" w:type="dxa"/>
            <w:vAlign w:val="bottom"/>
            <w:shd w:val="clear" w:color="auto" w:fill="E2E8F1"/>
          </w:tcPr>
          <w:p>
            <w:pPr>
              <w:spacing w:after="0"/>
              <w:rPr>
                <w:sz w:val="16"/>
                <w:szCs w:val="16"/>
                <w:color w:val="auto"/>
              </w:rPr>
            </w:pPr>
          </w:p>
        </w:tc>
        <w:tc>
          <w:tcPr>
            <w:tcW w:w="5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(68.3)</w:t>
            </w:r>
          </w:p>
        </w:tc>
      </w:tr>
      <w:tr>
        <w:trPr>
          <w:trHeight w:val="189"/>
        </w:trPr>
        <w:tc>
          <w:tcPr>
            <w:tcW w:w="8120" w:type="dxa"/>
            <w:vAlign w:val="bottom"/>
          </w:tcPr>
          <w:p>
            <w:pPr>
              <w:ind w:left="160"/>
              <w:spacing w:after="0"/>
              <w:rPr>
                <w:sz w:val="20"/>
                <w:szCs w:val="20"/>
                <w:color w:val="auto"/>
              </w:rPr>
            </w:pPr>
            <w:r>
              <w:rPr>
                <w:rFonts w:ascii="Arial" w:cs="Arial" w:eastAsia="Arial" w:hAnsi="Arial"/>
                <w:sz w:val="16"/>
                <w:szCs w:val="16"/>
                <w:color w:val="auto"/>
              </w:rPr>
              <w:t>Translation adjustments of long-term intercompany loans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940" w:type="dxa"/>
            <w:vAlign w:val="bottom"/>
          </w:tcPr>
          <w:p>
            <w:pPr>
              <w:spacing w:after="0"/>
              <w:rPr>
                <w:sz w:val="16"/>
                <w:szCs w:val="16"/>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189"/>
        </w:trPr>
        <w:tc>
          <w:tcPr>
            <w:tcW w:w="8120" w:type="dxa"/>
            <w:vAlign w:val="bottom"/>
            <w:shd w:val="clear" w:color="auto" w:fill="E2E8F1"/>
          </w:tcPr>
          <w:p>
            <w:pPr>
              <w:ind w:left="160"/>
              <w:spacing w:after="0"/>
              <w:rPr>
                <w:sz w:val="20"/>
                <w:szCs w:val="20"/>
                <w:color w:val="auto"/>
              </w:rPr>
            </w:pPr>
            <w:r>
              <w:rPr>
                <w:rFonts w:ascii="Arial" w:cs="Arial" w:eastAsia="Arial" w:hAnsi="Arial"/>
                <w:sz w:val="16"/>
                <w:szCs w:val="16"/>
                <w:color w:val="auto"/>
              </w:rPr>
              <w:t>Adjustments on derivative instruments, net of income taxes of $(11.7) and $11.9, respectively</w:t>
            </w:r>
          </w:p>
        </w:tc>
        <w:tc>
          <w:tcPr>
            <w:tcW w:w="220" w:type="dxa"/>
            <w:vAlign w:val="bottom"/>
            <w:shd w:val="clear" w:color="auto" w:fill="E2E8F1"/>
          </w:tcPr>
          <w:p>
            <w:pPr>
              <w:spacing w:after="0"/>
              <w:rPr>
                <w:sz w:val="16"/>
                <w:szCs w:val="16"/>
                <w:color w:val="auto"/>
              </w:rPr>
            </w:pPr>
          </w:p>
        </w:tc>
        <w:tc>
          <w:tcPr>
            <w:tcW w:w="820" w:type="dxa"/>
            <w:vAlign w:val="bottom"/>
            <w:shd w:val="clear" w:color="auto" w:fill="E2E8F1"/>
          </w:tcPr>
          <w:p>
            <w:pPr>
              <w:spacing w:after="0"/>
              <w:rPr>
                <w:sz w:val="16"/>
                <w:szCs w:val="16"/>
                <w:color w:val="auto"/>
              </w:rPr>
            </w:pPr>
          </w:p>
        </w:tc>
        <w:tc>
          <w:tcPr>
            <w:tcW w:w="62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(41.4)</w:t>
            </w:r>
          </w:p>
        </w:tc>
        <w:tc>
          <w:tcPr>
            <w:tcW w:w="940" w:type="dxa"/>
            <w:vAlign w:val="bottom"/>
            <w:shd w:val="clear" w:color="auto" w:fill="E2E8F1"/>
          </w:tcPr>
          <w:p>
            <w:pPr>
              <w:spacing w:after="0"/>
              <w:rPr>
                <w:sz w:val="16"/>
                <w:szCs w:val="16"/>
                <w:color w:val="auto"/>
              </w:rPr>
            </w:pPr>
          </w:p>
        </w:tc>
        <w:tc>
          <w:tcPr>
            <w:tcW w:w="52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40.3</w:t>
            </w:r>
          </w:p>
        </w:tc>
      </w:tr>
      <w:tr>
        <w:trPr>
          <w:trHeight w:val="189"/>
        </w:trPr>
        <w:tc>
          <w:tcPr>
            <w:tcW w:w="8120" w:type="dxa"/>
            <w:vAlign w:val="bottom"/>
          </w:tcPr>
          <w:p>
            <w:pPr>
              <w:ind w:left="160"/>
              <w:spacing w:after="0"/>
              <w:rPr>
                <w:sz w:val="20"/>
                <w:szCs w:val="20"/>
                <w:color w:val="auto"/>
              </w:rPr>
            </w:pPr>
            <w:r>
              <w:rPr>
                <w:rFonts w:ascii="Arial" w:cs="Arial" w:eastAsia="Arial" w:hAnsi="Arial"/>
                <w:sz w:val="16"/>
                <w:szCs w:val="16"/>
                <w:color w:val="auto"/>
              </w:rPr>
              <w:t>Unrealized adjustment on interest rate swap</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(0.1)</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189"/>
        </w:trPr>
        <w:tc>
          <w:tcPr>
            <w:tcW w:w="8120" w:type="dxa"/>
            <w:vAlign w:val="bottom"/>
            <w:tcBorders>
              <w:bottom w:val="single" w:sz="8" w:color="auto"/>
            </w:tcBorders>
            <w:shd w:val="clear" w:color="auto" w:fill="E2E8F1"/>
          </w:tcPr>
          <w:p>
            <w:pPr>
              <w:ind w:left="160"/>
              <w:spacing w:after="0"/>
              <w:rPr>
                <w:sz w:val="20"/>
                <w:szCs w:val="20"/>
                <w:color w:val="auto"/>
              </w:rPr>
            </w:pPr>
            <w:r>
              <w:rPr>
                <w:rFonts w:ascii="Arial" w:cs="Arial" w:eastAsia="Arial" w:hAnsi="Arial"/>
                <w:sz w:val="16"/>
                <w:szCs w:val="16"/>
                <w:color w:val="auto"/>
              </w:rPr>
              <w:t>Defined benefit pension plans and retiree health care plan, net of income taxes of $1.7 and $(0.1), respectively</w:t>
            </w:r>
          </w:p>
        </w:tc>
        <w:tc>
          <w:tcPr>
            <w:tcW w:w="220" w:type="dxa"/>
            <w:vAlign w:val="bottom"/>
            <w:tcBorders>
              <w:bottom w:val="single" w:sz="8" w:color="auto"/>
            </w:tcBorders>
            <w:shd w:val="clear" w:color="auto" w:fill="E2E8F1"/>
          </w:tcPr>
          <w:p>
            <w:pPr>
              <w:spacing w:after="0"/>
              <w:rPr>
                <w:sz w:val="16"/>
                <w:szCs w:val="16"/>
                <w:color w:val="auto"/>
              </w:rPr>
            </w:pPr>
          </w:p>
        </w:tc>
        <w:tc>
          <w:tcPr>
            <w:tcW w:w="82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ind w:right="60"/>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shd w:val="clear" w:color="auto" w:fill="E2E8F1"/>
          </w:tcPr>
          <w:p>
            <w:pPr>
              <w:spacing w:after="0"/>
              <w:rPr>
                <w:sz w:val="16"/>
                <w:szCs w:val="16"/>
                <w:color w:val="auto"/>
              </w:rPr>
            </w:pPr>
          </w:p>
        </w:tc>
        <w:tc>
          <w:tcPr>
            <w:tcW w:w="5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(1.5)</w:t>
            </w:r>
          </w:p>
        </w:tc>
      </w:tr>
      <w:tr>
        <w:trPr>
          <w:trHeight w:val="183"/>
        </w:trPr>
        <w:tc>
          <w:tcPr>
            <w:tcW w:w="81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Total other comprehensive loss</w:t>
            </w:r>
          </w:p>
        </w:tc>
        <w:tc>
          <w:tcPr>
            <w:tcW w:w="1040" w:type="dxa"/>
            <w:vAlign w:val="bottom"/>
            <w:tcBorders>
              <w:bottom w:val="single" w:sz="8" w:color="auto"/>
            </w:tcBorders>
            <w:gridSpan w:val="2"/>
          </w:tcPr>
          <w:p>
            <w:pPr>
              <w:jc w:val="right"/>
              <w:ind w:right="667"/>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(4.1)</w:t>
            </w:r>
          </w:p>
        </w:tc>
        <w:tc>
          <w:tcPr>
            <w:tcW w:w="940" w:type="dxa"/>
            <w:vAlign w:val="bottom"/>
            <w:tcBorders>
              <w:bottom w:val="single" w:sz="8" w:color="auto"/>
            </w:tcBorders>
          </w:tcPr>
          <w:p>
            <w:pPr>
              <w:jc w:val="right"/>
              <w:ind w:right="641"/>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(29.5)</w:t>
            </w:r>
          </w:p>
        </w:tc>
      </w:tr>
      <w:tr>
        <w:trPr>
          <w:trHeight w:val="183"/>
        </w:trPr>
        <w:tc>
          <w:tcPr>
            <w:tcW w:w="812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auto"/>
            </w:tcBorders>
            <w:gridSpan w:val="2"/>
            <w:shd w:val="clear" w:color="auto" w:fill="E2E8F1"/>
          </w:tcPr>
          <w:p>
            <w:pPr>
              <w:jc w:val="right"/>
              <w:ind w:right="667"/>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1.5</w:t>
            </w:r>
          </w:p>
        </w:tc>
        <w:tc>
          <w:tcPr>
            <w:tcW w:w="940" w:type="dxa"/>
            <w:vAlign w:val="bottom"/>
            <w:tcBorders>
              <w:bottom w:val="single" w:sz="8" w:color="auto"/>
            </w:tcBorders>
            <w:shd w:val="clear" w:color="auto" w:fill="E2E8F1"/>
          </w:tcPr>
          <w:p>
            <w:pPr>
              <w:jc w:val="right"/>
              <w:ind w:right="641"/>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10.2</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Cash Flows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581"/>
        </w:trPr>
        <w:tc>
          <w:tcPr>
            <w:tcW w:w="8600" w:type="dxa"/>
            <w:vAlign w:val="bottom"/>
            <w:shd w:val="clear" w:color="auto" w:fill="98B0CF"/>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shd w:val="clear" w:color="auto" w:fill="98B0CF"/>
          </w:tcPr>
          <w:p>
            <w:pPr>
              <w:spacing w:after="0"/>
              <w:rPr>
                <w:sz w:val="24"/>
                <w:szCs w:val="24"/>
                <w:color w:val="auto"/>
              </w:rPr>
            </w:pPr>
          </w:p>
        </w:tc>
        <w:tc>
          <w:tcPr>
            <w:tcW w:w="1000" w:type="dxa"/>
            <w:vAlign w:val="bottom"/>
            <w:shd w:val="clear" w:color="auto" w:fill="98B0CF"/>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320" w:type="dxa"/>
            <w:vAlign w:val="bottom"/>
            <w:shd w:val="clear" w:color="auto" w:fill="98B0CF"/>
          </w:tcPr>
          <w:p>
            <w:pPr>
              <w:spacing w:after="0"/>
              <w:rPr>
                <w:sz w:val="24"/>
                <w:szCs w:val="24"/>
                <w:color w:val="auto"/>
              </w:rPr>
            </w:pPr>
          </w:p>
        </w:tc>
        <w:tc>
          <w:tcPr>
            <w:tcW w:w="980" w:type="dxa"/>
            <w:vAlign w:val="bottom"/>
            <w:shd w:val="clear" w:color="auto" w:fill="98B0CF"/>
          </w:tcPr>
          <w:p>
            <w:pPr>
              <w:jc w:val="right"/>
              <w:ind w:right="439"/>
              <w:spacing w:after="0"/>
              <w:rPr>
                <w:sz w:val="20"/>
                <w:szCs w:val="20"/>
                <w:color w:val="auto"/>
              </w:rPr>
            </w:pPr>
            <w:r>
              <w:rPr>
                <w:rFonts w:ascii="Arial" w:cs="Arial" w:eastAsia="Arial" w:hAnsi="Arial"/>
                <w:sz w:val="14"/>
                <w:szCs w:val="14"/>
                <w:b w:val="1"/>
                <w:bCs w:val="1"/>
                <w:color w:val="auto"/>
              </w:rPr>
              <w:t>2024</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Net earnings</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39.7</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21.6</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7.3</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7.5</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Provision for expected credit losses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7.6</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7.5</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245.1</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283.9</w:t>
            </w:r>
          </w:p>
        </w:tc>
      </w:tr>
      <w:tr>
        <w:trPr>
          <w:trHeight w:val="189"/>
        </w:trPr>
        <w:tc>
          <w:tcPr>
            <w:tcW w:w="86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(265.1)</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(69.7)</w:t>
            </w:r>
          </w:p>
        </w:tc>
      </w:tr>
      <w:tr>
        <w:trPr>
          <w:trHeight w:val="189"/>
        </w:trPr>
        <w:tc>
          <w:tcPr>
            <w:tcW w:w="86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provided by operating activities</w:t>
            </w:r>
          </w:p>
        </w:tc>
        <w:tc>
          <w:tcPr>
            <w:tcW w:w="3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(153.2)</w:t>
            </w:r>
          </w:p>
        </w:tc>
        <w:tc>
          <w:tcPr>
            <w:tcW w:w="3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116.0</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(1.0)</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r>
      <w:tr>
        <w:trPr>
          <w:trHeight w:val="182"/>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investing activities</w:t>
            </w:r>
          </w:p>
        </w:tc>
        <w:tc>
          <w:tcPr>
            <w:tcW w:w="3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(14.6)</w:t>
            </w:r>
          </w:p>
        </w:tc>
        <w:tc>
          <w:tcPr>
            <w:tcW w:w="3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(9.7)</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Net change in short-term borrowings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50.7</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Net proceeds from revolving debt facility</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26.0</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Payments of contingent consideration for acquisitions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Proceeds from share-based awards</w:t>
            </w:r>
          </w:p>
        </w:tc>
        <w:tc>
          <w:tcPr>
            <w:tcW w:w="3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0.4</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Other share-based award transactions</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19"/>
              <w:spacing w:after="0"/>
              <w:rPr>
                <w:sz w:val="20"/>
                <w:szCs w:val="20"/>
                <w:color w:val="auto"/>
              </w:rPr>
            </w:pPr>
            <w:r>
              <w:rPr>
                <w:rFonts w:ascii="Arial" w:cs="Arial" w:eastAsia="Arial" w:hAnsi="Arial"/>
                <w:sz w:val="16"/>
                <w:szCs w:val="16"/>
                <w:color w:val="auto"/>
              </w:rPr>
              <w:t>(5.9)</w:t>
            </w: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(10.3)</w:t>
            </w:r>
          </w:p>
        </w:tc>
      </w:tr>
      <w:tr>
        <w:trPr>
          <w:trHeight w:val="189"/>
        </w:trPr>
        <w:tc>
          <w:tcPr>
            <w:tcW w:w="8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Repurchases of common stock</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provided by (used in) financing activities</w:t>
            </w:r>
          </w:p>
        </w:tc>
        <w:tc>
          <w:tcPr>
            <w:tcW w:w="3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45.7</w:t>
            </w:r>
          </w:p>
        </w:tc>
        <w:tc>
          <w:tcPr>
            <w:tcW w:w="320" w:type="dxa"/>
            <w:vAlign w:val="bottom"/>
            <w:tcBorders>
              <w:bottom w:val="single" w:sz="8" w:color="auto"/>
            </w:tcBorders>
            <w:shd w:val="clear" w:color="auto" w:fill="E2E8F1"/>
          </w:tcPr>
          <w:p>
            <w:pPr>
              <w:spacing w:after="0"/>
              <w:rPr>
                <w:sz w:val="15"/>
                <w:szCs w:val="15"/>
                <w:color w:val="auto"/>
              </w:rPr>
            </w:pPr>
          </w:p>
        </w:tc>
        <w:tc>
          <w:tcPr>
            <w:tcW w:w="9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(57.5)</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7.7</w:t>
            </w:r>
          </w:p>
        </w:tc>
        <w:tc>
          <w:tcPr>
            <w:tcW w:w="3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(25.3)</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Change in cash and cash equivalents</w:t>
            </w:r>
          </w:p>
        </w:tc>
        <w:tc>
          <w:tcPr>
            <w:tcW w:w="340" w:type="dxa"/>
            <w:vAlign w:val="bottom"/>
          </w:tcPr>
          <w:p>
            <w:pPr>
              <w:spacing w:after="0"/>
              <w:rPr>
                <w:sz w:val="15"/>
                <w:szCs w:val="15"/>
                <w:color w:val="auto"/>
              </w:rPr>
            </w:pP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(114.4)</w:t>
            </w:r>
          </w:p>
        </w:tc>
        <w:tc>
          <w:tcPr>
            <w:tcW w:w="320" w:type="dxa"/>
            <w:vAlign w:val="bottom"/>
          </w:tcPr>
          <w:p>
            <w:pPr>
              <w:spacing w:after="0"/>
              <w:rPr>
                <w:sz w:val="15"/>
                <w:szCs w:val="15"/>
                <w:color w:val="auto"/>
              </w:rPr>
            </w:pPr>
          </w:p>
        </w:tc>
        <w:tc>
          <w:tcPr>
            <w:tcW w:w="9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23.5</w:t>
            </w:r>
          </w:p>
        </w:tc>
      </w:tr>
      <w:tr>
        <w:trPr>
          <w:trHeight w:val="189"/>
        </w:trPr>
        <w:tc>
          <w:tcPr>
            <w:tcW w:w="8600" w:type="dxa"/>
            <w:vAlign w:val="bottom"/>
            <w:shd w:val="clear" w:color="auto" w:fill="E2E8F1"/>
          </w:tcPr>
          <w:p>
            <w:pPr>
              <w:spacing w:after="0"/>
              <w:rPr>
                <w:sz w:val="16"/>
                <w:szCs w:val="16"/>
                <w:color w:val="auto"/>
              </w:rPr>
            </w:pP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509.4</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581.3</w:t>
            </w:r>
          </w:p>
        </w:tc>
      </w:tr>
      <w:tr>
        <w:trPr>
          <w:trHeight w:val="183"/>
        </w:trPr>
        <w:tc>
          <w:tcPr>
            <w:tcW w:w="860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395.0</w:t>
            </w:r>
          </w:p>
        </w:tc>
        <w:tc>
          <w:tcPr>
            <w:tcW w:w="32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604.8</w:t>
            </w:r>
          </w:p>
        </w:tc>
      </w:tr>
      <w:tr>
        <w:trPr>
          <w:trHeight w:val="183"/>
        </w:trPr>
        <w:tc>
          <w:tcPr>
            <w:tcW w:w="8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Cash paid during the period for: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16.1</w:t>
            </w:r>
          </w:p>
        </w:tc>
        <w:tc>
          <w:tcPr>
            <w:tcW w:w="320" w:type="dxa"/>
            <w:vAlign w:val="bottom"/>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14.4</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Income taxes paid, net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35.8</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32.1</w:t>
            </w:r>
          </w:p>
        </w:tc>
        <w:tc>
          <w:tcPr>
            <w:tcW w:w="32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30.5</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Non-cash operating activity:</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4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27.4</w:t>
            </w:r>
          </w:p>
        </w:tc>
        <w:tc>
          <w:tcPr>
            <w:tcW w:w="32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21.5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ManpowerGroup Inc.</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Shareholders' Equity (Unaudited)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50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2180" w:type="dxa"/>
            <w:vAlign w:val="bottom"/>
            <w:tcBorders>
              <w:bottom w:val="single" w:sz="8" w:color="auto"/>
            </w:tcBorders>
            <w:gridSpan w:val="4"/>
            <w:shd w:val="clear" w:color="auto" w:fill="98B0CF"/>
          </w:tcPr>
          <w:p>
            <w:pPr>
              <w:jc w:val="right"/>
              <w:spacing w:after="0"/>
              <w:rPr>
                <w:sz w:val="20"/>
                <w:szCs w:val="20"/>
                <w:color w:val="auto"/>
              </w:rPr>
            </w:pPr>
            <w:r>
              <w:rPr>
                <w:rFonts w:ascii="Arial" w:cs="Arial" w:eastAsia="Arial" w:hAnsi="Arial"/>
                <w:sz w:val="14"/>
                <w:szCs w:val="14"/>
                <w:b w:val="1"/>
                <w:bCs w:val="1"/>
                <w:color w:val="auto"/>
              </w:rPr>
              <w:t>ManpowerGroup Shareholders</w:t>
            </w:r>
          </w:p>
        </w:tc>
        <w:tc>
          <w:tcPr>
            <w:tcW w:w="1220" w:type="dxa"/>
            <w:vAlign w:val="bottom"/>
            <w:tcBorders>
              <w:bottom w:val="single" w:sz="8" w:color="auto"/>
            </w:tcBorders>
            <w:shd w:val="clear" w:color="auto" w:fill="98B0CF"/>
          </w:tcPr>
          <w:p>
            <w:pPr>
              <w:spacing w:after="0"/>
              <w:rPr>
                <w:sz w:val="14"/>
                <w:szCs w:val="14"/>
                <w:color w:val="auto"/>
              </w:rPr>
            </w:pP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98B0CF"/>
            </w:tcBorders>
            <w:shd w:val="clear" w:color="auto" w:fill="98B0CF"/>
          </w:tcPr>
          <w:p>
            <w:pPr>
              <w:spacing w:after="0"/>
              <w:rPr>
                <w:sz w:val="14"/>
                <w:szCs w:val="14"/>
                <w:color w:val="auto"/>
              </w:rPr>
            </w:pPr>
          </w:p>
        </w:tc>
        <w:tc>
          <w:tcPr>
            <w:tcW w:w="620" w:type="dxa"/>
            <w:vAlign w:val="bottom"/>
            <w:tcBorders>
              <w:bottom w:val="single" w:sz="8" w:color="98B0CF"/>
            </w:tcBorders>
            <w:shd w:val="clear" w:color="auto" w:fill="98B0CF"/>
          </w:tcPr>
          <w:p>
            <w:pPr>
              <w:spacing w:after="0"/>
              <w:rPr>
                <w:sz w:val="14"/>
                <w:szCs w:val="14"/>
                <w:color w:val="auto"/>
              </w:rPr>
            </w:pPr>
          </w:p>
        </w:tc>
        <w:tc>
          <w:tcPr>
            <w:tcW w:w="94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720" w:type="dxa"/>
            <w:vAlign w:val="bottom"/>
            <w:tcBorders>
              <w:bottom w:val="single" w:sz="8" w:color="auto"/>
            </w:tcBorders>
            <w:gridSpan w:val="3"/>
            <w:shd w:val="clear" w:color="auto" w:fill="98B0CF"/>
          </w:tcPr>
          <w:p>
            <w:pPr>
              <w:ind w:left="280"/>
              <w:spacing w:after="0" w:line="15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40" w:type="dxa"/>
            <w:vAlign w:val="bottom"/>
            <w:tcBorders>
              <w:bottom w:val="single" w:sz="8" w:color="98B0CF"/>
            </w:tcBorders>
            <w:shd w:val="clear" w:color="auto" w:fill="98B0CF"/>
          </w:tcPr>
          <w:p>
            <w:pPr>
              <w:spacing w:after="0"/>
              <w:rPr>
                <w:sz w:val="13"/>
                <w:szCs w:val="13"/>
                <w:color w:val="auto"/>
              </w:rPr>
            </w:pPr>
          </w:p>
        </w:tc>
        <w:tc>
          <w:tcPr>
            <w:tcW w:w="280" w:type="dxa"/>
            <w:vAlign w:val="bottom"/>
            <w:tcBorders>
              <w:bottom w:val="single" w:sz="8" w:color="98B0CF"/>
            </w:tcBorders>
            <w:shd w:val="clear" w:color="auto" w:fill="98B0CF"/>
          </w:tcPr>
          <w:p>
            <w:pPr>
              <w:spacing w:after="0"/>
              <w:rPr>
                <w:sz w:val="13"/>
                <w:szCs w:val="13"/>
                <w:color w:val="auto"/>
              </w:rPr>
            </w:pPr>
          </w:p>
        </w:tc>
        <w:tc>
          <w:tcPr>
            <w:tcW w:w="1220" w:type="dxa"/>
            <w:vAlign w:val="bottom"/>
            <w:tcBorders>
              <w:bottom w:val="single" w:sz="8" w:color="98B0CF"/>
            </w:tcBorders>
            <w:vMerge w:val="restart"/>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bottom w:val="single" w:sz="8" w:color="98B0CF"/>
            </w:tcBorders>
            <w:shd w:val="clear" w:color="auto" w:fill="98B0CF"/>
          </w:tcPr>
          <w:p>
            <w:pPr>
              <w:spacing w:after="0"/>
              <w:rPr>
                <w:sz w:val="13"/>
                <w:szCs w:val="13"/>
                <w:color w:val="auto"/>
              </w:rPr>
            </w:pPr>
          </w:p>
        </w:tc>
        <w:tc>
          <w:tcPr>
            <w:tcW w:w="64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620" w:type="dxa"/>
            <w:vAlign w:val="bottom"/>
            <w:tcBorders>
              <w:bottom w:val="single" w:sz="8" w:color="98B0CF"/>
            </w:tcBorders>
            <w:vMerge w:val="restart"/>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Non-</w:t>
            </w:r>
          </w:p>
        </w:tc>
        <w:tc>
          <w:tcPr>
            <w:tcW w:w="94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0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4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20" w:type="dxa"/>
            <w:vAlign w:val="bottom"/>
            <w:vMerge w:val="continue"/>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620" w:type="dxa"/>
            <w:vAlign w:val="bottom"/>
            <w:vMerge w:val="continue"/>
            <w:shd w:val="clear" w:color="auto" w:fill="98B0CF"/>
          </w:tcPr>
          <w:p>
            <w:pPr>
              <w:spacing w:after="0"/>
              <w:rPr>
                <w:sz w:val="12"/>
                <w:szCs w:val="12"/>
                <w:color w:val="auto"/>
              </w:rPr>
            </w:pPr>
          </w:p>
        </w:tc>
        <w:tc>
          <w:tcPr>
            <w:tcW w:w="94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98B0CF"/>
          </w:tcPr>
          <w:p>
            <w:pPr>
              <w:spacing w:after="0"/>
              <w:rPr>
                <w:sz w:val="14"/>
                <w:szCs w:val="14"/>
                <w:color w:val="auto"/>
              </w:rPr>
            </w:pPr>
          </w:p>
        </w:tc>
        <w:tc>
          <w:tcPr>
            <w:tcW w:w="640" w:type="dxa"/>
            <w:vAlign w:val="bottom"/>
            <w:shd w:val="clear" w:color="auto" w:fill="98B0CF"/>
          </w:tcPr>
          <w:p>
            <w:pPr>
              <w:spacing w:after="0"/>
              <w:rPr>
                <w:sz w:val="14"/>
                <w:szCs w:val="14"/>
                <w:color w:val="auto"/>
              </w:rPr>
            </w:pPr>
          </w:p>
        </w:tc>
        <w:tc>
          <w:tcPr>
            <w:tcW w:w="860" w:type="dxa"/>
            <w:vAlign w:val="bottom"/>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Controlli</w:t>
            </w:r>
          </w:p>
        </w:tc>
        <w:tc>
          <w:tcPr>
            <w:tcW w:w="94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jc w:val="center"/>
              <w:ind w:right="162"/>
              <w:spacing w:after="0"/>
              <w:rPr>
                <w:sz w:val="20"/>
                <w:szCs w:val="20"/>
                <w:color w:val="auto"/>
              </w:rPr>
            </w:pPr>
            <w:r>
              <w:rPr>
                <w:rFonts w:ascii="Arial" w:cs="Arial" w:eastAsia="Arial" w:hAnsi="Arial"/>
                <w:sz w:val="14"/>
                <w:szCs w:val="14"/>
                <w:b w:val="1"/>
                <w:bCs w:val="1"/>
                <w:color w:val="auto"/>
                <w:w w:val="97"/>
              </w:rPr>
              <w:t>Par</w:t>
            </w:r>
          </w:p>
        </w:tc>
        <w:tc>
          <w:tcPr>
            <w:tcW w:w="1080" w:type="dxa"/>
            <w:vAlign w:val="bottom"/>
            <w:gridSpan w:val="2"/>
            <w:shd w:val="clear" w:color="auto" w:fill="98B0CF"/>
          </w:tcPr>
          <w:p>
            <w:pPr>
              <w:ind w:left="180"/>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40" w:type="dxa"/>
            <w:vAlign w:val="bottom"/>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40" w:type="dxa"/>
            <w:vAlign w:val="bottom"/>
            <w:shd w:val="clear" w:color="auto" w:fill="98B0CF"/>
          </w:tcPr>
          <w:p>
            <w:pPr>
              <w:spacing w:after="0"/>
              <w:rPr>
                <w:sz w:val="14"/>
                <w:szCs w:val="14"/>
                <w:color w:val="auto"/>
              </w:rPr>
            </w:pPr>
          </w:p>
        </w:tc>
        <w:tc>
          <w:tcPr>
            <w:tcW w:w="620" w:type="dxa"/>
            <w:vAlign w:val="bottom"/>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ng</w:t>
            </w:r>
          </w:p>
        </w:tc>
        <w:tc>
          <w:tcPr>
            <w:tcW w:w="94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72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Borders>
              <w:bottom w:val="single" w:sz="8" w:color="auto"/>
            </w:tcBorders>
            <w:gridSpan w:val="2"/>
            <w:shd w:val="clear" w:color="auto" w:fill="98B0CF"/>
          </w:tcPr>
          <w:p>
            <w:pPr>
              <w:ind w:left="20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40" w:type="dxa"/>
            <w:vAlign w:val="bottom"/>
            <w:tcBorders>
              <w:bottom w:val="single" w:sz="8" w:color="auto"/>
            </w:tcBorders>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Borders>
              <w:bottom w:val="single" w:sz="8" w:color="auto"/>
            </w:tcBorders>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Interests</w:t>
            </w:r>
          </w:p>
        </w:tc>
        <w:tc>
          <w:tcPr>
            <w:tcW w:w="94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18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2024</w:t>
            </w:r>
          </w:p>
        </w:tc>
        <w:tc>
          <w:tcPr>
            <w:tcW w:w="100" w:type="dxa"/>
            <w:vAlign w:val="bottom"/>
            <w:shd w:val="clear" w:color="auto" w:fill="E2E8F1"/>
          </w:tcPr>
          <w:p>
            <w:pPr>
              <w:spacing w:after="0"/>
              <w:rPr>
                <w:sz w:val="14"/>
                <w:szCs w:val="14"/>
                <w:color w:val="auto"/>
              </w:rPr>
            </w:pPr>
          </w:p>
        </w:tc>
        <w:tc>
          <w:tcPr>
            <w:tcW w:w="100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118,853,6</w:t>
            </w:r>
          </w:p>
        </w:tc>
        <w:tc>
          <w:tcPr>
            <w:tcW w:w="22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22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4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(4,791.</w:t>
            </w:r>
          </w:p>
        </w:tc>
        <w:tc>
          <w:tcPr>
            <w:tcW w:w="24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20</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1.2</w:t>
            </w:r>
          </w:p>
        </w:tc>
        <w:tc>
          <w:tcPr>
            <w:tcW w:w="200" w:type="dxa"/>
            <w:vAlign w:val="bottom"/>
            <w:shd w:val="clear" w:color="auto" w:fill="E2E8F1"/>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3,546.1</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3,812.3</w:t>
            </w:r>
          </w:p>
        </w:tc>
        <w:tc>
          <w:tcPr>
            <w:tcW w:w="28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(443.0)</w:t>
            </w:r>
          </w:p>
        </w:tc>
        <w:tc>
          <w:tcPr>
            <w:tcW w:w="2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E2E8F1"/>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1.7</w:t>
            </w: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$ 2,126.9</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(4.1)</w:t>
            </w: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tcPr>
          <w:p>
            <w:pPr>
              <w:jc w:val="right"/>
              <w:ind w:right="46"/>
              <w:spacing w:after="0"/>
              <w:rPr>
                <w:sz w:val="20"/>
                <w:szCs w:val="20"/>
                <w:color w:val="auto"/>
              </w:rPr>
            </w:pPr>
            <w:r>
              <w:rPr>
                <w:rFonts w:ascii="Arial" w:cs="Arial" w:eastAsia="Arial" w:hAnsi="Arial"/>
                <w:sz w:val="16"/>
                <w:szCs w:val="16"/>
                <w:color w:val="auto"/>
              </w:rPr>
              <w:t>288,938</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spacing w:after="0"/>
              <w:rPr>
                <w:sz w:val="16"/>
                <w:szCs w:val="16"/>
                <w:color w:val="auto"/>
              </w:rPr>
            </w:pPr>
          </w:p>
        </w:tc>
        <w:tc>
          <w:tcPr>
            <w:tcW w:w="28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ind w:right="43"/>
              <w:spacing w:after="0"/>
              <w:rPr>
                <w:sz w:val="20"/>
                <w:szCs w:val="20"/>
                <w:color w:val="auto"/>
              </w:rPr>
            </w:pPr>
            <w:r>
              <w:rPr>
                <w:rFonts w:ascii="Arial" w:cs="Arial" w:eastAsia="Arial" w:hAnsi="Arial"/>
                <w:sz w:val="16"/>
                <w:szCs w:val="16"/>
                <w:color w:val="auto"/>
              </w:rPr>
              <w:t>0.4</w:t>
            </w:r>
          </w:p>
        </w:tc>
        <w:tc>
          <w:tcPr>
            <w:tcW w:w="94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2025</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119,142,5</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(4,822.</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3,552.8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3,817.9</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(447.1)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2,104.9</w:t>
            </w: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0" w:type="dxa"/>
            <w:vAlign w:val="bottom"/>
            <w:gridSpan w:val="6"/>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500" w:type="dxa"/>
            <w:vAlign w:val="bottom"/>
            <w:tcBorders>
              <w:bottom w:val="single" w:sz="8" w:color="auto"/>
            </w:tcBorders>
            <w:shd w:val="clear" w:color="auto" w:fill="98B0CF"/>
          </w:tcPr>
          <w:p>
            <w:pPr>
              <w:spacing w:after="0"/>
              <w:rPr>
                <w:sz w:val="14"/>
                <w:szCs w:val="14"/>
                <w:color w:val="auto"/>
              </w:rPr>
            </w:pPr>
          </w:p>
        </w:tc>
        <w:tc>
          <w:tcPr>
            <w:tcW w:w="3600" w:type="dxa"/>
            <w:vAlign w:val="bottom"/>
            <w:tcBorders>
              <w:bottom w:val="single" w:sz="8" w:color="auto"/>
            </w:tcBorders>
            <w:gridSpan w:val="6"/>
            <w:shd w:val="clear" w:color="auto" w:fill="98B0CF"/>
          </w:tcPr>
          <w:p>
            <w:pPr>
              <w:ind w:left="180"/>
              <w:spacing w:after="0" w:line="162" w:lineRule="exact"/>
              <w:rPr>
                <w:sz w:val="20"/>
                <w:szCs w:val="20"/>
                <w:color w:val="auto"/>
              </w:rPr>
            </w:pPr>
            <w:r>
              <w:rPr>
                <w:rFonts w:ascii="Arial" w:cs="Arial" w:eastAsia="Arial" w:hAnsi="Arial"/>
                <w:sz w:val="15"/>
                <w:szCs w:val="15"/>
                <w:b w:val="1"/>
                <w:bCs w:val="1"/>
                <w:color w:val="auto"/>
              </w:rPr>
              <w:t>ManpowerGroup Shareholders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98B0CF"/>
            </w:tcBorders>
            <w:shd w:val="clear" w:color="auto" w:fill="98B0CF"/>
          </w:tcPr>
          <w:p>
            <w:pPr>
              <w:spacing w:after="0"/>
              <w:rPr>
                <w:sz w:val="14"/>
                <w:szCs w:val="14"/>
                <w:color w:val="auto"/>
              </w:rPr>
            </w:pPr>
          </w:p>
        </w:tc>
        <w:tc>
          <w:tcPr>
            <w:tcW w:w="620" w:type="dxa"/>
            <w:vAlign w:val="bottom"/>
            <w:tcBorders>
              <w:bottom w:val="single" w:sz="8" w:color="98B0CF"/>
            </w:tcBorders>
            <w:shd w:val="clear" w:color="auto" w:fill="98B0CF"/>
          </w:tcPr>
          <w:p>
            <w:pPr>
              <w:spacing w:after="0"/>
              <w:rPr>
                <w:sz w:val="14"/>
                <w:szCs w:val="14"/>
                <w:color w:val="auto"/>
              </w:rPr>
            </w:pPr>
          </w:p>
        </w:tc>
        <w:tc>
          <w:tcPr>
            <w:tcW w:w="94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720" w:type="dxa"/>
            <w:vAlign w:val="bottom"/>
            <w:tcBorders>
              <w:bottom w:val="single" w:sz="8" w:color="auto"/>
            </w:tcBorders>
            <w:gridSpan w:val="3"/>
            <w:shd w:val="clear" w:color="auto" w:fill="98B0CF"/>
          </w:tcPr>
          <w:p>
            <w:pPr>
              <w:ind w:left="280"/>
              <w:spacing w:after="0" w:line="155" w:lineRule="exact"/>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98B0CF"/>
            </w:tcBorders>
            <w:shd w:val="clear" w:color="auto" w:fill="98B0CF"/>
          </w:tcPr>
          <w:p>
            <w:pPr>
              <w:spacing w:after="0"/>
              <w:rPr>
                <w:sz w:val="13"/>
                <w:szCs w:val="13"/>
                <w:color w:val="auto"/>
              </w:rPr>
            </w:pPr>
          </w:p>
        </w:tc>
        <w:tc>
          <w:tcPr>
            <w:tcW w:w="8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40" w:type="dxa"/>
            <w:vAlign w:val="bottom"/>
            <w:tcBorders>
              <w:bottom w:val="single" w:sz="8" w:color="98B0CF"/>
            </w:tcBorders>
            <w:shd w:val="clear" w:color="auto" w:fill="98B0CF"/>
          </w:tcPr>
          <w:p>
            <w:pPr>
              <w:spacing w:after="0"/>
              <w:rPr>
                <w:sz w:val="13"/>
                <w:szCs w:val="13"/>
                <w:color w:val="auto"/>
              </w:rPr>
            </w:pPr>
          </w:p>
        </w:tc>
        <w:tc>
          <w:tcPr>
            <w:tcW w:w="280" w:type="dxa"/>
            <w:vAlign w:val="bottom"/>
            <w:tcBorders>
              <w:bottom w:val="single" w:sz="8" w:color="98B0CF"/>
            </w:tcBorders>
            <w:shd w:val="clear" w:color="auto" w:fill="98B0CF"/>
          </w:tcPr>
          <w:p>
            <w:pPr>
              <w:spacing w:after="0"/>
              <w:rPr>
                <w:sz w:val="13"/>
                <w:szCs w:val="13"/>
                <w:color w:val="auto"/>
              </w:rPr>
            </w:pPr>
          </w:p>
        </w:tc>
        <w:tc>
          <w:tcPr>
            <w:tcW w:w="1220" w:type="dxa"/>
            <w:vAlign w:val="bottom"/>
            <w:tcBorders>
              <w:bottom w:val="single" w:sz="8" w:color="98B0CF"/>
            </w:tcBorders>
            <w:vMerge w:val="restart"/>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bottom w:val="single" w:sz="8" w:color="98B0CF"/>
            </w:tcBorders>
            <w:shd w:val="clear" w:color="auto" w:fill="98B0CF"/>
          </w:tcPr>
          <w:p>
            <w:pPr>
              <w:spacing w:after="0"/>
              <w:rPr>
                <w:sz w:val="13"/>
                <w:szCs w:val="13"/>
                <w:color w:val="auto"/>
              </w:rPr>
            </w:pPr>
          </w:p>
        </w:tc>
        <w:tc>
          <w:tcPr>
            <w:tcW w:w="640" w:type="dxa"/>
            <w:vAlign w:val="bottom"/>
            <w:tcBorders>
              <w:bottom w:val="single" w:sz="8" w:color="98B0CF"/>
            </w:tcBorders>
            <w:shd w:val="clear" w:color="auto" w:fill="98B0CF"/>
          </w:tcPr>
          <w:p>
            <w:pPr>
              <w:spacing w:after="0"/>
              <w:rPr>
                <w:sz w:val="13"/>
                <w:szCs w:val="13"/>
                <w:color w:val="auto"/>
              </w:rPr>
            </w:pPr>
          </w:p>
        </w:tc>
        <w:tc>
          <w:tcPr>
            <w:tcW w:w="240" w:type="dxa"/>
            <w:vAlign w:val="bottom"/>
            <w:tcBorders>
              <w:bottom w:val="single" w:sz="8" w:color="98B0CF"/>
            </w:tcBorders>
            <w:shd w:val="clear" w:color="auto" w:fill="98B0CF"/>
          </w:tcPr>
          <w:p>
            <w:pPr>
              <w:spacing w:after="0"/>
              <w:rPr>
                <w:sz w:val="13"/>
                <w:szCs w:val="13"/>
                <w:color w:val="auto"/>
              </w:rPr>
            </w:pPr>
          </w:p>
        </w:tc>
        <w:tc>
          <w:tcPr>
            <w:tcW w:w="620" w:type="dxa"/>
            <w:vAlign w:val="bottom"/>
            <w:tcBorders>
              <w:bottom w:val="single" w:sz="8" w:color="98B0CF"/>
            </w:tcBorders>
            <w:vMerge w:val="restart"/>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Non-</w:t>
            </w:r>
          </w:p>
        </w:tc>
        <w:tc>
          <w:tcPr>
            <w:tcW w:w="94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500" w:type="dxa"/>
            <w:vAlign w:val="bottom"/>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88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4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220" w:type="dxa"/>
            <w:vAlign w:val="bottom"/>
            <w:vMerge w:val="continue"/>
            <w:shd w:val="clear" w:color="auto" w:fill="98B0CF"/>
          </w:tcPr>
          <w:p>
            <w:pPr>
              <w:spacing w:after="0"/>
              <w:rPr>
                <w:sz w:val="12"/>
                <w:szCs w:val="12"/>
                <w:color w:val="auto"/>
              </w:rPr>
            </w:pPr>
          </w:p>
        </w:tc>
        <w:tc>
          <w:tcPr>
            <w:tcW w:w="200" w:type="dxa"/>
            <w:vAlign w:val="bottom"/>
            <w:shd w:val="clear" w:color="auto" w:fill="98B0CF"/>
          </w:tcPr>
          <w:p>
            <w:pPr>
              <w:spacing w:after="0"/>
              <w:rPr>
                <w:sz w:val="12"/>
                <w:szCs w:val="12"/>
                <w:color w:val="auto"/>
              </w:rPr>
            </w:pPr>
          </w:p>
        </w:tc>
        <w:tc>
          <w:tcPr>
            <w:tcW w:w="6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620" w:type="dxa"/>
            <w:vAlign w:val="bottom"/>
            <w:vMerge w:val="continue"/>
            <w:shd w:val="clear" w:color="auto" w:fill="98B0CF"/>
          </w:tcPr>
          <w:p>
            <w:pPr>
              <w:spacing w:after="0"/>
              <w:rPr>
                <w:sz w:val="12"/>
                <w:szCs w:val="12"/>
                <w:color w:val="auto"/>
              </w:rPr>
            </w:pPr>
          </w:p>
        </w:tc>
        <w:tc>
          <w:tcPr>
            <w:tcW w:w="94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88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220" w:type="dxa"/>
            <w:vAlign w:val="bottom"/>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98B0CF"/>
          </w:tcPr>
          <w:p>
            <w:pPr>
              <w:spacing w:after="0"/>
              <w:rPr>
                <w:sz w:val="14"/>
                <w:szCs w:val="14"/>
                <w:color w:val="auto"/>
              </w:rPr>
            </w:pPr>
          </w:p>
        </w:tc>
        <w:tc>
          <w:tcPr>
            <w:tcW w:w="640" w:type="dxa"/>
            <w:vAlign w:val="bottom"/>
            <w:shd w:val="clear" w:color="auto" w:fill="98B0CF"/>
          </w:tcPr>
          <w:p>
            <w:pPr>
              <w:spacing w:after="0"/>
              <w:rPr>
                <w:sz w:val="14"/>
                <w:szCs w:val="14"/>
                <w:color w:val="auto"/>
              </w:rPr>
            </w:pPr>
          </w:p>
        </w:tc>
        <w:tc>
          <w:tcPr>
            <w:tcW w:w="860" w:type="dxa"/>
            <w:vAlign w:val="bottom"/>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Controlli</w:t>
            </w:r>
          </w:p>
        </w:tc>
        <w:tc>
          <w:tcPr>
            <w:tcW w:w="94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00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shd w:val="clear" w:color="auto" w:fill="98B0CF"/>
          </w:tcPr>
          <w:p>
            <w:pPr>
              <w:spacing w:after="0"/>
              <w:rPr>
                <w:sz w:val="14"/>
                <w:szCs w:val="14"/>
                <w:color w:val="auto"/>
              </w:rPr>
            </w:pPr>
          </w:p>
        </w:tc>
        <w:tc>
          <w:tcPr>
            <w:tcW w:w="500" w:type="dxa"/>
            <w:vAlign w:val="bottom"/>
            <w:shd w:val="clear" w:color="auto" w:fill="98B0CF"/>
          </w:tcPr>
          <w:p>
            <w:pPr>
              <w:jc w:val="center"/>
              <w:ind w:right="162"/>
              <w:spacing w:after="0"/>
              <w:rPr>
                <w:sz w:val="20"/>
                <w:szCs w:val="20"/>
                <w:color w:val="auto"/>
              </w:rPr>
            </w:pPr>
            <w:r>
              <w:rPr>
                <w:rFonts w:ascii="Arial" w:cs="Arial" w:eastAsia="Arial" w:hAnsi="Arial"/>
                <w:sz w:val="14"/>
                <w:szCs w:val="14"/>
                <w:b w:val="1"/>
                <w:bCs w:val="1"/>
                <w:color w:val="auto"/>
                <w:w w:val="97"/>
              </w:rPr>
              <w:t>Par</w:t>
            </w:r>
          </w:p>
        </w:tc>
        <w:tc>
          <w:tcPr>
            <w:tcW w:w="1080" w:type="dxa"/>
            <w:vAlign w:val="bottom"/>
            <w:gridSpan w:val="2"/>
            <w:shd w:val="clear" w:color="auto" w:fill="98B0CF"/>
          </w:tcPr>
          <w:p>
            <w:pPr>
              <w:ind w:left="180"/>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40" w:type="dxa"/>
            <w:vAlign w:val="bottom"/>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40" w:type="dxa"/>
            <w:vAlign w:val="bottom"/>
            <w:shd w:val="clear" w:color="auto" w:fill="98B0CF"/>
          </w:tcPr>
          <w:p>
            <w:pPr>
              <w:spacing w:after="0"/>
              <w:rPr>
                <w:sz w:val="14"/>
                <w:szCs w:val="14"/>
                <w:color w:val="auto"/>
              </w:rPr>
            </w:pPr>
          </w:p>
        </w:tc>
        <w:tc>
          <w:tcPr>
            <w:tcW w:w="620" w:type="dxa"/>
            <w:vAlign w:val="bottom"/>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ng</w:t>
            </w:r>
          </w:p>
        </w:tc>
        <w:tc>
          <w:tcPr>
            <w:tcW w:w="94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72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Borders>
              <w:bottom w:val="single" w:sz="8" w:color="auto"/>
            </w:tcBorders>
            <w:gridSpan w:val="2"/>
            <w:shd w:val="clear" w:color="auto" w:fill="98B0CF"/>
          </w:tcPr>
          <w:p>
            <w:pPr>
              <w:ind w:left="20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40" w:type="dxa"/>
            <w:vAlign w:val="bottom"/>
            <w:tcBorders>
              <w:bottom w:val="single" w:sz="8" w:color="auto"/>
            </w:tcBorders>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Earnings</w:t>
            </w:r>
          </w:p>
        </w:tc>
        <w:tc>
          <w:tcPr>
            <w:tcW w:w="28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Borders>
              <w:bottom w:val="single" w:sz="8" w:color="auto"/>
            </w:tcBorders>
            <w:shd w:val="clear" w:color="auto" w:fill="98B0CF"/>
          </w:tcPr>
          <w:p>
            <w:pPr>
              <w:spacing w:after="0"/>
              <w:rPr>
                <w:sz w:val="14"/>
                <w:szCs w:val="14"/>
                <w:color w:val="auto"/>
              </w:rPr>
            </w:pPr>
          </w:p>
        </w:tc>
        <w:tc>
          <w:tcPr>
            <w:tcW w:w="64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Borders>
              <w:bottom w:val="single" w:sz="8" w:color="auto"/>
            </w:tcBorders>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Interests</w:t>
            </w:r>
          </w:p>
        </w:tc>
        <w:tc>
          <w:tcPr>
            <w:tcW w:w="94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18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2023</w:t>
            </w:r>
          </w:p>
        </w:tc>
        <w:tc>
          <w:tcPr>
            <w:tcW w:w="100" w:type="dxa"/>
            <w:vAlign w:val="bottom"/>
            <w:shd w:val="clear" w:color="auto" w:fill="E2E8F1"/>
          </w:tcPr>
          <w:p>
            <w:pPr>
              <w:spacing w:after="0"/>
              <w:rPr>
                <w:sz w:val="14"/>
                <w:szCs w:val="14"/>
                <w:color w:val="auto"/>
              </w:rPr>
            </w:pPr>
          </w:p>
        </w:tc>
        <w:tc>
          <w:tcPr>
            <w:tcW w:w="100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118,387,6</w:t>
            </w:r>
          </w:p>
        </w:tc>
        <w:tc>
          <w:tcPr>
            <w:tcW w:w="22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88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22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4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(4,639.</w:t>
            </w:r>
          </w:p>
        </w:tc>
        <w:tc>
          <w:tcPr>
            <w:tcW w:w="24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41</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1.2</w:t>
            </w:r>
          </w:p>
        </w:tc>
        <w:tc>
          <w:tcPr>
            <w:tcW w:w="200" w:type="dxa"/>
            <w:vAlign w:val="bottom"/>
            <w:shd w:val="clear" w:color="auto" w:fill="E2E8F1"/>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3,514.9</w:t>
            </w:r>
          </w:p>
        </w:tc>
        <w:tc>
          <w:tcPr>
            <w:tcW w:w="1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3,813.0</w:t>
            </w:r>
          </w:p>
        </w:tc>
        <w:tc>
          <w:tcPr>
            <w:tcW w:w="280" w:type="dxa"/>
            <w:vAlign w:val="bottom"/>
            <w:shd w:val="clear" w:color="auto" w:fill="E2E8F1"/>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(466.0)</w:t>
            </w:r>
          </w:p>
        </w:tc>
        <w:tc>
          <w:tcPr>
            <w:tcW w:w="2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E2E8F1"/>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10.8</w:t>
            </w: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$ 2,234.1</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39.7</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2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(29.5)</w:t>
            </w: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100" w:type="dxa"/>
            <w:vAlign w:val="bottom"/>
            <w:gridSpan w:val="2"/>
          </w:tcPr>
          <w:p>
            <w:pPr>
              <w:jc w:val="right"/>
              <w:ind w:right="46"/>
              <w:spacing w:after="0"/>
              <w:rPr>
                <w:sz w:val="20"/>
                <w:szCs w:val="20"/>
                <w:color w:val="auto"/>
              </w:rPr>
            </w:pPr>
            <w:r>
              <w:rPr>
                <w:rFonts w:ascii="Arial" w:cs="Arial" w:eastAsia="Arial" w:hAnsi="Arial"/>
                <w:sz w:val="16"/>
                <w:szCs w:val="16"/>
                <w:color w:val="auto"/>
              </w:rPr>
              <w:t>420,210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9"/>
        </w:trPr>
        <w:tc>
          <w:tcPr>
            <w:tcW w:w="318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50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7.5</w:t>
            </w:r>
          </w:p>
        </w:tc>
        <w:tc>
          <w:tcPr>
            <w:tcW w:w="180" w:type="dxa"/>
            <w:vAlign w:val="bottom"/>
            <w:shd w:val="clear" w:color="auto" w:fill="E2E8F1"/>
          </w:tcPr>
          <w:p>
            <w:pPr>
              <w:spacing w:after="0"/>
              <w:rPr>
                <w:sz w:val="16"/>
                <w:szCs w:val="16"/>
                <w:color w:val="auto"/>
              </w:rPr>
            </w:pPr>
          </w:p>
        </w:tc>
        <w:tc>
          <w:tcPr>
            <w:tcW w:w="84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122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6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62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5"/>
        </w:trPr>
        <w:tc>
          <w:tcPr>
            <w:tcW w:w="318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 including</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Arial" w:cs="Arial" w:eastAsia="Arial" w:hAnsi="Arial"/>
                <w:sz w:val="16"/>
                <w:szCs w:val="16"/>
                <w:color w:val="auto"/>
              </w:rPr>
              <w:t>excise tax</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0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50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88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shd w:val="clear" w:color="auto" w:fill="E2E8F1"/>
          </w:tcPr>
          <w:p>
            <w:pPr>
              <w:spacing w:after="0"/>
              <w:rPr>
                <w:sz w:val="16"/>
                <w:szCs w:val="16"/>
                <w:color w:val="auto"/>
              </w:rPr>
            </w:pPr>
          </w:p>
        </w:tc>
        <w:tc>
          <w:tcPr>
            <w:tcW w:w="840" w:type="dxa"/>
            <w:vAlign w:val="bottom"/>
            <w:tcBorders>
              <w:bottom w:val="single" w:sz="8" w:color="auto"/>
            </w:tcBorders>
            <w:shd w:val="clear" w:color="auto" w:fill="E2E8F1"/>
          </w:tcPr>
          <w:p>
            <w:pPr>
              <w:spacing w:after="0"/>
              <w:rPr>
                <w:sz w:val="16"/>
                <w:szCs w:val="16"/>
                <w:color w:val="auto"/>
              </w:rPr>
            </w:pPr>
          </w:p>
        </w:tc>
        <w:tc>
          <w:tcPr>
            <w:tcW w:w="280" w:type="dxa"/>
            <w:vAlign w:val="bottom"/>
            <w:tcBorders>
              <w:bottom w:val="single" w:sz="8" w:color="auto"/>
            </w:tcBorders>
            <w:shd w:val="clear" w:color="auto" w:fill="E2E8F1"/>
          </w:tcPr>
          <w:p>
            <w:pPr>
              <w:spacing w:after="0"/>
              <w:rPr>
                <w:sz w:val="16"/>
                <w:szCs w:val="16"/>
                <w:color w:val="auto"/>
              </w:rPr>
            </w:pPr>
          </w:p>
        </w:tc>
        <w:tc>
          <w:tcPr>
            <w:tcW w:w="1220" w:type="dxa"/>
            <w:vAlign w:val="bottom"/>
            <w:tcBorders>
              <w:bottom w:val="single" w:sz="8" w:color="auto"/>
            </w:tcBorders>
            <w:shd w:val="clear" w:color="auto" w:fill="E2E8F1"/>
          </w:tcPr>
          <w:p>
            <w:pPr>
              <w:spacing w:after="0"/>
              <w:rPr>
                <w:sz w:val="16"/>
                <w:szCs w:val="16"/>
                <w:color w:val="auto"/>
              </w:rPr>
            </w:pPr>
          </w:p>
        </w:tc>
        <w:tc>
          <w:tcPr>
            <w:tcW w:w="20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620" w:type="dxa"/>
            <w:vAlign w:val="bottom"/>
            <w:tcBorders>
              <w:bottom w:val="single" w:sz="8" w:color="auto"/>
            </w:tcBorders>
            <w:shd w:val="clear" w:color="auto" w:fill="E2E8F1"/>
          </w:tcPr>
          <w:p>
            <w:pPr>
              <w:jc w:val="right"/>
              <w:ind w:right="43"/>
              <w:spacing w:after="0"/>
              <w:rPr>
                <w:sz w:val="20"/>
                <w:szCs w:val="20"/>
                <w:color w:val="auto"/>
              </w:rPr>
            </w:pPr>
            <w:r>
              <w:rPr>
                <w:rFonts w:ascii="Arial" w:cs="Arial" w:eastAsia="Arial" w:hAnsi="Arial"/>
                <w:sz w:val="16"/>
                <w:szCs w:val="16"/>
                <w:color w:val="auto"/>
              </w:rPr>
              <w:t>0.2</w:t>
            </w: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2024</w:t>
            </w:r>
          </w:p>
        </w:tc>
        <w:tc>
          <w:tcPr>
            <w:tcW w:w="110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118,807,8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(4,700.</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3,518.7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3,852.7</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(495.5)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11.0</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$ 2,187.7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-3933825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-3822700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-1876425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-1765300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right="2200"/>
        <w:spacing w:after="0" w:line="253" w:lineRule="auto"/>
        <w:rPr>
          <w:sz w:val="20"/>
          <w:szCs w:val="20"/>
          <w:color w:val="auto"/>
        </w:rPr>
      </w:pPr>
      <w:r>
        <w:rPr>
          <w:rFonts w:ascii="Arial" w:cs="Arial" w:eastAsia="Arial" w:hAnsi="Arial"/>
          <w:sz w:val="43"/>
          <w:szCs w:val="43"/>
          <w:b w:val="1"/>
          <w:bCs w:val="1"/>
          <w:color w:val="5B89B4"/>
        </w:rPr>
        <w:t>Notes to Consolidated Financial Statements (Unaudited)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For the three months ended March 31, 2025 and 2024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2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Basis of Presentation and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Basis of Presentation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2024 Annual Report on Form 10-K.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Allowance for Expected Credit Losses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bad debt expense and the write-off of accounts receivable balances.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expected credit losses is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80" w:type="dxa"/>
            <w:vAlign w:val="bottom"/>
            <w:tcBorders>
              <w:top w:val="single" w:sz="8" w:color="auto"/>
            </w:tcBorders>
            <w:shd w:val="clear" w:color="auto" w:fill="98B0CF"/>
          </w:tcPr>
          <w:p>
            <w:pPr>
              <w:spacing w:after="0"/>
              <w:rPr>
                <w:sz w:val="14"/>
                <w:szCs w:val="14"/>
                <w:color w:val="auto"/>
              </w:rPr>
            </w:pPr>
          </w:p>
        </w:tc>
        <w:tc>
          <w:tcPr>
            <w:tcW w:w="3280" w:type="dxa"/>
            <w:vAlign w:val="bottom"/>
            <w:tcBorders>
              <w:top w:val="single" w:sz="8" w:color="auto"/>
            </w:tcBorders>
            <w:shd w:val="clear" w:color="auto" w:fill="98B0CF"/>
          </w:tcPr>
          <w:p>
            <w:pPr>
              <w:spacing w:after="0"/>
              <w:rPr>
                <w:sz w:val="14"/>
                <w:szCs w:val="14"/>
                <w:color w:val="auto"/>
              </w:rPr>
            </w:pPr>
          </w:p>
        </w:tc>
        <w:tc>
          <w:tcPr>
            <w:tcW w:w="3080" w:type="dxa"/>
            <w:vAlign w:val="bottom"/>
            <w:tcBorders>
              <w:top w:val="single" w:sz="8" w:color="auto"/>
            </w:tcBorders>
            <w:shd w:val="clear" w:color="auto" w:fill="98B0CF"/>
          </w:tcPr>
          <w:p>
            <w:pPr>
              <w:jc w:val="right"/>
              <w:ind w:right="1102"/>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880" w:type="dxa"/>
            <w:vAlign w:val="bottom"/>
            <w:tcBorders>
              <w:bottom w:val="single" w:sz="8" w:color="auto"/>
            </w:tcBorders>
            <w:shd w:val="clear" w:color="auto" w:fill="98B0CF"/>
          </w:tcPr>
          <w:p>
            <w:pPr>
              <w:spacing w:after="0"/>
              <w:rPr>
                <w:sz w:val="14"/>
                <w:szCs w:val="14"/>
                <w:color w:val="auto"/>
              </w:rPr>
            </w:pPr>
          </w:p>
        </w:tc>
        <w:tc>
          <w:tcPr>
            <w:tcW w:w="3280" w:type="dxa"/>
            <w:vAlign w:val="bottom"/>
            <w:tcBorders>
              <w:bottom w:val="single" w:sz="8" w:color="auto"/>
            </w:tcBorders>
            <w:shd w:val="clear" w:color="auto" w:fill="98B0CF"/>
          </w:tcPr>
          <w:p>
            <w:pPr>
              <w:spacing w:after="0"/>
              <w:rPr>
                <w:sz w:val="14"/>
                <w:szCs w:val="14"/>
                <w:color w:val="auto"/>
              </w:rPr>
            </w:pPr>
          </w:p>
        </w:tc>
        <w:tc>
          <w:tcPr>
            <w:tcW w:w="3080" w:type="dxa"/>
            <w:vAlign w:val="bottom"/>
            <w:tcBorders>
              <w:bottom w:val="single" w:sz="8" w:color="auto"/>
            </w:tcBorders>
            <w:shd w:val="clear" w:color="auto" w:fill="98B0CF"/>
          </w:tcPr>
          <w:p>
            <w:pPr>
              <w:jc w:val="right"/>
              <w:ind w:right="1282"/>
              <w:spacing w:after="0"/>
              <w:rPr>
                <w:sz w:val="20"/>
                <w:szCs w:val="20"/>
                <w:color w:val="auto"/>
              </w:rPr>
            </w:pPr>
            <w:r>
              <w:rPr>
                <w:rFonts w:ascii="Arial" w:cs="Arial" w:eastAsia="Arial" w:hAnsi="Arial"/>
                <w:sz w:val="14"/>
                <w:szCs w:val="14"/>
                <w:b w:val="1"/>
                <w:bCs w:val="1"/>
                <w:color w:val="auto"/>
              </w:rPr>
              <w:t>March 31, 2025</w:t>
            </w:r>
          </w:p>
        </w:tc>
      </w:tr>
      <w:tr>
        <w:trPr>
          <w:trHeight w:val="183"/>
        </w:trPr>
        <w:tc>
          <w:tcPr>
            <w:tcW w:w="48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December 31, 2024</w:t>
            </w:r>
          </w:p>
        </w:tc>
        <w:tc>
          <w:tcPr>
            <w:tcW w:w="3280" w:type="dxa"/>
            <w:vAlign w:val="bottom"/>
            <w:shd w:val="clear" w:color="auto" w:fill="E2E8F1"/>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308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67.6</w:t>
            </w:r>
          </w:p>
        </w:tc>
      </w:tr>
      <w:tr>
        <w:trPr>
          <w:trHeight w:val="189"/>
        </w:trPr>
        <w:tc>
          <w:tcPr>
            <w:tcW w:w="4880" w:type="dxa"/>
            <w:vAlign w:val="bottom"/>
          </w:tcPr>
          <w:p>
            <w:pPr>
              <w:ind w:left="80"/>
              <w:spacing w:after="0"/>
              <w:rPr>
                <w:sz w:val="20"/>
                <w:szCs w:val="20"/>
                <w:color w:val="auto"/>
              </w:rPr>
            </w:pPr>
            <w:r>
              <w:rPr>
                <w:rFonts w:ascii="Arial" w:cs="Arial" w:eastAsia="Arial" w:hAnsi="Arial"/>
                <w:sz w:val="16"/>
                <w:szCs w:val="16"/>
                <w:color w:val="auto"/>
              </w:rPr>
              <w:t>Bad debt expense</w:t>
            </w:r>
          </w:p>
        </w:tc>
        <w:tc>
          <w:tcPr>
            <w:tcW w:w="3280" w:type="dxa"/>
            <w:vAlign w:val="bottom"/>
          </w:tcPr>
          <w:p>
            <w:pPr>
              <w:spacing w:after="0"/>
              <w:rPr>
                <w:sz w:val="16"/>
                <w:szCs w:val="16"/>
                <w:color w:val="auto"/>
              </w:rPr>
            </w:pPr>
          </w:p>
        </w:tc>
        <w:tc>
          <w:tcPr>
            <w:tcW w:w="3080" w:type="dxa"/>
            <w:vAlign w:val="bottom"/>
          </w:tcPr>
          <w:p>
            <w:pPr>
              <w:jc w:val="right"/>
              <w:ind w:right="22"/>
              <w:spacing w:after="0"/>
              <w:rPr>
                <w:sz w:val="20"/>
                <w:szCs w:val="20"/>
                <w:color w:val="auto"/>
              </w:rPr>
            </w:pPr>
            <w:r>
              <w:rPr>
                <w:rFonts w:ascii="Arial" w:cs="Arial" w:eastAsia="Arial" w:hAnsi="Arial"/>
                <w:sz w:val="16"/>
                <w:szCs w:val="16"/>
                <w:color w:val="auto"/>
              </w:rPr>
              <w:t>1.5</w:t>
            </w:r>
          </w:p>
        </w:tc>
      </w:tr>
      <w:tr>
        <w:trPr>
          <w:trHeight w:val="189"/>
        </w:trPr>
        <w:tc>
          <w:tcPr>
            <w:tcW w:w="4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Write-offs</w:t>
            </w:r>
          </w:p>
        </w:tc>
        <w:tc>
          <w:tcPr>
            <w:tcW w:w="3280" w:type="dxa"/>
            <w:vAlign w:val="bottom"/>
            <w:shd w:val="clear" w:color="auto" w:fill="E2E8F1"/>
          </w:tcPr>
          <w:p>
            <w:pPr>
              <w:spacing w:after="0"/>
              <w:rPr>
                <w:sz w:val="16"/>
                <w:szCs w:val="16"/>
                <w:color w:val="auto"/>
              </w:rPr>
            </w:pPr>
          </w:p>
        </w:tc>
        <w:tc>
          <w:tcPr>
            <w:tcW w:w="30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(0.9)</w:t>
            </w:r>
          </w:p>
        </w:tc>
      </w:tr>
      <w:tr>
        <w:trPr>
          <w:trHeight w:val="189"/>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Currency impact and other</w:t>
            </w:r>
          </w:p>
        </w:tc>
        <w:tc>
          <w:tcPr>
            <w:tcW w:w="3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w:t>
            </w:r>
          </w:p>
        </w:tc>
      </w:tr>
      <w:tr>
        <w:trPr>
          <w:trHeight w:val="183"/>
        </w:trPr>
        <w:tc>
          <w:tcPr>
            <w:tcW w:w="488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March 31, 2025</w:t>
            </w:r>
          </w:p>
        </w:tc>
        <w:tc>
          <w:tcPr>
            <w:tcW w:w="3280" w:type="dxa"/>
            <w:vAlign w:val="bottom"/>
            <w:tcBorders>
              <w:bottom w:val="single" w:sz="8" w:color="auto"/>
            </w:tcBorders>
            <w:shd w:val="clear" w:color="auto" w:fill="E2E8F1"/>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3080" w:type="dxa"/>
            <w:vAlign w:val="bottom"/>
            <w:tcBorders>
              <w:bottom w:val="single" w:sz="8" w:color="auto"/>
            </w:tcBorders>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71.3</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Leases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We determine whether a contract is or contains a lease at contract inception. We recognize right-of-use (“ROU”) assets and lease liabilities on the balance sheet for leases with contract terms longer than 12 months. We classify the lease as a finance or operating lease which affects the recognition, measurement, and presentation of lease expenses and cash flows. Our Consolidated Balance Sheets now present ROU assets, short-term lease liability and long-term lease liability as separate line items.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Goodwill Impairment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terminal value multiple.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 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Management closely monitors the results of the reporting units and comparisons to the key assumptions used in our fair value estimate at the time of our annual impairment test, in addition to operational initiatives and macroeconomic conditions, which may impact the results of the reporting units. </w:t>
      </w:r>
      <w:r>
        <w:rPr>
          <w:rFonts w:ascii="Arial" w:cs="Arial" w:eastAsia="Arial" w:hAnsi="Arial"/>
          <w:sz w:val="18"/>
          <w:szCs w:val="18"/>
          <w:color w:val="231F20"/>
        </w:rPr>
        <w:t>During the first quarter of 2025, in connection with the preparation of our financial statements, we assessed the changes in</w:t>
      </w:r>
      <w:r>
        <w:rPr>
          <w:rFonts w:ascii="Arial" w:cs="Arial" w:eastAsia="Arial" w:hAnsi="Arial"/>
          <w:sz w:val="18"/>
          <w:szCs w:val="18"/>
          <w:color w:val="auto"/>
        </w:rPr>
        <w:t xml:space="preserve"> </w:t>
      </w:r>
      <w:r>
        <w:rPr>
          <w:rFonts w:ascii="Arial" w:cs="Arial" w:eastAsia="Arial" w:hAnsi="Arial"/>
          <w:sz w:val="18"/>
          <w:szCs w:val="18"/>
          <w:color w:val="231F20"/>
        </w:rPr>
        <w:t>circumstances that occurred during the quarter to determine if it was more likely than not that the fair value of any reporting unit or indefinite-lived intangible asset were below its carrying amount. While we continued to see challenging market conditions in North America and Europe, which led to lower l</w:t>
      </w:r>
      <w:r>
        <w:rPr>
          <w:rFonts w:ascii="Arial" w:cs="Arial" w:eastAsia="Arial" w:hAnsi="Arial"/>
          <w:sz w:val="18"/>
          <w:szCs w:val="18"/>
          <w:color w:val="000000"/>
        </w:rPr>
        <w:t>evels of revenue and OUP in certain of our reporting units than we had forecasted during our 2024 annual</w:t>
      </w:r>
      <w:r>
        <w:rPr>
          <w:rFonts w:ascii="Arial" w:cs="Arial" w:eastAsia="Arial" w:hAnsi="Arial"/>
          <w:sz w:val="18"/>
          <w:szCs w:val="18"/>
          <w:color w:val="231F20"/>
        </w:rPr>
        <w:t xml:space="preserve"> </w:t>
      </w:r>
      <w:r>
        <w:rPr>
          <w:rFonts w:ascii="Arial" w:cs="Arial" w:eastAsia="Arial" w:hAnsi="Arial"/>
          <w:sz w:val="18"/>
          <w:szCs w:val="18"/>
          <w:color w:val="000000"/>
        </w:rPr>
        <w:t>impairment testing, we concluded based on our analysis performed, that there was no triggering event and the fair value of the reporting units continued to exceed the carrying value.</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There could be significant further decreases in the operating results of our reporting units for a sustained period, which may result in a recognition of goodwill impairment that could be material to the Consolidated Financial Statements.</w:t>
      </w:r>
    </w:p>
    <w:p>
      <w:pPr>
        <w:spacing w:after="0" w:line="200" w:lineRule="exact"/>
        <w:rPr>
          <w:sz w:val="20"/>
          <w:szCs w:val="20"/>
          <w:color w:val="auto"/>
        </w:rPr>
      </w:pPr>
    </w:p>
    <w:p>
      <w:pPr>
        <w:spacing w:after="0" w:line="27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Recent Accounting Standards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early adoption is permitted. We are currently assessing the impact of the adoption of this guidance on our financial statement disclosures.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Revenue Recognition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2025, related to remaining performance obligations, which are not material.</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$35.9 as of March 31, 2025 and $30.3 as of December 31, 2024.</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2024 Annual Report on Form 10-K for descriptions of revenue service types.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80" w:type="dxa"/>
            <w:vAlign w:val="bottom"/>
            <w:tcBorders>
              <w:top w:val="single" w:sz="8" w:color="auto"/>
              <w:bottom w:val="single" w:sz="8" w:color="98B0CF"/>
            </w:tcBorders>
            <w:shd w:val="clear" w:color="auto" w:fill="98B0CF"/>
          </w:tcPr>
          <w:p>
            <w:pPr>
              <w:spacing w:after="0"/>
              <w:rPr>
                <w:sz w:val="13"/>
                <w:szCs w:val="13"/>
                <w:color w:val="auto"/>
              </w:rPr>
            </w:pPr>
          </w:p>
        </w:tc>
        <w:tc>
          <w:tcPr>
            <w:tcW w:w="80" w:type="dxa"/>
            <w:vAlign w:val="bottom"/>
            <w:tcBorders>
              <w:top w:val="single" w:sz="8" w:color="auto"/>
              <w:bottom w:val="single" w:sz="8" w:color="auto"/>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spacing w:after="0"/>
              <w:rPr>
                <w:sz w:val="13"/>
                <w:szCs w:val="13"/>
                <w:color w:val="auto"/>
              </w:rPr>
            </w:pPr>
          </w:p>
        </w:tc>
        <w:tc>
          <w:tcPr>
            <w:tcW w:w="180" w:type="dxa"/>
            <w:vAlign w:val="bottom"/>
            <w:tcBorders>
              <w:top w:val="single" w:sz="8" w:color="auto"/>
              <w:bottom w:val="single" w:sz="8" w:color="auto"/>
            </w:tcBorders>
            <w:shd w:val="clear" w:color="auto" w:fill="98B0CF"/>
          </w:tcPr>
          <w:p>
            <w:pPr>
              <w:spacing w:after="0"/>
              <w:rPr>
                <w:sz w:val="13"/>
                <w:szCs w:val="13"/>
                <w:color w:val="auto"/>
              </w:rPr>
            </w:pPr>
          </w:p>
        </w:tc>
        <w:tc>
          <w:tcPr>
            <w:tcW w:w="880" w:type="dxa"/>
            <w:vAlign w:val="bottom"/>
            <w:tcBorders>
              <w:top w:val="single" w:sz="8" w:color="auto"/>
              <w:bottom w:val="single" w:sz="8" w:color="auto"/>
            </w:tcBorders>
            <w:shd w:val="clear" w:color="auto" w:fill="98B0CF"/>
          </w:tcPr>
          <w:p>
            <w:pPr>
              <w:spacing w:after="0"/>
              <w:rPr>
                <w:sz w:val="13"/>
                <w:szCs w:val="13"/>
                <w:color w:val="auto"/>
              </w:rPr>
            </w:pP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1960" w:type="dxa"/>
            <w:vAlign w:val="bottom"/>
            <w:tcBorders>
              <w:top w:val="single" w:sz="8" w:color="auto"/>
              <w:bottom w:val="single" w:sz="8" w:color="auto"/>
            </w:tcBorders>
            <w:gridSpan w:val="5"/>
            <w:shd w:val="clear" w:color="auto" w:fill="98B0CF"/>
          </w:tcPr>
          <w:p>
            <w:pPr>
              <w:jc w:val="right"/>
              <w:spacing w:after="0"/>
              <w:rPr>
                <w:sz w:val="20"/>
                <w:szCs w:val="20"/>
                <w:color w:val="auto"/>
              </w:rPr>
            </w:pPr>
            <w:r>
              <w:rPr>
                <w:rFonts w:ascii="Arial" w:cs="Arial" w:eastAsia="Arial" w:hAnsi="Arial"/>
                <w:sz w:val="13"/>
                <w:szCs w:val="13"/>
                <w:b w:val="1"/>
                <w:bCs w:val="1"/>
                <w:color w:val="auto"/>
                <w:w w:val="98"/>
              </w:rPr>
              <w:t>Three Months Ended March 31,</w:t>
            </w:r>
          </w:p>
        </w:tc>
        <w:tc>
          <w:tcPr>
            <w:tcW w:w="120" w:type="dxa"/>
            <w:vAlign w:val="bottom"/>
            <w:tcBorders>
              <w:top w:val="single" w:sz="8" w:color="auto"/>
              <w:bottom w:val="single" w:sz="8" w:color="auto"/>
            </w:tcBorders>
            <w:shd w:val="clear" w:color="auto" w:fill="98B0CF"/>
          </w:tcPr>
          <w:p>
            <w:pPr>
              <w:spacing w:after="0"/>
              <w:rPr>
                <w:sz w:val="13"/>
                <w:szCs w:val="13"/>
                <w:color w:val="auto"/>
              </w:rPr>
            </w:pPr>
          </w:p>
        </w:tc>
        <w:tc>
          <w:tcPr>
            <w:tcW w:w="800" w:type="dxa"/>
            <w:vAlign w:val="bottom"/>
            <w:tcBorders>
              <w:top w:val="single" w:sz="8" w:color="auto"/>
              <w:bottom w:val="single" w:sz="8" w:color="auto"/>
            </w:tcBorders>
            <w:shd w:val="clear" w:color="auto" w:fill="98B0CF"/>
          </w:tcPr>
          <w:p>
            <w:pPr>
              <w:spacing w:after="0"/>
              <w:rPr>
                <w:sz w:val="13"/>
                <w:szCs w:val="13"/>
                <w:color w:val="auto"/>
              </w:rPr>
            </w:pPr>
          </w:p>
        </w:tc>
        <w:tc>
          <w:tcPr>
            <w:tcW w:w="180" w:type="dxa"/>
            <w:vAlign w:val="bottom"/>
            <w:tcBorders>
              <w:top w:val="single" w:sz="8" w:color="auto"/>
              <w:bottom w:val="single" w:sz="8" w:color="auto"/>
            </w:tcBorders>
            <w:shd w:val="clear" w:color="auto" w:fill="98B0CF"/>
          </w:tcPr>
          <w:p>
            <w:pPr>
              <w:spacing w:after="0"/>
              <w:rPr>
                <w:sz w:val="13"/>
                <w:szCs w:val="13"/>
                <w:color w:val="auto"/>
              </w:rPr>
            </w:pPr>
          </w:p>
        </w:tc>
        <w:tc>
          <w:tcPr>
            <w:tcW w:w="860" w:type="dxa"/>
            <w:vAlign w:val="bottom"/>
            <w:tcBorders>
              <w:top w:val="single" w:sz="8" w:color="auto"/>
              <w:bottom w:val="single" w:sz="8" w:color="auto"/>
            </w:tcBorders>
            <w:shd w:val="clear" w:color="auto" w:fill="98B0CF"/>
          </w:tcPr>
          <w:p>
            <w:pPr>
              <w:spacing w:after="0"/>
              <w:rPr>
                <w:sz w:val="13"/>
                <w:szCs w:val="13"/>
                <w:color w:val="auto"/>
              </w:rPr>
            </w:pPr>
          </w:p>
        </w:tc>
        <w:tc>
          <w:tcPr>
            <w:tcW w:w="200" w:type="dxa"/>
            <w:vAlign w:val="bottom"/>
            <w:tcBorders>
              <w:top w:val="single" w:sz="8" w:color="auto"/>
              <w:bottom w:val="single" w:sz="8" w:color="auto"/>
            </w:tcBorders>
            <w:shd w:val="clear" w:color="auto" w:fill="98B0CF"/>
          </w:tcPr>
          <w:p>
            <w:pPr>
              <w:spacing w:after="0"/>
              <w:rPr>
                <w:sz w:val="13"/>
                <w:szCs w:val="13"/>
                <w:color w:val="auto"/>
              </w:rPr>
            </w:pPr>
          </w:p>
        </w:tc>
        <w:tc>
          <w:tcPr>
            <w:tcW w:w="580" w:type="dxa"/>
            <w:vAlign w:val="bottom"/>
            <w:tcBorders>
              <w:top w:val="single" w:sz="8" w:color="auto"/>
              <w:bottom w:val="single" w:sz="8" w:color="auto"/>
            </w:tcBorders>
            <w:shd w:val="clear" w:color="auto" w:fill="98B0CF"/>
          </w:tcPr>
          <w:p>
            <w:pPr>
              <w:spacing w:after="0"/>
              <w:rPr>
                <w:sz w:val="13"/>
                <w:szCs w:val="13"/>
                <w:color w:val="auto"/>
              </w:rPr>
            </w:pP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760" w:type="dxa"/>
            <w:vAlign w:val="bottom"/>
            <w:tcBorders>
              <w:top w:val="single" w:sz="8" w:color="auto"/>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98B0CF"/>
            </w:tcBorders>
            <w:shd w:val="clear" w:color="auto" w:fill="98B0CF"/>
          </w:tcPr>
          <w:p>
            <w:pPr>
              <w:spacing w:after="0"/>
              <w:rPr>
                <w:sz w:val="19"/>
                <w:szCs w:val="19"/>
                <w:color w:val="auto"/>
              </w:rPr>
            </w:pPr>
          </w:p>
        </w:tc>
        <w:tc>
          <w:tcPr>
            <w:tcW w:w="80" w:type="dxa"/>
            <w:vAlign w:val="bottom"/>
            <w:tcBorders>
              <w:bottom w:val="single" w:sz="8" w:color="auto"/>
            </w:tcBorders>
            <w:shd w:val="clear" w:color="auto" w:fill="98B0CF"/>
          </w:tcPr>
          <w:p>
            <w:pPr>
              <w:spacing w:after="0"/>
              <w:rPr>
                <w:sz w:val="19"/>
                <w:szCs w:val="19"/>
                <w:color w:val="auto"/>
              </w:rPr>
            </w:pPr>
          </w:p>
        </w:tc>
        <w:tc>
          <w:tcPr>
            <w:tcW w:w="580" w:type="dxa"/>
            <w:vAlign w:val="bottom"/>
            <w:tcBorders>
              <w:bottom w:val="single" w:sz="8" w:color="auto"/>
            </w:tcBorders>
            <w:shd w:val="clear" w:color="auto" w:fill="98B0CF"/>
          </w:tcPr>
          <w:p>
            <w:pPr>
              <w:spacing w:after="0"/>
              <w:rPr>
                <w:sz w:val="19"/>
                <w:szCs w:val="19"/>
                <w:color w:val="auto"/>
              </w:rPr>
            </w:pPr>
          </w:p>
        </w:tc>
        <w:tc>
          <w:tcPr>
            <w:tcW w:w="280" w:type="dxa"/>
            <w:vAlign w:val="bottom"/>
            <w:tcBorders>
              <w:bottom w:val="single" w:sz="8" w:color="auto"/>
            </w:tcBorders>
            <w:shd w:val="clear" w:color="auto" w:fill="98B0CF"/>
          </w:tcPr>
          <w:p>
            <w:pPr>
              <w:spacing w:after="0"/>
              <w:rPr>
                <w:sz w:val="19"/>
                <w:szCs w:val="19"/>
                <w:color w:val="auto"/>
              </w:rPr>
            </w:pPr>
          </w:p>
        </w:tc>
        <w:tc>
          <w:tcPr>
            <w:tcW w:w="780" w:type="dxa"/>
            <w:vAlign w:val="bottom"/>
            <w:tcBorders>
              <w:bottom w:val="single" w:sz="8" w:color="auto"/>
            </w:tcBorders>
            <w:shd w:val="clear" w:color="auto" w:fill="98B0CF"/>
          </w:tcPr>
          <w:p>
            <w:pPr>
              <w:spacing w:after="0"/>
              <w:rPr>
                <w:sz w:val="19"/>
                <w:szCs w:val="19"/>
                <w:color w:val="auto"/>
              </w:rPr>
            </w:pPr>
          </w:p>
        </w:tc>
        <w:tc>
          <w:tcPr>
            <w:tcW w:w="180" w:type="dxa"/>
            <w:vAlign w:val="bottom"/>
            <w:tcBorders>
              <w:bottom w:val="single" w:sz="8" w:color="auto"/>
            </w:tcBorders>
            <w:shd w:val="clear" w:color="auto" w:fill="98B0CF"/>
          </w:tcPr>
          <w:p>
            <w:pPr>
              <w:spacing w:after="0"/>
              <w:rPr>
                <w:sz w:val="19"/>
                <w:szCs w:val="19"/>
                <w:color w:val="auto"/>
              </w:rPr>
            </w:pPr>
          </w:p>
        </w:tc>
        <w:tc>
          <w:tcPr>
            <w:tcW w:w="880" w:type="dxa"/>
            <w:vAlign w:val="bottom"/>
            <w:tcBorders>
              <w:bottom w:val="single" w:sz="8" w:color="auto"/>
            </w:tcBorders>
            <w:shd w:val="clear" w:color="auto" w:fill="98B0CF"/>
          </w:tcPr>
          <w:p>
            <w:pPr>
              <w:jc w:val="center"/>
              <w:ind w:right="133"/>
              <w:spacing w:after="0"/>
              <w:rPr>
                <w:sz w:val="20"/>
                <w:szCs w:val="20"/>
                <w:color w:val="auto"/>
              </w:rPr>
            </w:pPr>
            <w:r>
              <w:rPr>
                <w:rFonts w:ascii="Arial" w:cs="Arial" w:eastAsia="Arial" w:hAnsi="Arial"/>
                <w:sz w:val="13"/>
                <w:szCs w:val="13"/>
                <w:b w:val="1"/>
                <w:bCs w:val="1"/>
                <w:color w:val="auto"/>
                <w:w w:val="96"/>
              </w:rPr>
              <w:t>2025</w:t>
            </w:r>
          </w:p>
        </w:tc>
        <w:tc>
          <w:tcPr>
            <w:tcW w:w="260" w:type="dxa"/>
            <w:vAlign w:val="bottom"/>
            <w:tcBorders>
              <w:bottom w:val="single" w:sz="8" w:color="auto"/>
            </w:tcBorders>
            <w:shd w:val="clear" w:color="auto" w:fill="98B0CF"/>
          </w:tcPr>
          <w:p>
            <w:pPr>
              <w:spacing w:after="0"/>
              <w:rPr>
                <w:sz w:val="19"/>
                <w:szCs w:val="19"/>
                <w:color w:val="auto"/>
              </w:rPr>
            </w:pPr>
          </w:p>
        </w:tc>
        <w:tc>
          <w:tcPr>
            <w:tcW w:w="580" w:type="dxa"/>
            <w:vAlign w:val="bottom"/>
            <w:tcBorders>
              <w:bottom w:val="single" w:sz="8" w:color="auto"/>
            </w:tcBorders>
            <w:shd w:val="clear" w:color="auto" w:fill="98B0CF"/>
          </w:tcPr>
          <w:p>
            <w:pPr>
              <w:spacing w:after="0"/>
              <w:rPr>
                <w:sz w:val="19"/>
                <w:szCs w:val="19"/>
                <w:color w:val="auto"/>
              </w:rPr>
            </w:pPr>
          </w:p>
        </w:tc>
        <w:tc>
          <w:tcPr>
            <w:tcW w:w="300" w:type="dxa"/>
            <w:vAlign w:val="bottom"/>
            <w:tcBorders>
              <w:bottom w:val="single" w:sz="8" w:color="auto"/>
            </w:tcBorders>
            <w:shd w:val="clear" w:color="auto" w:fill="98B0CF"/>
          </w:tcPr>
          <w:p>
            <w:pPr>
              <w:spacing w:after="0"/>
              <w:rPr>
                <w:sz w:val="19"/>
                <w:szCs w:val="19"/>
                <w:color w:val="auto"/>
              </w:rPr>
            </w:pPr>
          </w:p>
        </w:tc>
        <w:tc>
          <w:tcPr>
            <w:tcW w:w="680" w:type="dxa"/>
            <w:vAlign w:val="bottom"/>
            <w:tcBorders>
              <w:bottom w:val="single" w:sz="8" w:color="auto"/>
            </w:tcBorders>
            <w:shd w:val="clear" w:color="auto" w:fill="98B0CF"/>
          </w:tcPr>
          <w:p>
            <w:pPr>
              <w:spacing w:after="0"/>
              <w:rPr>
                <w:sz w:val="19"/>
                <w:szCs w:val="19"/>
                <w:color w:val="auto"/>
              </w:rPr>
            </w:pPr>
          </w:p>
        </w:tc>
        <w:tc>
          <w:tcPr>
            <w:tcW w:w="100" w:type="dxa"/>
            <w:vAlign w:val="bottom"/>
            <w:tcBorders>
              <w:bottom w:val="single" w:sz="8" w:color="98B0CF"/>
            </w:tcBorders>
            <w:shd w:val="clear" w:color="auto" w:fill="98B0CF"/>
          </w:tcPr>
          <w:p>
            <w:pPr>
              <w:spacing w:after="0"/>
              <w:rPr>
                <w:sz w:val="19"/>
                <w:szCs w:val="19"/>
                <w:color w:val="auto"/>
              </w:rPr>
            </w:pPr>
          </w:p>
        </w:tc>
        <w:tc>
          <w:tcPr>
            <w:tcW w:w="100" w:type="dxa"/>
            <w:vAlign w:val="bottom"/>
            <w:tcBorders>
              <w:bottom w:val="single" w:sz="8" w:color="auto"/>
            </w:tcBorders>
            <w:shd w:val="clear" w:color="auto" w:fill="98B0CF"/>
          </w:tcPr>
          <w:p>
            <w:pPr>
              <w:spacing w:after="0"/>
              <w:rPr>
                <w:sz w:val="19"/>
                <w:szCs w:val="19"/>
                <w:color w:val="auto"/>
              </w:rPr>
            </w:pPr>
          </w:p>
        </w:tc>
        <w:tc>
          <w:tcPr>
            <w:tcW w:w="780" w:type="dxa"/>
            <w:vAlign w:val="bottom"/>
            <w:tcBorders>
              <w:bottom w:val="single" w:sz="8" w:color="auto"/>
            </w:tcBorders>
            <w:shd w:val="clear" w:color="auto" w:fill="98B0CF"/>
          </w:tcPr>
          <w:p>
            <w:pPr>
              <w:spacing w:after="0"/>
              <w:rPr>
                <w:sz w:val="19"/>
                <w:szCs w:val="19"/>
                <w:color w:val="auto"/>
              </w:rPr>
            </w:pPr>
          </w:p>
        </w:tc>
        <w:tc>
          <w:tcPr>
            <w:tcW w:w="120" w:type="dxa"/>
            <w:vAlign w:val="bottom"/>
            <w:tcBorders>
              <w:bottom w:val="single" w:sz="8" w:color="auto"/>
            </w:tcBorders>
            <w:shd w:val="clear" w:color="auto" w:fill="98B0CF"/>
          </w:tcPr>
          <w:p>
            <w:pPr>
              <w:spacing w:after="0"/>
              <w:rPr>
                <w:sz w:val="19"/>
                <w:szCs w:val="19"/>
                <w:color w:val="auto"/>
              </w:rPr>
            </w:pPr>
          </w:p>
        </w:tc>
        <w:tc>
          <w:tcPr>
            <w:tcW w:w="800" w:type="dxa"/>
            <w:vAlign w:val="bottom"/>
            <w:tcBorders>
              <w:bottom w:val="single" w:sz="8" w:color="auto"/>
            </w:tcBorders>
            <w:shd w:val="clear" w:color="auto" w:fill="98B0CF"/>
          </w:tcPr>
          <w:p>
            <w:pPr>
              <w:spacing w:after="0"/>
              <w:rPr>
                <w:sz w:val="19"/>
                <w:szCs w:val="19"/>
                <w:color w:val="auto"/>
              </w:rPr>
            </w:pPr>
          </w:p>
        </w:tc>
        <w:tc>
          <w:tcPr>
            <w:tcW w:w="180" w:type="dxa"/>
            <w:vAlign w:val="bottom"/>
            <w:tcBorders>
              <w:bottom w:val="single" w:sz="8" w:color="auto"/>
            </w:tcBorders>
            <w:shd w:val="clear" w:color="auto" w:fill="98B0CF"/>
          </w:tcPr>
          <w:p>
            <w:pPr>
              <w:spacing w:after="0"/>
              <w:rPr>
                <w:sz w:val="19"/>
                <w:szCs w:val="19"/>
                <w:color w:val="auto"/>
              </w:rPr>
            </w:pPr>
          </w:p>
        </w:tc>
        <w:tc>
          <w:tcPr>
            <w:tcW w:w="860" w:type="dxa"/>
            <w:vAlign w:val="bottom"/>
            <w:tcBorders>
              <w:bottom w:val="single" w:sz="8" w:color="auto"/>
            </w:tcBorders>
            <w:shd w:val="clear" w:color="auto" w:fill="98B0CF"/>
          </w:tcPr>
          <w:p>
            <w:pPr>
              <w:jc w:val="right"/>
              <w:ind w:right="313"/>
              <w:spacing w:after="0"/>
              <w:rPr>
                <w:sz w:val="20"/>
                <w:szCs w:val="20"/>
                <w:color w:val="auto"/>
              </w:rPr>
            </w:pPr>
            <w:r>
              <w:rPr>
                <w:rFonts w:ascii="Arial" w:cs="Arial" w:eastAsia="Arial" w:hAnsi="Arial"/>
                <w:sz w:val="13"/>
                <w:szCs w:val="13"/>
                <w:b w:val="1"/>
                <w:bCs w:val="1"/>
                <w:color w:val="auto"/>
              </w:rPr>
              <w:t>2024</w:t>
            </w:r>
            <w:r>
              <w:rPr>
                <w:rFonts w:ascii="Arial" w:cs="Arial" w:eastAsia="Arial" w:hAnsi="Arial"/>
                <w:sz w:val="16"/>
                <w:szCs w:val="16"/>
                <w:b w:val="1"/>
                <w:bCs w:val="1"/>
                <w:color w:val="auto"/>
                <w:vertAlign w:val="superscript"/>
              </w:rPr>
              <w:t>(a)</w:t>
            </w:r>
          </w:p>
        </w:tc>
        <w:tc>
          <w:tcPr>
            <w:tcW w:w="200" w:type="dxa"/>
            <w:vAlign w:val="bottom"/>
            <w:tcBorders>
              <w:bottom w:val="single" w:sz="8" w:color="auto"/>
            </w:tcBorders>
            <w:shd w:val="clear" w:color="auto" w:fill="98B0CF"/>
          </w:tcPr>
          <w:p>
            <w:pPr>
              <w:spacing w:after="0"/>
              <w:rPr>
                <w:sz w:val="19"/>
                <w:szCs w:val="19"/>
                <w:color w:val="auto"/>
              </w:rPr>
            </w:pPr>
          </w:p>
        </w:tc>
        <w:tc>
          <w:tcPr>
            <w:tcW w:w="580" w:type="dxa"/>
            <w:vAlign w:val="bottom"/>
            <w:tcBorders>
              <w:bottom w:val="single" w:sz="8" w:color="auto"/>
            </w:tcBorders>
            <w:shd w:val="clear" w:color="auto" w:fill="98B0CF"/>
          </w:tcPr>
          <w:p>
            <w:pPr>
              <w:spacing w:after="0"/>
              <w:rPr>
                <w:sz w:val="19"/>
                <w:szCs w:val="19"/>
                <w:color w:val="auto"/>
              </w:rPr>
            </w:pPr>
          </w:p>
        </w:tc>
        <w:tc>
          <w:tcPr>
            <w:tcW w:w="280" w:type="dxa"/>
            <w:vAlign w:val="bottom"/>
            <w:tcBorders>
              <w:bottom w:val="single" w:sz="8" w:color="auto"/>
            </w:tcBorders>
            <w:shd w:val="clear" w:color="auto" w:fill="98B0CF"/>
          </w:tcPr>
          <w:p>
            <w:pPr>
              <w:spacing w:after="0"/>
              <w:rPr>
                <w:sz w:val="19"/>
                <w:szCs w:val="19"/>
                <w:color w:val="auto"/>
              </w:rPr>
            </w:pPr>
          </w:p>
        </w:tc>
        <w:tc>
          <w:tcPr>
            <w:tcW w:w="760" w:type="dxa"/>
            <w:vAlign w:val="bottom"/>
            <w:tcBorders>
              <w:bottom w:val="single" w:sz="8" w:color="auto"/>
            </w:tcBorders>
            <w:shd w:val="clear" w:color="auto" w:fill="98B0CF"/>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98B0CF"/>
          </w:tcPr>
          <w:p>
            <w:pPr>
              <w:spacing w:after="0"/>
              <w:rPr>
                <w:sz w:val="10"/>
                <w:szCs w:val="10"/>
                <w:color w:val="auto"/>
              </w:rPr>
            </w:pPr>
          </w:p>
        </w:tc>
        <w:tc>
          <w:tcPr>
            <w:tcW w:w="8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1060" w:type="dxa"/>
            <w:vAlign w:val="bottom"/>
            <w:gridSpan w:val="2"/>
            <w:shd w:val="clear" w:color="auto" w:fill="98B0CF"/>
          </w:tcPr>
          <w:p>
            <w:pPr>
              <w:jc w:val="center"/>
              <w:ind w:left="16"/>
              <w:spacing w:after="0" w:line="117" w:lineRule="exact"/>
              <w:rPr>
                <w:sz w:val="20"/>
                <w:szCs w:val="20"/>
                <w:color w:val="auto"/>
              </w:rPr>
            </w:pPr>
            <w:r>
              <w:rPr>
                <w:rFonts w:ascii="Arial" w:cs="Arial" w:eastAsia="Arial" w:hAnsi="Arial"/>
                <w:sz w:val="13"/>
                <w:szCs w:val="13"/>
                <w:b w:val="1"/>
                <w:bCs w:val="1"/>
                <w:color w:val="auto"/>
                <w:w w:val="95"/>
              </w:rPr>
              <w:t>Outcome-</w:t>
            </w:r>
          </w:p>
        </w:tc>
        <w:tc>
          <w:tcPr>
            <w:tcW w:w="180" w:type="dxa"/>
            <w:vAlign w:val="bottom"/>
            <w:shd w:val="clear" w:color="auto" w:fill="98B0CF"/>
          </w:tcPr>
          <w:p>
            <w:pPr>
              <w:spacing w:after="0"/>
              <w:rPr>
                <w:sz w:val="10"/>
                <w:szCs w:val="10"/>
                <w:color w:val="auto"/>
              </w:rPr>
            </w:pPr>
          </w:p>
        </w:tc>
        <w:tc>
          <w:tcPr>
            <w:tcW w:w="880" w:type="dxa"/>
            <w:vAlign w:val="bottom"/>
            <w:shd w:val="clear" w:color="auto" w:fill="98B0CF"/>
          </w:tcPr>
          <w:p>
            <w:pPr>
              <w:spacing w:after="0"/>
              <w:rPr>
                <w:sz w:val="10"/>
                <w:szCs w:val="10"/>
                <w:color w:val="auto"/>
              </w:rPr>
            </w:pPr>
          </w:p>
        </w:tc>
        <w:tc>
          <w:tcPr>
            <w:tcW w:w="26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300" w:type="dxa"/>
            <w:vAlign w:val="bottom"/>
            <w:shd w:val="clear" w:color="auto" w:fill="98B0CF"/>
          </w:tcPr>
          <w:p>
            <w:pPr>
              <w:spacing w:after="0"/>
              <w:rPr>
                <w:sz w:val="10"/>
                <w:szCs w:val="10"/>
                <w:color w:val="auto"/>
              </w:rPr>
            </w:pPr>
          </w:p>
        </w:tc>
        <w:tc>
          <w:tcPr>
            <w:tcW w:w="68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100" w:type="dxa"/>
            <w:vAlign w:val="bottom"/>
            <w:shd w:val="clear" w:color="auto" w:fill="98B0CF"/>
          </w:tcPr>
          <w:p>
            <w:pPr>
              <w:spacing w:after="0"/>
              <w:rPr>
                <w:sz w:val="10"/>
                <w:szCs w:val="10"/>
                <w:color w:val="auto"/>
              </w:rPr>
            </w:pPr>
          </w:p>
        </w:tc>
        <w:tc>
          <w:tcPr>
            <w:tcW w:w="780" w:type="dxa"/>
            <w:vAlign w:val="bottom"/>
            <w:shd w:val="clear" w:color="auto" w:fill="98B0CF"/>
          </w:tcPr>
          <w:p>
            <w:pPr>
              <w:spacing w:after="0"/>
              <w:rPr>
                <w:sz w:val="10"/>
                <w:szCs w:val="10"/>
                <w:color w:val="auto"/>
              </w:rPr>
            </w:pPr>
          </w:p>
        </w:tc>
        <w:tc>
          <w:tcPr>
            <w:tcW w:w="120" w:type="dxa"/>
            <w:vAlign w:val="bottom"/>
            <w:shd w:val="clear" w:color="auto" w:fill="98B0CF"/>
          </w:tcPr>
          <w:p>
            <w:pPr>
              <w:spacing w:after="0"/>
              <w:rPr>
                <w:sz w:val="10"/>
                <w:szCs w:val="10"/>
                <w:color w:val="auto"/>
              </w:rPr>
            </w:pPr>
          </w:p>
        </w:tc>
        <w:tc>
          <w:tcPr>
            <w:tcW w:w="800" w:type="dxa"/>
            <w:vAlign w:val="bottom"/>
            <w:shd w:val="clear" w:color="auto" w:fill="98B0CF"/>
          </w:tcPr>
          <w:p>
            <w:pPr>
              <w:jc w:val="center"/>
              <w:ind w:right="134"/>
              <w:spacing w:after="0" w:line="117" w:lineRule="exact"/>
              <w:rPr>
                <w:sz w:val="20"/>
                <w:szCs w:val="20"/>
                <w:color w:val="auto"/>
              </w:rPr>
            </w:pPr>
            <w:r>
              <w:rPr>
                <w:rFonts w:ascii="Arial" w:cs="Arial" w:eastAsia="Arial" w:hAnsi="Arial"/>
                <w:sz w:val="13"/>
                <w:szCs w:val="13"/>
                <w:b w:val="1"/>
                <w:bCs w:val="1"/>
                <w:color w:val="auto"/>
                <w:w w:val="98"/>
              </w:rPr>
              <w:t>Outcome-</w:t>
            </w:r>
          </w:p>
        </w:tc>
        <w:tc>
          <w:tcPr>
            <w:tcW w:w="180" w:type="dxa"/>
            <w:vAlign w:val="bottom"/>
            <w:shd w:val="clear" w:color="auto" w:fill="98B0CF"/>
          </w:tcPr>
          <w:p>
            <w:pPr>
              <w:spacing w:after="0"/>
              <w:rPr>
                <w:sz w:val="10"/>
                <w:szCs w:val="10"/>
                <w:color w:val="auto"/>
              </w:rPr>
            </w:pPr>
          </w:p>
        </w:tc>
        <w:tc>
          <w:tcPr>
            <w:tcW w:w="860" w:type="dxa"/>
            <w:vAlign w:val="bottom"/>
            <w:shd w:val="clear" w:color="auto" w:fill="98B0CF"/>
          </w:tcPr>
          <w:p>
            <w:pPr>
              <w:spacing w:after="0"/>
              <w:rPr>
                <w:sz w:val="10"/>
                <w:szCs w:val="10"/>
                <w:color w:val="auto"/>
              </w:rPr>
            </w:pPr>
          </w:p>
        </w:tc>
        <w:tc>
          <w:tcPr>
            <w:tcW w:w="200" w:type="dxa"/>
            <w:vAlign w:val="bottom"/>
            <w:shd w:val="clear" w:color="auto" w:fill="98B0CF"/>
          </w:tcPr>
          <w:p>
            <w:pPr>
              <w:spacing w:after="0"/>
              <w:rPr>
                <w:sz w:val="10"/>
                <w:szCs w:val="10"/>
                <w:color w:val="auto"/>
              </w:rPr>
            </w:pPr>
          </w:p>
        </w:tc>
        <w:tc>
          <w:tcPr>
            <w:tcW w:w="580" w:type="dxa"/>
            <w:vAlign w:val="bottom"/>
            <w:shd w:val="clear" w:color="auto" w:fill="98B0CF"/>
          </w:tcPr>
          <w:p>
            <w:pPr>
              <w:spacing w:after="0"/>
              <w:rPr>
                <w:sz w:val="10"/>
                <w:szCs w:val="10"/>
                <w:color w:val="auto"/>
              </w:rPr>
            </w:pPr>
          </w:p>
        </w:tc>
        <w:tc>
          <w:tcPr>
            <w:tcW w:w="280" w:type="dxa"/>
            <w:vAlign w:val="bottom"/>
            <w:shd w:val="clear" w:color="auto" w:fill="98B0CF"/>
          </w:tcPr>
          <w:p>
            <w:pPr>
              <w:spacing w:after="0"/>
              <w:rPr>
                <w:sz w:val="10"/>
                <w:szCs w:val="10"/>
                <w:color w:val="auto"/>
              </w:rPr>
            </w:pPr>
          </w:p>
        </w:tc>
        <w:tc>
          <w:tcPr>
            <w:tcW w:w="760" w:type="dxa"/>
            <w:vAlign w:val="bottom"/>
            <w:shd w:val="clear" w:color="auto" w:fill="98B0C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center"/>
              <w:ind w:right="54"/>
              <w:spacing w:after="0"/>
              <w:rPr>
                <w:sz w:val="20"/>
                <w:szCs w:val="20"/>
                <w:color w:val="auto"/>
              </w:rPr>
            </w:pPr>
            <w:r>
              <w:rPr>
                <w:rFonts w:ascii="Arial" w:cs="Arial" w:eastAsia="Arial" w:hAnsi="Arial"/>
                <w:sz w:val="13"/>
                <w:szCs w:val="13"/>
                <w:b w:val="1"/>
                <w:bCs w:val="1"/>
                <w:color w:val="auto"/>
                <w:w w:val="94"/>
              </w:rPr>
              <w:t>Staffing</w:t>
            </w: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Based</w:t>
            </w:r>
          </w:p>
        </w:tc>
        <w:tc>
          <w:tcPr>
            <w:tcW w:w="180" w:type="dxa"/>
            <w:vAlign w:val="bottom"/>
            <w:shd w:val="clear" w:color="auto" w:fill="98B0CF"/>
          </w:tcPr>
          <w:p>
            <w:pPr>
              <w:spacing w:after="0"/>
              <w:rPr>
                <w:sz w:val="11"/>
                <w:szCs w:val="11"/>
                <w:color w:val="auto"/>
              </w:rPr>
            </w:pPr>
          </w:p>
        </w:tc>
        <w:tc>
          <w:tcPr>
            <w:tcW w:w="88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30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80" w:type="dxa"/>
            <w:vAlign w:val="bottom"/>
            <w:vMerge w:val="restart"/>
            <w:shd w:val="clear" w:color="auto" w:fill="98B0CF"/>
          </w:tcPr>
          <w:p>
            <w:pPr>
              <w:jc w:val="center"/>
              <w:ind w:right="214"/>
              <w:spacing w:after="0"/>
              <w:rPr>
                <w:sz w:val="20"/>
                <w:szCs w:val="20"/>
                <w:color w:val="auto"/>
              </w:rPr>
            </w:pPr>
            <w:r>
              <w:rPr>
                <w:rFonts w:ascii="Arial" w:cs="Arial" w:eastAsia="Arial" w:hAnsi="Arial"/>
                <w:sz w:val="13"/>
                <w:szCs w:val="13"/>
                <w:b w:val="1"/>
                <w:bCs w:val="1"/>
                <w:color w:val="auto"/>
                <w:w w:val="94"/>
              </w:rPr>
              <w:t>Staffing</w:t>
            </w:r>
          </w:p>
        </w:tc>
        <w:tc>
          <w:tcPr>
            <w:tcW w:w="12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2"/>
              </w:rPr>
              <w:t>Based</w:t>
            </w:r>
          </w:p>
        </w:tc>
        <w:tc>
          <w:tcPr>
            <w:tcW w:w="180" w:type="dxa"/>
            <w:vAlign w:val="bottom"/>
            <w:shd w:val="clear" w:color="auto" w:fill="98B0CF"/>
          </w:tcPr>
          <w:p>
            <w:pPr>
              <w:spacing w:after="0"/>
              <w:rPr>
                <w:sz w:val="11"/>
                <w:szCs w:val="11"/>
                <w:color w:val="auto"/>
              </w:rPr>
            </w:pPr>
          </w:p>
        </w:tc>
        <w:tc>
          <w:tcPr>
            <w:tcW w:w="860" w:type="dxa"/>
            <w:vAlign w:val="bottom"/>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vMerge w:val="continue"/>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Solutions</w:t>
            </w:r>
          </w:p>
        </w:tc>
        <w:tc>
          <w:tcPr>
            <w:tcW w:w="180" w:type="dxa"/>
            <w:vAlign w:val="bottom"/>
            <w:shd w:val="clear" w:color="auto" w:fill="98B0CF"/>
          </w:tcPr>
          <w:p>
            <w:pPr>
              <w:spacing w:after="0"/>
              <w:rPr>
                <w:sz w:val="11"/>
                <w:szCs w:val="11"/>
                <w:color w:val="auto"/>
              </w:rPr>
            </w:pPr>
          </w:p>
        </w:tc>
        <w:tc>
          <w:tcPr>
            <w:tcW w:w="880" w:type="dxa"/>
            <w:vAlign w:val="bottom"/>
            <w:vMerge w:val="restart"/>
            <w:shd w:val="clear" w:color="auto" w:fill="98B0CF"/>
          </w:tcPr>
          <w:p>
            <w:pPr>
              <w:jc w:val="center"/>
              <w:ind w:right="153"/>
              <w:spacing w:after="0"/>
              <w:rPr>
                <w:sz w:val="20"/>
                <w:szCs w:val="20"/>
                <w:color w:val="auto"/>
              </w:rPr>
            </w:pPr>
            <w:r>
              <w:rPr>
                <w:rFonts w:ascii="Arial" w:cs="Arial" w:eastAsia="Arial" w:hAnsi="Arial"/>
                <w:sz w:val="13"/>
                <w:szCs w:val="13"/>
                <w:b w:val="1"/>
                <w:bCs w:val="1"/>
                <w:color w:val="auto"/>
                <w:w w:val="98"/>
              </w:rPr>
              <w:t>Permanent</w:t>
            </w:r>
          </w:p>
        </w:tc>
        <w:tc>
          <w:tcPr>
            <w:tcW w:w="26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300" w:type="dxa"/>
            <w:vAlign w:val="bottom"/>
            <w:shd w:val="clear" w:color="auto" w:fill="98B0CF"/>
          </w:tcPr>
          <w:p>
            <w:pPr>
              <w:spacing w:after="0"/>
              <w:rPr>
                <w:sz w:val="11"/>
                <w:szCs w:val="11"/>
                <w:color w:val="auto"/>
              </w:rPr>
            </w:pPr>
          </w:p>
        </w:tc>
        <w:tc>
          <w:tcPr>
            <w:tcW w:w="6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80" w:type="dxa"/>
            <w:vAlign w:val="bottom"/>
            <w:vMerge w:val="continue"/>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Solutions</w:t>
            </w:r>
          </w:p>
        </w:tc>
        <w:tc>
          <w:tcPr>
            <w:tcW w:w="180" w:type="dxa"/>
            <w:vAlign w:val="bottom"/>
            <w:shd w:val="clear" w:color="auto" w:fill="98B0CF"/>
          </w:tcPr>
          <w:p>
            <w:pPr>
              <w:spacing w:after="0"/>
              <w:rPr>
                <w:sz w:val="11"/>
                <w:szCs w:val="11"/>
                <w:color w:val="auto"/>
              </w:rPr>
            </w:pPr>
          </w:p>
        </w:tc>
        <w:tc>
          <w:tcPr>
            <w:tcW w:w="860" w:type="dxa"/>
            <w:vAlign w:val="bottom"/>
            <w:vMerge w:val="restart"/>
            <w:shd w:val="clear" w:color="auto" w:fill="98B0CF"/>
          </w:tcPr>
          <w:p>
            <w:pPr>
              <w:jc w:val="right"/>
              <w:ind w:right="133"/>
              <w:spacing w:after="0"/>
              <w:rPr>
                <w:sz w:val="20"/>
                <w:szCs w:val="20"/>
                <w:color w:val="auto"/>
              </w:rPr>
            </w:pPr>
            <w:r>
              <w:rPr>
                <w:rFonts w:ascii="Arial" w:cs="Arial" w:eastAsia="Arial" w:hAnsi="Arial"/>
                <w:sz w:val="13"/>
                <w:szCs w:val="13"/>
                <w:b w:val="1"/>
                <w:bCs w:val="1"/>
                <w:color w:val="auto"/>
                <w:w w:val="95"/>
              </w:rPr>
              <w:t>Permanent</w:t>
            </w:r>
          </w:p>
        </w:tc>
        <w:tc>
          <w:tcPr>
            <w:tcW w:w="20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280" w:type="dxa"/>
            <w:vAlign w:val="bottom"/>
            <w:shd w:val="clear" w:color="auto" w:fill="98B0CF"/>
          </w:tcPr>
          <w:p>
            <w:pPr>
              <w:spacing w:after="0"/>
              <w:rPr>
                <w:sz w:val="11"/>
                <w:szCs w:val="11"/>
                <w:color w:val="auto"/>
              </w:rPr>
            </w:pPr>
          </w:p>
        </w:tc>
        <w:tc>
          <w:tcPr>
            <w:tcW w:w="76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98B0CF"/>
          </w:tcPr>
          <w:p>
            <w:pPr>
              <w:spacing w:after="0"/>
              <w:rPr>
                <w:sz w:val="11"/>
                <w:szCs w:val="11"/>
                <w:color w:val="auto"/>
              </w:rPr>
            </w:pPr>
          </w:p>
        </w:tc>
        <w:tc>
          <w:tcPr>
            <w:tcW w:w="80" w:type="dxa"/>
            <w:vAlign w:val="bottom"/>
            <w:shd w:val="clear" w:color="auto" w:fill="98B0CF"/>
          </w:tcPr>
          <w:p>
            <w:pPr>
              <w:spacing w:after="0"/>
              <w:rPr>
                <w:sz w:val="11"/>
                <w:szCs w:val="11"/>
                <w:color w:val="auto"/>
              </w:rPr>
            </w:pPr>
          </w:p>
        </w:tc>
        <w:tc>
          <w:tcPr>
            <w:tcW w:w="580" w:type="dxa"/>
            <w:vAlign w:val="bottom"/>
            <w:shd w:val="clear" w:color="auto" w:fill="98B0CF"/>
          </w:tcPr>
          <w:p>
            <w:pPr>
              <w:jc w:val="center"/>
              <w:ind w:right="54"/>
              <w:spacing w:after="0" w:line="135" w:lineRule="exact"/>
              <w:rPr>
                <w:sz w:val="20"/>
                <w:szCs w:val="20"/>
                <w:color w:val="auto"/>
              </w:rPr>
            </w:pPr>
            <w:r>
              <w:rPr>
                <w:rFonts w:ascii="Arial" w:cs="Arial" w:eastAsia="Arial" w:hAnsi="Arial"/>
                <w:sz w:val="13"/>
                <w:szCs w:val="13"/>
                <w:b w:val="1"/>
                <w:bCs w:val="1"/>
                <w:color w:val="auto"/>
                <w:w w:val="94"/>
              </w:rPr>
              <w:t>and</w:t>
            </w:r>
          </w:p>
        </w:tc>
        <w:tc>
          <w:tcPr>
            <w:tcW w:w="28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w w:val="94"/>
              </w:rPr>
              <w:t>and</w:t>
            </w:r>
          </w:p>
        </w:tc>
        <w:tc>
          <w:tcPr>
            <w:tcW w:w="180" w:type="dxa"/>
            <w:vAlign w:val="bottom"/>
            <w:shd w:val="clear" w:color="auto" w:fill="98B0CF"/>
          </w:tcPr>
          <w:p>
            <w:pPr>
              <w:spacing w:after="0"/>
              <w:rPr>
                <w:sz w:val="11"/>
                <w:szCs w:val="11"/>
                <w:color w:val="auto"/>
              </w:rPr>
            </w:pPr>
          </w:p>
        </w:tc>
        <w:tc>
          <w:tcPr>
            <w:tcW w:w="880" w:type="dxa"/>
            <w:vAlign w:val="bottom"/>
            <w:vMerge w:val="continue"/>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right"/>
              <w:ind w:right="133"/>
              <w:spacing w:after="0"/>
              <w:rPr>
                <w:sz w:val="20"/>
                <w:szCs w:val="20"/>
                <w:color w:val="auto"/>
              </w:rPr>
            </w:pPr>
            <w:r>
              <w:rPr>
                <w:rFonts w:ascii="Arial" w:cs="Arial" w:eastAsia="Arial" w:hAnsi="Arial"/>
                <w:sz w:val="13"/>
                <w:szCs w:val="13"/>
                <w:b w:val="1"/>
                <w:bCs w:val="1"/>
                <w:color w:val="auto"/>
              </w:rPr>
              <w:t>Other</w:t>
            </w:r>
          </w:p>
        </w:tc>
        <w:tc>
          <w:tcPr>
            <w:tcW w:w="300" w:type="dxa"/>
            <w:vAlign w:val="bottom"/>
            <w:shd w:val="clear" w:color="auto" w:fill="98B0CF"/>
          </w:tcPr>
          <w:p>
            <w:pPr>
              <w:spacing w:after="0"/>
              <w:rPr>
                <w:sz w:val="11"/>
                <w:szCs w:val="11"/>
                <w:color w:val="auto"/>
              </w:rPr>
            </w:pPr>
          </w:p>
        </w:tc>
        <w:tc>
          <w:tcPr>
            <w:tcW w:w="680" w:type="dxa"/>
            <w:vAlign w:val="bottom"/>
            <w:vMerge w:val="restart"/>
            <w:shd w:val="clear" w:color="auto" w:fill="98B0CF"/>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80" w:type="dxa"/>
            <w:vAlign w:val="bottom"/>
            <w:shd w:val="clear" w:color="auto" w:fill="98B0CF"/>
          </w:tcPr>
          <w:p>
            <w:pPr>
              <w:jc w:val="center"/>
              <w:ind w:right="214"/>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shd w:val="clear" w:color="auto" w:fill="98B0CF"/>
          </w:tcPr>
          <w:p>
            <w:pPr>
              <w:spacing w:after="0"/>
              <w:rPr>
                <w:sz w:val="11"/>
                <w:szCs w:val="11"/>
                <w:color w:val="auto"/>
              </w:rPr>
            </w:pPr>
          </w:p>
        </w:tc>
        <w:tc>
          <w:tcPr>
            <w:tcW w:w="800" w:type="dxa"/>
            <w:vAlign w:val="bottom"/>
            <w:shd w:val="clear" w:color="auto" w:fill="98B0CF"/>
          </w:tcPr>
          <w:p>
            <w:pPr>
              <w:jc w:val="center"/>
              <w:ind w:right="134"/>
              <w:spacing w:after="0" w:line="135" w:lineRule="exact"/>
              <w:rPr>
                <w:sz w:val="20"/>
                <w:szCs w:val="20"/>
                <w:color w:val="auto"/>
              </w:rPr>
            </w:pPr>
            <w:r>
              <w:rPr>
                <w:rFonts w:ascii="Arial" w:cs="Arial" w:eastAsia="Arial" w:hAnsi="Arial"/>
                <w:sz w:val="13"/>
                <w:szCs w:val="13"/>
                <w:b w:val="1"/>
                <w:bCs w:val="1"/>
                <w:color w:val="auto"/>
              </w:rPr>
              <w:t>and</w:t>
            </w:r>
          </w:p>
        </w:tc>
        <w:tc>
          <w:tcPr>
            <w:tcW w:w="180" w:type="dxa"/>
            <w:vAlign w:val="bottom"/>
            <w:shd w:val="clear" w:color="auto" w:fill="98B0CF"/>
          </w:tcPr>
          <w:p>
            <w:pPr>
              <w:spacing w:after="0"/>
              <w:rPr>
                <w:sz w:val="11"/>
                <w:szCs w:val="11"/>
                <w:color w:val="auto"/>
              </w:rPr>
            </w:pPr>
          </w:p>
        </w:tc>
        <w:tc>
          <w:tcPr>
            <w:tcW w:w="860" w:type="dxa"/>
            <w:vAlign w:val="bottom"/>
            <w:vMerge w:val="continue"/>
            <w:shd w:val="clear" w:color="auto" w:fill="98B0CF"/>
          </w:tcPr>
          <w:p>
            <w:pPr>
              <w:spacing w:after="0"/>
              <w:rPr>
                <w:sz w:val="11"/>
                <w:szCs w:val="11"/>
                <w:color w:val="auto"/>
              </w:rPr>
            </w:pPr>
          </w:p>
        </w:tc>
        <w:tc>
          <w:tcPr>
            <w:tcW w:w="200" w:type="dxa"/>
            <w:vAlign w:val="bottom"/>
            <w:shd w:val="clear" w:color="auto" w:fill="98B0CF"/>
          </w:tcPr>
          <w:p>
            <w:pPr>
              <w:spacing w:after="0"/>
              <w:rPr>
                <w:sz w:val="11"/>
                <w:szCs w:val="11"/>
                <w:color w:val="auto"/>
              </w:rPr>
            </w:pPr>
          </w:p>
        </w:tc>
        <w:tc>
          <w:tcPr>
            <w:tcW w:w="580" w:type="dxa"/>
            <w:vAlign w:val="bottom"/>
            <w:vMerge w:val="restart"/>
            <w:shd w:val="clear" w:color="auto" w:fill="98B0CF"/>
          </w:tcPr>
          <w:p>
            <w:pPr>
              <w:jc w:val="right"/>
              <w:ind w:right="153"/>
              <w:spacing w:after="0"/>
              <w:rPr>
                <w:sz w:val="20"/>
                <w:szCs w:val="20"/>
                <w:color w:val="auto"/>
              </w:rPr>
            </w:pPr>
            <w:r>
              <w:rPr>
                <w:rFonts w:ascii="Arial" w:cs="Arial" w:eastAsia="Arial" w:hAnsi="Arial"/>
                <w:sz w:val="13"/>
                <w:szCs w:val="13"/>
                <w:b w:val="1"/>
                <w:bCs w:val="1"/>
                <w:color w:val="auto"/>
                <w:w w:val="97"/>
              </w:rPr>
              <w:t>Other</w:t>
            </w:r>
          </w:p>
        </w:tc>
        <w:tc>
          <w:tcPr>
            <w:tcW w:w="280" w:type="dxa"/>
            <w:vAlign w:val="bottom"/>
            <w:shd w:val="clear" w:color="auto" w:fill="98B0CF"/>
          </w:tcPr>
          <w:p>
            <w:pPr>
              <w:spacing w:after="0"/>
              <w:rPr>
                <w:sz w:val="11"/>
                <w:szCs w:val="11"/>
                <w:color w:val="auto"/>
              </w:rPr>
            </w:pPr>
          </w:p>
        </w:tc>
        <w:tc>
          <w:tcPr>
            <w:tcW w:w="760" w:type="dxa"/>
            <w:vAlign w:val="bottom"/>
            <w:vMerge w:val="restart"/>
            <w:shd w:val="clear" w:color="auto" w:fill="98B0CF"/>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1880" w:type="dxa"/>
            <w:vAlign w:val="bottom"/>
            <w:tcBorders>
              <w:bottom w:val="single" w:sz="8" w:color="auto"/>
            </w:tcBorders>
            <w:shd w:val="clear" w:color="auto" w:fill="98B0CF"/>
          </w:tcPr>
          <w:p>
            <w:pPr>
              <w:spacing w:after="0"/>
              <w:rPr>
                <w:sz w:val="13"/>
                <w:szCs w:val="13"/>
                <w:color w:val="auto"/>
              </w:rPr>
            </w:pPr>
          </w:p>
        </w:tc>
        <w:tc>
          <w:tcPr>
            <w:tcW w:w="8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shd w:val="clear" w:color="auto" w:fill="98B0CF"/>
          </w:tcPr>
          <w:p>
            <w:pPr>
              <w:jc w:val="center"/>
              <w:ind w:right="54"/>
              <w:spacing w:after="0"/>
              <w:rPr>
                <w:sz w:val="20"/>
                <w:szCs w:val="20"/>
                <w:color w:val="auto"/>
              </w:rPr>
            </w:pPr>
            <w:r>
              <w:rPr>
                <w:rFonts w:ascii="Arial" w:cs="Arial" w:eastAsia="Arial" w:hAnsi="Arial"/>
                <w:sz w:val="13"/>
                <w:szCs w:val="13"/>
                <w:b w:val="1"/>
                <w:bCs w:val="1"/>
                <w:color w:val="auto"/>
                <w:w w:val="96"/>
              </w:rPr>
              <w:t>Interim</w:t>
            </w:r>
          </w:p>
        </w:tc>
        <w:tc>
          <w:tcPr>
            <w:tcW w:w="1060" w:type="dxa"/>
            <w:vAlign w:val="bottom"/>
            <w:tcBorders>
              <w:bottom w:val="single" w:sz="8" w:color="auto"/>
            </w:tcBorders>
            <w:gridSpan w:val="2"/>
            <w:shd w:val="clear" w:color="auto" w:fill="98B0CF"/>
          </w:tcPr>
          <w:p>
            <w:pPr>
              <w:jc w:val="center"/>
              <w:ind w:left="16"/>
              <w:spacing w:after="0"/>
              <w:rPr>
                <w:sz w:val="20"/>
                <w:szCs w:val="20"/>
                <w:color w:val="auto"/>
              </w:rPr>
            </w:pPr>
            <w:r>
              <w:rPr>
                <w:rFonts w:ascii="Arial" w:cs="Arial" w:eastAsia="Arial" w:hAnsi="Arial"/>
                <w:sz w:val="13"/>
                <w:szCs w:val="13"/>
                <w:b w:val="1"/>
                <w:bCs w:val="1"/>
                <w:color w:val="auto"/>
                <w:w w:val="97"/>
              </w:rPr>
              <w:t>Consulting</w:t>
            </w:r>
          </w:p>
        </w:tc>
        <w:tc>
          <w:tcPr>
            <w:tcW w:w="106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Recruitment</w:t>
            </w:r>
          </w:p>
        </w:tc>
        <w:tc>
          <w:tcPr>
            <w:tcW w:w="26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vMerge w:val="continue"/>
            <w:shd w:val="clear" w:color="auto" w:fill="98B0CF"/>
          </w:tcPr>
          <w:p>
            <w:pPr>
              <w:spacing w:after="0"/>
              <w:rPr>
                <w:sz w:val="13"/>
                <w:szCs w:val="13"/>
                <w:color w:val="auto"/>
              </w:rPr>
            </w:pPr>
          </w:p>
        </w:tc>
        <w:tc>
          <w:tcPr>
            <w:tcW w:w="300" w:type="dxa"/>
            <w:vAlign w:val="bottom"/>
            <w:tcBorders>
              <w:bottom w:val="single" w:sz="8" w:color="auto"/>
            </w:tcBorders>
            <w:shd w:val="clear" w:color="auto" w:fill="98B0CF"/>
          </w:tcPr>
          <w:p>
            <w:pPr>
              <w:spacing w:after="0"/>
              <w:rPr>
                <w:sz w:val="13"/>
                <w:szCs w:val="13"/>
                <w:color w:val="auto"/>
              </w:rPr>
            </w:pPr>
          </w:p>
        </w:tc>
        <w:tc>
          <w:tcPr>
            <w:tcW w:w="680" w:type="dxa"/>
            <w:vAlign w:val="bottom"/>
            <w:tcBorders>
              <w:bottom w:val="single" w:sz="8" w:color="auto"/>
            </w:tcBorders>
            <w:vMerge w:val="continue"/>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780" w:type="dxa"/>
            <w:vAlign w:val="bottom"/>
            <w:tcBorders>
              <w:bottom w:val="single" w:sz="8" w:color="auto"/>
            </w:tcBorders>
            <w:shd w:val="clear" w:color="auto" w:fill="98B0CF"/>
          </w:tcPr>
          <w:p>
            <w:pPr>
              <w:jc w:val="center"/>
              <w:ind w:right="214"/>
              <w:spacing w:after="0"/>
              <w:rPr>
                <w:sz w:val="20"/>
                <w:szCs w:val="20"/>
                <w:color w:val="auto"/>
              </w:rPr>
            </w:pPr>
            <w:r>
              <w:rPr>
                <w:rFonts w:ascii="Arial" w:cs="Arial" w:eastAsia="Arial" w:hAnsi="Arial"/>
                <w:sz w:val="13"/>
                <w:szCs w:val="13"/>
                <w:b w:val="1"/>
                <w:bCs w:val="1"/>
                <w:color w:val="auto"/>
                <w:w w:val="96"/>
              </w:rPr>
              <w:t>Interim</w:t>
            </w:r>
          </w:p>
        </w:tc>
        <w:tc>
          <w:tcPr>
            <w:tcW w:w="920" w:type="dxa"/>
            <w:vAlign w:val="bottom"/>
            <w:tcBorders>
              <w:bottom w:val="single" w:sz="8" w:color="auto"/>
            </w:tcBorders>
            <w:gridSpan w:val="2"/>
            <w:shd w:val="clear" w:color="auto" w:fill="98B0CF"/>
          </w:tcPr>
          <w:p>
            <w:pPr>
              <w:jc w:val="center"/>
              <w:ind w:right="14"/>
              <w:spacing w:after="0"/>
              <w:rPr>
                <w:sz w:val="20"/>
                <w:szCs w:val="20"/>
                <w:color w:val="auto"/>
              </w:rPr>
            </w:pPr>
            <w:r>
              <w:rPr>
                <w:rFonts w:ascii="Arial" w:cs="Arial" w:eastAsia="Arial" w:hAnsi="Arial"/>
                <w:sz w:val="13"/>
                <w:szCs w:val="13"/>
                <w:b w:val="1"/>
                <w:bCs w:val="1"/>
                <w:color w:val="auto"/>
                <w:w w:val="94"/>
              </w:rPr>
              <w:t>Consulting</w:t>
            </w:r>
          </w:p>
        </w:tc>
        <w:tc>
          <w:tcPr>
            <w:tcW w:w="1040" w:type="dxa"/>
            <w:vAlign w:val="bottom"/>
            <w:tcBorders>
              <w:bottom w:val="single" w:sz="8" w:color="auto"/>
            </w:tcBorders>
            <w:gridSpan w:val="2"/>
            <w:shd w:val="clear" w:color="auto" w:fill="98B0CF"/>
          </w:tcPr>
          <w:p>
            <w:pPr>
              <w:jc w:val="right"/>
              <w:ind w:right="93"/>
              <w:spacing w:after="0"/>
              <w:rPr>
                <w:sz w:val="20"/>
                <w:szCs w:val="20"/>
                <w:color w:val="auto"/>
              </w:rPr>
            </w:pPr>
            <w:r>
              <w:rPr>
                <w:rFonts w:ascii="Arial" w:cs="Arial" w:eastAsia="Arial" w:hAnsi="Arial"/>
                <w:sz w:val="13"/>
                <w:szCs w:val="13"/>
                <w:b w:val="1"/>
                <w:bCs w:val="1"/>
                <w:color w:val="auto"/>
              </w:rPr>
              <w:t>Recruitment</w:t>
            </w:r>
          </w:p>
        </w:tc>
        <w:tc>
          <w:tcPr>
            <w:tcW w:w="200" w:type="dxa"/>
            <w:vAlign w:val="bottom"/>
            <w:tcBorders>
              <w:bottom w:val="single" w:sz="8" w:color="auto"/>
            </w:tcBorders>
            <w:shd w:val="clear" w:color="auto" w:fill="98B0CF"/>
          </w:tcPr>
          <w:p>
            <w:pPr>
              <w:spacing w:after="0"/>
              <w:rPr>
                <w:sz w:val="13"/>
                <w:szCs w:val="13"/>
                <w:color w:val="auto"/>
              </w:rPr>
            </w:pPr>
          </w:p>
        </w:tc>
        <w:tc>
          <w:tcPr>
            <w:tcW w:w="580" w:type="dxa"/>
            <w:vAlign w:val="bottom"/>
            <w:tcBorders>
              <w:bottom w:val="single" w:sz="8" w:color="auto"/>
            </w:tcBorders>
            <w:vMerge w:val="continue"/>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760" w:type="dxa"/>
            <w:vAlign w:val="bottom"/>
            <w:tcBorders>
              <w:bottom w:val="single" w:sz="8" w:color="auto"/>
            </w:tcBorders>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E2E8F1"/>
          </w:tcPr>
          <w:p>
            <w:pPr>
              <w:ind w:left="20"/>
              <w:spacing w:after="0"/>
              <w:rPr>
                <w:sz w:val="20"/>
                <w:szCs w:val="20"/>
                <w:color w:val="auto"/>
              </w:rPr>
            </w:pPr>
            <w:r>
              <w:rPr>
                <w:rFonts w:ascii="Arial" w:cs="Arial" w:eastAsia="Arial" w:hAnsi="Arial"/>
                <w:sz w:val="13"/>
                <w:szCs w:val="13"/>
                <w:color w:val="auto"/>
              </w:rPr>
              <w:t>Americas:</w:t>
            </w:r>
          </w:p>
        </w:tc>
        <w:tc>
          <w:tcPr>
            <w:tcW w:w="8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68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120" w:type="dxa"/>
            <w:vAlign w:val="bottom"/>
            <w:shd w:val="clear" w:color="auto" w:fill="E2E8F1"/>
          </w:tcPr>
          <w:p>
            <w:pPr>
              <w:spacing w:after="0"/>
              <w:rPr>
                <w:sz w:val="16"/>
                <w:szCs w:val="16"/>
                <w:color w:val="auto"/>
              </w:rPr>
            </w:pPr>
          </w:p>
        </w:tc>
        <w:tc>
          <w:tcPr>
            <w:tcW w:w="80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200" w:type="dxa"/>
            <w:vAlign w:val="bottom"/>
            <w:shd w:val="clear" w:color="auto" w:fill="E2E8F1"/>
          </w:tcPr>
          <w:p>
            <w:pPr>
              <w:spacing w:after="0"/>
              <w:rPr>
                <w:sz w:val="16"/>
                <w:szCs w:val="16"/>
                <w:color w:val="auto"/>
              </w:rPr>
            </w:pPr>
          </w:p>
        </w:tc>
        <w:tc>
          <w:tcPr>
            <w:tcW w:w="580" w:type="dxa"/>
            <w:vAlign w:val="bottom"/>
            <w:shd w:val="clear" w:color="auto" w:fill="E2E8F1"/>
          </w:tcPr>
          <w:p>
            <w:pPr>
              <w:spacing w:after="0"/>
              <w:rPr>
                <w:sz w:val="16"/>
                <w:szCs w:val="16"/>
                <w:color w:val="auto"/>
              </w:rPr>
            </w:pP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616.1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29.3</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41.1</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688.8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4"/>
              <w:spacing w:after="0"/>
              <w:rPr>
                <w:sz w:val="20"/>
                <w:szCs w:val="20"/>
                <w:color w:val="auto"/>
              </w:rPr>
            </w:pPr>
            <w:r>
              <w:rPr>
                <w:rFonts w:ascii="Arial" w:cs="Arial" w:eastAsia="Arial" w:hAnsi="Arial"/>
                <w:sz w:val="13"/>
                <w:szCs w:val="13"/>
                <w:color w:val="auto"/>
              </w:rPr>
              <w:t>604.4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3.0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30.6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42.4</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680.4</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8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342.2</w:t>
            </w:r>
          </w:p>
        </w:tc>
        <w:tc>
          <w:tcPr>
            <w:tcW w:w="2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14.8</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8.3</w:t>
            </w:r>
          </w:p>
        </w:tc>
        <w:tc>
          <w:tcPr>
            <w:tcW w:w="26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2.6</w:t>
            </w:r>
          </w:p>
        </w:tc>
        <w:tc>
          <w:tcPr>
            <w:tcW w:w="30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367.9</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114"/>
              <w:spacing w:after="0"/>
              <w:rPr>
                <w:sz w:val="20"/>
                <w:szCs w:val="20"/>
                <w:color w:val="auto"/>
              </w:rPr>
            </w:pPr>
            <w:r>
              <w:rPr>
                <w:rFonts w:ascii="Arial" w:cs="Arial" w:eastAsia="Arial" w:hAnsi="Arial"/>
                <w:sz w:val="13"/>
                <w:szCs w:val="13"/>
                <w:color w:val="auto"/>
              </w:rPr>
              <w:t>330.6</w:t>
            </w:r>
          </w:p>
        </w:tc>
        <w:tc>
          <w:tcPr>
            <w:tcW w:w="12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11.1</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11.8</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2.5</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356.0</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958.3</w:t>
            </w: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17.1</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37.6</w:t>
            </w:r>
          </w:p>
        </w:tc>
        <w:tc>
          <w:tcPr>
            <w:tcW w:w="26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43.7</w:t>
            </w:r>
          </w:p>
        </w:tc>
        <w:tc>
          <w:tcPr>
            <w:tcW w:w="30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1,056.7</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114"/>
              <w:spacing w:after="0"/>
              <w:rPr>
                <w:sz w:val="20"/>
                <w:szCs w:val="20"/>
                <w:color w:val="auto"/>
              </w:rPr>
            </w:pPr>
            <w:r>
              <w:rPr>
                <w:rFonts w:ascii="Arial" w:cs="Arial" w:eastAsia="Arial" w:hAnsi="Arial"/>
                <w:sz w:val="13"/>
                <w:szCs w:val="13"/>
                <w:color w:val="auto"/>
              </w:rPr>
              <w:t>935.0</w:t>
            </w: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14.1</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42.4</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44.9</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1,036.4</w:t>
            </w:r>
          </w:p>
        </w:tc>
        <w:tc>
          <w:tcPr>
            <w:tcW w:w="0" w:type="dxa"/>
            <w:vAlign w:val="bottom"/>
          </w:tcPr>
          <w:p>
            <w:pPr>
              <w:spacing w:after="0"/>
              <w:rPr>
                <w:sz w:val="1"/>
                <w:szCs w:val="1"/>
                <w:color w:val="auto"/>
              </w:rPr>
            </w:pPr>
          </w:p>
        </w:tc>
      </w:tr>
      <w:tr>
        <w:trPr>
          <w:trHeight w:val="183"/>
        </w:trPr>
        <w:tc>
          <w:tcPr>
            <w:tcW w:w="1880" w:type="dxa"/>
            <w:vAlign w:val="bottom"/>
            <w:shd w:val="clear" w:color="auto" w:fill="E2E8F1"/>
          </w:tcPr>
          <w:p>
            <w:pPr>
              <w:ind w:left="20"/>
              <w:spacing w:after="0"/>
              <w:rPr>
                <w:sz w:val="20"/>
                <w:szCs w:val="20"/>
                <w:color w:val="auto"/>
              </w:rPr>
            </w:pPr>
            <w:r>
              <w:rPr>
                <w:rFonts w:ascii="Arial" w:cs="Arial" w:eastAsia="Arial" w:hAnsi="Arial"/>
                <w:sz w:val="13"/>
                <w:szCs w:val="13"/>
                <w:color w:val="auto"/>
              </w:rPr>
              <w:t>Southern Europe:</w:t>
            </w:r>
          </w:p>
        </w:tc>
        <w:tc>
          <w:tcPr>
            <w:tcW w:w="8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8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300" w:type="dxa"/>
            <w:vAlign w:val="bottom"/>
            <w:shd w:val="clear" w:color="auto" w:fill="E2E8F1"/>
          </w:tcPr>
          <w:p>
            <w:pPr>
              <w:spacing w:after="0"/>
              <w:rPr>
                <w:sz w:val="15"/>
                <w:szCs w:val="15"/>
                <w:color w:val="auto"/>
              </w:rPr>
            </w:pPr>
          </w:p>
        </w:tc>
        <w:tc>
          <w:tcPr>
            <w:tcW w:w="68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780" w:type="dxa"/>
            <w:vAlign w:val="bottom"/>
            <w:shd w:val="clear" w:color="auto" w:fill="E2E8F1"/>
          </w:tcPr>
          <w:p>
            <w:pPr>
              <w:spacing w:after="0"/>
              <w:rPr>
                <w:sz w:val="15"/>
                <w:szCs w:val="15"/>
                <w:color w:val="auto"/>
              </w:rPr>
            </w:pPr>
          </w:p>
        </w:tc>
        <w:tc>
          <w:tcPr>
            <w:tcW w:w="120" w:type="dxa"/>
            <w:vAlign w:val="bottom"/>
            <w:shd w:val="clear" w:color="auto" w:fill="E2E8F1"/>
          </w:tcPr>
          <w:p>
            <w:pPr>
              <w:spacing w:after="0"/>
              <w:rPr>
                <w:sz w:val="15"/>
                <w:szCs w:val="15"/>
                <w:color w:val="auto"/>
              </w:rPr>
            </w:pPr>
          </w:p>
        </w:tc>
        <w:tc>
          <w:tcPr>
            <w:tcW w:w="800" w:type="dxa"/>
            <w:vAlign w:val="bottom"/>
            <w:shd w:val="clear" w:color="auto" w:fill="E2E8F1"/>
          </w:tcPr>
          <w:p>
            <w:pPr>
              <w:spacing w:after="0"/>
              <w:rPr>
                <w:sz w:val="15"/>
                <w:szCs w:val="15"/>
                <w:color w:val="auto"/>
              </w:rPr>
            </w:pPr>
          </w:p>
        </w:tc>
        <w:tc>
          <w:tcPr>
            <w:tcW w:w="180" w:type="dxa"/>
            <w:vAlign w:val="bottom"/>
            <w:shd w:val="clear" w:color="auto" w:fill="E2E8F1"/>
          </w:tcPr>
          <w:p>
            <w:pPr>
              <w:spacing w:after="0"/>
              <w:rPr>
                <w:sz w:val="15"/>
                <w:szCs w:val="15"/>
                <w:color w:val="auto"/>
              </w:rPr>
            </w:pPr>
          </w:p>
        </w:tc>
        <w:tc>
          <w:tcPr>
            <w:tcW w:w="860" w:type="dxa"/>
            <w:vAlign w:val="bottom"/>
            <w:shd w:val="clear" w:color="auto" w:fill="E2E8F1"/>
          </w:tcPr>
          <w:p>
            <w:pPr>
              <w:spacing w:after="0"/>
              <w:rPr>
                <w:sz w:val="15"/>
                <w:szCs w:val="15"/>
                <w:color w:val="auto"/>
              </w:rPr>
            </w:pPr>
          </w:p>
        </w:tc>
        <w:tc>
          <w:tcPr>
            <w:tcW w:w="200" w:type="dxa"/>
            <w:vAlign w:val="bottom"/>
            <w:shd w:val="clear" w:color="auto" w:fill="E2E8F1"/>
          </w:tcPr>
          <w:p>
            <w:pPr>
              <w:spacing w:after="0"/>
              <w:rPr>
                <w:sz w:val="15"/>
                <w:szCs w:val="15"/>
                <w:color w:val="auto"/>
              </w:rPr>
            </w:pPr>
          </w:p>
        </w:tc>
        <w:tc>
          <w:tcPr>
            <w:tcW w:w="580" w:type="dxa"/>
            <w:vAlign w:val="bottom"/>
            <w:shd w:val="clear" w:color="auto" w:fill="E2E8F1"/>
          </w:tcPr>
          <w:p>
            <w:pPr>
              <w:spacing w:after="0"/>
              <w:rPr>
                <w:sz w:val="15"/>
                <w:szCs w:val="15"/>
                <w:color w:val="auto"/>
              </w:rPr>
            </w:pPr>
          </w:p>
        </w:tc>
        <w:tc>
          <w:tcPr>
            <w:tcW w:w="280" w:type="dxa"/>
            <w:vAlign w:val="bottom"/>
            <w:shd w:val="clear" w:color="auto" w:fill="E2E8F1"/>
          </w:tcPr>
          <w:p>
            <w:pPr>
              <w:spacing w:after="0"/>
              <w:rPr>
                <w:sz w:val="15"/>
                <w:szCs w:val="15"/>
                <w:color w:val="auto"/>
              </w:rPr>
            </w:pPr>
          </w:p>
        </w:tc>
        <w:tc>
          <w:tcPr>
            <w:tcW w:w="760" w:type="dxa"/>
            <w:vAlign w:val="bottom"/>
            <w:shd w:val="clear" w:color="auto" w:fill="E2E8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40"/>
              <w:spacing w:after="0"/>
              <w:rPr>
                <w:sz w:val="20"/>
                <w:szCs w:val="20"/>
                <w:color w:val="auto"/>
              </w:rPr>
            </w:pPr>
            <w:r>
              <w:rPr>
                <w:rFonts w:ascii="Arial" w:cs="Arial" w:eastAsia="Arial" w:hAnsi="Arial"/>
                <w:sz w:val="13"/>
                <w:szCs w:val="13"/>
                <w:color w:val="auto"/>
              </w:rPr>
              <w:t>France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871.6</w:t>
            </w:r>
          </w:p>
        </w:tc>
        <w:tc>
          <w:tcPr>
            <w:tcW w:w="280" w:type="dxa"/>
            <w:vAlign w:val="bottom"/>
          </w:tcPr>
          <w:p>
            <w:pPr>
              <w:spacing w:after="0"/>
              <w:rPr>
                <w:sz w:val="16"/>
                <w:szCs w:val="16"/>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64.0</w:t>
            </w:r>
          </w:p>
        </w:tc>
        <w:tc>
          <w:tcPr>
            <w:tcW w:w="18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11.3</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18.8</w:t>
            </w:r>
          </w:p>
        </w:tc>
        <w:tc>
          <w:tcPr>
            <w:tcW w:w="30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965.7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color w:val="auto"/>
              </w:rPr>
              <w:t>997.7</w:t>
            </w:r>
          </w:p>
        </w:tc>
        <w:tc>
          <w:tcPr>
            <w:tcW w:w="120" w:type="dxa"/>
            <w:vAlign w:val="bottom"/>
          </w:tcPr>
          <w:p>
            <w:pPr>
              <w:spacing w:after="0"/>
              <w:rPr>
                <w:sz w:val="16"/>
                <w:szCs w:val="16"/>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66.8</w:t>
            </w:r>
          </w:p>
        </w:tc>
        <w:tc>
          <w:tcPr>
            <w:tcW w:w="18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14.9</w:t>
            </w:r>
          </w:p>
        </w:tc>
        <w:tc>
          <w:tcPr>
            <w:tcW w:w="20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19.9</w:t>
            </w:r>
          </w:p>
        </w:tc>
        <w:tc>
          <w:tcPr>
            <w:tcW w:w="28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1,099.3</w:t>
            </w:r>
          </w:p>
        </w:tc>
        <w:tc>
          <w:tcPr>
            <w:tcW w:w="0" w:type="dxa"/>
            <w:vAlign w:val="bottom"/>
          </w:tcPr>
          <w:p>
            <w:pPr>
              <w:spacing w:after="0"/>
              <w:rPr>
                <w:sz w:val="1"/>
                <w:szCs w:val="1"/>
                <w:color w:val="auto"/>
              </w:rPr>
            </w:pPr>
          </w:p>
        </w:tc>
      </w:tr>
      <w:tr>
        <w:trPr>
          <w:trHeight w:val="189"/>
        </w:trPr>
        <w:tc>
          <w:tcPr>
            <w:tcW w:w="188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80" w:type="dxa"/>
            <w:vAlign w:val="bottom"/>
            <w:shd w:val="clear" w:color="auto" w:fill="E2E8F1"/>
          </w:tcPr>
          <w:p>
            <w:pPr>
              <w:spacing w:after="0"/>
              <w:rPr>
                <w:sz w:val="16"/>
                <w:szCs w:val="16"/>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368.8</w:t>
            </w:r>
          </w:p>
        </w:tc>
        <w:tc>
          <w:tcPr>
            <w:tcW w:w="280" w:type="dxa"/>
            <w:vAlign w:val="bottom"/>
            <w:shd w:val="clear" w:color="auto" w:fill="E2E8F1"/>
          </w:tcPr>
          <w:p>
            <w:pPr>
              <w:spacing w:after="0"/>
              <w:rPr>
                <w:sz w:val="16"/>
                <w:szCs w:val="16"/>
                <w:color w:val="auto"/>
              </w:rPr>
            </w:pPr>
          </w:p>
        </w:tc>
        <w:tc>
          <w:tcPr>
            <w:tcW w:w="78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11.1</w:t>
            </w:r>
          </w:p>
        </w:tc>
        <w:tc>
          <w:tcPr>
            <w:tcW w:w="180" w:type="dxa"/>
            <w:vAlign w:val="bottom"/>
            <w:shd w:val="clear" w:color="auto" w:fill="E2E8F1"/>
          </w:tcPr>
          <w:p>
            <w:pPr>
              <w:spacing w:after="0"/>
              <w:rPr>
                <w:sz w:val="16"/>
                <w:szCs w:val="16"/>
                <w:color w:val="auto"/>
              </w:rPr>
            </w:pPr>
          </w:p>
        </w:tc>
        <w:tc>
          <w:tcPr>
            <w:tcW w:w="880" w:type="dxa"/>
            <w:vAlign w:val="bottom"/>
            <w:shd w:val="clear" w:color="auto" w:fill="E2E8F1"/>
          </w:tcPr>
          <w:p>
            <w:pPr>
              <w:jc w:val="right"/>
              <w:ind w:right="73"/>
              <w:spacing w:after="0"/>
              <w:rPr>
                <w:sz w:val="20"/>
                <w:szCs w:val="20"/>
                <w:color w:val="auto"/>
              </w:rPr>
            </w:pPr>
            <w:r>
              <w:rPr>
                <w:rFonts w:ascii="Arial" w:cs="Arial" w:eastAsia="Arial" w:hAnsi="Arial"/>
                <w:sz w:val="13"/>
                <w:szCs w:val="13"/>
                <w:color w:val="auto"/>
              </w:rPr>
              <w:t>12.0</w:t>
            </w:r>
          </w:p>
        </w:tc>
        <w:tc>
          <w:tcPr>
            <w:tcW w:w="260" w:type="dxa"/>
            <w:vAlign w:val="bottom"/>
            <w:shd w:val="clear" w:color="auto" w:fill="E2E8F1"/>
          </w:tcPr>
          <w:p>
            <w:pPr>
              <w:spacing w:after="0"/>
              <w:rPr>
                <w:sz w:val="16"/>
                <w:szCs w:val="16"/>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5.9</w:t>
            </w:r>
          </w:p>
        </w:tc>
        <w:tc>
          <w:tcPr>
            <w:tcW w:w="300" w:type="dxa"/>
            <w:vAlign w:val="bottom"/>
            <w:shd w:val="clear" w:color="auto" w:fill="E2E8F1"/>
          </w:tcPr>
          <w:p>
            <w:pPr>
              <w:spacing w:after="0"/>
              <w:rPr>
                <w:sz w:val="16"/>
                <w:szCs w:val="16"/>
                <w:color w:val="auto"/>
              </w:rPr>
            </w:pPr>
          </w:p>
        </w:tc>
        <w:tc>
          <w:tcPr>
            <w:tcW w:w="68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397.8</w:t>
            </w:r>
          </w:p>
        </w:tc>
        <w:tc>
          <w:tcPr>
            <w:tcW w:w="1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780" w:type="dxa"/>
            <w:vAlign w:val="bottom"/>
            <w:shd w:val="clear" w:color="auto" w:fill="E2E8F1"/>
          </w:tcPr>
          <w:p>
            <w:pPr>
              <w:jc w:val="right"/>
              <w:ind w:right="114"/>
              <w:spacing w:after="0"/>
              <w:rPr>
                <w:sz w:val="20"/>
                <w:szCs w:val="20"/>
                <w:color w:val="auto"/>
              </w:rPr>
            </w:pPr>
            <w:r>
              <w:rPr>
                <w:rFonts w:ascii="Arial" w:cs="Arial" w:eastAsia="Arial" w:hAnsi="Arial"/>
                <w:sz w:val="13"/>
                <w:szCs w:val="13"/>
                <w:color w:val="auto"/>
              </w:rPr>
              <w:t>376.1</w:t>
            </w:r>
          </w:p>
        </w:tc>
        <w:tc>
          <w:tcPr>
            <w:tcW w:w="120" w:type="dxa"/>
            <w:vAlign w:val="bottom"/>
            <w:shd w:val="clear" w:color="auto" w:fill="E2E8F1"/>
          </w:tcPr>
          <w:p>
            <w:pPr>
              <w:spacing w:after="0"/>
              <w:rPr>
                <w:sz w:val="16"/>
                <w:szCs w:val="16"/>
                <w:color w:val="auto"/>
              </w:rPr>
            </w:pPr>
          </w:p>
        </w:tc>
        <w:tc>
          <w:tcPr>
            <w:tcW w:w="800" w:type="dxa"/>
            <w:vAlign w:val="bottom"/>
            <w:shd w:val="clear" w:color="auto" w:fill="E2E8F1"/>
          </w:tcPr>
          <w:p>
            <w:pPr>
              <w:jc w:val="right"/>
              <w:ind w:right="54"/>
              <w:spacing w:after="0"/>
              <w:rPr>
                <w:sz w:val="20"/>
                <w:szCs w:val="20"/>
                <w:color w:val="auto"/>
              </w:rPr>
            </w:pPr>
            <w:r>
              <w:rPr>
                <w:rFonts w:ascii="Arial" w:cs="Arial" w:eastAsia="Arial" w:hAnsi="Arial"/>
                <w:sz w:val="13"/>
                <w:szCs w:val="13"/>
                <w:color w:val="auto"/>
              </w:rPr>
              <w:t>8.1</w:t>
            </w: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13.6</w:t>
            </w:r>
          </w:p>
        </w:tc>
        <w:tc>
          <w:tcPr>
            <w:tcW w:w="20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33"/>
              <w:spacing w:after="0"/>
              <w:rPr>
                <w:sz w:val="20"/>
                <w:szCs w:val="20"/>
                <w:color w:val="auto"/>
              </w:rPr>
            </w:pPr>
            <w:r>
              <w:rPr>
                <w:rFonts w:ascii="Arial" w:cs="Arial" w:eastAsia="Arial" w:hAnsi="Arial"/>
                <w:sz w:val="13"/>
                <w:szCs w:val="13"/>
                <w:color w:val="auto"/>
              </w:rPr>
              <w:t>6.5</w:t>
            </w:r>
          </w:p>
        </w:tc>
        <w:tc>
          <w:tcPr>
            <w:tcW w:w="280" w:type="dxa"/>
            <w:vAlign w:val="bottom"/>
            <w:shd w:val="clear" w:color="auto" w:fill="E2E8F1"/>
          </w:tcPr>
          <w:p>
            <w:pPr>
              <w:spacing w:after="0"/>
              <w:rPr>
                <w:sz w:val="16"/>
                <w:szCs w:val="16"/>
                <w:color w:val="auto"/>
              </w:rPr>
            </w:pPr>
          </w:p>
        </w:tc>
        <w:tc>
          <w:tcPr>
            <w:tcW w:w="760" w:type="dxa"/>
            <w:vAlign w:val="bottom"/>
            <w:shd w:val="clear" w:color="auto" w:fill="E2E8F1"/>
          </w:tcPr>
          <w:p>
            <w:pPr>
              <w:jc w:val="right"/>
              <w:ind w:right="53"/>
              <w:spacing w:after="0"/>
              <w:rPr>
                <w:sz w:val="20"/>
                <w:szCs w:val="20"/>
                <w:color w:val="auto"/>
              </w:rPr>
            </w:pPr>
            <w:r>
              <w:rPr>
                <w:rFonts w:ascii="Arial" w:cs="Arial" w:eastAsia="Arial" w:hAnsi="Arial"/>
                <w:sz w:val="13"/>
                <w:szCs w:val="13"/>
                <w:color w:val="auto"/>
              </w:rPr>
              <w:t>404.3</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tcPr>
          <w:p>
            <w:pPr>
              <w:ind w:left="40"/>
              <w:spacing w:after="0"/>
              <w:rPr>
                <w:sz w:val="20"/>
                <w:szCs w:val="20"/>
                <w:color w:val="auto"/>
              </w:rPr>
            </w:pPr>
            <w:r>
              <w:rPr>
                <w:rFonts w:ascii="Arial" w:cs="Arial" w:eastAsia="Arial" w:hAnsi="Arial"/>
                <w:sz w:val="13"/>
                <w:szCs w:val="13"/>
                <w:color w:val="auto"/>
              </w:rPr>
              <w:t>Other Southern Europe</w:t>
            </w:r>
          </w:p>
        </w:tc>
        <w:tc>
          <w:tcPr>
            <w:tcW w:w="8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371.4</w:t>
            </w:r>
          </w:p>
        </w:tc>
        <w:tc>
          <w:tcPr>
            <w:tcW w:w="2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76.1</w:t>
            </w:r>
          </w:p>
        </w:tc>
        <w:tc>
          <w:tcPr>
            <w:tcW w:w="18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13.7</w:t>
            </w:r>
          </w:p>
        </w:tc>
        <w:tc>
          <w:tcPr>
            <w:tcW w:w="26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9.3</w:t>
            </w:r>
          </w:p>
        </w:tc>
        <w:tc>
          <w:tcPr>
            <w:tcW w:w="30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470.5</w:t>
            </w:r>
          </w:p>
        </w:tc>
        <w:tc>
          <w:tcPr>
            <w:tcW w:w="100" w:type="dxa"/>
            <w:vAlign w:val="bottom"/>
            <w:tcBorders>
              <w:bottom w:val="single" w:sz="8" w:color="231F20"/>
            </w:tcBorders>
          </w:tcPr>
          <w:p>
            <w:pPr>
              <w:spacing w:after="0"/>
              <w:rPr>
                <w:sz w:val="16"/>
                <w:szCs w:val="16"/>
                <w:color w:val="auto"/>
              </w:rPr>
            </w:pPr>
          </w:p>
        </w:tc>
        <w:tc>
          <w:tcPr>
            <w:tcW w:w="10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114"/>
              <w:spacing w:after="0"/>
              <w:rPr>
                <w:sz w:val="20"/>
                <w:szCs w:val="20"/>
                <w:color w:val="auto"/>
              </w:rPr>
            </w:pPr>
            <w:r>
              <w:rPr>
                <w:rFonts w:ascii="Arial" w:cs="Arial" w:eastAsia="Arial" w:hAnsi="Arial"/>
                <w:sz w:val="13"/>
                <w:szCs w:val="13"/>
                <w:color w:val="auto"/>
              </w:rPr>
              <w:t>377.7</w:t>
            </w:r>
          </w:p>
        </w:tc>
        <w:tc>
          <w:tcPr>
            <w:tcW w:w="12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79.0</w:t>
            </w:r>
          </w:p>
        </w:tc>
        <w:tc>
          <w:tcPr>
            <w:tcW w:w="18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13.7</w:t>
            </w:r>
          </w:p>
        </w:tc>
        <w:tc>
          <w:tcPr>
            <w:tcW w:w="200" w:type="dxa"/>
            <w:vAlign w:val="bottom"/>
            <w:tcBorders>
              <w:bottom w:val="single" w:sz="8" w:color="231F20"/>
            </w:tcBorders>
          </w:tcPr>
          <w:p>
            <w:pPr>
              <w:spacing w:after="0"/>
              <w:rPr>
                <w:sz w:val="16"/>
                <w:szCs w:val="16"/>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7.3</w:t>
            </w:r>
          </w:p>
        </w:tc>
        <w:tc>
          <w:tcPr>
            <w:tcW w:w="2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477.7</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shd w:val="clear" w:color="auto" w:fill="E2E8F1"/>
          </w:tcPr>
          <w:p>
            <w:pPr>
              <w:spacing w:after="0"/>
              <w:rPr>
                <w:sz w:val="15"/>
                <w:szCs w:val="15"/>
                <w:color w:val="auto"/>
              </w:rPr>
            </w:pPr>
          </w:p>
        </w:tc>
        <w:tc>
          <w:tcPr>
            <w:tcW w:w="8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1,611.8</w:t>
            </w:r>
          </w:p>
        </w:tc>
        <w:tc>
          <w:tcPr>
            <w:tcW w:w="2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151.2</w:t>
            </w: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37.0</w:t>
            </w:r>
          </w:p>
        </w:tc>
        <w:tc>
          <w:tcPr>
            <w:tcW w:w="26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34.0</w:t>
            </w:r>
          </w:p>
        </w:tc>
        <w:tc>
          <w:tcPr>
            <w:tcW w:w="30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1,834.0</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jc w:val="right"/>
              <w:ind w:right="114"/>
              <w:spacing w:after="0"/>
              <w:rPr>
                <w:sz w:val="20"/>
                <w:szCs w:val="20"/>
                <w:color w:val="auto"/>
              </w:rPr>
            </w:pPr>
            <w:r>
              <w:rPr>
                <w:rFonts w:ascii="Arial" w:cs="Arial" w:eastAsia="Arial" w:hAnsi="Arial"/>
                <w:sz w:val="13"/>
                <w:szCs w:val="13"/>
                <w:color w:val="auto"/>
              </w:rPr>
              <w:t>1,751.5</w:t>
            </w:r>
          </w:p>
        </w:tc>
        <w:tc>
          <w:tcPr>
            <w:tcW w:w="12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153.9</w:t>
            </w: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42.2</w:t>
            </w: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33.7</w:t>
            </w: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1,981.3</w:t>
            </w: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rPr>
                <w:sz w:val="20"/>
                <w:szCs w:val="20"/>
                <w:color w:val="auto"/>
              </w:rPr>
            </w:pPr>
            <w:r>
              <w:rPr>
                <w:rFonts w:ascii="Arial" w:cs="Arial" w:eastAsia="Arial" w:hAnsi="Arial"/>
                <w:sz w:val="13"/>
                <w:szCs w:val="13"/>
                <w:color w:val="auto"/>
              </w:rPr>
              <w:t>Northern Europe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621.0</w:t>
            </w:r>
          </w:p>
        </w:tc>
        <w:tc>
          <w:tcPr>
            <w:tcW w:w="28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Arial" w:cs="Arial" w:eastAsia="Arial" w:hAnsi="Arial"/>
                <w:sz w:val="13"/>
                <w:szCs w:val="13"/>
                <w:color w:val="auto"/>
              </w:rPr>
              <w:t>58.7</w:t>
            </w:r>
          </w:p>
        </w:tc>
        <w:tc>
          <w:tcPr>
            <w:tcW w:w="18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26.7</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24.4</w:t>
            </w:r>
          </w:p>
        </w:tc>
        <w:tc>
          <w:tcPr>
            <w:tcW w:w="30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730.8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color w:val="auto"/>
              </w:rPr>
              <w:t>738.1</w:t>
            </w:r>
          </w:p>
        </w:tc>
        <w:tc>
          <w:tcPr>
            <w:tcW w:w="1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3"/>
                <w:szCs w:val="13"/>
                <w:color w:val="auto"/>
              </w:rPr>
              <w:t>72.9</w:t>
            </w:r>
          </w:p>
        </w:tc>
        <w:tc>
          <w:tcPr>
            <w:tcW w:w="18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33.8</w:t>
            </w:r>
          </w:p>
        </w:tc>
        <w:tc>
          <w:tcPr>
            <w:tcW w:w="2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25.5</w:t>
            </w:r>
          </w:p>
        </w:tc>
        <w:tc>
          <w:tcPr>
            <w:tcW w:w="28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870.3</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8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396.0</w:t>
            </w:r>
          </w:p>
        </w:tc>
        <w:tc>
          <w:tcPr>
            <w:tcW w:w="28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60.5</w:t>
            </w:r>
          </w:p>
        </w:tc>
        <w:tc>
          <w:tcPr>
            <w:tcW w:w="180" w:type="dxa"/>
            <w:vAlign w:val="bottom"/>
            <w:tcBorders>
              <w:bottom w:val="single" w:sz="8" w:color="231F20"/>
            </w:tcBorders>
            <w:shd w:val="clear" w:color="auto" w:fill="E2E8F1"/>
          </w:tcPr>
          <w:p>
            <w:pPr>
              <w:spacing w:after="0"/>
              <w:rPr>
                <w:sz w:val="16"/>
                <w:szCs w:val="16"/>
                <w:color w:val="auto"/>
              </w:rPr>
            </w:pPr>
          </w:p>
        </w:tc>
        <w:tc>
          <w:tcPr>
            <w:tcW w:w="880" w:type="dxa"/>
            <w:vAlign w:val="bottom"/>
            <w:tcBorders>
              <w:bottom w:val="single" w:sz="8" w:color="231F20"/>
            </w:tcBorders>
            <w:shd w:val="clear" w:color="auto" w:fill="E2E8F1"/>
          </w:tcPr>
          <w:p>
            <w:pPr>
              <w:jc w:val="right"/>
              <w:ind w:right="73"/>
              <w:spacing w:after="0"/>
              <w:rPr>
                <w:sz w:val="20"/>
                <w:szCs w:val="20"/>
                <w:color w:val="auto"/>
              </w:rPr>
            </w:pPr>
            <w:r>
              <w:rPr>
                <w:rFonts w:ascii="Arial" w:cs="Arial" w:eastAsia="Arial" w:hAnsi="Arial"/>
                <w:sz w:val="13"/>
                <w:szCs w:val="13"/>
                <w:color w:val="auto"/>
              </w:rPr>
              <w:t>11.3</w:t>
            </w:r>
          </w:p>
        </w:tc>
        <w:tc>
          <w:tcPr>
            <w:tcW w:w="26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8.6</w:t>
            </w:r>
          </w:p>
        </w:tc>
        <w:tc>
          <w:tcPr>
            <w:tcW w:w="300" w:type="dxa"/>
            <w:vAlign w:val="bottom"/>
            <w:tcBorders>
              <w:bottom w:val="single" w:sz="8" w:color="231F20"/>
            </w:tcBorders>
            <w:shd w:val="clear" w:color="auto" w:fill="E2E8F1"/>
          </w:tcPr>
          <w:p>
            <w:pPr>
              <w:spacing w:after="0"/>
              <w:rPr>
                <w:sz w:val="16"/>
                <w:szCs w:val="16"/>
                <w:color w:val="auto"/>
              </w:rPr>
            </w:pPr>
          </w:p>
        </w:tc>
        <w:tc>
          <w:tcPr>
            <w:tcW w:w="68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476.4</w:t>
            </w:r>
          </w:p>
        </w:tc>
        <w:tc>
          <w:tcPr>
            <w:tcW w:w="100" w:type="dxa"/>
            <w:vAlign w:val="bottom"/>
            <w:tcBorders>
              <w:bottom w:val="single" w:sz="8" w:color="231F20"/>
            </w:tcBorders>
            <w:shd w:val="clear" w:color="auto" w:fill="E2E8F1"/>
          </w:tcPr>
          <w:p>
            <w:pPr>
              <w:spacing w:after="0"/>
              <w:rPr>
                <w:sz w:val="16"/>
                <w:szCs w:val="16"/>
                <w:color w:val="auto"/>
              </w:rPr>
            </w:pPr>
          </w:p>
        </w:tc>
        <w:tc>
          <w:tcPr>
            <w:tcW w:w="100" w:type="dxa"/>
            <w:vAlign w:val="bottom"/>
            <w:tcBorders>
              <w:bottom w:val="single" w:sz="8" w:color="231F20"/>
            </w:tcBorders>
            <w:shd w:val="clear" w:color="auto" w:fill="E2E8F1"/>
          </w:tcPr>
          <w:p>
            <w:pPr>
              <w:spacing w:after="0"/>
              <w:rPr>
                <w:sz w:val="16"/>
                <w:szCs w:val="16"/>
                <w:color w:val="auto"/>
              </w:rPr>
            </w:pPr>
          </w:p>
        </w:tc>
        <w:tc>
          <w:tcPr>
            <w:tcW w:w="780" w:type="dxa"/>
            <w:vAlign w:val="bottom"/>
            <w:tcBorders>
              <w:bottom w:val="single" w:sz="8" w:color="231F20"/>
            </w:tcBorders>
            <w:shd w:val="clear" w:color="auto" w:fill="E2E8F1"/>
          </w:tcPr>
          <w:p>
            <w:pPr>
              <w:jc w:val="right"/>
              <w:ind w:right="114"/>
              <w:spacing w:after="0"/>
              <w:rPr>
                <w:sz w:val="20"/>
                <w:szCs w:val="20"/>
                <w:color w:val="auto"/>
              </w:rPr>
            </w:pPr>
            <w:r>
              <w:rPr>
                <w:rFonts w:ascii="Arial" w:cs="Arial" w:eastAsia="Arial" w:hAnsi="Arial"/>
                <w:sz w:val="13"/>
                <w:szCs w:val="13"/>
                <w:color w:val="auto"/>
              </w:rPr>
              <w:t>426.2</w:t>
            </w:r>
          </w:p>
        </w:tc>
        <w:tc>
          <w:tcPr>
            <w:tcW w:w="120" w:type="dxa"/>
            <w:vAlign w:val="bottom"/>
            <w:tcBorders>
              <w:bottom w:val="single" w:sz="8" w:color="231F20"/>
            </w:tcBorders>
            <w:shd w:val="clear" w:color="auto" w:fill="E2E8F1"/>
          </w:tcPr>
          <w:p>
            <w:pPr>
              <w:spacing w:after="0"/>
              <w:rPr>
                <w:sz w:val="16"/>
                <w:szCs w:val="16"/>
                <w:color w:val="auto"/>
              </w:rPr>
            </w:pPr>
          </w:p>
        </w:tc>
        <w:tc>
          <w:tcPr>
            <w:tcW w:w="800" w:type="dxa"/>
            <w:vAlign w:val="bottom"/>
            <w:tcBorders>
              <w:bottom w:val="single" w:sz="8" w:color="231F20"/>
            </w:tcBorders>
            <w:shd w:val="clear" w:color="auto" w:fill="E2E8F1"/>
          </w:tcPr>
          <w:p>
            <w:pPr>
              <w:jc w:val="right"/>
              <w:ind w:right="54"/>
              <w:spacing w:after="0"/>
              <w:rPr>
                <w:sz w:val="20"/>
                <w:szCs w:val="20"/>
                <w:color w:val="auto"/>
              </w:rPr>
            </w:pPr>
            <w:r>
              <w:rPr>
                <w:rFonts w:ascii="Arial" w:cs="Arial" w:eastAsia="Arial" w:hAnsi="Arial"/>
                <w:sz w:val="13"/>
                <w:szCs w:val="13"/>
                <w:color w:val="auto"/>
              </w:rPr>
              <w:t>86.1</w:t>
            </w:r>
          </w:p>
        </w:tc>
        <w:tc>
          <w:tcPr>
            <w:tcW w:w="180" w:type="dxa"/>
            <w:vAlign w:val="bottom"/>
            <w:tcBorders>
              <w:bottom w:val="single" w:sz="8" w:color="231F20"/>
            </w:tcBorders>
            <w:shd w:val="clear" w:color="auto" w:fill="E2E8F1"/>
          </w:tcPr>
          <w:p>
            <w:pPr>
              <w:spacing w:after="0"/>
              <w:rPr>
                <w:sz w:val="16"/>
                <w:szCs w:val="16"/>
                <w:color w:val="auto"/>
              </w:rPr>
            </w:pPr>
          </w:p>
        </w:tc>
        <w:tc>
          <w:tcPr>
            <w:tcW w:w="8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12.6</w:t>
            </w:r>
          </w:p>
        </w:tc>
        <w:tc>
          <w:tcPr>
            <w:tcW w:w="200" w:type="dxa"/>
            <w:vAlign w:val="bottom"/>
            <w:tcBorders>
              <w:bottom w:val="single" w:sz="8" w:color="231F20"/>
            </w:tcBorders>
            <w:shd w:val="clear" w:color="auto" w:fill="E2E8F1"/>
          </w:tcPr>
          <w:p>
            <w:pPr>
              <w:spacing w:after="0"/>
              <w:rPr>
                <w:sz w:val="16"/>
                <w:szCs w:val="16"/>
                <w:color w:val="auto"/>
              </w:rPr>
            </w:pPr>
          </w:p>
        </w:tc>
        <w:tc>
          <w:tcPr>
            <w:tcW w:w="580" w:type="dxa"/>
            <w:vAlign w:val="bottom"/>
            <w:tcBorders>
              <w:bottom w:val="single" w:sz="8" w:color="231F20"/>
            </w:tcBorders>
            <w:shd w:val="clear" w:color="auto" w:fill="E2E8F1"/>
          </w:tcPr>
          <w:p>
            <w:pPr>
              <w:jc w:val="right"/>
              <w:ind w:right="33"/>
              <w:spacing w:after="0"/>
              <w:rPr>
                <w:sz w:val="20"/>
                <w:szCs w:val="20"/>
                <w:color w:val="auto"/>
              </w:rPr>
            </w:pPr>
            <w:r>
              <w:rPr>
                <w:rFonts w:ascii="Arial" w:cs="Arial" w:eastAsia="Arial" w:hAnsi="Arial"/>
                <w:sz w:val="13"/>
                <w:szCs w:val="13"/>
                <w:color w:val="auto"/>
              </w:rPr>
              <w:t>10.2</w:t>
            </w:r>
          </w:p>
        </w:tc>
        <w:tc>
          <w:tcPr>
            <w:tcW w:w="280" w:type="dxa"/>
            <w:vAlign w:val="bottom"/>
            <w:tcBorders>
              <w:bottom w:val="single" w:sz="8" w:color="231F20"/>
            </w:tcBorders>
            <w:shd w:val="clear" w:color="auto" w:fill="E2E8F1"/>
          </w:tcPr>
          <w:p>
            <w:pPr>
              <w:spacing w:after="0"/>
              <w:rPr>
                <w:sz w:val="16"/>
                <w:szCs w:val="16"/>
                <w:color w:val="auto"/>
              </w:rPr>
            </w:pPr>
          </w:p>
        </w:tc>
        <w:tc>
          <w:tcPr>
            <w:tcW w:w="760" w:type="dxa"/>
            <w:vAlign w:val="bottom"/>
            <w:tcBorders>
              <w:bottom w:val="single" w:sz="8" w:color="231F20"/>
            </w:tcBorders>
            <w:shd w:val="clear" w:color="auto" w:fill="E2E8F1"/>
          </w:tcPr>
          <w:p>
            <w:pPr>
              <w:jc w:val="right"/>
              <w:ind w:right="53"/>
              <w:spacing w:after="0"/>
              <w:rPr>
                <w:sz w:val="20"/>
                <w:szCs w:val="20"/>
                <w:color w:val="auto"/>
              </w:rPr>
            </w:pPr>
            <w:r>
              <w:rPr>
                <w:rFonts w:ascii="Arial" w:cs="Arial" w:eastAsia="Arial" w:hAnsi="Arial"/>
                <w:sz w:val="13"/>
                <w:szCs w:val="13"/>
                <w:color w:val="auto"/>
              </w:rPr>
              <w:t>535.1</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spacing w:after="0"/>
              <w:rPr>
                <w:sz w:val="15"/>
                <w:szCs w:val="15"/>
                <w:color w:val="auto"/>
              </w:rPr>
            </w:pP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3,587.1</w:t>
            </w: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287.5</w:t>
            </w: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jc w:val="right"/>
              <w:ind w:right="73"/>
              <w:spacing w:after="0"/>
              <w:rPr>
                <w:sz w:val="20"/>
                <w:szCs w:val="20"/>
                <w:color w:val="auto"/>
              </w:rPr>
            </w:pPr>
            <w:r>
              <w:rPr>
                <w:rFonts w:ascii="Arial" w:cs="Arial" w:eastAsia="Arial" w:hAnsi="Arial"/>
                <w:sz w:val="13"/>
                <w:szCs w:val="13"/>
                <w:color w:val="auto"/>
              </w:rPr>
              <w:t>112.6</w:t>
            </w:r>
          </w:p>
        </w:tc>
        <w:tc>
          <w:tcPr>
            <w:tcW w:w="26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110.7</w:t>
            </w:r>
          </w:p>
        </w:tc>
        <w:tc>
          <w:tcPr>
            <w:tcW w:w="300" w:type="dxa"/>
            <w:vAlign w:val="bottom"/>
            <w:tcBorders>
              <w:bottom w:val="single" w:sz="8" w:color="231F20"/>
            </w:tcBorders>
          </w:tcPr>
          <w:p>
            <w:pPr>
              <w:spacing w:after="0"/>
              <w:rPr>
                <w:sz w:val="15"/>
                <w:szCs w:val="15"/>
                <w:color w:val="auto"/>
              </w:rPr>
            </w:pP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4,097.9</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jc w:val="right"/>
              <w:ind w:right="114"/>
              <w:spacing w:after="0"/>
              <w:rPr>
                <w:sz w:val="20"/>
                <w:szCs w:val="20"/>
                <w:color w:val="auto"/>
              </w:rPr>
            </w:pPr>
            <w:r>
              <w:rPr>
                <w:rFonts w:ascii="Arial" w:cs="Arial" w:eastAsia="Arial" w:hAnsi="Arial"/>
                <w:sz w:val="13"/>
                <w:szCs w:val="13"/>
                <w:color w:val="auto"/>
              </w:rPr>
              <w:t>3,850.8</w:t>
            </w: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jc w:val="right"/>
              <w:ind w:right="54"/>
              <w:spacing w:after="0"/>
              <w:rPr>
                <w:sz w:val="20"/>
                <w:szCs w:val="20"/>
                <w:color w:val="auto"/>
              </w:rPr>
            </w:pPr>
            <w:r>
              <w:rPr>
                <w:rFonts w:ascii="Arial" w:cs="Arial" w:eastAsia="Arial" w:hAnsi="Arial"/>
                <w:sz w:val="13"/>
                <w:szCs w:val="13"/>
                <w:color w:val="auto"/>
              </w:rPr>
              <w:t>327.0</w:t>
            </w: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131.0</w:t>
            </w: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jc w:val="right"/>
              <w:ind w:right="33"/>
              <w:spacing w:after="0"/>
              <w:rPr>
                <w:sz w:val="20"/>
                <w:szCs w:val="20"/>
                <w:color w:val="auto"/>
              </w:rPr>
            </w:pPr>
            <w:r>
              <w:rPr>
                <w:rFonts w:ascii="Arial" w:cs="Arial" w:eastAsia="Arial" w:hAnsi="Arial"/>
                <w:sz w:val="13"/>
                <w:szCs w:val="13"/>
                <w:color w:val="auto"/>
              </w:rPr>
              <w:t>114.3</w:t>
            </w:r>
          </w:p>
        </w:tc>
        <w:tc>
          <w:tcPr>
            <w:tcW w:w="280" w:type="dxa"/>
            <w:vAlign w:val="bottom"/>
            <w:tcBorders>
              <w:bottom w:val="single" w:sz="8" w:color="231F20"/>
            </w:tcBorders>
          </w:tcPr>
          <w:p>
            <w:pPr>
              <w:spacing w:after="0"/>
              <w:rPr>
                <w:sz w:val="15"/>
                <w:szCs w:val="15"/>
                <w:color w:val="auto"/>
              </w:rPr>
            </w:pP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4,423.1</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shd w:val="clear" w:color="auto" w:fill="E2E8F1"/>
          </w:tcPr>
          <w:p>
            <w:pPr>
              <w:ind w:left="20"/>
              <w:spacing w:after="0"/>
              <w:rPr>
                <w:sz w:val="20"/>
                <w:szCs w:val="20"/>
                <w:color w:val="auto"/>
              </w:rPr>
            </w:pPr>
            <w:r>
              <w:rPr>
                <w:rFonts w:ascii="Arial" w:cs="Arial" w:eastAsia="Arial" w:hAnsi="Arial"/>
                <w:sz w:val="13"/>
                <w:szCs w:val="13"/>
                <w:color w:val="auto"/>
              </w:rPr>
              <w:t>Intercompany Eliminations</w:t>
            </w:r>
          </w:p>
        </w:tc>
        <w:tc>
          <w:tcPr>
            <w:tcW w:w="8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28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80" w:type="dxa"/>
            <w:vAlign w:val="bottom"/>
            <w:tcBorders>
              <w:bottom w:val="single" w:sz="8" w:color="231F20"/>
            </w:tcBorders>
            <w:shd w:val="clear" w:color="auto" w:fill="E2E8F1"/>
          </w:tcPr>
          <w:p>
            <w:pPr>
              <w:spacing w:after="0"/>
              <w:rPr>
                <w:sz w:val="15"/>
                <w:szCs w:val="15"/>
                <w:color w:val="auto"/>
              </w:rPr>
            </w:pPr>
          </w:p>
        </w:tc>
        <w:tc>
          <w:tcPr>
            <w:tcW w:w="26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300" w:type="dxa"/>
            <w:vAlign w:val="bottom"/>
            <w:tcBorders>
              <w:bottom w:val="single" w:sz="8" w:color="231F20"/>
            </w:tcBorders>
            <w:shd w:val="clear" w:color="auto" w:fill="E2E8F1"/>
          </w:tcPr>
          <w:p>
            <w:pPr>
              <w:spacing w:after="0"/>
              <w:rPr>
                <w:sz w:val="15"/>
                <w:szCs w:val="15"/>
                <w:color w:val="auto"/>
              </w:rPr>
            </w:pPr>
          </w:p>
        </w:tc>
        <w:tc>
          <w:tcPr>
            <w:tcW w:w="6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231F20"/>
            </w:tcBorders>
            <w:shd w:val="clear" w:color="auto" w:fill="E2E8F1"/>
          </w:tcPr>
          <w:p>
            <w:pPr>
              <w:spacing w:after="0"/>
              <w:rPr>
                <w:sz w:val="15"/>
                <w:szCs w:val="15"/>
                <w:color w:val="auto"/>
              </w:rPr>
            </w:pPr>
          </w:p>
        </w:tc>
        <w:tc>
          <w:tcPr>
            <w:tcW w:w="100" w:type="dxa"/>
            <w:vAlign w:val="bottom"/>
            <w:tcBorders>
              <w:bottom w:val="single" w:sz="8" w:color="231F20"/>
            </w:tcBorders>
            <w:shd w:val="clear" w:color="auto" w:fill="E2E8F1"/>
          </w:tcPr>
          <w:p>
            <w:pPr>
              <w:spacing w:after="0"/>
              <w:rPr>
                <w:sz w:val="15"/>
                <w:szCs w:val="15"/>
                <w:color w:val="auto"/>
              </w:rPr>
            </w:pPr>
          </w:p>
        </w:tc>
        <w:tc>
          <w:tcPr>
            <w:tcW w:w="780" w:type="dxa"/>
            <w:vAlign w:val="bottom"/>
            <w:tcBorders>
              <w:bottom w:val="single" w:sz="8" w:color="231F20"/>
            </w:tcBorders>
            <w:shd w:val="clear" w:color="auto" w:fill="E2E8F1"/>
          </w:tcPr>
          <w:p>
            <w:pPr>
              <w:spacing w:after="0"/>
              <w:rPr>
                <w:sz w:val="15"/>
                <w:szCs w:val="15"/>
                <w:color w:val="auto"/>
              </w:rPr>
            </w:pPr>
          </w:p>
        </w:tc>
        <w:tc>
          <w:tcPr>
            <w:tcW w:w="120" w:type="dxa"/>
            <w:vAlign w:val="bottom"/>
            <w:tcBorders>
              <w:bottom w:val="single" w:sz="8" w:color="231F20"/>
            </w:tcBorders>
            <w:shd w:val="clear" w:color="auto" w:fill="E2E8F1"/>
          </w:tcPr>
          <w:p>
            <w:pPr>
              <w:spacing w:after="0"/>
              <w:rPr>
                <w:sz w:val="15"/>
                <w:szCs w:val="15"/>
                <w:color w:val="auto"/>
              </w:rPr>
            </w:pPr>
          </w:p>
        </w:tc>
        <w:tc>
          <w:tcPr>
            <w:tcW w:w="800" w:type="dxa"/>
            <w:vAlign w:val="bottom"/>
            <w:tcBorders>
              <w:bottom w:val="single" w:sz="8" w:color="231F20"/>
            </w:tcBorders>
            <w:shd w:val="clear" w:color="auto" w:fill="E2E8F1"/>
          </w:tcPr>
          <w:p>
            <w:pPr>
              <w:spacing w:after="0"/>
              <w:rPr>
                <w:sz w:val="15"/>
                <w:szCs w:val="15"/>
                <w:color w:val="auto"/>
              </w:rPr>
            </w:pPr>
          </w:p>
        </w:tc>
        <w:tc>
          <w:tcPr>
            <w:tcW w:w="180" w:type="dxa"/>
            <w:vAlign w:val="bottom"/>
            <w:tcBorders>
              <w:bottom w:val="single" w:sz="8" w:color="231F20"/>
            </w:tcBorders>
            <w:shd w:val="clear" w:color="auto" w:fill="E2E8F1"/>
          </w:tcPr>
          <w:p>
            <w:pPr>
              <w:spacing w:after="0"/>
              <w:rPr>
                <w:sz w:val="15"/>
                <w:szCs w:val="15"/>
                <w:color w:val="auto"/>
              </w:rPr>
            </w:pPr>
          </w:p>
        </w:tc>
        <w:tc>
          <w:tcPr>
            <w:tcW w:w="860" w:type="dxa"/>
            <w:vAlign w:val="bottom"/>
            <w:tcBorders>
              <w:bottom w:val="single" w:sz="8" w:color="231F20"/>
            </w:tcBorders>
            <w:shd w:val="clear" w:color="auto" w:fill="E2E8F1"/>
          </w:tcPr>
          <w:p>
            <w:pPr>
              <w:spacing w:after="0"/>
              <w:rPr>
                <w:sz w:val="15"/>
                <w:szCs w:val="15"/>
                <w:color w:val="auto"/>
              </w:rPr>
            </w:pPr>
          </w:p>
        </w:tc>
        <w:tc>
          <w:tcPr>
            <w:tcW w:w="200" w:type="dxa"/>
            <w:vAlign w:val="bottom"/>
            <w:tcBorders>
              <w:bottom w:val="single" w:sz="8" w:color="231F20"/>
            </w:tcBorders>
            <w:shd w:val="clear" w:color="auto" w:fill="E2E8F1"/>
          </w:tcPr>
          <w:p>
            <w:pPr>
              <w:spacing w:after="0"/>
              <w:rPr>
                <w:sz w:val="15"/>
                <w:szCs w:val="15"/>
                <w:color w:val="auto"/>
              </w:rPr>
            </w:pPr>
          </w:p>
        </w:tc>
        <w:tc>
          <w:tcPr>
            <w:tcW w:w="580" w:type="dxa"/>
            <w:vAlign w:val="bottom"/>
            <w:tcBorders>
              <w:bottom w:val="single" w:sz="8" w:color="231F20"/>
            </w:tcBorders>
            <w:shd w:val="clear" w:color="auto" w:fill="E2E8F1"/>
          </w:tcPr>
          <w:p>
            <w:pPr>
              <w:spacing w:after="0"/>
              <w:rPr>
                <w:sz w:val="15"/>
                <w:szCs w:val="15"/>
                <w:color w:val="auto"/>
              </w:rPr>
            </w:pPr>
          </w:p>
        </w:tc>
        <w:tc>
          <w:tcPr>
            <w:tcW w:w="280" w:type="dxa"/>
            <w:vAlign w:val="bottom"/>
            <w:tcBorders>
              <w:bottom w:val="single" w:sz="8" w:color="231F20"/>
            </w:tcBorders>
            <w:shd w:val="clear" w:color="auto" w:fill="E2E8F1"/>
          </w:tcPr>
          <w:p>
            <w:pPr>
              <w:spacing w:after="0"/>
              <w:rPr>
                <w:sz w:val="15"/>
                <w:szCs w:val="15"/>
                <w:color w:val="auto"/>
              </w:rPr>
            </w:pPr>
          </w:p>
        </w:tc>
        <w:tc>
          <w:tcPr>
            <w:tcW w:w="7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231F20"/>
            </w:tcBorders>
          </w:tcPr>
          <w:p>
            <w:pPr>
              <w:ind w:left="2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8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300" w:type="dxa"/>
            <w:vAlign w:val="bottom"/>
            <w:tcBorders>
              <w:bottom w:val="single" w:sz="8" w:color="231F20"/>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4,090.3</w:t>
            </w:r>
          </w:p>
        </w:tc>
        <w:tc>
          <w:tcPr>
            <w:tcW w:w="100" w:type="dxa"/>
            <w:vAlign w:val="bottom"/>
            <w:tcBorders>
              <w:bottom w:val="single" w:sz="8" w:color="231F20"/>
            </w:tcBorders>
          </w:tcPr>
          <w:p>
            <w:pPr>
              <w:spacing w:after="0"/>
              <w:rPr>
                <w:sz w:val="15"/>
                <w:szCs w:val="15"/>
                <w:color w:val="auto"/>
              </w:rPr>
            </w:pPr>
          </w:p>
        </w:tc>
        <w:tc>
          <w:tcPr>
            <w:tcW w:w="10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80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58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1F20"/>
            </w:tcBorders>
          </w:tcPr>
          <w:p>
            <w:pPr>
              <w:jc w:val="right"/>
              <w:ind w:right="53"/>
              <w:spacing w:after="0"/>
              <w:rPr>
                <w:sz w:val="20"/>
                <w:szCs w:val="20"/>
                <w:color w:val="auto"/>
              </w:rPr>
            </w:pPr>
            <w:r>
              <w:rPr>
                <w:rFonts w:ascii="Arial" w:cs="Arial" w:eastAsia="Arial" w:hAnsi="Arial"/>
                <w:sz w:val="13"/>
                <w:szCs w:val="13"/>
                <w:color w:val="auto"/>
              </w:rPr>
              <w:t>4,403.3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-2202815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-1756410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c>
          <w:tcPr>
            <w:tcW w:w="460" w:type="dxa"/>
            <w:vAlign w:val="bottom"/>
            <w:tcBorders>
              <w:top w:val="single" w:sz="8" w:color="auto"/>
              <w:bottom w:val="single" w:sz="8" w:color="auto"/>
            </w:tcBorders>
            <w:shd w:val="clear" w:color="auto" w:fill="98B0CF"/>
          </w:tcPr>
          <w:p>
            <w:pPr>
              <w:spacing w:after="0"/>
              <w:rPr>
                <w:sz w:val="15"/>
                <w:szCs w:val="15"/>
                <w:color w:val="auto"/>
              </w:rPr>
            </w:pPr>
          </w:p>
        </w:tc>
        <w:tc>
          <w:tcPr>
            <w:tcW w:w="1180" w:type="dxa"/>
            <w:vAlign w:val="bottom"/>
            <w:tcBorders>
              <w:top w:val="single" w:sz="8" w:color="auto"/>
              <w:bottom w:val="single" w:sz="8" w:color="auto"/>
            </w:tcBorders>
            <w:shd w:val="clear" w:color="auto" w:fill="98B0CF"/>
          </w:tcPr>
          <w:p>
            <w:pPr>
              <w:spacing w:after="0"/>
              <w:rPr>
                <w:sz w:val="15"/>
                <w:szCs w:val="15"/>
                <w:color w:val="auto"/>
              </w:rPr>
            </w:pPr>
          </w:p>
        </w:tc>
        <w:tc>
          <w:tcPr>
            <w:tcW w:w="260" w:type="dxa"/>
            <w:vAlign w:val="bottom"/>
            <w:tcBorders>
              <w:top w:val="single" w:sz="8" w:color="auto"/>
              <w:bottom w:val="single" w:sz="8" w:color="auto"/>
            </w:tcBorders>
            <w:shd w:val="clear" w:color="auto" w:fill="98B0CF"/>
          </w:tcPr>
          <w:p>
            <w:pPr>
              <w:spacing w:after="0"/>
              <w:rPr>
                <w:sz w:val="15"/>
                <w:szCs w:val="15"/>
                <w:color w:val="auto"/>
              </w:rPr>
            </w:pPr>
          </w:p>
        </w:tc>
        <w:tc>
          <w:tcPr>
            <w:tcW w:w="2600" w:type="dxa"/>
            <w:vAlign w:val="bottom"/>
            <w:tcBorders>
              <w:top w:val="single" w:sz="8" w:color="auto"/>
              <w:bottom w:val="single" w:sz="8" w:color="auto"/>
            </w:tcBorders>
            <w:gridSpan w:val="4"/>
            <w:shd w:val="clear" w:color="auto" w:fill="98B0CF"/>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Borders>
              <w:top w:val="single" w:sz="8" w:color="auto"/>
              <w:bottom w:val="single" w:sz="8" w:color="auto"/>
            </w:tcBorders>
            <w:shd w:val="clear" w:color="auto" w:fill="98B0CF"/>
          </w:tcPr>
          <w:p>
            <w:pPr>
              <w:spacing w:after="0"/>
              <w:rPr>
                <w:sz w:val="15"/>
                <w:szCs w:val="15"/>
                <w:color w:val="auto"/>
              </w:rPr>
            </w:pPr>
          </w:p>
        </w:tc>
        <w:tc>
          <w:tcPr>
            <w:tcW w:w="1120" w:type="dxa"/>
            <w:vAlign w:val="bottom"/>
            <w:tcBorders>
              <w:top w:val="single" w:sz="8" w:color="auto"/>
              <w:bottom w:val="single" w:sz="8" w:color="auto"/>
            </w:tcBorders>
            <w:shd w:val="clear" w:color="auto" w:fill="98B0CF"/>
          </w:tcPr>
          <w:p>
            <w:pPr>
              <w:spacing w:after="0"/>
              <w:rPr>
                <w:sz w:val="15"/>
                <w:szCs w:val="15"/>
                <w:color w:val="auto"/>
              </w:rPr>
            </w:pP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60" w:type="dxa"/>
            <w:vAlign w:val="bottom"/>
            <w:tcBorders>
              <w:top w:val="single" w:sz="8" w:color="auto"/>
              <w:bottom w:val="single" w:sz="8" w:color="auto"/>
            </w:tcBorders>
            <w:shd w:val="clear" w:color="auto" w:fill="98B0CF"/>
          </w:tcPr>
          <w:p>
            <w:pPr>
              <w:spacing w:after="0"/>
              <w:rPr>
                <w:sz w:val="15"/>
                <w:szCs w:val="15"/>
                <w:color w:val="auto"/>
              </w:rPr>
            </w:pPr>
          </w:p>
        </w:tc>
      </w:tr>
      <w:tr>
        <w:trPr>
          <w:trHeight w:val="223"/>
        </w:trPr>
        <w:tc>
          <w:tcPr>
            <w:tcW w:w="282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1000" w:type="dxa"/>
            <w:vAlign w:val="bottom"/>
            <w:tcBorders>
              <w:bottom w:val="single" w:sz="8" w:color="231F20"/>
            </w:tcBorders>
            <w:shd w:val="clear" w:color="auto" w:fill="98B0CF"/>
          </w:tcPr>
          <w:p>
            <w:pPr>
              <w:spacing w:after="0"/>
              <w:rPr>
                <w:sz w:val="19"/>
                <w:szCs w:val="19"/>
                <w:color w:val="auto"/>
              </w:rPr>
            </w:pPr>
          </w:p>
        </w:tc>
        <w:tc>
          <w:tcPr>
            <w:tcW w:w="460" w:type="dxa"/>
            <w:vAlign w:val="bottom"/>
            <w:tcBorders>
              <w:bottom w:val="single" w:sz="8" w:color="231F20"/>
            </w:tcBorders>
            <w:shd w:val="clear" w:color="auto" w:fill="98B0CF"/>
          </w:tcPr>
          <w:p>
            <w:pPr>
              <w:spacing w:after="0"/>
              <w:rPr>
                <w:sz w:val="19"/>
                <w:szCs w:val="19"/>
                <w:color w:val="auto"/>
              </w:rPr>
            </w:pPr>
          </w:p>
        </w:tc>
        <w:tc>
          <w:tcPr>
            <w:tcW w:w="1180" w:type="dxa"/>
            <w:vAlign w:val="bottom"/>
            <w:tcBorders>
              <w:bottom w:val="single" w:sz="8" w:color="231F20"/>
            </w:tcBorders>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31F20"/>
            </w:tcBorders>
            <w:shd w:val="clear" w:color="auto" w:fill="98B0CF"/>
          </w:tcPr>
          <w:p>
            <w:pPr>
              <w:spacing w:after="0"/>
              <w:rPr>
                <w:sz w:val="19"/>
                <w:szCs w:val="19"/>
                <w:color w:val="auto"/>
              </w:rPr>
            </w:pPr>
          </w:p>
        </w:tc>
        <w:tc>
          <w:tcPr>
            <w:tcW w:w="1300" w:type="dxa"/>
            <w:vAlign w:val="bottom"/>
            <w:tcBorders>
              <w:bottom w:val="single" w:sz="8" w:color="231F20"/>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231F20"/>
            </w:tcBorders>
            <w:shd w:val="clear" w:color="auto" w:fill="98B0CF"/>
          </w:tcPr>
          <w:p>
            <w:pPr>
              <w:spacing w:after="0"/>
              <w:rPr>
                <w:sz w:val="19"/>
                <w:szCs w:val="19"/>
                <w:color w:val="auto"/>
              </w:rPr>
            </w:pPr>
          </w:p>
        </w:tc>
        <w:tc>
          <w:tcPr>
            <w:tcW w:w="1060" w:type="dxa"/>
            <w:vAlign w:val="bottom"/>
            <w:tcBorders>
              <w:bottom w:val="single" w:sz="8" w:color="231F20"/>
            </w:tcBorders>
            <w:shd w:val="clear" w:color="auto" w:fill="98B0CF"/>
          </w:tcPr>
          <w:p>
            <w:pPr>
              <w:spacing w:after="0"/>
              <w:rPr>
                <w:sz w:val="19"/>
                <w:szCs w:val="19"/>
                <w:color w:val="auto"/>
              </w:rPr>
            </w:pPr>
          </w:p>
        </w:tc>
        <w:tc>
          <w:tcPr>
            <w:tcW w:w="260" w:type="dxa"/>
            <w:vAlign w:val="bottom"/>
            <w:tcBorders>
              <w:bottom w:val="single" w:sz="8" w:color="231F20"/>
            </w:tcBorders>
            <w:shd w:val="clear" w:color="auto" w:fill="98B0CF"/>
          </w:tcPr>
          <w:p>
            <w:pPr>
              <w:spacing w:after="0"/>
              <w:rPr>
                <w:sz w:val="19"/>
                <w:szCs w:val="19"/>
                <w:color w:val="auto"/>
              </w:rPr>
            </w:pPr>
          </w:p>
        </w:tc>
        <w:tc>
          <w:tcPr>
            <w:tcW w:w="1120" w:type="dxa"/>
            <w:vAlign w:val="bottom"/>
            <w:tcBorders>
              <w:bottom w:val="single" w:sz="8" w:color="231F20"/>
            </w:tcBorders>
            <w:shd w:val="clear" w:color="auto" w:fill="98B0CF"/>
          </w:tcPr>
          <w:p>
            <w:pPr>
              <w:jc w:val="right"/>
              <w:ind w:right="348"/>
              <w:spacing w:after="0" w:line="216" w:lineRule="exact"/>
              <w:rPr>
                <w:sz w:val="20"/>
                <w:szCs w:val="20"/>
                <w:color w:val="auto"/>
              </w:rPr>
            </w:pPr>
            <w:r>
              <w:rPr>
                <w:rFonts w:ascii="Arial" w:cs="Arial" w:eastAsia="Arial" w:hAnsi="Arial"/>
                <w:sz w:val="14"/>
                <w:szCs w:val="14"/>
                <w:b w:val="1"/>
                <w:bCs w:val="1"/>
                <w:color w:val="auto"/>
              </w:rPr>
              <w:t>2024</w:t>
            </w:r>
            <w:r>
              <w:rPr>
                <w:rFonts w:ascii="Arial" w:cs="Arial" w:eastAsia="Arial" w:hAnsi="Arial"/>
                <w:sz w:val="19"/>
                <w:szCs w:val="19"/>
                <w:b w:val="1"/>
                <w:bCs w:val="1"/>
                <w:color w:val="auto"/>
                <w:vertAlign w:val="superscript"/>
              </w:rPr>
              <w:t>(a)</w:t>
            </w:r>
          </w:p>
        </w:tc>
        <w:tc>
          <w:tcPr>
            <w:tcW w:w="360" w:type="dxa"/>
            <w:vAlign w:val="bottom"/>
            <w:tcBorders>
              <w:bottom w:val="single" w:sz="8" w:color="231F20"/>
            </w:tcBorders>
            <w:shd w:val="clear" w:color="auto" w:fill="98B0CF"/>
          </w:tcPr>
          <w:p>
            <w:pPr>
              <w:spacing w:after="0"/>
              <w:rPr>
                <w:sz w:val="19"/>
                <w:szCs w:val="19"/>
                <w:color w:val="auto"/>
              </w:rPr>
            </w:pPr>
          </w:p>
        </w:tc>
        <w:tc>
          <w:tcPr>
            <w:tcW w:w="1060" w:type="dxa"/>
            <w:vAlign w:val="bottom"/>
            <w:tcBorders>
              <w:bottom w:val="single" w:sz="8" w:color="231F20"/>
            </w:tcBorders>
            <w:shd w:val="clear" w:color="auto" w:fill="98B0CF"/>
          </w:tcPr>
          <w:p>
            <w:pPr>
              <w:spacing w:after="0"/>
              <w:rPr>
                <w:sz w:val="19"/>
                <w:szCs w:val="19"/>
                <w:color w:val="auto"/>
              </w:rPr>
            </w:pPr>
          </w:p>
        </w:tc>
      </w:tr>
      <w:tr>
        <w:trPr>
          <w:trHeight w:val="234"/>
        </w:trPr>
        <w:tc>
          <w:tcPr>
            <w:tcW w:w="282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000" w:type="dxa"/>
            <w:vAlign w:val="bottom"/>
            <w:shd w:val="clear" w:color="auto" w:fill="98B0CF"/>
          </w:tcPr>
          <w:p>
            <w:pPr>
              <w:spacing w:after="0"/>
              <w:rPr>
                <w:sz w:val="20"/>
                <w:szCs w:val="20"/>
                <w:color w:val="auto"/>
              </w:rPr>
            </w:pPr>
          </w:p>
        </w:tc>
        <w:tc>
          <w:tcPr>
            <w:tcW w:w="460" w:type="dxa"/>
            <w:vAlign w:val="bottom"/>
            <w:shd w:val="clear" w:color="auto" w:fill="98B0CF"/>
          </w:tcPr>
          <w:p>
            <w:pPr>
              <w:spacing w:after="0"/>
              <w:rPr>
                <w:sz w:val="20"/>
                <w:szCs w:val="20"/>
                <w:color w:val="auto"/>
              </w:rPr>
            </w:pPr>
          </w:p>
        </w:tc>
        <w:tc>
          <w:tcPr>
            <w:tcW w:w="118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Services</w:t>
            </w:r>
          </w:p>
        </w:tc>
        <w:tc>
          <w:tcPr>
            <w:tcW w:w="260" w:type="dxa"/>
            <w:vAlign w:val="bottom"/>
            <w:shd w:val="clear" w:color="auto" w:fill="98B0CF"/>
          </w:tcPr>
          <w:p>
            <w:pPr>
              <w:spacing w:after="0"/>
              <w:rPr>
                <w:sz w:val="20"/>
                <w:szCs w:val="20"/>
                <w:color w:val="auto"/>
              </w:rPr>
            </w:pPr>
          </w:p>
        </w:tc>
        <w:tc>
          <w:tcPr>
            <w:tcW w:w="130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20" w:type="dxa"/>
            <w:vAlign w:val="bottom"/>
            <w:shd w:val="clear" w:color="auto" w:fill="98B0CF"/>
          </w:tcPr>
          <w:p>
            <w:pPr>
              <w:spacing w:after="0"/>
              <w:rPr>
                <w:sz w:val="20"/>
                <w:szCs w:val="20"/>
                <w:color w:val="auto"/>
              </w:rPr>
            </w:pPr>
          </w:p>
        </w:tc>
        <w:tc>
          <w:tcPr>
            <w:tcW w:w="1060" w:type="dxa"/>
            <w:vAlign w:val="bottom"/>
            <w:shd w:val="clear" w:color="auto" w:fill="98B0CF"/>
          </w:tcPr>
          <w:p>
            <w:pPr>
              <w:spacing w:after="0"/>
              <w:rPr>
                <w:sz w:val="20"/>
                <w:szCs w:val="20"/>
                <w:color w:val="auto"/>
              </w:rPr>
            </w:pPr>
          </w:p>
        </w:tc>
        <w:tc>
          <w:tcPr>
            <w:tcW w:w="260" w:type="dxa"/>
            <w:vAlign w:val="bottom"/>
            <w:shd w:val="clear" w:color="auto" w:fill="98B0CF"/>
          </w:tcPr>
          <w:p>
            <w:pPr>
              <w:spacing w:after="0"/>
              <w:rPr>
                <w:sz w:val="20"/>
                <w:szCs w:val="20"/>
                <w:color w:val="auto"/>
              </w:rPr>
            </w:pPr>
          </w:p>
        </w:tc>
        <w:tc>
          <w:tcPr>
            <w:tcW w:w="112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Services</w:t>
            </w:r>
          </w:p>
        </w:tc>
        <w:tc>
          <w:tcPr>
            <w:tcW w:w="360" w:type="dxa"/>
            <w:vAlign w:val="bottom"/>
            <w:shd w:val="clear" w:color="auto" w:fill="98B0CF"/>
          </w:tcPr>
          <w:p>
            <w:pPr>
              <w:spacing w:after="0"/>
              <w:rPr>
                <w:sz w:val="20"/>
                <w:szCs w:val="20"/>
                <w:color w:val="auto"/>
              </w:rPr>
            </w:pPr>
          </w:p>
        </w:tc>
        <w:tc>
          <w:tcPr>
            <w:tcW w:w="1060" w:type="dxa"/>
            <w:vAlign w:val="bottom"/>
            <w:shd w:val="clear" w:color="auto" w:fill="98B0CF"/>
          </w:tcPr>
          <w:p>
            <w:pPr>
              <w:spacing w:after="0"/>
              <w:rPr>
                <w:sz w:val="20"/>
                <w:szCs w:val="20"/>
                <w:color w:val="auto"/>
              </w:rPr>
            </w:pPr>
          </w:p>
        </w:tc>
      </w:tr>
      <w:tr>
        <w:trPr>
          <w:trHeight w:val="162"/>
        </w:trPr>
        <w:tc>
          <w:tcPr>
            <w:tcW w:w="28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Services</w:t>
            </w:r>
          </w:p>
        </w:tc>
        <w:tc>
          <w:tcPr>
            <w:tcW w:w="46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transferred</w:t>
            </w:r>
          </w:p>
        </w:tc>
        <w:tc>
          <w:tcPr>
            <w:tcW w:w="26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Services</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transferred</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62"/>
        </w:trPr>
        <w:tc>
          <w:tcPr>
            <w:tcW w:w="28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transferred</w:t>
            </w:r>
          </w:p>
        </w:tc>
        <w:tc>
          <w:tcPr>
            <w:tcW w:w="460" w:type="dxa"/>
            <w:vAlign w:val="bottom"/>
            <w:shd w:val="clear" w:color="auto" w:fill="98B0CF"/>
          </w:tcPr>
          <w:p>
            <w:pPr>
              <w:spacing w:after="0"/>
              <w:rPr>
                <w:sz w:val="14"/>
                <w:szCs w:val="14"/>
                <w:color w:val="auto"/>
              </w:rPr>
            </w:pPr>
          </w:p>
        </w:tc>
        <w:tc>
          <w:tcPr>
            <w:tcW w:w="118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at a point</w:t>
            </w:r>
          </w:p>
        </w:tc>
        <w:tc>
          <w:tcPr>
            <w:tcW w:w="26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60" w:type="dxa"/>
            <w:vAlign w:val="bottom"/>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transferred</w:t>
            </w:r>
          </w:p>
        </w:tc>
        <w:tc>
          <w:tcPr>
            <w:tcW w:w="260" w:type="dxa"/>
            <w:vAlign w:val="bottom"/>
            <w:shd w:val="clear" w:color="auto" w:fill="98B0CF"/>
          </w:tcPr>
          <w:p>
            <w:pPr>
              <w:spacing w:after="0"/>
              <w:rPr>
                <w:sz w:val="14"/>
                <w:szCs w:val="14"/>
                <w:color w:val="auto"/>
              </w:rPr>
            </w:pPr>
          </w:p>
        </w:tc>
        <w:tc>
          <w:tcPr>
            <w:tcW w:w="1120" w:type="dxa"/>
            <w:vAlign w:val="bottom"/>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at a point</w:t>
            </w:r>
          </w:p>
        </w:tc>
        <w:tc>
          <w:tcPr>
            <w:tcW w:w="360" w:type="dxa"/>
            <w:vAlign w:val="bottom"/>
            <w:shd w:val="clear" w:color="auto" w:fill="98B0CF"/>
          </w:tcPr>
          <w:p>
            <w:pPr>
              <w:spacing w:after="0"/>
              <w:rPr>
                <w:sz w:val="14"/>
                <w:szCs w:val="14"/>
                <w:color w:val="auto"/>
              </w:rPr>
            </w:pPr>
          </w:p>
        </w:tc>
        <w:tc>
          <w:tcPr>
            <w:tcW w:w="1060" w:type="dxa"/>
            <w:vAlign w:val="bottom"/>
            <w:shd w:val="clear" w:color="auto" w:fill="98B0CF"/>
          </w:tcPr>
          <w:p>
            <w:pPr>
              <w:spacing w:after="0"/>
              <w:rPr>
                <w:sz w:val="14"/>
                <w:szCs w:val="14"/>
                <w:color w:val="auto"/>
              </w:rPr>
            </w:pPr>
          </w:p>
        </w:tc>
      </w:tr>
      <w:tr>
        <w:trPr>
          <w:trHeight w:val="178"/>
        </w:trPr>
        <w:tc>
          <w:tcPr>
            <w:tcW w:w="2820" w:type="dxa"/>
            <w:vAlign w:val="bottom"/>
            <w:tcBorders>
              <w:bottom w:val="single" w:sz="8" w:color="auto"/>
            </w:tcBorders>
            <w:shd w:val="clear" w:color="auto" w:fill="98B0CF"/>
          </w:tcPr>
          <w:p>
            <w:pPr>
              <w:spacing w:after="0"/>
              <w:rPr>
                <w:sz w:val="15"/>
                <w:szCs w:val="15"/>
                <w:color w:val="auto"/>
              </w:rPr>
            </w:pPr>
          </w:p>
        </w:tc>
        <w:tc>
          <w:tcPr>
            <w:tcW w:w="120" w:type="dxa"/>
            <w:vAlign w:val="bottom"/>
            <w:tcBorders>
              <w:bottom w:val="single" w:sz="8" w:color="auto"/>
            </w:tcBorders>
            <w:shd w:val="clear" w:color="auto" w:fill="98B0CF"/>
          </w:tcPr>
          <w:p>
            <w:pPr>
              <w:spacing w:after="0"/>
              <w:rPr>
                <w:sz w:val="15"/>
                <w:szCs w:val="15"/>
                <w:color w:val="auto"/>
              </w:rPr>
            </w:pPr>
          </w:p>
        </w:tc>
        <w:tc>
          <w:tcPr>
            <w:tcW w:w="1000" w:type="dxa"/>
            <w:vAlign w:val="bottom"/>
            <w:tcBorders>
              <w:bottom w:val="single" w:sz="8" w:color="auto"/>
            </w:tcBorders>
            <w:shd w:val="clear" w:color="auto" w:fill="98B0CF"/>
          </w:tcPr>
          <w:p>
            <w:pPr>
              <w:jc w:val="center"/>
              <w:ind w:right="68"/>
              <w:spacing w:after="0"/>
              <w:rPr>
                <w:sz w:val="20"/>
                <w:szCs w:val="20"/>
                <w:color w:val="auto"/>
              </w:rPr>
            </w:pPr>
            <w:r>
              <w:rPr>
                <w:rFonts w:ascii="Arial" w:cs="Arial" w:eastAsia="Arial" w:hAnsi="Arial"/>
                <w:sz w:val="14"/>
                <w:szCs w:val="14"/>
                <w:b w:val="1"/>
                <w:bCs w:val="1"/>
                <w:color w:val="auto"/>
                <w:w w:val="99"/>
              </w:rPr>
              <w:t>over time</w:t>
            </w:r>
          </w:p>
        </w:tc>
        <w:tc>
          <w:tcPr>
            <w:tcW w:w="460" w:type="dxa"/>
            <w:vAlign w:val="bottom"/>
            <w:tcBorders>
              <w:bottom w:val="single" w:sz="8" w:color="auto"/>
            </w:tcBorders>
            <w:shd w:val="clear" w:color="auto" w:fill="98B0CF"/>
          </w:tcPr>
          <w:p>
            <w:pPr>
              <w:spacing w:after="0"/>
              <w:rPr>
                <w:sz w:val="15"/>
                <w:szCs w:val="15"/>
                <w:color w:val="auto"/>
              </w:rPr>
            </w:pPr>
          </w:p>
        </w:tc>
        <w:tc>
          <w:tcPr>
            <w:tcW w:w="1180" w:type="dxa"/>
            <w:vAlign w:val="bottom"/>
            <w:tcBorders>
              <w:bottom w:val="single" w:sz="8" w:color="auto"/>
            </w:tcBorders>
            <w:shd w:val="clear" w:color="auto" w:fill="98B0CF"/>
          </w:tcPr>
          <w:p>
            <w:pPr>
              <w:jc w:val="center"/>
              <w:ind w:right="208"/>
              <w:spacing w:after="0"/>
              <w:rPr>
                <w:sz w:val="20"/>
                <w:szCs w:val="20"/>
                <w:color w:val="auto"/>
              </w:rPr>
            </w:pPr>
            <w:r>
              <w:rPr>
                <w:rFonts w:ascii="Arial" w:cs="Arial" w:eastAsia="Arial" w:hAnsi="Arial"/>
                <w:sz w:val="14"/>
                <w:szCs w:val="14"/>
                <w:b w:val="1"/>
                <w:bCs w:val="1"/>
                <w:color w:val="auto"/>
              </w:rPr>
              <w:t>in time</w:t>
            </w:r>
          </w:p>
        </w:tc>
        <w:tc>
          <w:tcPr>
            <w:tcW w:w="260" w:type="dxa"/>
            <w:vAlign w:val="bottom"/>
            <w:tcBorders>
              <w:bottom w:val="single" w:sz="8" w:color="auto"/>
            </w:tcBorders>
            <w:shd w:val="clear" w:color="auto" w:fill="98B0CF"/>
          </w:tcPr>
          <w:p>
            <w:pPr>
              <w:spacing w:after="0"/>
              <w:rPr>
                <w:sz w:val="15"/>
                <w:szCs w:val="15"/>
                <w:color w:val="auto"/>
              </w:rPr>
            </w:pPr>
          </w:p>
        </w:tc>
        <w:tc>
          <w:tcPr>
            <w:tcW w:w="1300" w:type="dxa"/>
            <w:vAlign w:val="bottom"/>
            <w:tcBorders>
              <w:bottom w:val="single" w:sz="8" w:color="auto"/>
            </w:tcBorders>
            <w:shd w:val="clear" w:color="auto" w:fill="98B0CF"/>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98B0CF"/>
            </w:tcBorders>
            <w:shd w:val="clear" w:color="auto" w:fill="98B0CF"/>
          </w:tcPr>
          <w:p>
            <w:pPr>
              <w:spacing w:after="0"/>
              <w:rPr>
                <w:sz w:val="15"/>
                <w:szCs w:val="15"/>
                <w:color w:val="auto"/>
              </w:rPr>
            </w:pPr>
          </w:p>
        </w:tc>
        <w:tc>
          <w:tcPr>
            <w:tcW w:w="120" w:type="dxa"/>
            <w:vAlign w:val="bottom"/>
            <w:tcBorders>
              <w:bottom w:val="single" w:sz="8" w:color="auto"/>
            </w:tcBorders>
            <w:shd w:val="clear" w:color="auto" w:fill="98B0CF"/>
          </w:tcPr>
          <w:p>
            <w:pPr>
              <w:spacing w:after="0"/>
              <w:rPr>
                <w:sz w:val="15"/>
                <w:szCs w:val="15"/>
                <w:color w:val="auto"/>
              </w:rPr>
            </w:pPr>
          </w:p>
        </w:tc>
        <w:tc>
          <w:tcPr>
            <w:tcW w:w="1060" w:type="dxa"/>
            <w:vAlign w:val="bottom"/>
            <w:tcBorders>
              <w:bottom w:val="single" w:sz="8" w:color="auto"/>
            </w:tcBorders>
            <w:shd w:val="clear" w:color="auto" w:fill="98B0CF"/>
          </w:tcPr>
          <w:p>
            <w:pPr>
              <w:jc w:val="center"/>
              <w:ind w:right="148"/>
              <w:spacing w:after="0"/>
              <w:rPr>
                <w:sz w:val="20"/>
                <w:szCs w:val="20"/>
                <w:color w:val="auto"/>
              </w:rPr>
            </w:pPr>
            <w:r>
              <w:rPr>
                <w:rFonts w:ascii="Arial" w:cs="Arial" w:eastAsia="Arial" w:hAnsi="Arial"/>
                <w:sz w:val="14"/>
                <w:szCs w:val="14"/>
                <w:b w:val="1"/>
                <w:bCs w:val="1"/>
                <w:color w:val="auto"/>
              </w:rPr>
              <w:t>over time</w:t>
            </w:r>
          </w:p>
        </w:tc>
        <w:tc>
          <w:tcPr>
            <w:tcW w:w="260" w:type="dxa"/>
            <w:vAlign w:val="bottom"/>
            <w:tcBorders>
              <w:bottom w:val="single" w:sz="8" w:color="auto"/>
            </w:tcBorders>
            <w:shd w:val="clear" w:color="auto" w:fill="98B0CF"/>
          </w:tcPr>
          <w:p>
            <w:pPr>
              <w:spacing w:after="0"/>
              <w:rPr>
                <w:sz w:val="15"/>
                <w:szCs w:val="15"/>
                <w:color w:val="auto"/>
              </w:rPr>
            </w:pPr>
          </w:p>
        </w:tc>
        <w:tc>
          <w:tcPr>
            <w:tcW w:w="1120" w:type="dxa"/>
            <w:vAlign w:val="bottom"/>
            <w:tcBorders>
              <w:bottom w:val="single" w:sz="8" w:color="auto"/>
            </w:tcBorders>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in time</w:t>
            </w:r>
          </w:p>
        </w:tc>
        <w:tc>
          <w:tcPr>
            <w:tcW w:w="360" w:type="dxa"/>
            <w:vAlign w:val="bottom"/>
            <w:tcBorders>
              <w:bottom w:val="single" w:sz="8" w:color="auto"/>
            </w:tcBorders>
            <w:shd w:val="clear" w:color="auto" w:fill="98B0CF"/>
          </w:tcPr>
          <w:p>
            <w:pPr>
              <w:spacing w:after="0"/>
              <w:rPr>
                <w:sz w:val="15"/>
                <w:szCs w:val="15"/>
                <w:color w:val="auto"/>
              </w:rPr>
            </w:pPr>
          </w:p>
        </w:tc>
        <w:tc>
          <w:tcPr>
            <w:tcW w:w="1060" w:type="dxa"/>
            <w:vAlign w:val="bottom"/>
            <w:tcBorders>
              <w:bottom w:val="single" w:sz="8" w:color="auto"/>
            </w:tcBorders>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03"/>
        </w:trPr>
        <w:tc>
          <w:tcPr>
            <w:tcW w:w="2820" w:type="dxa"/>
            <w:vAlign w:val="bottom"/>
            <w:shd w:val="clear" w:color="auto" w:fill="E2E8F1"/>
          </w:tcPr>
          <w:p>
            <w:pPr>
              <w:ind w:left="40"/>
              <w:spacing w:after="0"/>
              <w:rPr>
                <w:sz w:val="20"/>
                <w:szCs w:val="20"/>
                <w:color w:val="auto"/>
              </w:rPr>
            </w:pPr>
            <w:r>
              <w:rPr>
                <w:rFonts w:ascii="Arial" w:cs="Arial" w:eastAsia="Arial" w:hAnsi="Arial"/>
                <w:sz w:val="14"/>
                <w:szCs w:val="14"/>
                <w:color w:val="auto"/>
              </w:rPr>
              <w:t>Americas:</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spacing w:after="0"/>
              <w:rPr>
                <w:sz w:val="17"/>
                <w:szCs w:val="17"/>
                <w:color w:val="auto"/>
              </w:rPr>
            </w:pP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30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82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673.6</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688.8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680.4</w:t>
            </w:r>
          </w:p>
        </w:tc>
      </w:tr>
      <w:tr>
        <w:trPr>
          <w:trHeight w:val="203"/>
        </w:trPr>
        <w:tc>
          <w:tcPr>
            <w:tcW w:w="2820" w:type="dxa"/>
            <w:vAlign w:val="bottom"/>
            <w:tcBorders>
              <w:bottom w:val="single" w:sz="8" w:color="231F20"/>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363.8</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231F20"/>
            </w:tcBorders>
            <w:shd w:val="clear" w:color="auto" w:fill="E2E8F1"/>
          </w:tcPr>
          <w:p>
            <w:pPr>
              <w:spacing w:after="0"/>
              <w:rPr>
                <w:sz w:val="17"/>
                <w:szCs w:val="17"/>
                <w:color w:val="auto"/>
              </w:rPr>
            </w:pPr>
          </w:p>
        </w:tc>
        <w:tc>
          <w:tcPr>
            <w:tcW w:w="130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367.9</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348.1</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7.9</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356.0</w:t>
            </w:r>
          </w:p>
        </w:tc>
      </w:tr>
      <w:tr>
        <w:trPr>
          <w:trHeight w:val="196"/>
        </w:trPr>
        <w:tc>
          <w:tcPr>
            <w:tcW w:w="28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1,037.4</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19.3</w:t>
            </w:r>
          </w:p>
        </w:tc>
        <w:tc>
          <w:tcPr>
            <w:tcW w:w="2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1,056.7</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1,010.8</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25.6</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1,036.4</w:t>
            </w:r>
          </w:p>
        </w:tc>
      </w:tr>
      <w:tr>
        <w:trPr>
          <w:trHeight w:val="196"/>
        </w:trPr>
        <w:tc>
          <w:tcPr>
            <w:tcW w:w="2820" w:type="dxa"/>
            <w:vAlign w:val="bottom"/>
            <w:shd w:val="clear" w:color="auto" w:fill="E2E8F1"/>
          </w:tcPr>
          <w:p>
            <w:pPr>
              <w:ind w:left="40"/>
              <w:spacing w:after="0"/>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spacing w:after="0"/>
              <w:rPr>
                <w:sz w:val="17"/>
                <w:szCs w:val="17"/>
                <w:color w:val="auto"/>
              </w:rPr>
            </w:pP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30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spacing w:after="0"/>
              <w:rPr>
                <w:sz w:val="17"/>
                <w:szCs w:val="17"/>
                <w:color w:val="auto"/>
              </w:rPr>
            </w:pP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spacing w:after="0"/>
              <w:rPr>
                <w:sz w:val="17"/>
                <w:szCs w:val="17"/>
                <w:color w:val="auto"/>
              </w:rPr>
            </w:pPr>
          </w:p>
        </w:tc>
      </w:tr>
      <w:tr>
        <w:trPr>
          <w:trHeight w:val="203"/>
        </w:trPr>
        <w:tc>
          <w:tcPr>
            <w:tcW w:w="282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955.1</w:t>
            </w:r>
          </w:p>
        </w:tc>
        <w:tc>
          <w:tcPr>
            <w:tcW w:w="46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1,085.7</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1,099.3</w:t>
            </w:r>
          </w:p>
        </w:tc>
      </w:tr>
      <w:tr>
        <w:trPr>
          <w:trHeight w:val="203"/>
        </w:trPr>
        <w:tc>
          <w:tcPr>
            <w:tcW w:w="282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7"/>
                <w:szCs w:val="17"/>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386.6</w:t>
            </w:r>
          </w:p>
        </w:tc>
        <w:tc>
          <w:tcPr>
            <w:tcW w:w="460" w:type="dxa"/>
            <w:vAlign w:val="bottom"/>
            <w:shd w:val="clear" w:color="auto" w:fill="E2E8F1"/>
          </w:tcPr>
          <w:p>
            <w:pPr>
              <w:spacing w:after="0"/>
              <w:rPr>
                <w:sz w:val="17"/>
                <w:szCs w:val="17"/>
                <w:color w:val="auto"/>
              </w:rPr>
            </w:pPr>
          </w:p>
        </w:tc>
        <w:tc>
          <w:tcPr>
            <w:tcW w:w="118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11.2</w:t>
            </w:r>
          </w:p>
        </w:tc>
        <w:tc>
          <w:tcPr>
            <w:tcW w:w="260" w:type="dxa"/>
            <w:vAlign w:val="bottom"/>
            <w:shd w:val="clear" w:color="auto" w:fill="E2E8F1"/>
          </w:tcPr>
          <w:p>
            <w:pPr>
              <w:spacing w:after="0"/>
              <w:rPr>
                <w:sz w:val="17"/>
                <w:szCs w:val="17"/>
                <w:color w:val="auto"/>
              </w:rPr>
            </w:pPr>
          </w:p>
        </w:tc>
        <w:tc>
          <w:tcPr>
            <w:tcW w:w="130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391.6</w:t>
            </w:r>
          </w:p>
        </w:tc>
        <w:tc>
          <w:tcPr>
            <w:tcW w:w="260" w:type="dxa"/>
            <w:vAlign w:val="bottom"/>
            <w:shd w:val="clear" w:color="auto" w:fill="E2E8F1"/>
          </w:tcPr>
          <w:p>
            <w:pPr>
              <w:spacing w:after="0"/>
              <w:rPr>
                <w:sz w:val="17"/>
                <w:szCs w:val="17"/>
                <w:color w:val="auto"/>
              </w:rPr>
            </w:pPr>
          </w:p>
        </w:tc>
        <w:tc>
          <w:tcPr>
            <w:tcW w:w="112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12.7</w:t>
            </w:r>
          </w:p>
        </w:tc>
        <w:tc>
          <w:tcPr>
            <w:tcW w:w="360" w:type="dxa"/>
            <w:vAlign w:val="bottom"/>
            <w:shd w:val="clear" w:color="auto" w:fill="E2E8F1"/>
          </w:tcPr>
          <w:p>
            <w:pPr>
              <w:spacing w:after="0"/>
              <w:rPr>
                <w:sz w:val="17"/>
                <w:szCs w:val="17"/>
                <w:color w:val="auto"/>
              </w:rPr>
            </w:pPr>
          </w:p>
        </w:tc>
        <w:tc>
          <w:tcPr>
            <w:tcW w:w="106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404.3</w:t>
            </w:r>
          </w:p>
        </w:tc>
      </w:tr>
      <w:tr>
        <w:trPr>
          <w:trHeight w:val="203"/>
        </w:trPr>
        <w:tc>
          <w:tcPr>
            <w:tcW w:w="282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459.7</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470.5</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466.1</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11.6</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477.7</w:t>
            </w:r>
          </w:p>
        </w:tc>
      </w:tr>
      <w:tr>
        <w:trPr>
          <w:trHeight w:val="196"/>
        </w:trPr>
        <w:tc>
          <w:tcPr>
            <w:tcW w:w="28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1,801.4</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32.6</w:t>
            </w:r>
          </w:p>
        </w:tc>
        <w:tc>
          <w:tcPr>
            <w:tcW w:w="260" w:type="dxa"/>
            <w:vAlign w:val="bottom"/>
            <w:tcBorders>
              <w:bottom w:val="single" w:sz="8" w:color="231F20"/>
            </w:tcBorders>
            <w:shd w:val="clear" w:color="auto" w:fill="E2E8F1"/>
          </w:tcPr>
          <w:p>
            <w:pPr>
              <w:spacing w:after="0"/>
              <w:rPr>
                <w:sz w:val="17"/>
                <w:szCs w:val="17"/>
                <w:color w:val="auto"/>
              </w:rPr>
            </w:pPr>
          </w:p>
        </w:tc>
        <w:tc>
          <w:tcPr>
            <w:tcW w:w="130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1,834.0</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1,943.4</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37.9</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1,981.3</w:t>
            </w:r>
          </w:p>
        </w:tc>
      </w:tr>
      <w:tr>
        <w:trPr>
          <w:trHeight w:val="196"/>
        </w:trPr>
        <w:tc>
          <w:tcPr>
            <w:tcW w:w="2820" w:type="dxa"/>
            <w:vAlign w:val="bottom"/>
          </w:tcPr>
          <w:p>
            <w:pPr>
              <w:ind w:left="40"/>
              <w:spacing w:after="0"/>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710.3</w:t>
            </w:r>
          </w:p>
        </w:tc>
        <w:tc>
          <w:tcPr>
            <w:tcW w:w="46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26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843.5</w:t>
            </w:r>
          </w:p>
        </w:tc>
        <w:tc>
          <w:tcPr>
            <w:tcW w:w="2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3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870.3</w:t>
            </w:r>
          </w:p>
        </w:tc>
      </w:tr>
      <w:tr>
        <w:trPr>
          <w:trHeight w:val="203"/>
        </w:trPr>
        <w:tc>
          <w:tcPr>
            <w:tcW w:w="282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466.8</w:t>
            </w: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9.6</w:t>
            </w:r>
          </w:p>
        </w:tc>
        <w:tc>
          <w:tcPr>
            <w:tcW w:w="260" w:type="dxa"/>
            <w:vAlign w:val="bottom"/>
            <w:tcBorders>
              <w:bottom w:val="single" w:sz="8" w:color="231F20"/>
            </w:tcBorders>
            <w:shd w:val="clear" w:color="auto" w:fill="E2E8F1"/>
          </w:tcPr>
          <w:p>
            <w:pPr>
              <w:spacing w:after="0"/>
              <w:rPr>
                <w:sz w:val="17"/>
                <w:szCs w:val="17"/>
                <w:color w:val="auto"/>
              </w:rPr>
            </w:pPr>
          </w:p>
        </w:tc>
        <w:tc>
          <w:tcPr>
            <w:tcW w:w="130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476.4</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524.5</w:t>
            </w: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10.6</w:t>
            </w: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ind w:right="48"/>
              <w:spacing w:after="0"/>
              <w:rPr>
                <w:sz w:val="20"/>
                <w:szCs w:val="20"/>
                <w:color w:val="auto"/>
              </w:rPr>
            </w:pPr>
            <w:r>
              <w:rPr>
                <w:rFonts w:ascii="Arial" w:cs="Arial" w:eastAsia="Arial" w:hAnsi="Arial"/>
                <w:sz w:val="14"/>
                <w:szCs w:val="14"/>
                <w:color w:val="auto"/>
              </w:rPr>
              <w:t>535.1</w:t>
            </w:r>
          </w:p>
        </w:tc>
      </w:tr>
      <w:tr>
        <w:trPr>
          <w:trHeight w:val="196"/>
        </w:trPr>
        <w:tc>
          <w:tcPr>
            <w:tcW w:w="28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4,015.9</w:t>
            </w:r>
          </w:p>
        </w:tc>
        <w:tc>
          <w:tcPr>
            <w:tcW w:w="4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82.0</w:t>
            </w:r>
          </w:p>
        </w:tc>
        <w:tc>
          <w:tcPr>
            <w:tcW w:w="2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4,097.9</w:t>
            </w:r>
          </w:p>
        </w:tc>
        <w:tc>
          <w:tcPr>
            <w:tcW w:w="12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4,322.2</w:t>
            </w:r>
          </w:p>
        </w:tc>
        <w:tc>
          <w:tcPr>
            <w:tcW w:w="2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100.9</w:t>
            </w: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4,423.1</w:t>
            </w:r>
          </w:p>
        </w:tc>
      </w:tr>
      <w:tr>
        <w:trPr>
          <w:trHeight w:val="196"/>
        </w:trPr>
        <w:tc>
          <w:tcPr>
            <w:tcW w:w="2820" w:type="dxa"/>
            <w:vAlign w:val="bottom"/>
            <w:tcBorders>
              <w:bottom w:val="single" w:sz="8" w:color="231F20"/>
            </w:tcBorders>
            <w:shd w:val="clear" w:color="auto" w:fill="E2E8F1"/>
          </w:tcPr>
          <w:p>
            <w:pPr>
              <w:ind w:left="40"/>
              <w:spacing w:after="0"/>
              <w:rPr>
                <w:sz w:val="20"/>
                <w:szCs w:val="20"/>
                <w:color w:val="auto"/>
              </w:rPr>
            </w:pPr>
            <w:r>
              <w:rPr>
                <w:rFonts w:ascii="Arial" w:cs="Arial" w:eastAsia="Arial" w:hAnsi="Arial"/>
                <w:sz w:val="14"/>
                <w:szCs w:val="14"/>
                <w:color w:val="auto"/>
              </w:rPr>
              <w:t>Intercompany Eliminations</w:t>
            </w:r>
          </w:p>
        </w:tc>
        <w:tc>
          <w:tcPr>
            <w:tcW w:w="120" w:type="dxa"/>
            <w:vAlign w:val="bottom"/>
            <w:tcBorders>
              <w:bottom w:val="single" w:sz="8" w:color="231F20"/>
            </w:tcBorders>
            <w:shd w:val="clear" w:color="auto" w:fill="E2E8F1"/>
          </w:tcPr>
          <w:p>
            <w:pPr>
              <w:spacing w:after="0"/>
              <w:rPr>
                <w:sz w:val="17"/>
                <w:szCs w:val="17"/>
                <w:color w:val="auto"/>
              </w:rPr>
            </w:pPr>
          </w:p>
        </w:tc>
        <w:tc>
          <w:tcPr>
            <w:tcW w:w="1000" w:type="dxa"/>
            <w:vAlign w:val="bottom"/>
            <w:tcBorders>
              <w:bottom w:val="single" w:sz="8" w:color="231F20"/>
            </w:tcBorders>
            <w:shd w:val="clear" w:color="auto" w:fill="E2E8F1"/>
          </w:tcPr>
          <w:p>
            <w:pPr>
              <w:spacing w:after="0"/>
              <w:rPr>
                <w:sz w:val="17"/>
                <w:szCs w:val="17"/>
                <w:color w:val="auto"/>
              </w:rPr>
            </w:pPr>
          </w:p>
        </w:tc>
        <w:tc>
          <w:tcPr>
            <w:tcW w:w="460" w:type="dxa"/>
            <w:vAlign w:val="bottom"/>
            <w:tcBorders>
              <w:bottom w:val="single" w:sz="8" w:color="231F20"/>
            </w:tcBorders>
            <w:shd w:val="clear" w:color="auto" w:fill="E2E8F1"/>
          </w:tcPr>
          <w:p>
            <w:pPr>
              <w:spacing w:after="0"/>
              <w:rPr>
                <w:sz w:val="17"/>
                <w:szCs w:val="17"/>
                <w:color w:val="auto"/>
              </w:rPr>
            </w:pPr>
          </w:p>
        </w:tc>
        <w:tc>
          <w:tcPr>
            <w:tcW w:w="1180" w:type="dxa"/>
            <w:vAlign w:val="bottom"/>
            <w:tcBorders>
              <w:bottom w:val="single" w:sz="8" w:color="231F20"/>
            </w:tcBorders>
            <w:shd w:val="clear" w:color="auto" w:fill="E2E8F1"/>
          </w:tcPr>
          <w:p>
            <w:pPr>
              <w:spacing w:after="0"/>
              <w:rPr>
                <w:sz w:val="17"/>
                <w:szCs w:val="17"/>
                <w:color w:val="auto"/>
              </w:rPr>
            </w:pPr>
          </w:p>
        </w:tc>
        <w:tc>
          <w:tcPr>
            <w:tcW w:w="260" w:type="dxa"/>
            <w:vAlign w:val="bottom"/>
            <w:tcBorders>
              <w:bottom w:val="single" w:sz="8" w:color="231F20"/>
            </w:tcBorders>
            <w:shd w:val="clear" w:color="auto" w:fill="E2E8F1"/>
          </w:tcPr>
          <w:p>
            <w:pPr>
              <w:spacing w:after="0"/>
              <w:rPr>
                <w:sz w:val="17"/>
                <w:szCs w:val="17"/>
                <w:color w:val="auto"/>
              </w:rPr>
            </w:pPr>
          </w:p>
        </w:tc>
        <w:tc>
          <w:tcPr>
            <w:tcW w:w="130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231F20"/>
            </w:tcBorders>
            <w:shd w:val="clear" w:color="auto" w:fill="E2E8F1"/>
          </w:tcPr>
          <w:p>
            <w:pPr>
              <w:spacing w:after="0"/>
              <w:rPr>
                <w:sz w:val="17"/>
                <w:szCs w:val="17"/>
                <w:color w:val="auto"/>
              </w:rPr>
            </w:pPr>
          </w:p>
        </w:tc>
        <w:tc>
          <w:tcPr>
            <w:tcW w:w="12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spacing w:after="0"/>
              <w:rPr>
                <w:sz w:val="17"/>
                <w:szCs w:val="17"/>
                <w:color w:val="auto"/>
              </w:rPr>
            </w:pPr>
          </w:p>
        </w:tc>
        <w:tc>
          <w:tcPr>
            <w:tcW w:w="260" w:type="dxa"/>
            <w:vAlign w:val="bottom"/>
            <w:tcBorders>
              <w:bottom w:val="single" w:sz="8" w:color="231F20"/>
            </w:tcBorders>
            <w:shd w:val="clear" w:color="auto" w:fill="E2E8F1"/>
          </w:tcPr>
          <w:p>
            <w:pPr>
              <w:spacing w:after="0"/>
              <w:rPr>
                <w:sz w:val="17"/>
                <w:szCs w:val="17"/>
                <w:color w:val="auto"/>
              </w:rPr>
            </w:pPr>
          </w:p>
        </w:tc>
        <w:tc>
          <w:tcPr>
            <w:tcW w:w="1120" w:type="dxa"/>
            <w:vAlign w:val="bottom"/>
            <w:tcBorders>
              <w:bottom w:val="single" w:sz="8" w:color="231F20"/>
            </w:tcBorders>
            <w:shd w:val="clear" w:color="auto" w:fill="E2E8F1"/>
          </w:tcPr>
          <w:p>
            <w:pPr>
              <w:spacing w:after="0"/>
              <w:rPr>
                <w:sz w:val="17"/>
                <w:szCs w:val="17"/>
                <w:color w:val="auto"/>
              </w:rPr>
            </w:pPr>
          </w:p>
        </w:tc>
        <w:tc>
          <w:tcPr>
            <w:tcW w:w="360" w:type="dxa"/>
            <w:vAlign w:val="bottom"/>
            <w:tcBorders>
              <w:bottom w:val="single" w:sz="8" w:color="231F20"/>
            </w:tcBorders>
            <w:shd w:val="clear" w:color="auto" w:fill="E2E8F1"/>
          </w:tcPr>
          <w:p>
            <w:pPr>
              <w:spacing w:after="0"/>
              <w:rPr>
                <w:sz w:val="17"/>
                <w:szCs w:val="17"/>
                <w:color w:val="auto"/>
              </w:rPr>
            </w:pPr>
          </w:p>
        </w:tc>
        <w:tc>
          <w:tcPr>
            <w:tcW w:w="10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4"/>
                <w:szCs w:val="14"/>
                <w:color w:val="auto"/>
              </w:rPr>
              <w:t>(19.8)</w:t>
            </w:r>
          </w:p>
        </w:tc>
      </w:tr>
      <w:tr>
        <w:trPr>
          <w:trHeight w:val="183"/>
        </w:trPr>
        <w:tc>
          <w:tcPr>
            <w:tcW w:w="2820" w:type="dxa"/>
            <w:vAlign w:val="bottom"/>
            <w:tcBorders>
              <w:bottom w:val="single" w:sz="8" w:color="231F20"/>
            </w:tcBorders>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spacing w:after="0"/>
              <w:rPr>
                <w:sz w:val="15"/>
                <w:szCs w:val="15"/>
                <w:color w:val="auto"/>
              </w:rPr>
            </w:pPr>
          </w:p>
        </w:tc>
        <w:tc>
          <w:tcPr>
            <w:tcW w:w="460" w:type="dxa"/>
            <w:vAlign w:val="bottom"/>
            <w:tcBorders>
              <w:bottom w:val="single" w:sz="8" w:color="231F20"/>
            </w:tcBorders>
          </w:tcPr>
          <w:p>
            <w:pPr>
              <w:spacing w:after="0"/>
              <w:rPr>
                <w:sz w:val="15"/>
                <w:szCs w:val="15"/>
                <w:color w:val="auto"/>
              </w:rPr>
            </w:pPr>
          </w:p>
        </w:tc>
        <w:tc>
          <w:tcPr>
            <w:tcW w:w="118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4,090.3</w:t>
            </w:r>
          </w:p>
        </w:tc>
        <w:tc>
          <w:tcPr>
            <w:tcW w:w="120" w:type="dxa"/>
            <w:vAlign w:val="bottom"/>
            <w:tcBorders>
              <w:bottom w:val="single" w:sz="8" w:color="231F20"/>
            </w:tcBorders>
          </w:tcPr>
          <w:p>
            <w:pPr>
              <w:spacing w:after="0"/>
              <w:rPr>
                <w:sz w:val="15"/>
                <w:szCs w:val="15"/>
                <w:color w:val="auto"/>
              </w:rPr>
            </w:pPr>
          </w:p>
        </w:tc>
        <w:tc>
          <w:tcPr>
            <w:tcW w:w="120" w:type="dxa"/>
            <w:vAlign w:val="bottom"/>
            <w:tcBorders>
              <w:bottom w:val="single" w:sz="8" w:color="231F20"/>
            </w:tcBorders>
          </w:tcPr>
          <w:p>
            <w:pPr>
              <w:spacing w:after="0"/>
              <w:rPr>
                <w:sz w:val="15"/>
                <w:szCs w:val="15"/>
                <w:color w:val="auto"/>
              </w:rPr>
            </w:pPr>
          </w:p>
        </w:tc>
        <w:tc>
          <w:tcPr>
            <w:tcW w:w="106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1120" w:type="dxa"/>
            <w:vAlign w:val="bottom"/>
            <w:tcBorders>
              <w:bottom w:val="single" w:sz="8" w:color="231F20"/>
            </w:tcBorders>
          </w:tcPr>
          <w:p>
            <w:pPr>
              <w:spacing w:after="0"/>
              <w:rPr>
                <w:sz w:val="15"/>
                <w:szCs w:val="15"/>
                <w:color w:val="auto"/>
              </w:rPr>
            </w:pPr>
          </w:p>
        </w:tc>
        <w:tc>
          <w:tcPr>
            <w:tcW w:w="36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4,403.3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-2348230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-1868170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7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Share-Based Compensation Plans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ended March 31, 2025 and 2024, we recognized share-based compensation expense of $7.6 and $7.5, respectively. The expense relates to stock options, deferred stock units, restricted stock units, performance share units and savings-related share option scheme. We recognize share-based compensation expense in selling and administrative expenses on a straight-line basis over the service period of each award. Consideration received from share-based awards was none and $0.4 for the three months ended March 31, 2025 and 2024, respectively.</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equity-based shares granted to employees and members of our Board of Directors, as well as the weighted-average fair value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-17780</wp:posOffset>
            </wp:positionV>
            <wp:extent cx="939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4540" w:type="dxa"/>
            <w:vAlign w:val="bottom"/>
            <w:tcBorders>
              <w:top w:val="single" w:sz="8" w:color="auto"/>
              <w:bottom w:val="single" w:sz="8" w:color="98B0CF"/>
            </w:tcBorders>
            <w:shd w:val="clear" w:color="auto" w:fill="98B0CF"/>
          </w:tcPr>
          <w:p>
            <w:pPr>
              <w:spacing w:after="0"/>
              <w:rPr>
                <w:sz w:val="12"/>
                <w:szCs w:val="12"/>
                <w:color w:val="auto"/>
              </w:rPr>
            </w:pPr>
          </w:p>
        </w:tc>
        <w:tc>
          <w:tcPr>
            <w:tcW w:w="120" w:type="dxa"/>
            <w:vAlign w:val="bottom"/>
            <w:tcBorders>
              <w:top w:val="single" w:sz="8" w:color="auto"/>
              <w:bottom w:val="single" w:sz="8" w:color="98B0CF"/>
            </w:tcBorders>
            <w:shd w:val="clear" w:color="auto" w:fill="98B0CF"/>
          </w:tcPr>
          <w:p>
            <w:pPr>
              <w:spacing w:after="0"/>
              <w:rPr>
                <w:sz w:val="12"/>
                <w:szCs w:val="12"/>
                <w:color w:val="auto"/>
              </w:rPr>
            </w:pPr>
          </w:p>
        </w:tc>
        <w:tc>
          <w:tcPr>
            <w:tcW w:w="132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420" w:type="dxa"/>
            <w:vAlign w:val="bottom"/>
            <w:tcBorders>
              <w:top w:val="single" w:sz="8" w:color="auto"/>
              <w:bottom w:val="single" w:sz="8" w:color="auto"/>
            </w:tcBorders>
            <w:shd w:val="clear" w:color="auto" w:fill="98B0CF"/>
          </w:tcPr>
          <w:p>
            <w:pPr>
              <w:spacing w:after="0"/>
              <w:rPr>
                <w:sz w:val="12"/>
                <w:szCs w:val="12"/>
                <w:color w:val="auto"/>
              </w:rPr>
            </w:pPr>
          </w:p>
        </w:tc>
        <w:tc>
          <w:tcPr>
            <w:tcW w:w="2960" w:type="dxa"/>
            <w:vAlign w:val="bottom"/>
            <w:tcBorders>
              <w:top w:val="single" w:sz="8" w:color="auto"/>
              <w:bottom w:val="single" w:sz="8" w:color="auto"/>
            </w:tcBorders>
            <w:gridSpan w:val="4"/>
            <w:shd w:val="clear" w:color="auto" w:fill="98B0CF"/>
          </w:tcPr>
          <w:p>
            <w:pPr>
              <w:jc w:val="right"/>
              <w:ind w:right="188"/>
              <w:spacing w:after="0" w:line="147" w:lineRule="exact"/>
              <w:rPr>
                <w:sz w:val="20"/>
                <w:szCs w:val="20"/>
                <w:color w:val="auto"/>
              </w:rPr>
            </w:pPr>
            <w:r>
              <w:rPr>
                <w:rFonts w:ascii="Arial" w:cs="Arial" w:eastAsia="Arial" w:hAnsi="Arial"/>
                <w:sz w:val="14"/>
                <w:szCs w:val="14"/>
                <w:b w:val="1"/>
                <w:bCs w:val="1"/>
                <w:color w:val="auto"/>
              </w:rPr>
              <w:t>For the Three Months Ended March 31,</w:t>
            </w: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340" w:type="dxa"/>
            <w:vAlign w:val="bottom"/>
            <w:tcBorders>
              <w:top w:val="single" w:sz="8" w:color="auto"/>
              <w:bottom w:val="single" w:sz="8" w:color="auto"/>
            </w:tcBorders>
            <w:shd w:val="clear" w:color="auto" w:fill="98B0CF"/>
          </w:tcPr>
          <w:p>
            <w:pPr>
              <w:spacing w:after="0"/>
              <w:rPr>
                <w:sz w:val="12"/>
                <w:szCs w:val="12"/>
                <w:color w:val="auto"/>
              </w:rPr>
            </w:pPr>
          </w:p>
        </w:tc>
        <w:tc>
          <w:tcPr>
            <w:tcW w:w="120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98B0CF"/>
              <w:bottom w:val="single" w:sz="8" w:color="98B0CF"/>
            </w:tcBorders>
            <w:shd w:val="clear" w:color="auto" w:fill="98B0CF"/>
          </w:tcPr>
          <w:p>
            <w:pPr>
              <w:spacing w:after="0"/>
              <w:rPr>
                <w:sz w:val="12"/>
                <w:szCs w:val="12"/>
                <w:color w:val="auto"/>
              </w:rPr>
            </w:pPr>
          </w:p>
        </w:tc>
      </w:tr>
      <w:tr>
        <w:trPr>
          <w:trHeight w:val="155"/>
        </w:trPr>
        <w:tc>
          <w:tcPr>
            <w:tcW w:w="454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320" w:type="dxa"/>
            <w:vAlign w:val="bottom"/>
            <w:tcBorders>
              <w:bottom w:val="single" w:sz="8" w:color="auto"/>
            </w:tcBorders>
            <w:shd w:val="clear" w:color="auto" w:fill="98B0CF"/>
          </w:tcPr>
          <w:p>
            <w:pPr>
              <w:spacing w:after="0"/>
              <w:rPr>
                <w:sz w:val="13"/>
                <w:szCs w:val="13"/>
                <w:color w:val="auto"/>
              </w:rPr>
            </w:pPr>
          </w:p>
        </w:tc>
        <w:tc>
          <w:tcPr>
            <w:tcW w:w="540" w:type="dxa"/>
            <w:vAlign w:val="bottom"/>
            <w:tcBorders>
              <w:bottom w:val="single" w:sz="8" w:color="auto"/>
            </w:tcBorders>
            <w:gridSpan w:val="2"/>
            <w:shd w:val="clear" w:color="auto" w:fill="98B0CF"/>
          </w:tcPr>
          <w:p>
            <w:pPr>
              <w:jc w:val="right"/>
              <w:ind w:right="59"/>
              <w:spacing w:after="0" w:line="155" w:lineRule="exact"/>
              <w:rPr>
                <w:sz w:val="20"/>
                <w:szCs w:val="20"/>
                <w:color w:val="auto"/>
              </w:rPr>
            </w:pPr>
            <w:r>
              <w:rPr>
                <w:rFonts w:ascii="Arial" w:cs="Arial" w:eastAsia="Arial" w:hAnsi="Arial"/>
                <w:sz w:val="14"/>
                <w:szCs w:val="14"/>
                <w:b w:val="1"/>
                <w:bCs w:val="1"/>
                <w:color w:val="auto"/>
              </w:rPr>
              <w:t>2025</w:t>
            </w:r>
          </w:p>
        </w:tc>
        <w:tc>
          <w:tcPr>
            <w:tcW w:w="130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98B0CF"/>
            </w:tcBorders>
            <w:gridSpan w:val="2"/>
            <w:shd w:val="clear" w:color="auto" w:fill="98B0CF"/>
          </w:tcPr>
          <w:p>
            <w:pPr>
              <w:spacing w:after="0"/>
              <w:rPr>
                <w:sz w:val="13"/>
                <w:szCs w:val="13"/>
                <w:color w:val="auto"/>
              </w:rPr>
            </w:pPr>
          </w:p>
        </w:tc>
        <w:tc>
          <w:tcPr>
            <w:tcW w:w="1920" w:type="dxa"/>
            <w:vAlign w:val="bottom"/>
            <w:tcBorders>
              <w:bottom w:val="single" w:sz="8" w:color="auto"/>
            </w:tcBorders>
            <w:gridSpan w:val="3"/>
            <w:shd w:val="clear" w:color="auto" w:fill="98B0CF"/>
          </w:tcPr>
          <w:p>
            <w:pPr>
              <w:jc w:val="right"/>
              <w:ind w:right="119"/>
              <w:spacing w:after="0" w:line="155" w:lineRule="exact"/>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r>
      <w:tr>
        <w:trPr>
          <w:trHeight w:val="146"/>
        </w:trPr>
        <w:tc>
          <w:tcPr>
            <w:tcW w:w="454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320" w:type="dxa"/>
            <w:vAlign w:val="bottom"/>
            <w:shd w:val="clear" w:color="auto" w:fill="98B0CF"/>
          </w:tcPr>
          <w:p>
            <w:pPr>
              <w:jc w:val="center"/>
              <w:spacing w:after="0" w:line="147" w:lineRule="exact"/>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98B0CF"/>
          </w:tcPr>
          <w:p>
            <w:pPr>
              <w:spacing w:after="0"/>
              <w:rPr>
                <w:sz w:val="12"/>
                <w:szCs w:val="12"/>
                <w:color w:val="auto"/>
              </w:rPr>
            </w:pPr>
          </w:p>
        </w:tc>
        <w:tc>
          <w:tcPr>
            <w:tcW w:w="420" w:type="dxa"/>
            <w:vAlign w:val="bottom"/>
            <w:shd w:val="clear" w:color="auto" w:fill="98B0CF"/>
          </w:tcPr>
          <w:p>
            <w:pPr>
              <w:spacing w:after="0"/>
              <w:rPr>
                <w:sz w:val="12"/>
                <w:szCs w:val="12"/>
                <w:color w:val="auto"/>
              </w:rPr>
            </w:pPr>
          </w:p>
        </w:tc>
        <w:tc>
          <w:tcPr>
            <w:tcW w:w="1300" w:type="dxa"/>
            <w:vAlign w:val="bottom"/>
            <w:shd w:val="clear" w:color="auto" w:fill="98B0CF"/>
          </w:tcPr>
          <w:p>
            <w:pPr>
              <w:ind w:left="240"/>
              <w:spacing w:after="0" w:line="147" w:lineRule="exact"/>
              <w:rPr>
                <w:sz w:val="20"/>
                <w:szCs w:val="20"/>
                <w:color w:val="auto"/>
              </w:rPr>
            </w:pPr>
            <w:r>
              <w:rPr>
                <w:rFonts w:ascii="Arial" w:cs="Arial" w:eastAsia="Arial" w:hAnsi="Arial"/>
                <w:sz w:val="14"/>
                <w:szCs w:val="14"/>
                <w:b w:val="1"/>
                <w:bCs w:val="1"/>
                <w:color w:val="auto"/>
              </w:rPr>
              <w:t>Wtd.-Avg.</w:t>
            </w:r>
          </w:p>
        </w:tc>
        <w:tc>
          <w:tcPr>
            <w:tcW w:w="1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460" w:type="dxa"/>
            <w:vAlign w:val="bottom"/>
            <w:shd w:val="clear" w:color="auto" w:fill="98B0CF"/>
          </w:tcPr>
          <w:p>
            <w:pPr>
              <w:jc w:val="center"/>
              <w:spacing w:after="0" w:line="147" w:lineRule="exact"/>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98B0CF"/>
          </w:tcPr>
          <w:p>
            <w:pPr>
              <w:spacing w:after="0"/>
              <w:rPr>
                <w:sz w:val="12"/>
                <w:szCs w:val="12"/>
                <w:color w:val="auto"/>
              </w:rPr>
            </w:pPr>
          </w:p>
        </w:tc>
        <w:tc>
          <w:tcPr>
            <w:tcW w:w="340" w:type="dxa"/>
            <w:vAlign w:val="bottom"/>
            <w:shd w:val="clear" w:color="auto" w:fill="98B0CF"/>
          </w:tcPr>
          <w:p>
            <w:pPr>
              <w:spacing w:after="0"/>
              <w:rPr>
                <w:sz w:val="12"/>
                <w:szCs w:val="12"/>
                <w:color w:val="auto"/>
              </w:rPr>
            </w:pPr>
          </w:p>
        </w:tc>
        <w:tc>
          <w:tcPr>
            <w:tcW w:w="1300" w:type="dxa"/>
            <w:vAlign w:val="bottom"/>
            <w:gridSpan w:val="2"/>
            <w:shd w:val="clear" w:color="auto" w:fill="98B0CF"/>
          </w:tcPr>
          <w:p>
            <w:pPr>
              <w:ind w:left="140"/>
              <w:spacing w:after="0" w:line="147" w:lineRule="exact"/>
              <w:rPr>
                <w:sz w:val="20"/>
                <w:szCs w:val="20"/>
                <w:color w:val="auto"/>
              </w:rPr>
            </w:pPr>
            <w:r>
              <w:rPr>
                <w:rFonts w:ascii="Arial" w:cs="Arial" w:eastAsia="Arial" w:hAnsi="Arial"/>
                <w:sz w:val="14"/>
                <w:szCs w:val="14"/>
                <w:b w:val="1"/>
                <w:bCs w:val="1"/>
                <w:color w:val="auto"/>
              </w:rPr>
              <w:t>Wtd.-Avg.</w:t>
            </w:r>
          </w:p>
        </w:tc>
      </w:tr>
      <w:tr>
        <w:trPr>
          <w:trHeight w:val="162"/>
        </w:trPr>
        <w:tc>
          <w:tcPr>
            <w:tcW w:w="454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32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Granted</w:t>
            </w:r>
          </w:p>
        </w:tc>
        <w:tc>
          <w:tcPr>
            <w:tcW w:w="120" w:type="dxa"/>
            <w:vAlign w:val="bottom"/>
            <w:shd w:val="clear" w:color="auto" w:fill="98B0CF"/>
          </w:tcPr>
          <w:p>
            <w:pPr>
              <w:spacing w:after="0"/>
              <w:rPr>
                <w:sz w:val="14"/>
                <w:szCs w:val="14"/>
                <w:color w:val="auto"/>
              </w:rPr>
            </w:pPr>
          </w:p>
        </w:tc>
        <w:tc>
          <w:tcPr>
            <w:tcW w:w="420" w:type="dxa"/>
            <w:vAlign w:val="bottom"/>
            <w:shd w:val="clear" w:color="auto" w:fill="98B0CF"/>
          </w:tcPr>
          <w:p>
            <w:pPr>
              <w:spacing w:after="0"/>
              <w:rPr>
                <w:sz w:val="14"/>
                <w:szCs w:val="14"/>
                <w:color w:val="auto"/>
              </w:rPr>
            </w:pPr>
          </w:p>
        </w:tc>
        <w:tc>
          <w:tcPr>
            <w:tcW w:w="1300" w:type="dxa"/>
            <w:vAlign w:val="bottom"/>
            <w:shd w:val="clear" w:color="auto" w:fill="98B0CF"/>
          </w:tcPr>
          <w:p>
            <w:pPr>
              <w:ind w:left="240"/>
              <w:spacing w:after="0"/>
              <w:rPr>
                <w:sz w:val="20"/>
                <w:szCs w:val="20"/>
                <w:color w:val="auto"/>
              </w:rPr>
            </w:pPr>
            <w:r>
              <w:rPr>
                <w:rFonts w:ascii="Arial" w:cs="Arial" w:eastAsia="Arial" w:hAnsi="Arial"/>
                <w:sz w:val="14"/>
                <w:szCs w:val="14"/>
                <w:b w:val="1"/>
                <w:bCs w:val="1"/>
                <w:color w:val="auto"/>
              </w:rPr>
              <w:t>Per Share</w:t>
            </w:r>
          </w:p>
        </w:tc>
        <w:tc>
          <w:tcPr>
            <w:tcW w:w="1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46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Granted</w:t>
            </w:r>
          </w:p>
        </w:tc>
        <w:tc>
          <w:tcPr>
            <w:tcW w:w="120" w:type="dxa"/>
            <w:vAlign w:val="bottom"/>
            <w:shd w:val="clear" w:color="auto" w:fill="98B0CF"/>
          </w:tcPr>
          <w:p>
            <w:pPr>
              <w:spacing w:after="0"/>
              <w:rPr>
                <w:sz w:val="14"/>
                <w:szCs w:val="14"/>
                <w:color w:val="auto"/>
              </w:rPr>
            </w:pPr>
          </w:p>
        </w:tc>
        <w:tc>
          <w:tcPr>
            <w:tcW w:w="340" w:type="dxa"/>
            <w:vAlign w:val="bottom"/>
            <w:shd w:val="clear" w:color="auto" w:fill="98B0CF"/>
          </w:tcPr>
          <w:p>
            <w:pPr>
              <w:spacing w:after="0"/>
              <w:rPr>
                <w:sz w:val="14"/>
                <w:szCs w:val="14"/>
                <w:color w:val="auto"/>
              </w:rPr>
            </w:pPr>
          </w:p>
        </w:tc>
        <w:tc>
          <w:tcPr>
            <w:tcW w:w="1300" w:type="dxa"/>
            <w:vAlign w:val="bottom"/>
            <w:gridSpan w:val="2"/>
            <w:shd w:val="clear" w:color="auto" w:fill="98B0CF"/>
          </w:tcPr>
          <w:p>
            <w:pPr>
              <w:ind w:left="140"/>
              <w:spacing w:after="0"/>
              <w:rPr>
                <w:sz w:val="20"/>
                <w:szCs w:val="20"/>
                <w:color w:val="auto"/>
              </w:rPr>
            </w:pPr>
            <w:r>
              <w:rPr>
                <w:rFonts w:ascii="Arial" w:cs="Arial" w:eastAsia="Arial" w:hAnsi="Arial"/>
                <w:sz w:val="14"/>
                <w:szCs w:val="14"/>
                <w:b w:val="1"/>
                <w:bCs w:val="1"/>
                <w:color w:val="auto"/>
              </w:rPr>
              <w:t>Per Share</w:t>
            </w:r>
          </w:p>
        </w:tc>
      </w:tr>
      <w:tr>
        <w:trPr>
          <w:trHeight w:val="171"/>
        </w:trPr>
        <w:tc>
          <w:tcPr>
            <w:tcW w:w="454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320" w:type="dxa"/>
            <w:vAlign w:val="bottom"/>
            <w:tcBorders>
              <w:bottom w:val="single" w:sz="8" w:color="auto"/>
            </w:tcBorders>
            <w:shd w:val="clear" w:color="auto" w:fill="98B0CF"/>
          </w:tcPr>
          <w:p>
            <w:pPr>
              <w:jc w:val="center"/>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98B0CF"/>
            </w:tcBorders>
            <w:shd w:val="clear" w:color="auto" w:fill="98B0CF"/>
          </w:tcPr>
          <w:p>
            <w:pPr>
              <w:spacing w:after="0"/>
              <w:rPr>
                <w:sz w:val="14"/>
                <w:szCs w:val="14"/>
                <w:color w:val="auto"/>
              </w:rPr>
            </w:pPr>
          </w:p>
        </w:tc>
        <w:tc>
          <w:tcPr>
            <w:tcW w:w="420" w:type="dxa"/>
            <w:vAlign w:val="bottom"/>
            <w:tcBorders>
              <w:bottom w:val="single" w:sz="8" w:color="auto"/>
            </w:tcBorders>
            <w:shd w:val="clear" w:color="auto" w:fill="98B0CF"/>
          </w:tcPr>
          <w:p>
            <w:pPr>
              <w:spacing w:after="0"/>
              <w:rPr>
                <w:sz w:val="14"/>
                <w:szCs w:val="14"/>
                <w:color w:val="auto"/>
              </w:rPr>
            </w:pPr>
          </w:p>
        </w:tc>
        <w:tc>
          <w:tcPr>
            <w:tcW w:w="1300" w:type="dxa"/>
            <w:vAlign w:val="bottom"/>
            <w:tcBorders>
              <w:bottom w:val="single" w:sz="8" w:color="auto"/>
            </w:tcBorders>
            <w:shd w:val="clear" w:color="auto" w:fill="98B0CF"/>
          </w:tcPr>
          <w:p>
            <w:pPr>
              <w:ind w:left="2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460" w:type="dxa"/>
            <w:vAlign w:val="bottom"/>
            <w:tcBorders>
              <w:bottom w:val="single" w:sz="8" w:color="auto"/>
            </w:tcBorders>
            <w:shd w:val="clear" w:color="auto" w:fill="98B0CF"/>
          </w:tcPr>
          <w:p>
            <w:pPr>
              <w:jc w:val="center"/>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98B0CF"/>
            </w:tcBorders>
            <w:shd w:val="clear" w:color="auto" w:fill="98B0CF"/>
          </w:tcPr>
          <w:p>
            <w:pPr>
              <w:spacing w:after="0"/>
              <w:rPr>
                <w:sz w:val="14"/>
                <w:szCs w:val="14"/>
                <w:color w:val="auto"/>
              </w:rPr>
            </w:pPr>
          </w:p>
        </w:tc>
        <w:tc>
          <w:tcPr>
            <w:tcW w:w="34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98B0CF"/>
            </w:tcBorders>
            <w:shd w:val="clear" w:color="auto" w:fill="98B0CF"/>
          </w:tcPr>
          <w:p>
            <w:pPr>
              <w:spacing w:after="0"/>
              <w:rPr>
                <w:sz w:val="14"/>
                <w:szCs w:val="14"/>
                <w:color w:val="auto"/>
              </w:rPr>
            </w:pPr>
          </w:p>
        </w:tc>
      </w:tr>
      <w:tr>
        <w:trPr>
          <w:trHeight w:val="183"/>
        </w:trPr>
        <w:tc>
          <w:tcPr>
            <w:tcW w:w="454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Restricted Stock Units</w:t>
            </w:r>
          </w:p>
        </w:tc>
        <w:tc>
          <w:tcPr>
            <w:tcW w:w="120" w:type="dxa"/>
            <w:vAlign w:val="bottom"/>
            <w:shd w:val="clear" w:color="auto" w:fill="E2E8F1"/>
          </w:tcPr>
          <w:p>
            <w:pPr>
              <w:spacing w:after="0"/>
              <w:rPr>
                <w:sz w:val="15"/>
                <w:szCs w:val="15"/>
                <w:color w:val="auto"/>
              </w:rPr>
            </w:pPr>
          </w:p>
        </w:tc>
        <w:tc>
          <w:tcPr>
            <w:tcW w:w="13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424</w:t>
            </w:r>
          </w:p>
        </w:tc>
        <w:tc>
          <w:tcPr>
            <w:tcW w:w="120" w:type="dxa"/>
            <w:vAlign w:val="bottom"/>
            <w:shd w:val="clear" w:color="auto" w:fill="E2E8F1"/>
          </w:tcPr>
          <w:p>
            <w:pPr>
              <w:spacing w:after="0"/>
              <w:rPr>
                <w:sz w:val="15"/>
                <w:szCs w:val="15"/>
                <w:color w:val="auto"/>
              </w:rPr>
            </w:pPr>
          </w:p>
        </w:tc>
        <w:tc>
          <w:tcPr>
            <w:tcW w:w="420" w:type="dxa"/>
            <w:vAlign w:val="bottom"/>
            <w:shd w:val="clear" w:color="auto" w:fill="E2E8F1"/>
          </w:tcPr>
          <w:p>
            <w:pPr>
              <w:spacing w:after="0"/>
              <w:rPr>
                <w:sz w:val="15"/>
                <w:szCs w:val="15"/>
                <w:color w:val="auto"/>
              </w:rPr>
            </w:pPr>
          </w:p>
        </w:tc>
        <w:tc>
          <w:tcPr>
            <w:tcW w:w="1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49.08</w:t>
            </w:r>
          </w:p>
        </w:tc>
        <w:tc>
          <w:tcPr>
            <w:tcW w:w="1660" w:type="dxa"/>
            <w:vAlign w:val="bottom"/>
            <w:gridSpan w:val="3"/>
            <w:shd w:val="clear" w:color="auto" w:fill="E2E8F1"/>
          </w:tcPr>
          <w:p>
            <w:pPr>
              <w:jc w:val="right"/>
              <w:spacing w:after="0" w:line="183" w:lineRule="exact"/>
              <w:rPr>
                <w:sz w:val="20"/>
                <w:szCs w:val="20"/>
                <w:color w:val="auto"/>
              </w:rPr>
            </w:pPr>
            <w:r>
              <w:rPr>
                <w:rFonts w:ascii="Arial" w:cs="Arial" w:eastAsia="Arial" w:hAnsi="Arial"/>
                <w:sz w:val="16"/>
                <w:szCs w:val="16"/>
                <w:color w:val="auto"/>
              </w:rPr>
              <w:t>333</w:t>
            </w:r>
          </w:p>
        </w:tc>
        <w:tc>
          <w:tcPr>
            <w:tcW w:w="120" w:type="dxa"/>
            <w:vAlign w:val="bottom"/>
            <w:shd w:val="clear" w:color="auto" w:fill="E2E8F1"/>
          </w:tcPr>
          <w:p>
            <w:pPr>
              <w:spacing w:after="0"/>
              <w:rPr>
                <w:sz w:val="15"/>
                <w:szCs w:val="15"/>
                <w:color w:val="auto"/>
              </w:rPr>
            </w:pPr>
          </w:p>
        </w:tc>
        <w:tc>
          <w:tcPr>
            <w:tcW w:w="340" w:type="dxa"/>
            <w:vAlign w:val="bottom"/>
            <w:shd w:val="clear" w:color="auto" w:fill="E2E8F1"/>
          </w:tcPr>
          <w:p>
            <w:pPr>
              <w:spacing w:after="0"/>
              <w:rPr>
                <w:sz w:val="15"/>
                <w:szCs w:val="15"/>
                <w:color w:val="auto"/>
              </w:rPr>
            </w:pPr>
          </w:p>
        </w:tc>
        <w:tc>
          <w:tcPr>
            <w:tcW w:w="12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63.82</w:t>
            </w:r>
          </w:p>
        </w:tc>
        <w:tc>
          <w:tcPr>
            <w:tcW w:w="100" w:type="dxa"/>
            <w:vAlign w:val="bottom"/>
            <w:shd w:val="clear" w:color="auto" w:fill="E2E8F1"/>
          </w:tcPr>
          <w:p>
            <w:pPr>
              <w:spacing w:after="0"/>
              <w:rPr>
                <w:sz w:val="15"/>
                <w:szCs w:val="15"/>
                <w:color w:val="auto"/>
              </w:rPr>
            </w:pP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58.36</w:t>
            </w:r>
          </w:p>
        </w:tc>
        <w:tc>
          <w:tcPr>
            <w:tcW w:w="1660" w:type="dxa"/>
            <w:vAlign w:val="bottom"/>
            <w:gridSpan w:val="3"/>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71.16</w:t>
            </w:r>
          </w:p>
        </w:tc>
        <w:tc>
          <w:tcPr>
            <w:tcW w:w="100" w:type="dxa"/>
            <w:vAlign w:val="bottom"/>
          </w:tcPr>
          <w:p>
            <w:pPr>
              <w:spacing w:after="0"/>
              <w:rPr>
                <w:sz w:val="16"/>
                <w:szCs w:val="16"/>
                <w:color w:val="auto"/>
              </w:rPr>
            </w:pPr>
          </w:p>
        </w:tc>
      </w:tr>
      <w:tr>
        <w:trPr>
          <w:trHeight w:val="189"/>
        </w:trPr>
        <w:tc>
          <w:tcPr>
            <w:tcW w:w="454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Deferred Stock Units</w:t>
            </w:r>
          </w:p>
        </w:tc>
        <w:tc>
          <w:tcPr>
            <w:tcW w:w="1440" w:type="dxa"/>
            <w:vAlign w:val="bottom"/>
            <w:tcBorders>
              <w:bottom w:val="single" w:sz="8" w:color="auto"/>
            </w:tcBorders>
            <w:gridSpan w:val="2"/>
            <w:shd w:val="clear" w:color="auto" w:fill="E2E8F1"/>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E2E8F1"/>
            </w:tcBorders>
            <w:shd w:val="clear" w:color="auto" w:fill="E2E8F1"/>
          </w:tcPr>
          <w:p>
            <w:pPr>
              <w:spacing w:after="0"/>
              <w:rPr>
                <w:sz w:val="16"/>
                <w:szCs w:val="16"/>
                <w:color w:val="auto"/>
              </w:rPr>
            </w:pPr>
          </w:p>
        </w:tc>
        <w:tc>
          <w:tcPr>
            <w:tcW w:w="420" w:type="dxa"/>
            <w:vAlign w:val="bottom"/>
            <w:tcBorders>
              <w:bottom w:val="single" w:sz="8" w:color="auto"/>
            </w:tcBorders>
            <w:shd w:val="clear" w:color="auto" w:fill="E2E8F1"/>
          </w:tcPr>
          <w:p>
            <w:pPr>
              <w:spacing w:after="0"/>
              <w:rPr>
                <w:sz w:val="16"/>
                <w:szCs w:val="16"/>
                <w:color w:val="auto"/>
              </w:rPr>
            </w:pPr>
          </w:p>
        </w:tc>
        <w:tc>
          <w:tcPr>
            <w:tcW w:w="1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Borders>
              <w:bottom w:val="single" w:sz="8" w:color="E2E8F1"/>
            </w:tcBorders>
            <w:shd w:val="clear" w:color="auto" w:fill="E2E8F1"/>
          </w:tcPr>
          <w:p>
            <w:pPr>
              <w:spacing w:after="0"/>
              <w:rPr>
                <w:sz w:val="16"/>
                <w:szCs w:val="16"/>
                <w:color w:val="auto"/>
              </w:rPr>
            </w:pPr>
          </w:p>
        </w:tc>
        <w:tc>
          <w:tcPr>
            <w:tcW w:w="1560" w:type="dxa"/>
            <w:vAlign w:val="bottom"/>
            <w:tcBorders>
              <w:bottom w:val="single" w:sz="8" w:color="auto"/>
            </w:tcBorders>
            <w:gridSpan w:val="2"/>
            <w:shd w:val="clear" w:color="auto" w:fill="E2E8F1"/>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E2E8F1"/>
            </w:tcBorders>
            <w:shd w:val="clear" w:color="auto" w:fill="E2E8F1"/>
          </w:tcPr>
          <w:p>
            <w:pPr>
              <w:spacing w:after="0"/>
              <w:rPr>
                <w:sz w:val="16"/>
                <w:szCs w:val="16"/>
                <w:color w:val="auto"/>
              </w:rPr>
            </w:pPr>
          </w:p>
        </w:tc>
        <w:tc>
          <w:tcPr>
            <w:tcW w:w="34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79.47</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45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Total Shares Granted</w:t>
            </w:r>
          </w:p>
        </w:tc>
        <w:tc>
          <w:tcPr>
            <w:tcW w:w="14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658</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52.36</w:t>
            </w:r>
          </w:p>
        </w:tc>
        <w:tc>
          <w:tcPr>
            <w:tcW w:w="100" w:type="dxa"/>
            <w:vAlign w:val="bottom"/>
          </w:tcPr>
          <w:p>
            <w:pPr>
              <w:spacing w:after="0"/>
              <w:rPr>
                <w:sz w:val="15"/>
                <w:szCs w:val="15"/>
                <w:color w:val="auto"/>
              </w:rPr>
            </w:pPr>
          </w:p>
        </w:tc>
        <w:tc>
          <w:tcPr>
            <w:tcW w:w="15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528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66.78</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-822325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-505460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-505460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-136525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-136525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-136525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Acquisitions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From time to time, we acquire and invest in companies throughout the world, including franchises. Total cash consideration paid for acquisitions, net of cash acquired, was $1.0 and $1.1 for the three months ended March 31, 2025 and 2024, respectively.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Restructuring Costs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we recorded $15.8 in restructuring costs. During the three months ended March 31, 2024, we did not record any restructuring costs. Payments made from the restructuring reserve were $12.3 during the three months ended March 31, 2025. We use our restructuring reserve for severance, office closures, office consolidations, and professional and other fees related to restructuring in multiple countries and territories. We expect a majority of the remaining $49.0 reserve will be paid by the end of 2025.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spacing w:after="0"/>
              <w:rPr>
                <w:sz w:val="12"/>
                <w:szCs w:val="12"/>
                <w:color w:val="auto"/>
              </w:rPr>
            </w:pPr>
          </w:p>
        </w:tc>
        <w:tc>
          <w:tcPr>
            <w:tcW w:w="1060" w:type="dxa"/>
            <w:vAlign w:val="bottom"/>
            <w:tcBorders>
              <w:top w:val="single" w:sz="8" w:color="auto"/>
            </w:tcBorders>
            <w:vMerge w:val="restart"/>
            <w:shd w:val="clear" w:color="auto" w:fill="98B0CF"/>
          </w:tcPr>
          <w:p>
            <w:pPr>
              <w:jc w:val="right"/>
              <w:ind w:right="200"/>
              <w:spacing w:after="0"/>
              <w:rPr>
                <w:sz w:val="20"/>
                <w:szCs w:val="20"/>
                <w:color w:val="auto"/>
              </w:rPr>
            </w:pPr>
            <w:r>
              <w:rPr>
                <w:rFonts w:ascii="Arial" w:cs="Arial" w:eastAsia="Arial" w:hAnsi="Arial"/>
                <w:sz w:val="14"/>
                <w:szCs w:val="14"/>
                <w:b w:val="1"/>
                <w:bCs w:val="1"/>
                <w:color w:val="auto"/>
                <w:w w:val="96"/>
              </w:rPr>
              <w:t>Americas</w:t>
            </w:r>
            <w:r>
              <w:rPr>
                <w:rFonts w:ascii="Arial" w:cs="Arial" w:eastAsia="Arial" w:hAnsi="Arial"/>
                <w:sz w:val="19"/>
                <w:szCs w:val="19"/>
                <w:b w:val="1"/>
                <w:bCs w:val="1"/>
                <w:color w:val="auto"/>
                <w:w w:val="96"/>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104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Southern</w:t>
            </w:r>
          </w:p>
        </w:tc>
        <w:tc>
          <w:tcPr>
            <w:tcW w:w="220" w:type="dxa"/>
            <w:vAlign w:val="bottom"/>
            <w:tcBorders>
              <w:top w:val="single" w:sz="8" w:color="auto"/>
            </w:tcBorders>
            <w:shd w:val="clear" w:color="auto" w:fill="98B0CF"/>
          </w:tcPr>
          <w:p>
            <w:pPr>
              <w:spacing w:after="0"/>
              <w:rPr>
                <w:sz w:val="12"/>
                <w:szCs w:val="12"/>
                <w:color w:val="auto"/>
              </w:rPr>
            </w:pPr>
          </w:p>
        </w:tc>
        <w:tc>
          <w:tcPr>
            <w:tcW w:w="102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Northern</w:t>
            </w:r>
          </w:p>
        </w:tc>
        <w:tc>
          <w:tcPr>
            <w:tcW w:w="280" w:type="dxa"/>
            <w:vAlign w:val="bottom"/>
            <w:tcBorders>
              <w:top w:val="single" w:sz="8" w:color="auto"/>
            </w:tcBorders>
            <w:shd w:val="clear" w:color="auto" w:fill="98B0CF"/>
          </w:tcPr>
          <w:p>
            <w:pPr>
              <w:spacing w:after="0"/>
              <w:rPr>
                <w:sz w:val="12"/>
                <w:szCs w:val="12"/>
                <w:color w:val="auto"/>
              </w:rPr>
            </w:pPr>
          </w:p>
        </w:tc>
        <w:tc>
          <w:tcPr>
            <w:tcW w:w="980" w:type="dxa"/>
            <w:vAlign w:val="bottom"/>
            <w:tcBorders>
              <w:top w:val="single" w:sz="8" w:color="auto"/>
            </w:tcBorders>
            <w:shd w:val="clear" w:color="auto" w:fill="98B0CF"/>
          </w:tcPr>
          <w:p>
            <w:pPr>
              <w:spacing w:after="0"/>
              <w:rPr>
                <w:sz w:val="12"/>
                <w:szCs w:val="12"/>
                <w:color w:val="auto"/>
              </w:rPr>
            </w:pPr>
          </w:p>
        </w:tc>
        <w:tc>
          <w:tcPr>
            <w:tcW w:w="220" w:type="dxa"/>
            <w:vAlign w:val="bottom"/>
            <w:tcBorders>
              <w:top w:val="single" w:sz="8" w:color="auto"/>
            </w:tcBorders>
            <w:shd w:val="clear" w:color="auto" w:fill="98B0CF"/>
          </w:tcPr>
          <w:p>
            <w:pPr>
              <w:spacing w:after="0"/>
              <w:rPr>
                <w:sz w:val="12"/>
                <w:szCs w:val="12"/>
                <w:color w:val="auto"/>
              </w:rPr>
            </w:pPr>
          </w:p>
        </w:tc>
        <w:tc>
          <w:tcPr>
            <w:tcW w:w="1000" w:type="dxa"/>
            <w:vAlign w:val="bottom"/>
            <w:tcBorders>
              <w:top w:val="single" w:sz="8" w:color="auto"/>
            </w:tcBorders>
            <w:shd w:val="clear" w:color="auto" w:fill="98B0CF"/>
          </w:tcPr>
          <w:p>
            <w:pPr>
              <w:spacing w:after="0"/>
              <w:rPr>
                <w:sz w:val="12"/>
                <w:szCs w:val="12"/>
                <w:color w:val="auto"/>
              </w:rPr>
            </w:pPr>
          </w:p>
        </w:tc>
        <w:tc>
          <w:tcPr>
            <w:tcW w:w="340" w:type="dxa"/>
            <w:vAlign w:val="bottom"/>
            <w:tcBorders>
              <w:top w:val="single" w:sz="8" w:color="auto"/>
            </w:tcBorders>
            <w:shd w:val="clear" w:color="auto" w:fill="98B0CF"/>
          </w:tcPr>
          <w:p>
            <w:pPr>
              <w:spacing w:after="0"/>
              <w:rPr>
                <w:sz w:val="12"/>
                <w:szCs w:val="12"/>
                <w:color w:val="auto"/>
              </w:rPr>
            </w:pPr>
          </w:p>
        </w:tc>
        <w:tc>
          <w:tcPr>
            <w:tcW w:w="98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spacing w:after="0"/>
              <w:rPr>
                <w:sz w:val="16"/>
                <w:szCs w:val="16"/>
                <w:color w:val="auto"/>
              </w:rPr>
            </w:pPr>
          </w:p>
        </w:tc>
        <w:tc>
          <w:tcPr>
            <w:tcW w:w="1060" w:type="dxa"/>
            <w:vAlign w:val="bottom"/>
            <w:tcBorders>
              <w:bottom w:val="single" w:sz="8" w:color="auto"/>
            </w:tcBorders>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1040" w:type="dxa"/>
            <w:vAlign w:val="bottom"/>
            <w:tcBorders>
              <w:bottom w:val="single" w:sz="8" w:color="auto"/>
            </w:tcBorders>
            <w:shd w:val="clear" w:color="auto" w:fill="98B0CF"/>
          </w:tcPr>
          <w:p>
            <w:pPr>
              <w:jc w:val="right"/>
              <w:ind w:right="281"/>
              <w:spacing w:after="0" w:line="189"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9"/>
                <w:szCs w:val="19"/>
                <w:b w:val="1"/>
                <w:bCs w:val="1"/>
                <w:color w:val="auto"/>
                <w:vertAlign w:val="superscript"/>
              </w:rPr>
              <w:t>(b)</w:t>
            </w:r>
          </w:p>
        </w:tc>
        <w:tc>
          <w:tcPr>
            <w:tcW w:w="220" w:type="dxa"/>
            <w:vAlign w:val="bottom"/>
            <w:tcBorders>
              <w:bottom w:val="single" w:sz="8" w:color="auto"/>
            </w:tcBorders>
            <w:shd w:val="clear" w:color="auto" w:fill="98B0CF"/>
          </w:tcPr>
          <w:p>
            <w:pPr>
              <w:spacing w:after="0"/>
              <w:rPr>
                <w:sz w:val="16"/>
                <w:szCs w:val="16"/>
                <w:color w:val="auto"/>
              </w:rPr>
            </w:pPr>
          </w:p>
        </w:tc>
        <w:tc>
          <w:tcPr>
            <w:tcW w:w="102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APME</w:t>
            </w:r>
          </w:p>
        </w:tc>
        <w:tc>
          <w:tcPr>
            <w:tcW w:w="220" w:type="dxa"/>
            <w:vAlign w:val="bottom"/>
            <w:tcBorders>
              <w:bottom w:val="single" w:sz="8" w:color="auto"/>
            </w:tcBorders>
            <w:shd w:val="clear" w:color="auto" w:fill="98B0CF"/>
          </w:tcPr>
          <w:p>
            <w:pPr>
              <w:spacing w:after="0"/>
              <w:rPr>
                <w:sz w:val="16"/>
                <w:szCs w:val="16"/>
                <w:color w:val="auto"/>
              </w:rPr>
            </w:pPr>
          </w:p>
        </w:tc>
        <w:tc>
          <w:tcPr>
            <w:tcW w:w="1000" w:type="dxa"/>
            <w:vAlign w:val="bottom"/>
            <w:tcBorders>
              <w:bottom w:val="single" w:sz="8" w:color="auto"/>
            </w:tcBorders>
            <w:shd w:val="clear" w:color="auto" w:fill="98B0CF"/>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34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6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2024</w:t>
            </w:r>
          </w:p>
        </w:tc>
        <w:tc>
          <w:tcPr>
            <w:tcW w:w="9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5.7</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4.4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32.1</w:t>
            </w:r>
          </w:p>
        </w:tc>
        <w:tc>
          <w:tcPr>
            <w:tcW w:w="28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2.4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1.9</w:t>
            </w:r>
          </w:p>
        </w:tc>
        <w:tc>
          <w:tcPr>
            <w:tcW w:w="34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Severance costs</w:t>
            </w:r>
          </w:p>
        </w:tc>
        <w:tc>
          <w:tcPr>
            <w:tcW w:w="9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11.3</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2960" w:type="dxa"/>
            <w:vAlign w:val="bottom"/>
            <w:shd w:val="clear" w:color="auto" w:fill="E2E8F1"/>
          </w:tcPr>
          <w:p>
            <w:pPr>
              <w:ind w:left="80"/>
              <w:spacing w:after="0" w:line="189" w:lineRule="exact"/>
              <w:rPr>
                <w:sz w:val="20"/>
                <w:szCs w:val="20"/>
                <w:color w:val="auto"/>
              </w:rPr>
            </w:pPr>
            <w:r>
              <w:rPr>
                <w:rFonts w:ascii="Arial" w:cs="Arial" w:eastAsia="Arial" w:hAnsi="Arial"/>
                <w:sz w:val="16"/>
                <w:szCs w:val="16"/>
                <w:color w:val="auto"/>
              </w:rPr>
              <w:t>Lease costs</w:t>
            </w:r>
            <w:r>
              <w:rPr>
                <w:rFonts w:ascii="Arial" w:cs="Arial" w:eastAsia="Arial" w:hAnsi="Arial"/>
                <w:sz w:val="21"/>
                <w:szCs w:val="21"/>
                <w:color w:val="auto"/>
                <w:vertAlign w:val="superscript"/>
              </w:rPr>
              <w:t>(c)</w:t>
            </w:r>
          </w:p>
        </w:tc>
        <w:tc>
          <w:tcPr>
            <w:tcW w:w="92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1.0</w:t>
            </w:r>
          </w:p>
        </w:tc>
        <w:tc>
          <w:tcPr>
            <w:tcW w:w="28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Non-cash charges</w:t>
            </w:r>
          </w:p>
        </w:tc>
        <w:tc>
          <w:tcPr>
            <w:tcW w:w="9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Costs paid</w:t>
            </w:r>
          </w:p>
        </w:tc>
        <w:tc>
          <w:tcPr>
            <w:tcW w:w="920" w:type="dxa"/>
            <w:vAlign w:val="bottom"/>
            <w:tcBorders>
              <w:bottom w:val="single" w:sz="8" w:color="auto"/>
            </w:tcBorders>
            <w:shd w:val="clear" w:color="auto" w:fill="E2E8F1"/>
          </w:tcPr>
          <w:p>
            <w:pPr>
              <w:spacing w:after="0"/>
              <w:rPr>
                <w:sz w:val="16"/>
                <w:szCs w:val="16"/>
                <w:color w:val="auto"/>
              </w:rPr>
            </w:pPr>
          </w:p>
        </w:tc>
        <w:tc>
          <w:tcPr>
            <w:tcW w:w="10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(8.3)</w:t>
            </w:r>
          </w:p>
        </w:tc>
        <w:tc>
          <w:tcPr>
            <w:tcW w:w="28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Balance, March 31, 2025</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3.1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6.7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35.1</w:t>
            </w:r>
          </w:p>
        </w:tc>
        <w:tc>
          <w:tcPr>
            <w:tcW w:w="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Balances related to the United States were $4.0 and $2.2 as of December 31, 2024 and March 31, 2025, respectively.</w:t>
      </w:r>
    </w:p>
    <w:p>
      <w:pPr>
        <w:spacing w:after="0" w:line="15"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Balances related to France were $1.2 as of both December 31, 2024 and March 31, 2025. Balances related to Italy were $2.0 and $1.8 as of December 31, 2024 and March 31, 2025, respectively.</w:t>
      </w: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Liabilities related to exited leased facilities are recorded within our short-term and long-term operating lease liabilities within our Consolidated Balance Sheets.</w:t>
      </w:r>
    </w:p>
    <w:p>
      <w:pPr>
        <w:spacing w:after="0" w:line="11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Income Taxes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66.8% for the three months ended March 31, 2025, as compared to an effective rate of 31.0% for the three months ended March 31, 2024. The 2025 rate was unfavorably impacted by the lower level and overall mix of earnings due in part to restructuring costs recorded in the quarter and the 2025 enacted one-time French exceptional corporate income tax surcharge. The 66.8% effective tax rate for the three months ended March 31, 2025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$36.8 as of March 31, 2025. If recognized, the entire amount would favorably affect the effective tax rate except for $9.5. As of December 31, 2024, we had gross unrecognized tax benefits related to various tax jurisdictions, including interest and penalties, of $36.1.</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2018 through 2025 for our major operations in France, Italy, the United Kingdom and the United States. As of March 31, 2025, we were subject to tax audits in Austria, Germany, India, Israel, Spain and the United States.</w:t>
      </w:r>
    </w:p>
    <w:p>
      <w:pPr>
        <w:spacing w:after="0" w:line="10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Net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Borders>
              <w:top w:val="single" w:sz="8" w:color="auto"/>
            </w:tcBorders>
            <w:shd w:val="clear" w:color="auto" w:fill="98B0CF"/>
          </w:tcPr>
          <w:p>
            <w:pPr>
              <w:spacing w:after="0"/>
              <w:rPr>
                <w:sz w:val="15"/>
                <w:szCs w:val="15"/>
                <w:color w:val="auto"/>
              </w:rPr>
            </w:pPr>
          </w:p>
        </w:tc>
        <w:tc>
          <w:tcPr>
            <w:tcW w:w="120" w:type="dxa"/>
            <w:vAlign w:val="bottom"/>
            <w:tcBorders>
              <w:top w:val="single" w:sz="8" w:color="auto"/>
            </w:tcBorders>
            <w:shd w:val="clear" w:color="auto" w:fill="98B0CF"/>
          </w:tcPr>
          <w:p>
            <w:pPr>
              <w:spacing w:after="0"/>
              <w:rPr>
                <w:sz w:val="15"/>
                <w:szCs w:val="15"/>
                <w:color w:val="auto"/>
              </w:rPr>
            </w:pPr>
          </w:p>
        </w:tc>
        <w:tc>
          <w:tcPr>
            <w:tcW w:w="2640" w:type="dxa"/>
            <w:vAlign w:val="bottom"/>
            <w:tcBorders>
              <w:top w:val="single" w:sz="8" w:color="auto"/>
            </w:tcBorders>
            <w:gridSpan w:val="3"/>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top w:val="single" w:sz="8" w:color="auto"/>
            </w:tcBorders>
            <w:shd w:val="clear" w:color="auto" w:fill="98B0CF"/>
          </w:tcPr>
          <w:p>
            <w:pPr>
              <w:spacing w:after="0"/>
              <w:rPr>
                <w:sz w:val="15"/>
                <w:szCs w:val="15"/>
                <w:color w:val="auto"/>
              </w:rPr>
            </w:pPr>
          </w:p>
        </w:tc>
      </w:tr>
      <w:tr>
        <w:trPr>
          <w:trHeight w:val="162"/>
        </w:trPr>
        <w:tc>
          <w:tcPr>
            <w:tcW w:w="794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1640" w:type="dxa"/>
            <w:vAlign w:val="bottom"/>
            <w:tcBorders>
              <w:bottom w:val="single" w:sz="8" w:color="auto"/>
            </w:tcBorders>
            <w:gridSpan w:val="2"/>
            <w:shd w:val="clear" w:color="auto" w:fill="98B0CF"/>
          </w:tcPr>
          <w:p>
            <w:pPr>
              <w:jc w:val="right"/>
              <w:ind w:right="701"/>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shd w:val="clear" w:color="auto" w:fill="98B0CF"/>
          </w:tcPr>
          <w:p>
            <w:pPr>
              <w:spacing w:after="0"/>
              <w:rPr>
                <w:sz w:val="14"/>
                <w:szCs w:val="14"/>
                <w:color w:val="auto"/>
              </w:rPr>
            </w:pPr>
          </w:p>
        </w:tc>
      </w:tr>
      <w:tr>
        <w:trPr>
          <w:trHeight w:val="155"/>
        </w:trPr>
        <w:tc>
          <w:tcPr>
            <w:tcW w:w="794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jc w:val="right"/>
              <w:ind w:right="67"/>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1"/>
              <w:spacing w:after="0" w:line="155" w:lineRule="exact"/>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shd w:val="clear" w:color="auto" w:fill="98B0CF"/>
          </w:tcPr>
          <w:p>
            <w:pPr>
              <w:spacing w:after="0"/>
              <w:rPr>
                <w:sz w:val="13"/>
                <w:szCs w:val="13"/>
                <w:color w:val="auto"/>
              </w:rPr>
            </w:pP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available to common shareholders</w:t>
            </w:r>
          </w:p>
        </w:tc>
        <w:tc>
          <w:tcPr>
            <w:tcW w:w="12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5.6</w:t>
            </w:r>
          </w:p>
        </w:tc>
        <w:tc>
          <w:tcPr>
            <w:tcW w:w="1100" w:type="dxa"/>
            <w:vAlign w:val="bottom"/>
            <w:tcBorders>
              <w:bottom w:val="single" w:sz="8" w:color="auto"/>
            </w:tcBorders>
            <w:shd w:val="clear" w:color="auto" w:fill="E2E8F1"/>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39.7</w:t>
            </w:r>
          </w:p>
        </w:tc>
      </w:tr>
      <w:tr>
        <w:trPr>
          <w:trHeight w:val="183"/>
        </w:trPr>
        <w:tc>
          <w:tcPr>
            <w:tcW w:w="7940" w:type="dxa"/>
            <w:vAlign w:val="bottom"/>
          </w:tcPr>
          <w:p>
            <w:pPr>
              <w:ind w:left="80"/>
              <w:spacing w:after="0" w:line="183" w:lineRule="exact"/>
              <w:rPr>
                <w:sz w:val="20"/>
                <w:szCs w:val="20"/>
                <w:color w:val="auto"/>
              </w:rPr>
            </w:pPr>
            <w:r>
              <w:rPr>
                <w:rFonts w:ascii="Arial" w:cs="Arial" w:eastAsia="Arial" w:hAnsi="Arial"/>
                <w:sz w:val="16"/>
                <w:szCs w:val="16"/>
                <w:color w:val="auto"/>
              </w:rPr>
              <w:t>Weighted-average common shares outstanding (in millions)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9"/>
        </w:trPr>
        <w:tc>
          <w:tcPr>
            <w:tcW w:w="7940" w:type="dxa"/>
            <w:vAlign w:val="bottom"/>
            <w:shd w:val="clear" w:color="auto" w:fill="E2E8F1"/>
          </w:tcPr>
          <w:p>
            <w:pPr>
              <w:ind w:left="220"/>
              <w:spacing w:after="0"/>
              <w:rPr>
                <w:sz w:val="20"/>
                <w:szCs w:val="20"/>
                <w:color w:val="auto"/>
              </w:rPr>
            </w:pPr>
            <w:r>
              <w:rPr>
                <w:rFonts w:ascii="Arial" w:cs="Arial" w:eastAsia="Arial" w:hAnsi="Arial"/>
                <w:sz w:val="16"/>
                <w:szCs w:val="16"/>
                <w:color w:val="auto"/>
              </w:rPr>
              <w:t>Weighted-average common shares outstanding - basic</w:t>
            </w:r>
          </w:p>
        </w:tc>
        <w:tc>
          <w:tcPr>
            <w:tcW w:w="12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46.8</w:t>
            </w:r>
          </w:p>
        </w:tc>
        <w:tc>
          <w:tcPr>
            <w:tcW w:w="110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48.3</w:t>
            </w:r>
          </w:p>
        </w:tc>
      </w:tr>
      <w:tr>
        <w:trPr>
          <w:trHeight w:val="189"/>
        </w:trPr>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Effect of dilutive securities - share-based awards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spacing w:after="0"/>
              <w:rPr>
                <w:sz w:val="15"/>
                <w:szCs w:val="15"/>
                <w:color w:val="auto"/>
              </w:rPr>
            </w:pP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47.3</w:t>
            </w:r>
          </w:p>
        </w:tc>
        <w:tc>
          <w:tcPr>
            <w:tcW w:w="1100" w:type="dxa"/>
            <w:vAlign w:val="bottom"/>
            <w:tcBorders>
              <w:bottom w:val="single" w:sz="8" w:color="auto"/>
            </w:tcBorders>
            <w:shd w:val="clear" w:color="auto" w:fill="E2E8F1"/>
          </w:tcPr>
          <w:p>
            <w:pPr>
              <w:spacing w:after="0"/>
              <w:rPr>
                <w:sz w:val="15"/>
                <w:szCs w:val="15"/>
                <w:color w:val="auto"/>
              </w:rPr>
            </w:pP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48.9</w:t>
            </w:r>
          </w:p>
        </w:tc>
      </w:tr>
      <w:tr>
        <w:trPr>
          <w:trHeight w:val="183"/>
        </w:trPr>
        <w:tc>
          <w:tcPr>
            <w:tcW w:w="79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Net earnings per share - basic</w:t>
            </w:r>
          </w:p>
        </w:tc>
        <w:tc>
          <w:tcPr>
            <w:tcW w:w="1120" w:type="dxa"/>
            <w:vAlign w:val="bottom"/>
            <w:tcBorders>
              <w:bottom w:val="single" w:sz="8" w:color="auto"/>
            </w:tcBorders>
            <w:gridSpan w:val="2"/>
          </w:tcPr>
          <w:p>
            <w:pPr>
              <w:jc w:val="right"/>
              <w:ind w:right="847"/>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0.12</w:t>
            </w:r>
          </w:p>
        </w:tc>
        <w:tc>
          <w:tcPr>
            <w:tcW w:w="11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0.82</w:t>
            </w: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per share - diluted</w:t>
            </w:r>
          </w:p>
        </w:tc>
        <w:tc>
          <w:tcPr>
            <w:tcW w:w="1120" w:type="dxa"/>
            <w:vAlign w:val="bottom"/>
            <w:tcBorders>
              <w:bottom w:val="single" w:sz="8" w:color="auto"/>
            </w:tcBorders>
            <w:gridSpan w:val="2"/>
            <w:shd w:val="clear" w:color="auto" w:fill="E2E8F1"/>
          </w:tcPr>
          <w:p>
            <w:pPr>
              <w:jc w:val="right"/>
              <w:ind w:right="847"/>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0.12</w:t>
            </w:r>
          </w:p>
        </w:tc>
        <w:tc>
          <w:tcPr>
            <w:tcW w:w="1100" w:type="dxa"/>
            <w:vAlign w:val="bottom"/>
            <w:tcBorders>
              <w:bottom w:val="single" w:sz="8" w:color="auto"/>
            </w:tcBorders>
            <w:shd w:val="clear" w:color="auto" w:fill="E2E8F1"/>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0.81</w:t>
            </w:r>
          </w:p>
        </w:tc>
      </w:tr>
    </w:tbl>
    <w:p>
      <w:pPr>
        <w:spacing w:after="0" w:line="10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were 0.7 million and 0.8 million share-based awards excluded from the calculation of net earnings per share - diluted for the three months ended March 31, 2025 and 2024, respectively, because their impact was anti-dilutive.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top w:val="single" w:sz="8" w:color="auto"/>
              <w:bottom w:val="single" w:sz="8" w:color="98B0CF"/>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8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March 31, 2025</w:t>
            </w:r>
          </w:p>
        </w:tc>
        <w:tc>
          <w:tcPr>
            <w:tcW w:w="420" w:type="dxa"/>
            <w:vAlign w:val="bottom"/>
            <w:tcBorders>
              <w:top w:val="single" w:sz="8" w:color="auto"/>
              <w:bottom w:val="single" w:sz="8" w:color="auto"/>
            </w:tcBorders>
            <w:shd w:val="clear" w:color="auto" w:fill="98B0CF"/>
          </w:tcPr>
          <w:p>
            <w:pPr>
              <w:spacing w:after="0"/>
              <w:rPr>
                <w:sz w:val="15"/>
                <w:szCs w:val="15"/>
                <w:color w:val="auto"/>
              </w:rPr>
            </w:pPr>
          </w:p>
        </w:tc>
        <w:tc>
          <w:tcPr>
            <w:tcW w:w="980" w:type="dxa"/>
            <w:vAlign w:val="bottom"/>
            <w:tcBorders>
              <w:top w:val="single" w:sz="8" w:color="auto"/>
              <w:bottom w:val="single" w:sz="8" w:color="auto"/>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2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27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8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42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36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shd w:val="clear" w:color="auto" w:fill="98B0CF"/>
          </w:tcPr>
          <w:p>
            <w:pPr>
              <w:spacing w:after="0"/>
              <w:rPr>
                <w:sz w:val="14"/>
                <w:szCs w:val="14"/>
                <w:color w:val="auto"/>
              </w:rPr>
            </w:pPr>
          </w:p>
        </w:tc>
        <w:tc>
          <w:tcPr>
            <w:tcW w:w="98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Net</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1,577.9</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1,577.9</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1,563.4</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1,563.4</w:t>
            </w:r>
          </w:p>
        </w:tc>
      </w:tr>
      <w:tr>
        <w:trPr>
          <w:trHeight w:val="183"/>
        </w:trPr>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2700" w:type="dxa"/>
            <w:vAlign w:val="bottom"/>
            <w:shd w:val="clear" w:color="auto" w:fill="E2E8F1"/>
          </w:tcPr>
          <w:p>
            <w:pPr>
              <w:ind w:left="80"/>
              <w:spacing w:after="0"/>
              <w:rPr>
                <w:sz w:val="20"/>
                <w:szCs w:val="20"/>
                <w:color w:val="auto"/>
              </w:rPr>
            </w:pPr>
            <w:r>
              <w:rPr>
                <w:rFonts w:ascii="Arial" w:cs="Arial" w:eastAsia="Arial" w:hAnsi="Arial"/>
                <w:sz w:val="16"/>
                <w:szCs w:val="16"/>
                <w:color w:val="auto"/>
              </w:rPr>
              <w:t>Finite-lived:</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4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820.0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522.6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297.4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509.1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305.1</w:t>
            </w:r>
          </w:p>
        </w:tc>
      </w:tr>
      <w:tr>
        <w:trPr>
          <w:trHeight w:val="189"/>
        </w:trPr>
        <w:tc>
          <w:tcPr>
            <w:tcW w:w="270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24.9</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21.6</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24.4</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21.3</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3.1</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844.9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544.2</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300.7</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838.6</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530.4</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308.2</w:t>
            </w:r>
          </w:p>
        </w:tc>
      </w:tr>
      <w:tr>
        <w:trPr>
          <w:trHeight w:val="183"/>
        </w:trPr>
        <w:tc>
          <w:tcPr>
            <w:tcW w:w="27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Indefinite-lived:</w:t>
            </w: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42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6"/>
                <w:szCs w:val="16"/>
                <w:color w:val="auto"/>
              </w:rPr>
              <w:t>Tradenames</w:t>
            </w:r>
            <w:r>
              <w:rPr>
                <w:rFonts w:ascii="Arial" w:cs="Arial" w:eastAsia="Arial" w:hAnsi="Arial"/>
                <w:sz w:val="21"/>
                <w:szCs w:val="21"/>
                <w:color w:val="auto"/>
                <w:vertAlign w:val="superscript"/>
              </w:rPr>
              <w:t>(b)</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52.0</w:t>
            </w:r>
          </w:p>
        </w:tc>
      </w:tr>
      <w:tr>
        <w:trPr>
          <w:trHeight w:val="189"/>
        </w:trPr>
        <w:tc>
          <w:tcPr>
            <w:tcW w:w="270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Reacquired franchise rights</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126.7</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126.7</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125.9</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125.9</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178.7</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178.7</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177.9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177.9</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1,023.6</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544.2</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479.4</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1,016.5</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530.4</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-1593850</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$749.3 as of both March 31, 2025 and December 31, 2024.</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March 31, 2025 and December 31, 2024.</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consolidated amortization expense related to intangible assets for the remainder of 2025 is expected to be $22.7 and in each of the next five years as follows: 2026 - $27.5, 2027 - $26.9, 2028 - $26.9, 2029 - $26.5 and 2030 - $26.1.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60" w:type="dxa"/>
            <w:vAlign w:val="bottom"/>
            <w:tcBorders>
              <w:top w:val="single" w:sz="8" w:color="auto"/>
            </w:tcBorders>
            <w:shd w:val="clear" w:color="auto" w:fill="98B0CF"/>
          </w:tcPr>
          <w:p>
            <w:pPr>
              <w:spacing w:after="0"/>
              <w:rPr>
                <w:sz w:val="12"/>
                <w:szCs w:val="12"/>
                <w:color w:val="auto"/>
              </w:rPr>
            </w:pPr>
          </w:p>
        </w:tc>
        <w:tc>
          <w:tcPr>
            <w:tcW w:w="2300" w:type="dxa"/>
            <w:vAlign w:val="bottom"/>
            <w:tcBorders>
              <w:top w:val="single" w:sz="8" w:color="auto"/>
            </w:tcBorders>
            <w:gridSpan w:val="2"/>
            <w:vMerge w:val="restart"/>
            <w:shd w:val="clear" w:color="auto" w:fill="98B0CF"/>
          </w:tcPr>
          <w:p>
            <w:pPr>
              <w:jc w:val="right"/>
              <w:ind w:right="99"/>
              <w:spacing w:after="0"/>
              <w:rPr>
                <w:sz w:val="20"/>
                <w:szCs w:val="20"/>
                <w:color w:val="auto"/>
              </w:rPr>
            </w:pPr>
            <w:r>
              <w:rPr>
                <w:rFonts w:ascii="Arial" w:cs="Arial" w:eastAsia="Arial" w:hAnsi="Arial"/>
                <w:sz w:val="14"/>
                <w:szCs w:val="14"/>
                <w:b w:val="1"/>
                <w:bCs w:val="1"/>
                <w:color w:val="auto"/>
              </w:rPr>
              <w:t>Americas</w:t>
            </w:r>
            <w:r>
              <w:rPr>
                <w:rFonts w:ascii="Arial" w:cs="Arial" w:eastAsia="Arial" w:hAnsi="Arial"/>
                <w:sz w:val="19"/>
                <w:szCs w:val="19"/>
                <w:b w:val="1"/>
                <w:bCs w:val="1"/>
                <w:color w:val="auto"/>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860" w:type="dxa"/>
            <w:vAlign w:val="bottom"/>
            <w:tcBorders>
              <w:top w:val="single" w:sz="8" w:color="auto"/>
            </w:tcBorders>
            <w:shd w:val="clear" w:color="auto" w:fill="98B0CF"/>
          </w:tcPr>
          <w:p>
            <w:pPr>
              <w:jc w:val="right"/>
              <w:ind w:right="143"/>
              <w:spacing w:after="0" w:line="149" w:lineRule="exact"/>
              <w:rPr>
                <w:sz w:val="20"/>
                <w:szCs w:val="20"/>
                <w:color w:val="auto"/>
              </w:rPr>
            </w:pPr>
            <w:r>
              <w:rPr>
                <w:rFonts w:ascii="Arial" w:cs="Arial" w:eastAsia="Arial" w:hAnsi="Arial"/>
                <w:sz w:val="14"/>
                <w:szCs w:val="14"/>
                <w:b w:val="1"/>
                <w:bCs w:val="1"/>
                <w:color w:val="auto"/>
              </w:rPr>
              <w:t>Southern</w:t>
            </w:r>
          </w:p>
        </w:tc>
        <w:tc>
          <w:tcPr>
            <w:tcW w:w="220" w:type="dxa"/>
            <w:vAlign w:val="bottom"/>
            <w:tcBorders>
              <w:top w:val="single" w:sz="8" w:color="auto"/>
            </w:tcBorders>
            <w:shd w:val="clear" w:color="auto" w:fill="98B0CF"/>
          </w:tcPr>
          <w:p>
            <w:pPr>
              <w:spacing w:after="0"/>
              <w:rPr>
                <w:sz w:val="12"/>
                <w:szCs w:val="12"/>
                <w:color w:val="auto"/>
              </w:rPr>
            </w:pPr>
          </w:p>
        </w:tc>
        <w:tc>
          <w:tcPr>
            <w:tcW w:w="880" w:type="dxa"/>
            <w:vAlign w:val="bottom"/>
            <w:tcBorders>
              <w:top w:val="single" w:sz="8" w:color="auto"/>
            </w:tcBorders>
            <w:shd w:val="clear" w:color="auto" w:fill="98B0CF"/>
          </w:tcPr>
          <w:p>
            <w:pPr>
              <w:jc w:val="right"/>
              <w:ind w:right="163"/>
              <w:spacing w:after="0" w:line="149" w:lineRule="exact"/>
              <w:rPr>
                <w:sz w:val="20"/>
                <w:szCs w:val="20"/>
                <w:color w:val="auto"/>
              </w:rPr>
            </w:pPr>
            <w:r>
              <w:rPr>
                <w:rFonts w:ascii="Arial" w:cs="Arial" w:eastAsia="Arial" w:hAnsi="Arial"/>
                <w:sz w:val="14"/>
                <w:szCs w:val="14"/>
                <w:b w:val="1"/>
                <w:bCs w:val="1"/>
                <w:color w:val="auto"/>
              </w:rPr>
              <w:t>Northern</w:t>
            </w:r>
          </w:p>
        </w:tc>
        <w:tc>
          <w:tcPr>
            <w:tcW w:w="280" w:type="dxa"/>
            <w:vAlign w:val="bottom"/>
            <w:tcBorders>
              <w:top w:val="single" w:sz="8" w:color="auto"/>
            </w:tcBorders>
            <w:shd w:val="clear" w:color="auto" w:fill="98B0CF"/>
          </w:tcPr>
          <w:p>
            <w:pPr>
              <w:spacing w:after="0"/>
              <w:rPr>
                <w:sz w:val="12"/>
                <w:szCs w:val="12"/>
                <w:color w:val="auto"/>
              </w:rPr>
            </w:pPr>
          </w:p>
        </w:tc>
        <w:tc>
          <w:tcPr>
            <w:tcW w:w="820" w:type="dxa"/>
            <w:vAlign w:val="bottom"/>
            <w:tcBorders>
              <w:top w:val="single" w:sz="8" w:color="auto"/>
            </w:tcBorders>
            <w:shd w:val="clear" w:color="auto" w:fill="98B0CF"/>
          </w:tcPr>
          <w:p>
            <w:pPr>
              <w:spacing w:after="0"/>
              <w:rPr>
                <w:sz w:val="12"/>
                <w:szCs w:val="12"/>
                <w:color w:val="auto"/>
              </w:rPr>
            </w:pPr>
          </w:p>
        </w:tc>
        <w:tc>
          <w:tcPr>
            <w:tcW w:w="1120" w:type="dxa"/>
            <w:vAlign w:val="bottom"/>
            <w:tcBorders>
              <w:top w:val="single" w:sz="8" w:color="auto"/>
            </w:tcBorders>
            <w:gridSpan w:val="2"/>
            <w:vMerge w:val="restart"/>
            <w:shd w:val="clear" w:color="auto" w:fill="98B0CF"/>
          </w:tcPr>
          <w:p>
            <w:pPr>
              <w:jc w:val="right"/>
              <w:ind w:right="79"/>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9"/>
                <w:szCs w:val="19"/>
                <w:b w:val="1"/>
                <w:bCs w:val="1"/>
                <w:color w:val="auto"/>
                <w:vertAlign w:val="superscript"/>
              </w:rPr>
              <w:t>(c)</w:t>
            </w:r>
          </w:p>
        </w:tc>
        <w:tc>
          <w:tcPr>
            <w:tcW w:w="280" w:type="dxa"/>
            <w:vAlign w:val="bottom"/>
            <w:tcBorders>
              <w:top w:val="single" w:sz="8" w:color="auto"/>
            </w:tcBorders>
            <w:shd w:val="clear" w:color="auto" w:fill="98B0CF"/>
          </w:tcPr>
          <w:p>
            <w:pPr>
              <w:spacing w:after="0"/>
              <w:rPr>
                <w:sz w:val="12"/>
                <w:szCs w:val="12"/>
                <w:color w:val="auto"/>
              </w:rPr>
            </w:pPr>
          </w:p>
        </w:tc>
        <w:tc>
          <w:tcPr>
            <w:tcW w:w="80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shd w:val="clear" w:color="auto" w:fill="98B0CF"/>
          </w:tcPr>
          <w:p>
            <w:pPr>
              <w:spacing w:after="0"/>
              <w:rPr>
                <w:sz w:val="16"/>
                <w:szCs w:val="16"/>
                <w:color w:val="auto"/>
              </w:rPr>
            </w:pPr>
          </w:p>
        </w:tc>
        <w:tc>
          <w:tcPr>
            <w:tcW w:w="2300" w:type="dxa"/>
            <w:vAlign w:val="bottom"/>
            <w:tcBorders>
              <w:bottom w:val="single" w:sz="8" w:color="auto"/>
            </w:tcBorders>
            <w:gridSpan w:val="2"/>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860" w:type="dxa"/>
            <w:vAlign w:val="bottom"/>
            <w:tcBorders>
              <w:bottom w:val="single" w:sz="8" w:color="auto"/>
            </w:tcBorders>
            <w:shd w:val="clear" w:color="auto" w:fill="98B0CF"/>
          </w:tcPr>
          <w:p>
            <w:pPr>
              <w:jc w:val="right"/>
              <w:ind w:right="163"/>
              <w:spacing w:after="0" w:line="189" w:lineRule="exact"/>
              <w:rPr>
                <w:sz w:val="20"/>
                <w:szCs w:val="20"/>
                <w:color w:val="auto"/>
              </w:rPr>
            </w:pPr>
            <w:r>
              <w:rPr>
                <w:rFonts w:ascii="Arial" w:cs="Arial" w:eastAsia="Arial" w:hAnsi="Arial"/>
                <w:sz w:val="14"/>
                <w:szCs w:val="14"/>
                <w:b w:val="1"/>
                <w:bCs w:val="1"/>
                <w:color w:val="auto"/>
                <w:w w:val="93"/>
              </w:rPr>
              <w:t>Europe</w:t>
            </w:r>
            <w:r>
              <w:rPr>
                <w:rFonts w:ascii="Arial" w:cs="Arial" w:eastAsia="Arial" w:hAnsi="Arial"/>
                <w:sz w:val="19"/>
                <w:szCs w:val="19"/>
                <w:b w:val="1"/>
                <w:bCs w:val="1"/>
                <w:color w:val="auto"/>
                <w:w w:val="93"/>
                <w:vertAlign w:val="superscript"/>
              </w:rPr>
              <w:t>(b)</w:t>
            </w:r>
          </w:p>
        </w:tc>
        <w:tc>
          <w:tcPr>
            <w:tcW w:w="220" w:type="dxa"/>
            <w:vAlign w:val="bottom"/>
            <w:tcBorders>
              <w:bottom w:val="single" w:sz="8" w:color="auto"/>
            </w:tcBorders>
            <w:shd w:val="clear" w:color="auto" w:fill="98B0CF"/>
          </w:tcPr>
          <w:p>
            <w:pPr>
              <w:spacing w:after="0"/>
              <w:rPr>
                <w:sz w:val="16"/>
                <w:szCs w:val="16"/>
                <w:color w:val="auto"/>
              </w:rPr>
            </w:pPr>
          </w:p>
        </w:tc>
        <w:tc>
          <w:tcPr>
            <w:tcW w:w="880" w:type="dxa"/>
            <w:vAlign w:val="bottom"/>
            <w:tcBorders>
              <w:bottom w:val="single" w:sz="8" w:color="auto"/>
            </w:tcBorders>
            <w:shd w:val="clear" w:color="auto" w:fill="98B0CF"/>
          </w:tcPr>
          <w:p>
            <w:pPr>
              <w:jc w:val="right"/>
              <w:ind w:right="223"/>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bottom w:val="single" w:sz="8" w:color="auto"/>
            </w:tcBorders>
            <w:shd w:val="clear" w:color="auto" w:fill="98B0CF"/>
          </w:tcPr>
          <w:p>
            <w:pPr>
              <w:spacing w:after="0"/>
              <w:rPr>
                <w:sz w:val="16"/>
                <w:szCs w:val="16"/>
                <w:color w:val="auto"/>
              </w:rPr>
            </w:pPr>
          </w:p>
        </w:tc>
        <w:tc>
          <w:tcPr>
            <w:tcW w:w="820" w:type="dxa"/>
            <w:vAlign w:val="bottom"/>
            <w:tcBorders>
              <w:bottom w:val="single" w:sz="8" w:color="auto"/>
            </w:tcBorders>
            <w:shd w:val="clear" w:color="auto" w:fill="98B0CF"/>
          </w:tcPr>
          <w:p>
            <w:pPr>
              <w:jc w:val="right"/>
              <w:ind w:right="261"/>
              <w:spacing w:after="0"/>
              <w:rPr>
                <w:sz w:val="20"/>
                <w:szCs w:val="20"/>
                <w:color w:val="auto"/>
              </w:rPr>
            </w:pPr>
            <w:r>
              <w:rPr>
                <w:rFonts w:ascii="Arial" w:cs="Arial" w:eastAsia="Arial" w:hAnsi="Arial"/>
                <w:sz w:val="14"/>
                <w:szCs w:val="14"/>
                <w:b w:val="1"/>
                <w:bCs w:val="1"/>
                <w:color w:val="auto"/>
              </w:rPr>
              <w:t>APME</w:t>
            </w:r>
          </w:p>
        </w:tc>
        <w:tc>
          <w:tcPr>
            <w:tcW w:w="1120" w:type="dxa"/>
            <w:vAlign w:val="bottom"/>
            <w:tcBorders>
              <w:bottom w:val="single" w:sz="8" w:color="auto"/>
            </w:tcBorders>
            <w:gridSpan w:val="2"/>
            <w:vMerge w:val="continue"/>
            <w:shd w:val="clear" w:color="auto" w:fill="98B0CF"/>
          </w:tcPr>
          <w:p>
            <w:pPr>
              <w:spacing w:after="0"/>
              <w:rPr>
                <w:sz w:val="16"/>
                <w:szCs w:val="16"/>
                <w:color w:val="auto"/>
              </w:rPr>
            </w:pPr>
          </w:p>
        </w:tc>
        <w:tc>
          <w:tcPr>
            <w:tcW w:w="280" w:type="dxa"/>
            <w:vAlign w:val="bottom"/>
            <w:tcBorders>
              <w:bottom w:val="single" w:sz="8" w:color="auto"/>
            </w:tcBorders>
            <w:shd w:val="clear" w:color="auto" w:fill="98B0CF"/>
          </w:tcPr>
          <w:p>
            <w:pPr>
              <w:spacing w:after="0"/>
              <w:rPr>
                <w:sz w:val="16"/>
                <w:szCs w:val="16"/>
                <w:color w:val="auto"/>
              </w:rPr>
            </w:pPr>
          </w:p>
        </w:tc>
        <w:tc>
          <w:tcPr>
            <w:tcW w:w="800" w:type="dxa"/>
            <w:vAlign w:val="bottom"/>
            <w:tcBorders>
              <w:bottom w:val="single" w:sz="8" w:color="auto"/>
            </w:tcBorders>
            <w:shd w:val="clear" w:color="auto" w:fill="98B0CF"/>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46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Balance, December 31, 2024</w:t>
            </w:r>
          </w:p>
        </w:tc>
        <w:tc>
          <w:tcPr>
            <w:tcW w:w="1520" w:type="dxa"/>
            <w:vAlign w:val="bottom"/>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1,048.2</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23"/>
              <w:spacing w:after="0" w:line="183" w:lineRule="exact"/>
              <w:rPr>
                <w:sz w:val="20"/>
                <w:szCs w:val="20"/>
                <w:color w:val="auto"/>
              </w:rPr>
            </w:pPr>
            <w:r>
              <w:rPr>
                <w:rFonts w:ascii="Arial" w:cs="Arial" w:eastAsia="Arial" w:hAnsi="Arial"/>
                <w:sz w:val="16"/>
                <w:szCs w:val="16"/>
                <w:color w:val="auto"/>
              </w:rPr>
              <w:t>145.3</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2E8F1"/>
          </w:tcPr>
          <w:p>
            <w:pPr>
              <w:jc w:val="right"/>
              <w:ind w:right="43"/>
              <w:spacing w:after="0" w:line="183" w:lineRule="exact"/>
              <w:rPr>
                <w:sz w:val="20"/>
                <w:szCs w:val="20"/>
                <w:color w:val="auto"/>
              </w:rPr>
            </w:pPr>
            <w:r>
              <w:rPr>
                <w:rFonts w:ascii="Arial" w:cs="Arial" w:eastAsia="Arial" w:hAnsi="Arial"/>
                <w:sz w:val="16"/>
                <w:szCs w:val="16"/>
                <w:color w:val="auto"/>
              </w:rPr>
              <w:t>181.4</w:t>
            </w:r>
          </w:p>
        </w:tc>
        <w:tc>
          <w:tcPr>
            <w:tcW w:w="2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63.0</w:t>
            </w:r>
          </w:p>
        </w:tc>
        <w:tc>
          <w:tcPr>
            <w:tcW w:w="40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125.5</w:t>
            </w:r>
          </w:p>
        </w:tc>
        <w:tc>
          <w:tcPr>
            <w:tcW w:w="2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1,563.4</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Currency impact</w:t>
            </w:r>
          </w:p>
        </w:tc>
        <w:tc>
          <w:tcPr>
            <w:tcW w:w="1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auto"/>
            </w:tcBorders>
            <w:shd w:val="clear" w:color="auto" w:fill="E2E8F1"/>
          </w:tcPr>
          <w:p>
            <w:pPr>
              <w:ind w:left="60"/>
              <w:spacing w:after="0" w:line="183" w:lineRule="exact"/>
              <w:rPr>
                <w:sz w:val="20"/>
                <w:szCs w:val="20"/>
                <w:color w:val="auto"/>
              </w:rPr>
            </w:pPr>
            <w:r>
              <w:rPr>
                <w:rFonts w:ascii="Arial" w:cs="Arial" w:eastAsia="Arial" w:hAnsi="Arial"/>
                <w:sz w:val="16"/>
                <w:szCs w:val="16"/>
                <w:color w:val="auto"/>
              </w:rPr>
              <w:t>Balance, March 31, 2025</w:t>
            </w:r>
          </w:p>
        </w:tc>
        <w:tc>
          <w:tcPr>
            <w:tcW w:w="1520" w:type="dxa"/>
            <w:vAlign w:val="bottom"/>
            <w:tcBorders>
              <w:bottom w:val="single" w:sz="8" w:color="auto"/>
            </w:tcBorders>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1,048.4</w:t>
            </w:r>
          </w:p>
        </w:tc>
        <w:tc>
          <w:tcPr>
            <w:tcW w:w="2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2E8F1"/>
          </w:tcPr>
          <w:p>
            <w:pPr>
              <w:jc w:val="right"/>
              <w:ind w:right="23"/>
              <w:spacing w:after="0" w:line="183" w:lineRule="exact"/>
              <w:rPr>
                <w:sz w:val="20"/>
                <w:szCs w:val="20"/>
                <w:color w:val="auto"/>
              </w:rPr>
            </w:pPr>
            <w:r>
              <w:rPr>
                <w:rFonts w:ascii="Arial" w:cs="Arial" w:eastAsia="Arial" w:hAnsi="Arial"/>
                <w:sz w:val="16"/>
                <w:szCs w:val="16"/>
                <w:color w:val="auto"/>
              </w:rPr>
              <w:t>150.4</w:t>
            </w:r>
          </w:p>
        </w:tc>
        <w:tc>
          <w:tcPr>
            <w:tcW w:w="2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2E8F1"/>
          </w:tcPr>
          <w:p>
            <w:pPr>
              <w:jc w:val="right"/>
              <w:ind w:right="43"/>
              <w:spacing w:after="0" w:line="183" w:lineRule="exact"/>
              <w:rPr>
                <w:sz w:val="20"/>
                <w:szCs w:val="20"/>
                <w:color w:val="auto"/>
              </w:rPr>
            </w:pPr>
            <w:r>
              <w:rPr>
                <w:rFonts w:ascii="Arial" w:cs="Arial" w:eastAsia="Arial" w:hAnsi="Arial"/>
                <w:sz w:val="16"/>
                <w:szCs w:val="16"/>
                <w:color w:val="auto"/>
              </w:rPr>
              <w:t>189.5</w:t>
            </w:r>
          </w:p>
        </w:tc>
        <w:tc>
          <w:tcPr>
            <w:tcW w:w="2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64.1</w:t>
            </w:r>
          </w:p>
        </w:tc>
        <w:tc>
          <w:tcPr>
            <w:tcW w:w="400" w:type="dxa"/>
            <w:vAlign w:val="bottom"/>
            <w:tcBorders>
              <w:bottom w:val="single" w:sz="8" w:color="auto"/>
            </w:tcBorders>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125.5</w:t>
            </w:r>
          </w:p>
        </w:tc>
        <w:tc>
          <w:tcPr>
            <w:tcW w:w="2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1,577.9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Balances related to the United States were $1,007.2 as of both December 31, 2024 and March 31, 2025.</w:t>
      </w:r>
    </w:p>
    <w:p>
      <w:pPr>
        <w:spacing w:after="0" w:line="15"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Balances related to France were $70.9 and $74.1 as of December 31, 2024 and March 31, 2025, respectively. Balances related to Italy were $3.5 and $3.7 as of December 31, 2024 and March 31, 2025, respectively.</w:t>
      </w:r>
    </w:p>
    <w:p>
      <w:pPr>
        <w:jc w:val="both"/>
        <w:ind w:left="520" w:hanging="512"/>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p>
    <w:p>
      <w:pPr>
        <w:spacing w:after="0" w:line="9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retirement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73660</wp:posOffset>
            </wp:positionV>
            <wp:extent cx="939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300" w:type="dxa"/>
            <w:vAlign w:val="bottom"/>
            <w:tcBorders>
              <w:top w:val="single" w:sz="8" w:color="auto"/>
              <w:bottom w:val="single" w:sz="8" w:color="auto"/>
            </w:tcBorders>
            <w:shd w:val="clear" w:color="auto" w:fill="98B0CF"/>
          </w:tcPr>
          <w:p>
            <w:pPr>
              <w:spacing w:after="0"/>
              <w:rPr>
                <w:sz w:val="15"/>
                <w:szCs w:val="15"/>
                <w:color w:val="auto"/>
              </w:rPr>
            </w:pPr>
          </w:p>
        </w:tc>
        <w:tc>
          <w:tcPr>
            <w:tcW w:w="2480" w:type="dxa"/>
            <w:vAlign w:val="bottom"/>
            <w:tcBorders>
              <w:top w:val="single" w:sz="8" w:color="auto"/>
              <w:bottom w:val="single" w:sz="8" w:color="auto"/>
            </w:tcBorders>
            <w:gridSpan w:val="6"/>
            <w:shd w:val="clear" w:color="auto" w:fill="98B0CF"/>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top w:val="single" w:sz="8" w:color="auto"/>
              <w:bottom w:val="single" w:sz="8" w:color="auto"/>
            </w:tcBorders>
            <w:shd w:val="clear" w:color="auto" w:fill="98B0CF"/>
          </w:tcPr>
          <w:p>
            <w:pPr>
              <w:spacing w:after="0"/>
              <w:rPr>
                <w:sz w:val="15"/>
                <w:szCs w:val="15"/>
                <w:color w:val="auto"/>
              </w:rPr>
            </w:pPr>
          </w:p>
        </w:tc>
        <w:tc>
          <w:tcPr>
            <w:tcW w:w="90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98B0CF"/>
              <w:bottom w:val="single" w:sz="8" w:color="98B0CF"/>
            </w:tcBorders>
            <w:shd w:val="clear" w:color="auto" w:fill="98B0CF"/>
          </w:tcPr>
          <w:p>
            <w:pPr>
              <w:spacing w:after="0"/>
              <w:rPr>
                <w:sz w:val="15"/>
                <w:szCs w:val="15"/>
                <w:color w:val="auto"/>
              </w:rPr>
            </w:pPr>
          </w:p>
        </w:tc>
      </w:tr>
      <w:tr>
        <w:trPr>
          <w:trHeight w:val="156"/>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780" w:type="dxa"/>
            <w:vAlign w:val="bottom"/>
            <w:gridSpan w:val="7"/>
            <w:shd w:val="clear" w:color="auto" w:fill="98B0CF"/>
          </w:tcPr>
          <w:p>
            <w:pPr>
              <w:ind w:left="220"/>
              <w:spacing w:after="0" w:line="155" w:lineRule="exact"/>
              <w:rPr>
                <w:sz w:val="20"/>
                <w:szCs w:val="20"/>
                <w:color w:val="auto"/>
              </w:rPr>
            </w:pPr>
            <w:r>
              <w:rPr>
                <w:rFonts w:ascii="Arial" w:cs="Arial" w:eastAsia="Arial" w:hAnsi="Arial"/>
                <w:sz w:val="14"/>
                <w:szCs w:val="14"/>
                <w:b w:val="1"/>
                <w:bCs w:val="1"/>
                <w:color w:val="auto"/>
              </w:rPr>
              <w:t>Defined Benefit Pension Plans</w:t>
            </w:r>
          </w:p>
        </w:tc>
        <w:tc>
          <w:tcPr>
            <w:tcW w:w="240" w:type="dxa"/>
            <w:vAlign w:val="bottom"/>
            <w:shd w:val="clear" w:color="auto" w:fill="98B0CF"/>
          </w:tcPr>
          <w:p>
            <w:pPr>
              <w:spacing w:after="0"/>
              <w:rPr>
                <w:sz w:val="13"/>
                <w:szCs w:val="13"/>
                <w:color w:val="auto"/>
              </w:rPr>
            </w:pPr>
          </w:p>
        </w:tc>
        <w:tc>
          <w:tcPr>
            <w:tcW w:w="2400" w:type="dxa"/>
            <w:vAlign w:val="bottom"/>
            <w:gridSpan w:val="5"/>
            <w:shd w:val="clear" w:color="auto" w:fill="98B0CF"/>
          </w:tcPr>
          <w:p>
            <w:pPr>
              <w:jc w:val="right"/>
              <w:ind w:right="540"/>
              <w:spacing w:after="0" w:line="155" w:lineRule="exact"/>
              <w:rPr>
                <w:sz w:val="20"/>
                <w:szCs w:val="20"/>
                <w:color w:val="auto"/>
              </w:rPr>
            </w:pPr>
            <w:r>
              <w:rPr>
                <w:rFonts w:ascii="Arial" w:cs="Arial" w:eastAsia="Arial" w:hAnsi="Arial"/>
                <w:sz w:val="14"/>
                <w:szCs w:val="14"/>
                <w:b w:val="1"/>
                <w:bCs w:val="1"/>
                <w:color w:val="auto"/>
              </w:rPr>
              <w:t>Retiree Health Care Plan</w:t>
            </w:r>
          </w:p>
        </w:tc>
      </w:tr>
      <w:tr>
        <w:trPr>
          <w:trHeight w:val="155"/>
        </w:trPr>
        <w:tc>
          <w:tcPr>
            <w:tcW w:w="5700" w:type="dxa"/>
            <w:vAlign w:val="bottom"/>
            <w:tcBorders>
              <w:top w:val="single" w:sz="8" w:color="98B0CF"/>
              <w:bottom w:val="single" w:sz="8" w:color="auto"/>
            </w:tcBorders>
            <w:shd w:val="clear" w:color="auto" w:fill="98B0CF"/>
          </w:tcPr>
          <w:p>
            <w:pPr>
              <w:spacing w:after="0"/>
              <w:rPr>
                <w:sz w:val="13"/>
                <w:szCs w:val="13"/>
                <w:color w:val="auto"/>
              </w:rPr>
            </w:pPr>
          </w:p>
        </w:tc>
        <w:tc>
          <w:tcPr>
            <w:tcW w:w="120" w:type="dxa"/>
            <w:vAlign w:val="bottom"/>
            <w:tcBorders>
              <w:top w:val="single" w:sz="8" w:color="98B0CF"/>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300" w:type="dxa"/>
            <w:vAlign w:val="bottom"/>
            <w:tcBorders>
              <w:top w:val="single" w:sz="8" w:color="auto"/>
              <w:bottom w:val="single" w:sz="8" w:color="auto"/>
            </w:tcBorders>
            <w:shd w:val="clear" w:color="auto" w:fill="98B0CF"/>
          </w:tcPr>
          <w:p>
            <w:pPr>
              <w:spacing w:after="0"/>
              <w:rPr>
                <w:sz w:val="13"/>
                <w:szCs w:val="13"/>
                <w:color w:val="auto"/>
              </w:rPr>
            </w:pPr>
          </w:p>
        </w:tc>
        <w:tc>
          <w:tcPr>
            <w:tcW w:w="1000" w:type="dxa"/>
            <w:vAlign w:val="bottom"/>
            <w:tcBorders>
              <w:top w:val="single" w:sz="8" w:color="auto"/>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140" w:type="dxa"/>
            <w:vAlign w:val="bottom"/>
            <w:tcBorders>
              <w:top w:val="single" w:sz="8" w:color="98B0CF"/>
              <w:bottom w:val="single" w:sz="8" w:color="auto"/>
            </w:tcBorders>
            <w:shd w:val="clear" w:color="auto" w:fill="98B0CF"/>
          </w:tcPr>
          <w:p>
            <w:pPr>
              <w:spacing w:after="0"/>
              <w:rPr>
                <w:sz w:val="13"/>
                <w:szCs w:val="13"/>
                <w:color w:val="auto"/>
              </w:rPr>
            </w:pPr>
          </w:p>
        </w:tc>
        <w:tc>
          <w:tcPr>
            <w:tcW w:w="240" w:type="dxa"/>
            <w:vAlign w:val="bottom"/>
            <w:tcBorders>
              <w:top w:val="single" w:sz="8" w:color="auto"/>
              <w:bottom w:val="single" w:sz="8" w:color="auto"/>
            </w:tcBorders>
            <w:shd w:val="clear" w:color="auto" w:fill="98B0CF"/>
          </w:tcPr>
          <w:p>
            <w:pPr>
              <w:spacing w:after="0"/>
              <w:rPr>
                <w:sz w:val="13"/>
                <w:szCs w:val="13"/>
                <w:color w:val="auto"/>
              </w:rPr>
            </w:pPr>
          </w:p>
        </w:tc>
        <w:tc>
          <w:tcPr>
            <w:tcW w:w="900" w:type="dxa"/>
            <w:vAlign w:val="bottom"/>
            <w:tcBorders>
              <w:top w:val="single" w:sz="8" w:color="auto"/>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400" w:type="dxa"/>
            <w:vAlign w:val="bottom"/>
            <w:tcBorders>
              <w:top w:val="single" w:sz="8" w:color="auto"/>
              <w:bottom w:val="single" w:sz="8" w:color="auto"/>
            </w:tcBorders>
            <w:shd w:val="clear" w:color="auto" w:fill="98B0CF"/>
          </w:tcPr>
          <w:p>
            <w:pPr>
              <w:spacing w:after="0"/>
              <w:rPr>
                <w:sz w:val="13"/>
                <w:szCs w:val="13"/>
                <w:color w:val="auto"/>
              </w:rPr>
            </w:pPr>
          </w:p>
        </w:tc>
        <w:tc>
          <w:tcPr>
            <w:tcW w:w="900" w:type="dxa"/>
            <w:vAlign w:val="bottom"/>
            <w:tcBorders>
              <w:top w:val="single" w:sz="8" w:color="auto"/>
              <w:bottom w:val="single" w:sz="8" w:color="auto"/>
            </w:tcBorders>
            <w:shd w:val="clear" w:color="auto" w:fill="98B0CF"/>
          </w:tcPr>
          <w:p>
            <w:pPr>
              <w:jc w:val="right"/>
              <w:ind w:right="340"/>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E2E8F1"/>
          </w:tcPr>
          <w:p>
            <w:pPr>
              <w:spacing w:after="0"/>
              <w:rPr>
                <w:sz w:val="15"/>
                <w:szCs w:val="15"/>
                <w:color w:val="auto"/>
              </w:rPr>
            </w:pPr>
          </w:p>
        </w:tc>
        <w:tc>
          <w:tcPr>
            <w:tcW w:w="780" w:type="dxa"/>
            <w:vAlign w:val="bottom"/>
            <w:shd w:val="clear" w:color="auto" w:fill="E2E8F1"/>
          </w:tcPr>
          <w:p>
            <w:pPr>
              <w:jc w:val="right"/>
              <w:ind w:right="605"/>
              <w:spacing w:after="0" w:line="183"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shd w:val="clear" w:color="auto" w:fill="E2E8F1"/>
          </w:tcPr>
          <w:p>
            <w:pPr>
              <w:spacing w:after="0"/>
              <w:rPr>
                <w:sz w:val="15"/>
                <w:szCs w:val="15"/>
                <w:color w:val="auto"/>
              </w:rPr>
            </w:pP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4.1</w:t>
            </w: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5"/>
                <w:szCs w:val="15"/>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Expected return on assets</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46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(4.8)</w:t>
            </w:r>
          </w:p>
        </w:tc>
        <w:tc>
          <w:tcPr>
            <w:tcW w:w="300" w:type="dxa"/>
            <w:vAlign w:val="bottom"/>
            <w:shd w:val="clear" w:color="auto" w:fill="E2E8F1"/>
          </w:tcPr>
          <w:p>
            <w:pPr>
              <w:spacing w:after="0"/>
              <w:rPr>
                <w:sz w:val="16"/>
                <w:szCs w:val="16"/>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(4.7)</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6"/>
                <w:szCs w:val="16"/>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Net loss (gain)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Prior service cost (credit)</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3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(0.2)</w:t>
            </w:r>
          </w:p>
        </w:tc>
        <w:tc>
          <w:tcPr>
            <w:tcW w:w="400" w:type="dxa"/>
            <w:vAlign w:val="bottom"/>
            <w:shd w:val="clear" w:color="auto" w:fill="E2E8F1"/>
          </w:tcPr>
          <w:p>
            <w:pPr>
              <w:spacing w:after="0"/>
              <w:rPr>
                <w:sz w:val="16"/>
                <w:szCs w:val="16"/>
                <w:color w:val="auto"/>
              </w:rPr>
            </w:pPr>
          </w:p>
        </w:tc>
        <w:tc>
          <w:tcPr>
            <w:tcW w:w="10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(0.2)</w:t>
            </w: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r>
      <w:tr>
        <w:trPr>
          <w:trHeight w:val="183"/>
        </w:trPr>
        <w:tc>
          <w:tcPr>
            <w:tcW w:w="5700" w:type="dxa"/>
            <w:vAlign w:val="bottom"/>
          </w:tcPr>
          <w:p>
            <w:pPr>
              <w:ind w:left="160"/>
              <w:spacing w:after="0" w:line="183" w:lineRule="exact"/>
              <w:rPr>
                <w:sz w:val="20"/>
                <w:szCs w:val="20"/>
                <w:color w:val="auto"/>
              </w:rPr>
            </w:pPr>
            <w:r>
              <w:rPr>
                <w:rFonts w:ascii="Arial" w:cs="Arial" w:eastAsia="Arial" w:hAnsi="Arial"/>
                <w:sz w:val="16"/>
                <w:szCs w:val="16"/>
                <w:color w:val="auto"/>
              </w:rPr>
              <w:t>Total benefit cost (credit)</w:t>
            </w:r>
          </w:p>
        </w:tc>
        <w:tc>
          <w:tcPr>
            <w:tcW w:w="900" w:type="dxa"/>
            <w:vAlign w:val="bottom"/>
            <w:gridSpan w:val="2"/>
          </w:tcPr>
          <w:p>
            <w:pPr>
              <w:jc w:val="right"/>
              <w:ind w:right="605"/>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c>
          <w:tcPr>
            <w:tcW w:w="1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(0.1)</w:t>
            </w:r>
          </w:p>
        </w:tc>
        <w:tc>
          <w:tcPr>
            <w:tcW w:w="4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(0.1)</w:t>
            </w: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-856615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-744855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and 2024, contributions made to our pension plans were $5.5 and $5.2, respectively, and contributions made to our retiree health care plan were $0.3 on both dates. During 2025, we expect to make total contributions of approximately $21.0 to our pension plans and to fund our retiree health care payments as incurred.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(11) </w:t>
      </w:r>
      <w:r>
        <w:rPr>
          <w:rFonts w:ascii="Arial" w:cs="Arial" w:eastAsia="Arial" w:hAnsi="Arial"/>
          <w:sz w:val="25"/>
          <w:szCs w:val="25"/>
          <w:b w:val="1"/>
          <w:bCs w:val="1"/>
          <w:i w:val="1"/>
          <w:iCs w:val="1"/>
          <w:u w:val="single" w:color="auto"/>
          <w:color w:val="5B89B4"/>
        </w:rPr>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86360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Borders>
              <w:top w:val="single" w:sz="8" w:color="auto"/>
            </w:tcBorders>
            <w:shd w:val="clear" w:color="auto" w:fill="98B0CF"/>
          </w:tcPr>
          <w:p>
            <w:pPr>
              <w:spacing w:after="0"/>
              <w:rPr>
                <w:sz w:val="15"/>
                <w:szCs w:val="15"/>
                <w:color w:val="auto"/>
              </w:rPr>
            </w:pPr>
          </w:p>
        </w:tc>
        <w:tc>
          <w:tcPr>
            <w:tcW w:w="340" w:type="dxa"/>
            <w:vAlign w:val="bottom"/>
            <w:tcBorders>
              <w:top w:val="single" w:sz="8" w:color="auto"/>
            </w:tcBorders>
            <w:shd w:val="clear" w:color="auto" w:fill="98B0CF"/>
          </w:tcPr>
          <w:p>
            <w:pPr>
              <w:spacing w:after="0"/>
              <w:rPr>
                <w:sz w:val="15"/>
                <w:szCs w:val="15"/>
                <w:color w:val="auto"/>
              </w:rPr>
            </w:pPr>
          </w:p>
        </w:tc>
        <w:tc>
          <w:tcPr>
            <w:tcW w:w="1080" w:type="dxa"/>
            <w:vAlign w:val="bottom"/>
            <w:tcBorders>
              <w:top w:val="single" w:sz="8" w:color="auto"/>
            </w:tcBorders>
            <w:shd w:val="clear" w:color="auto" w:fill="98B0CF"/>
          </w:tcPr>
          <w:p>
            <w:pPr>
              <w:jc w:val="center"/>
              <w:ind w:right="101"/>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98B0CF"/>
            </w:tcBorders>
            <w:shd w:val="clear" w:color="auto" w:fill="98B0CF"/>
          </w:tcPr>
          <w:p>
            <w:pPr>
              <w:spacing w:after="0"/>
              <w:rPr>
                <w:sz w:val="15"/>
                <w:szCs w:val="15"/>
                <w:color w:val="auto"/>
              </w:rPr>
            </w:pPr>
          </w:p>
        </w:tc>
        <w:tc>
          <w:tcPr>
            <w:tcW w:w="300" w:type="dxa"/>
            <w:vAlign w:val="bottom"/>
            <w:tcBorders>
              <w:top w:val="single" w:sz="8" w:color="auto"/>
            </w:tcBorders>
            <w:shd w:val="clear" w:color="auto" w:fill="98B0CF"/>
          </w:tcPr>
          <w:p>
            <w:pPr>
              <w:spacing w:after="0"/>
              <w:rPr>
                <w:sz w:val="15"/>
                <w:szCs w:val="15"/>
                <w:color w:val="auto"/>
              </w:rPr>
            </w:pPr>
          </w:p>
        </w:tc>
        <w:tc>
          <w:tcPr>
            <w:tcW w:w="1220" w:type="dxa"/>
            <w:vAlign w:val="bottom"/>
            <w:tcBorders>
              <w:top w:val="single" w:sz="8" w:color="auto"/>
            </w:tcBorders>
            <w:shd w:val="clear" w:color="auto" w:fill="98B0CF"/>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98B0CF"/>
            </w:tcBorders>
            <w:shd w:val="clear" w:color="auto" w:fill="98B0CF"/>
          </w:tcPr>
          <w:p>
            <w:pPr>
              <w:spacing w:after="0"/>
              <w:rPr>
                <w:sz w:val="15"/>
                <w:szCs w:val="15"/>
                <w:color w:val="auto"/>
              </w:rPr>
            </w:pPr>
          </w:p>
        </w:tc>
      </w:tr>
      <w:tr>
        <w:trPr>
          <w:trHeight w:val="162"/>
        </w:trPr>
        <w:tc>
          <w:tcPr>
            <w:tcW w:w="8060" w:type="dxa"/>
            <w:vAlign w:val="bottom"/>
            <w:tcBorders>
              <w:bottom w:val="single" w:sz="8" w:color="auto"/>
            </w:tcBorders>
            <w:shd w:val="clear" w:color="auto" w:fill="98B0CF"/>
          </w:tcPr>
          <w:p>
            <w:pPr>
              <w:spacing w:after="0"/>
              <w:rPr>
                <w:sz w:val="14"/>
                <w:szCs w:val="14"/>
                <w:color w:val="auto"/>
              </w:rPr>
            </w:pPr>
          </w:p>
        </w:tc>
        <w:tc>
          <w:tcPr>
            <w:tcW w:w="34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98B0CF"/>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98B0CF"/>
            </w:tcBorders>
            <w:shd w:val="clear" w:color="auto" w:fill="98B0CF"/>
          </w:tcPr>
          <w:p>
            <w:pPr>
              <w:spacing w:after="0"/>
              <w:rPr>
                <w:sz w:val="14"/>
                <w:szCs w:val="14"/>
                <w:color w:val="auto"/>
              </w:rPr>
            </w:pP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(303.2)</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(342.2)</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Translation loss on long-term intercompany loans, net of income taxes of $19.2 and $19.1, respectively</w:t>
            </w:r>
          </w:p>
        </w:tc>
        <w:tc>
          <w:tcPr>
            <w:tcW w:w="3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(133.6)</w:t>
            </w: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(133.2)</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(Loss) gain on derivative instruments, net of income tax benefit of $(12.4) and $(0.7), respectively</w:t>
            </w:r>
          </w:p>
        </w:tc>
        <w:tc>
          <w:tcPr>
            <w:tcW w:w="340" w:type="dxa"/>
            <w:vAlign w:val="bottom"/>
            <w:shd w:val="clear" w:color="auto" w:fill="E2E8F1"/>
          </w:tcPr>
          <w:p>
            <w:pPr>
              <w:spacing w:after="0"/>
              <w:rPr>
                <w:sz w:val="16"/>
                <w:szCs w:val="16"/>
                <w:color w:val="auto"/>
              </w:rPr>
            </w:pPr>
          </w:p>
        </w:tc>
        <w:tc>
          <w:tcPr>
            <w:tcW w:w="12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(2.4)</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39.0</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Gain on interest rate swap, net of income taxes of $0.2 on both dates</w:t>
            </w:r>
          </w:p>
        </w:tc>
        <w:tc>
          <w:tcPr>
            <w:tcW w:w="3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Defined benefit pension plans, net of income tax benefit of $(18.9) and $(20.6), respectively</w:t>
            </w:r>
          </w:p>
        </w:tc>
        <w:tc>
          <w:tcPr>
            <w:tcW w:w="340" w:type="dxa"/>
            <w:vAlign w:val="bottom"/>
            <w:shd w:val="clear" w:color="auto" w:fill="E2E8F1"/>
          </w:tcPr>
          <w:p>
            <w:pPr>
              <w:spacing w:after="0"/>
              <w:rPr>
                <w:sz w:val="16"/>
                <w:szCs w:val="16"/>
                <w:color w:val="auto"/>
              </w:rPr>
            </w:pPr>
          </w:p>
        </w:tc>
        <w:tc>
          <w:tcPr>
            <w:tcW w:w="12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(8.9)</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Retiree health care plan, net of income taxes of $2.1 on both dates</w:t>
            </w:r>
          </w:p>
        </w:tc>
        <w:tc>
          <w:tcPr>
            <w:tcW w:w="3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r>
      <w:tr>
        <w:trPr>
          <w:trHeight w:val="20"/>
        </w:trPr>
        <w:tc>
          <w:tcPr>
            <w:tcW w:w="8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060" w:type="dxa"/>
            <w:vAlign w:val="bottom"/>
            <w:shd w:val="clear" w:color="auto" w:fill="E2E8F1"/>
          </w:tcPr>
          <w:p>
            <w:pPr>
              <w:ind w:left="240"/>
              <w:spacing w:after="0" w:line="183" w:lineRule="exact"/>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(447.1)</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(443.0)</w:t>
            </w:r>
          </w:p>
        </w:tc>
      </w:tr>
      <w:tr>
        <w:trPr>
          <w:trHeight w:val="20"/>
        </w:trPr>
        <w:tc>
          <w:tcPr>
            <w:tcW w:w="8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-864870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expenses of $0.3 and $0.1 during the three months ended March 31, 2025 and 2024,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and $1.54 per share on May 2, 2025 and May 3, 2024, respectively. The 2025 dividends are payable on June 16, 2025 to shareholders of record as of June 2, 2025. The 2024 dividends were paid on June 14, 2024 to shareholders of record as of June 3, 2024.</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three months ended March 31, 2025, we repurchased 0.4 million shares under the 2023 authorization at a cost of $25.0. During the three months ended March 31, 2024, we repurchased 0.7 million shares under the 2023 authorization at a cost of $50.0. As of March 31, 2025, there were 2.2 million shares remaining authorized for repurchase under the 2023 authorization.</w:t>
      </w:r>
    </w:p>
    <w:p>
      <w:pPr>
        <w:spacing w:after="0" w:line="9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(12) </w:t>
      </w:r>
      <w:r>
        <w:rPr>
          <w:rFonts w:ascii="Arial" w:cs="Arial" w:eastAsia="Arial" w:hAnsi="Arial"/>
          <w:sz w:val="25"/>
          <w:szCs w:val="25"/>
          <w:b w:val="1"/>
          <w:bCs w:val="1"/>
          <w:i w:val="1"/>
          <w:iCs w:val="1"/>
          <w:u w:val="single" w:color="auto"/>
          <w:color w:val="5B89B4"/>
        </w:rPr>
        <w:t>Interest and Other Expenses,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tcBorders>
              <w:top w:val="single" w:sz="8" w:color="auto"/>
            </w:tcBorders>
            <w:shd w:val="clear" w:color="auto" w:fill="98B0CF"/>
          </w:tcPr>
          <w:p>
            <w:pPr>
              <w:spacing w:after="0"/>
              <w:rPr>
                <w:sz w:val="15"/>
                <w:szCs w:val="15"/>
                <w:color w:val="auto"/>
              </w:rPr>
            </w:pPr>
          </w:p>
        </w:tc>
        <w:tc>
          <w:tcPr>
            <w:tcW w:w="220" w:type="dxa"/>
            <w:vAlign w:val="bottom"/>
            <w:tcBorders>
              <w:top w:val="single" w:sz="8" w:color="auto"/>
            </w:tcBorders>
            <w:shd w:val="clear" w:color="auto" w:fill="98B0CF"/>
          </w:tcPr>
          <w:p>
            <w:pPr>
              <w:spacing w:after="0"/>
              <w:rPr>
                <w:sz w:val="15"/>
                <w:szCs w:val="15"/>
                <w:color w:val="auto"/>
              </w:rPr>
            </w:pPr>
          </w:p>
        </w:tc>
        <w:tc>
          <w:tcPr>
            <w:tcW w:w="2400" w:type="dxa"/>
            <w:vAlign w:val="bottom"/>
            <w:tcBorders>
              <w:top w:val="single" w:sz="8" w:color="auto"/>
            </w:tcBorders>
            <w:gridSpan w:val="3"/>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top w:val="single" w:sz="8" w:color="auto"/>
            </w:tcBorders>
            <w:shd w:val="clear" w:color="auto" w:fill="98B0CF"/>
          </w:tcPr>
          <w:p>
            <w:pPr>
              <w:spacing w:after="0"/>
              <w:rPr>
                <w:sz w:val="15"/>
                <w:szCs w:val="15"/>
                <w:color w:val="auto"/>
              </w:rPr>
            </w:pPr>
          </w:p>
        </w:tc>
      </w:tr>
      <w:tr>
        <w:trPr>
          <w:trHeight w:val="162"/>
        </w:trPr>
        <w:tc>
          <w:tcPr>
            <w:tcW w:w="8120" w:type="dxa"/>
            <w:vAlign w:val="bottom"/>
            <w:tcBorders>
              <w:bottom w:val="single" w:sz="8" w:color="98B0CF"/>
            </w:tcBorders>
            <w:shd w:val="clear" w:color="auto" w:fill="98B0CF"/>
          </w:tcPr>
          <w:p>
            <w:pPr>
              <w:spacing w:after="0"/>
              <w:rPr>
                <w:sz w:val="14"/>
                <w:szCs w:val="14"/>
                <w:color w:val="auto"/>
              </w:rPr>
            </w:pPr>
          </w:p>
        </w:tc>
        <w:tc>
          <w:tcPr>
            <w:tcW w:w="220" w:type="dxa"/>
            <w:vAlign w:val="bottom"/>
            <w:tcBorders>
              <w:bottom w:val="single" w:sz="8" w:color="98B0CF"/>
            </w:tcBorders>
            <w:shd w:val="clear" w:color="auto" w:fill="98B0CF"/>
          </w:tcPr>
          <w:p>
            <w:pPr>
              <w:spacing w:after="0"/>
              <w:rPr>
                <w:sz w:val="14"/>
                <w:szCs w:val="14"/>
                <w:color w:val="auto"/>
              </w:rPr>
            </w:pPr>
          </w:p>
        </w:tc>
        <w:tc>
          <w:tcPr>
            <w:tcW w:w="860" w:type="dxa"/>
            <w:vAlign w:val="bottom"/>
            <w:tcBorders>
              <w:bottom w:val="single" w:sz="8" w:color="auto"/>
            </w:tcBorders>
            <w:shd w:val="clear" w:color="auto" w:fill="98B0CF"/>
          </w:tcPr>
          <w:p>
            <w:pPr>
              <w:spacing w:after="0"/>
              <w:rPr>
                <w:sz w:val="14"/>
                <w:szCs w:val="14"/>
                <w:color w:val="auto"/>
              </w:rPr>
            </w:pPr>
          </w:p>
        </w:tc>
        <w:tc>
          <w:tcPr>
            <w:tcW w:w="1540" w:type="dxa"/>
            <w:vAlign w:val="bottom"/>
            <w:tcBorders>
              <w:bottom w:val="single" w:sz="8" w:color="auto"/>
            </w:tcBorders>
            <w:gridSpan w:val="2"/>
            <w:shd w:val="clear" w:color="auto" w:fill="98B0CF"/>
          </w:tcPr>
          <w:p>
            <w:pPr>
              <w:jc w:val="right"/>
              <w:ind w:right="602"/>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shd w:val="clear" w:color="auto" w:fill="98B0CF"/>
          </w:tcPr>
          <w:p>
            <w:pPr>
              <w:spacing w:after="0"/>
              <w:rPr>
                <w:sz w:val="14"/>
                <w:szCs w:val="14"/>
                <w:color w:val="auto"/>
              </w:rPr>
            </w:pPr>
          </w:p>
        </w:tc>
      </w:tr>
      <w:tr>
        <w:trPr>
          <w:trHeight w:val="155"/>
        </w:trPr>
        <w:tc>
          <w:tcPr>
            <w:tcW w:w="812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7"/>
              <w:spacing w:after="0" w:line="155" w:lineRule="exact"/>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shd w:val="clear" w:color="auto" w:fill="98B0CF"/>
          </w:tcPr>
          <w:p>
            <w:pPr>
              <w:spacing w:after="0"/>
              <w:rPr>
                <w:sz w:val="13"/>
                <w:szCs w:val="13"/>
                <w:color w:val="auto"/>
              </w:rPr>
            </w:pPr>
          </w:p>
        </w:tc>
      </w:tr>
      <w:tr>
        <w:trPr>
          <w:trHeight w:val="183"/>
        </w:trPr>
        <w:tc>
          <w:tcPr>
            <w:tcW w:w="812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Interest expense</w:t>
            </w:r>
          </w:p>
        </w:tc>
        <w:tc>
          <w:tcPr>
            <w:tcW w:w="220" w:type="dxa"/>
            <w:vAlign w:val="bottom"/>
            <w:shd w:val="clear" w:color="auto" w:fill="E2E8F1"/>
          </w:tcPr>
          <w:p>
            <w:pPr>
              <w:spacing w:after="0"/>
              <w:rPr>
                <w:sz w:val="15"/>
                <w:szCs w:val="15"/>
                <w:color w:val="auto"/>
              </w:rPr>
            </w:pPr>
          </w:p>
        </w:tc>
        <w:tc>
          <w:tcPr>
            <w:tcW w:w="860" w:type="dxa"/>
            <w:vAlign w:val="bottom"/>
            <w:shd w:val="clear" w:color="auto" w:fill="E2E8F1"/>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2E8F1"/>
          </w:tcPr>
          <w:p>
            <w:pPr>
              <w:jc w:val="right"/>
              <w:ind w:right="121"/>
              <w:spacing w:after="0" w:line="183" w:lineRule="exact"/>
              <w:rPr>
                <w:sz w:val="20"/>
                <w:szCs w:val="20"/>
                <w:color w:val="auto"/>
              </w:rPr>
            </w:pPr>
            <w:r>
              <w:rPr>
                <w:rFonts w:ascii="Arial" w:cs="Arial" w:eastAsia="Arial" w:hAnsi="Arial"/>
                <w:sz w:val="16"/>
                <w:szCs w:val="16"/>
                <w:color w:val="auto"/>
              </w:rPr>
              <w:t>22.5</w:t>
            </w:r>
          </w:p>
        </w:tc>
        <w:tc>
          <w:tcPr>
            <w:tcW w:w="960" w:type="dxa"/>
            <w:vAlign w:val="bottom"/>
            <w:shd w:val="clear" w:color="auto" w:fill="E2E8F1"/>
          </w:tcPr>
          <w:p>
            <w:pPr>
              <w:jc w:val="right"/>
              <w:ind w:right="662"/>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20.4</w:t>
            </w:r>
          </w:p>
        </w:tc>
      </w:tr>
      <w:tr>
        <w:trPr>
          <w:trHeight w:val="189"/>
        </w:trPr>
        <w:tc>
          <w:tcPr>
            <w:tcW w:w="8120" w:type="dxa"/>
            <w:vAlign w:val="bottom"/>
          </w:tcPr>
          <w:p>
            <w:pPr>
              <w:ind w:left="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(6.9)</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89"/>
        </w:trPr>
        <w:tc>
          <w:tcPr>
            <w:tcW w:w="8120" w:type="dxa"/>
            <w:vAlign w:val="bottom"/>
            <w:shd w:val="clear" w:color="auto" w:fill="E2E8F1"/>
          </w:tcPr>
          <w:p>
            <w:pPr>
              <w:ind w:left="80"/>
              <w:spacing w:after="0"/>
              <w:rPr>
                <w:sz w:val="20"/>
                <w:szCs w:val="20"/>
                <w:color w:val="auto"/>
              </w:rPr>
            </w:pPr>
            <w:r>
              <w:rPr>
                <w:rFonts w:ascii="Arial" w:cs="Arial" w:eastAsia="Arial" w:hAnsi="Arial"/>
                <w:sz w:val="16"/>
                <w:szCs w:val="16"/>
                <w:color w:val="auto"/>
              </w:rPr>
              <w:t>Foreign exchange loss</w:t>
            </w:r>
          </w:p>
        </w:tc>
        <w:tc>
          <w:tcPr>
            <w:tcW w:w="22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21"/>
              <w:spacing w:after="0"/>
              <w:rPr>
                <w:sz w:val="20"/>
                <w:szCs w:val="20"/>
                <w:color w:val="auto"/>
              </w:rPr>
            </w:pPr>
            <w:r>
              <w:rPr>
                <w:rFonts w:ascii="Arial" w:cs="Arial" w:eastAsia="Arial" w:hAnsi="Arial"/>
                <w:sz w:val="16"/>
                <w:szCs w:val="16"/>
                <w:color w:val="auto"/>
              </w:rPr>
              <w:t>0.9</w:t>
            </w:r>
          </w:p>
        </w:tc>
        <w:tc>
          <w:tcPr>
            <w:tcW w:w="960" w:type="dxa"/>
            <w:vAlign w:val="bottom"/>
            <w:shd w:val="clear" w:color="auto" w:fill="E2E8F1"/>
          </w:tcPr>
          <w:p>
            <w:pPr>
              <w:spacing w:after="0"/>
              <w:rPr>
                <w:sz w:val="16"/>
                <w:szCs w:val="16"/>
                <w:color w:val="auto"/>
              </w:rPr>
            </w:pPr>
          </w:p>
        </w:tc>
        <w:tc>
          <w:tcPr>
            <w:tcW w:w="50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81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Miscellaneous income, net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183"/>
        </w:trPr>
        <w:tc>
          <w:tcPr>
            <w:tcW w:w="8120" w:type="dxa"/>
            <w:vAlign w:val="bottom"/>
            <w:tcBorders>
              <w:bottom w:val="single" w:sz="8" w:color="auto"/>
            </w:tcBorders>
            <w:shd w:val="clear" w:color="auto" w:fill="E2E8F1"/>
          </w:tcPr>
          <w:p>
            <w:pPr>
              <w:ind w:left="240"/>
              <w:spacing w:after="0" w:line="183" w:lineRule="exact"/>
              <w:rPr>
                <w:sz w:val="20"/>
                <w:szCs w:val="20"/>
                <w:color w:val="auto"/>
              </w:rPr>
            </w:pPr>
            <w:r>
              <w:rPr>
                <w:rFonts w:ascii="Arial" w:cs="Arial" w:eastAsia="Arial" w:hAnsi="Arial"/>
                <w:sz w:val="16"/>
                <w:szCs w:val="16"/>
                <w:color w:val="auto"/>
              </w:rPr>
              <w:t>Interest and other expenses, net</w:t>
            </w:r>
          </w:p>
        </w:tc>
        <w:tc>
          <w:tcPr>
            <w:tcW w:w="1080" w:type="dxa"/>
            <w:vAlign w:val="bottom"/>
            <w:tcBorders>
              <w:bottom w:val="single" w:sz="8" w:color="auto"/>
            </w:tcBorders>
            <w:gridSpan w:val="2"/>
            <w:shd w:val="clear" w:color="auto" w:fill="E2E8F1"/>
          </w:tcPr>
          <w:p>
            <w:pPr>
              <w:jc w:val="right"/>
              <w:ind w:right="707"/>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2E8F1"/>
          </w:tcPr>
          <w:p>
            <w:pPr>
              <w:jc w:val="right"/>
              <w:ind w:right="121"/>
              <w:spacing w:after="0" w:line="183" w:lineRule="exact"/>
              <w:rPr>
                <w:sz w:val="20"/>
                <w:szCs w:val="20"/>
                <w:color w:val="auto"/>
              </w:rPr>
            </w:pPr>
            <w:r>
              <w:rPr>
                <w:rFonts w:ascii="Arial" w:cs="Arial" w:eastAsia="Arial" w:hAnsi="Arial"/>
                <w:sz w:val="16"/>
                <w:szCs w:val="16"/>
                <w:color w:val="auto"/>
              </w:rPr>
              <w:t>11.5</w:t>
            </w:r>
          </w:p>
        </w:tc>
        <w:tc>
          <w:tcPr>
            <w:tcW w:w="960" w:type="dxa"/>
            <w:vAlign w:val="bottom"/>
            <w:tcBorders>
              <w:bottom w:val="single" w:sz="8" w:color="auto"/>
            </w:tcBorders>
            <w:shd w:val="clear" w:color="auto" w:fill="E2E8F1"/>
          </w:tcPr>
          <w:p>
            <w:pPr>
              <w:jc w:val="right"/>
              <w:ind w:right="662"/>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8.4</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(13) </w:t>
      </w:r>
      <w:r>
        <w:rPr>
          <w:rFonts w:ascii="Arial" w:cs="Arial" w:eastAsia="Arial" w:hAnsi="Arial"/>
          <w:sz w:val="25"/>
          <w:szCs w:val="25"/>
          <w:b w:val="1"/>
          <w:bCs w:val="1"/>
          <w:i w:val="1"/>
          <w:iCs w:val="1"/>
          <w:u w:val="single" w:color="auto"/>
          <w:color w:val="5B89B4"/>
        </w:rPr>
        <w:t>Derivative Financial Instruments and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Derivative Financial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Net Investment Hedges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€400.0 ($430.6) notes due June 2027 and the €500.0 ($540.0) notes due June 2026 were designated as a hedge of our net investment in our foreign subsidiaries with a Euro-functional currency as of March 31, 2025.</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2022, we entered into a cross currency swap agreement that net converts fixed-rate Swiss franc (“CHF”) payments to fixed-rate United States dollar payments. This swap was designated as a net investment hedge of our foreign subsidiary with CHF functional currency.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AOCL for the three months ended March 31, 2025 and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73660</wp:posOffset>
            </wp:positionV>
            <wp:extent cx="939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98B0CF"/>
            </w:tcBorders>
            <w:shd w:val="clear" w:color="auto" w:fill="98B0CF"/>
          </w:tcPr>
          <w:p>
            <w:pPr>
              <w:spacing w:after="0"/>
              <w:rPr>
                <w:sz w:val="15"/>
                <w:szCs w:val="15"/>
                <w:color w:val="auto"/>
              </w:rPr>
            </w:pPr>
          </w:p>
        </w:tc>
        <w:tc>
          <w:tcPr>
            <w:tcW w:w="440" w:type="dxa"/>
            <w:vAlign w:val="bottom"/>
            <w:tcBorders>
              <w:top w:val="single" w:sz="8" w:color="auto"/>
              <w:bottom w:val="single" w:sz="8" w:color="auto"/>
            </w:tcBorders>
            <w:shd w:val="clear" w:color="auto" w:fill="98B0CF"/>
          </w:tcPr>
          <w:p>
            <w:pPr>
              <w:spacing w:after="0"/>
              <w:rPr>
                <w:sz w:val="15"/>
                <w:szCs w:val="15"/>
                <w:color w:val="auto"/>
              </w:rPr>
            </w:pPr>
          </w:p>
        </w:tc>
        <w:tc>
          <w:tcPr>
            <w:tcW w:w="5060" w:type="dxa"/>
            <w:vAlign w:val="bottom"/>
            <w:tcBorders>
              <w:top w:val="single" w:sz="8" w:color="auto"/>
              <w:bottom w:val="single" w:sz="8" w:color="auto"/>
            </w:tcBorders>
            <w:gridSpan w:val="4"/>
            <w:shd w:val="clear" w:color="auto" w:fill="98B0CF"/>
          </w:tcPr>
          <w:p>
            <w:pPr>
              <w:jc w:val="center"/>
              <w:ind w:right="376"/>
              <w:spacing w:after="0"/>
              <w:rPr>
                <w:sz w:val="20"/>
                <w:szCs w:val="20"/>
                <w:color w:val="auto"/>
              </w:rPr>
            </w:pPr>
            <w:r>
              <w:rPr>
                <w:rFonts w:ascii="Arial" w:cs="Arial" w:eastAsia="Arial" w:hAnsi="Arial"/>
                <w:sz w:val="14"/>
                <w:szCs w:val="14"/>
                <w:b w:val="1"/>
                <w:bCs w:val="1"/>
                <w:color w:val="auto"/>
              </w:rPr>
              <w:t>Gain (Loss) Recognized in Other Comprehensive Income</w:t>
            </w:r>
          </w:p>
        </w:tc>
        <w:tc>
          <w:tcPr>
            <w:tcW w:w="100" w:type="dxa"/>
            <w:vAlign w:val="bottom"/>
            <w:tcBorders>
              <w:top w:val="single" w:sz="8" w:color="98B0CF"/>
              <w:bottom w:val="single" w:sz="8" w:color="98B0CF"/>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98B0CF"/>
            </w:tcBorders>
            <w:vMerge w:val="restart"/>
            <w:shd w:val="clear" w:color="auto" w:fill="98B0CF"/>
          </w:tcPr>
          <w:p>
            <w:pPr>
              <w:ind w:left="2380"/>
              <w:spacing w:after="0"/>
              <w:rPr>
                <w:sz w:val="20"/>
                <w:szCs w:val="20"/>
                <w:color w:val="auto"/>
              </w:rPr>
            </w:pPr>
            <w:r>
              <w:rPr>
                <w:rFonts w:ascii="Arial" w:cs="Arial" w:eastAsia="Arial" w:hAnsi="Arial"/>
                <w:sz w:val="14"/>
                <w:szCs w:val="14"/>
                <w:b w:val="1"/>
                <w:bCs w:val="1"/>
                <w:color w:val="auto"/>
              </w:rPr>
              <w:t>Instrument</w:t>
            </w:r>
          </w:p>
        </w:tc>
        <w:tc>
          <w:tcPr>
            <w:tcW w:w="160" w:type="dxa"/>
            <w:vAlign w:val="bottom"/>
            <w:tcBorders>
              <w:bottom w:val="single" w:sz="8" w:color="98B0CF"/>
            </w:tcBorders>
            <w:shd w:val="clear" w:color="auto" w:fill="98B0CF"/>
          </w:tcPr>
          <w:p>
            <w:pPr>
              <w:spacing w:after="0"/>
              <w:rPr>
                <w:sz w:val="13"/>
                <w:szCs w:val="13"/>
                <w:color w:val="auto"/>
              </w:rPr>
            </w:pPr>
          </w:p>
        </w:tc>
        <w:tc>
          <w:tcPr>
            <w:tcW w:w="440" w:type="dxa"/>
            <w:vAlign w:val="bottom"/>
            <w:tcBorders>
              <w:bottom w:val="single" w:sz="8" w:color="auto"/>
            </w:tcBorders>
            <w:shd w:val="clear" w:color="auto" w:fill="98B0CF"/>
          </w:tcPr>
          <w:p>
            <w:pPr>
              <w:spacing w:after="0"/>
              <w:rPr>
                <w:sz w:val="13"/>
                <w:szCs w:val="13"/>
                <w:color w:val="auto"/>
              </w:rPr>
            </w:pPr>
          </w:p>
        </w:tc>
        <w:tc>
          <w:tcPr>
            <w:tcW w:w="3460" w:type="dxa"/>
            <w:vAlign w:val="bottom"/>
            <w:tcBorders>
              <w:bottom w:val="single" w:sz="8" w:color="auto"/>
            </w:tcBorders>
            <w:gridSpan w:val="3"/>
            <w:shd w:val="clear" w:color="auto" w:fill="98B0CF"/>
          </w:tcPr>
          <w:p>
            <w:pPr>
              <w:jc w:val="center"/>
              <w:ind w:left="1061"/>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Borders>
              <w:bottom w:val="single" w:sz="8" w:color="auto"/>
            </w:tcBorders>
            <w:vMerge w:val="continue"/>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440" w:type="dxa"/>
            <w:vAlign w:val="bottom"/>
            <w:tcBorders>
              <w:bottom w:val="single" w:sz="8" w:color="auto"/>
            </w:tcBorders>
            <w:shd w:val="clear" w:color="auto" w:fill="98B0CF"/>
          </w:tcPr>
          <w:p>
            <w:pPr>
              <w:spacing w:after="0"/>
              <w:rPr>
                <w:sz w:val="13"/>
                <w:szCs w:val="13"/>
                <w:color w:val="auto"/>
              </w:rPr>
            </w:pPr>
          </w:p>
        </w:tc>
        <w:tc>
          <w:tcPr>
            <w:tcW w:w="2180" w:type="dxa"/>
            <w:vAlign w:val="bottom"/>
            <w:tcBorders>
              <w:bottom w:val="single" w:sz="8" w:color="auto"/>
            </w:tcBorders>
            <w:shd w:val="clear" w:color="auto" w:fill="98B0CF"/>
          </w:tcPr>
          <w:p>
            <w:pPr>
              <w:jc w:val="right"/>
              <w:ind w:right="108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spacing w:after="0"/>
              <w:rPr>
                <w:sz w:val="13"/>
                <w:szCs w:val="13"/>
                <w:color w:val="auto"/>
              </w:rPr>
            </w:pPr>
          </w:p>
        </w:tc>
        <w:tc>
          <w:tcPr>
            <w:tcW w:w="1600" w:type="dxa"/>
            <w:vAlign w:val="bottom"/>
            <w:tcBorders>
              <w:bottom w:val="single" w:sz="8" w:color="auto"/>
            </w:tcBorders>
            <w:shd w:val="clear" w:color="auto" w:fill="98B0CF"/>
          </w:tcPr>
          <w:p>
            <w:pPr>
              <w:jc w:val="right"/>
              <w:ind w:right="1076"/>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E2E8F1"/>
          </w:tcPr>
          <w:p>
            <w:pPr>
              <w:ind w:left="80"/>
              <w:spacing w:after="0" w:line="196" w:lineRule="exact"/>
              <w:rPr>
                <w:sz w:val="20"/>
                <w:szCs w:val="20"/>
                <w:color w:val="auto"/>
              </w:rPr>
            </w:pPr>
            <w:r>
              <w:rPr>
                <w:rFonts w:ascii="Arial" w:cs="Arial" w:eastAsia="Arial" w:hAnsi="Arial"/>
                <w:sz w:val="18"/>
                <w:szCs w:val="18"/>
                <w:color w:val="auto"/>
              </w:rPr>
              <w:t>Euro Notes</w:t>
            </w:r>
          </w:p>
        </w:tc>
        <w:tc>
          <w:tcPr>
            <w:tcW w:w="160" w:type="dxa"/>
            <w:vAlign w:val="bottom"/>
            <w:shd w:val="clear" w:color="auto" w:fill="E2E8F1"/>
          </w:tcPr>
          <w:p>
            <w:pPr>
              <w:spacing w:after="0"/>
              <w:rPr>
                <w:sz w:val="17"/>
                <w:szCs w:val="17"/>
                <w:color w:val="auto"/>
              </w:rPr>
            </w:pPr>
          </w:p>
        </w:tc>
        <w:tc>
          <w:tcPr>
            <w:tcW w:w="440" w:type="dxa"/>
            <w:vAlign w:val="bottom"/>
            <w:shd w:val="clear" w:color="auto" w:fill="E2E8F1"/>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E2E8F1"/>
          </w:tcPr>
          <w:p>
            <w:pPr>
              <w:jc w:val="right"/>
              <w:ind w:right="40"/>
              <w:spacing w:after="0" w:line="196" w:lineRule="exact"/>
              <w:rPr>
                <w:sz w:val="20"/>
                <w:szCs w:val="20"/>
                <w:color w:val="auto"/>
              </w:rPr>
            </w:pPr>
            <w:r>
              <w:rPr>
                <w:rFonts w:ascii="Arial" w:cs="Arial" w:eastAsia="Arial" w:hAnsi="Arial"/>
                <w:sz w:val="18"/>
                <w:szCs w:val="18"/>
                <w:color w:val="auto"/>
              </w:rPr>
              <w:t>(41.8)</w:t>
            </w:r>
          </w:p>
        </w:tc>
        <w:tc>
          <w:tcPr>
            <w:tcW w:w="1180" w:type="dxa"/>
            <w:vAlign w:val="bottom"/>
            <w:shd w:val="clear" w:color="auto" w:fill="E2E8F1"/>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E2E8F1"/>
          </w:tcPr>
          <w:p>
            <w:pPr>
              <w:jc w:val="right"/>
              <w:spacing w:after="0" w:line="196" w:lineRule="exact"/>
              <w:rPr>
                <w:sz w:val="20"/>
                <w:szCs w:val="20"/>
                <w:color w:val="auto"/>
              </w:rPr>
            </w:pPr>
            <w:r>
              <w:rPr>
                <w:rFonts w:ascii="Arial" w:cs="Arial" w:eastAsia="Arial" w:hAnsi="Arial"/>
                <w:sz w:val="18"/>
                <w:szCs w:val="18"/>
                <w:color w:val="auto"/>
              </w:rPr>
              <w:t>21.8</w:t>
            </w:r>
          </w:p>
        </w:tc>
        <w:tc>
          <w:tcPr>
            <w:tcW w:w="100" w:type="dxa"/>
            <w:vAlign w:val="bottom"/>
            <w:shd w:val="clear" w:color="auto" w:fill="E2E8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80"/>
              <w:spacing w:after="0" w:line="202" w:lineRule="exact"/>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1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-273685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Cash Flow Hedges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AOCI and is being amortized over the term of the notes as an offset to interest expense.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AOCL and earnings for the three months ended March 31, 2025 and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2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6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c>
          <w:tcPr>
            <w:tcW w:w="108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302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2680" w:type="dxa"/>
            <w:vAlign w:val="bottom"/>
            <w:tcBorders>
              <w:top w:val="single" w:sz="8" w:color="auto"/>
            </w:tcBorders>
            <w:gridSpan w:val="4"/>
            <w:shd w:val="clear" w:color="auto" w:fill="98B0CF"/>
          </w:tcPr>
          <w:p>
            <w:pPr>
              <w:jc w:val="center"/>
              <w:ind w:right="79"/>
              <w:spacing w:after="0"/>
              <w:rPr>
                <w:sz w:val="20"/>
                <w:szCs w:val="20"/>
                <w:color w:val="auto"/>
              </w:rPr>
            </w:pPr>
            <w:r>
              <w:rPr>
                <w:rFonts w:ascii="Arial" w:cs="Arial" w:eastAsia="Arial" w:hAnsi="Arial"/>
                <w:sz w:val="14"/>
                <w:szCs w:val="14"/>
                <w:b w:val="1"/>
                <w:bCs w:val="1"/>
                <w:color w:val="auto"/>
              </w:rPr>
              <w:t>Gain (Loss) Reclassified from AOCL</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auto"/>
            </w:tcBorders>
            <w:shd w:val="clear" w:color="auto" w:fill="98B0CF"/>
          </w:tcPr>
          <w:p>
            <w:pPr>
              <w:spacing w:after="0"/>
              <w:rPr>
                <w:sz w:val="14"/>
                <w:szCs w:val="14"/>
                <w:color w:val="auto"/>
              </w:rPr>
            </w:pPr>
          </w:p>
        </w:tc>
        <w:tc>
          <w:tcPr>
            <w:tcW w:w="2180" w:type="dxa"/>
            <w:vAlign w:val="bottom"/>
            <w:tcBorders>
              <w:bottom w:val="single" w:sz="8" w:color="auto"/>
            </w:tcBorders>
            <w:gridSpan w:val="2"/>
            <w:shd w:val="clear" w:color="auto" w:fill="98B0CF"/>
          </w:tcPr>
          <w:p>
            <w:pPr>
              <w:ind w:left="60"/>
              <w:spacing w:after="0"/>
              <w:rPr>
                <w:sz w:val="20"/>
                <w:szCs w:val="20"/>
                <w:color w:val="auto"/>
              </w:rPr>
            </w:pPr>
            <w:r>
              <w:rPr>
                <w:rFonts w:ascii="Arial" w:cs="Arial" w:eastAsia="Arial" w:hAnsi="Arial"/>
                <w:sz w:val="14"/>
                <w:szCs w:val="14"/>
                <w:b w:val="1"/>
                <w:bCs w:val="1"/>
                <w:color w:val="auto"/>
              </w:rPr>
              <w:t>Gain (Loss) Recognized in OCI</w:t>
            </w:r>
          </w:p>
        </w:tc>
        <w:tc>
          <w:tcPr>
            <w:tcW w:w="300" w:type="dxa"/>
            <w:vAlign w:val="bottom"/>
            <w:tcBorders>
              <w:bottom w:val="single" w:sz="8" w:color="auto"/>
            </w:tcBorders>
            <w:shd w:val="clear" w:color="auto" w:fill="98B0CF"/>
          </w:tcPr>
          <w:p>
            <w:pPr>
              <w:spacing w:after="0"/>
              <w:rPr>
                <w:sz w:val="14"/>
                <w:szCs w:val="14"/>
                <w:color w:val="auto"/>
              </w:rPr>
            </w:pPr>
          </w:p>
        </w:tc>
        <w:tc>
          <w:tcPr>
            <w:tcW w:w="3020" w:type="dxa"/>
            <w:vAlign w:val="bottom"/>
            <w:tcBorders>
              <w:bottom w:val="single" w:sz="8" w:color="98B0CF"/>
            </w:tcBorders>
            <w:vMerge w:val="restart"/>
            <w:shd w:val="clear" w:color="auto" w:fill="98B0CF"/>
          </w:tcPr>
          <w:p>
            <w:pPr>
              <w:jc w:val="center"/>
              <w:ind w:left="108"/>
              <w:spacing w:after="0"/>
              <w:rPr>
                <w:sz w:val="20"/>
                <w:szCs w:val="20"/>
                <w:color w:val="auto"/>
              </w:rPr>
            </w:pPr>
            <w:r>
              <w:rPr>
                <w:rFonts w:ascii="Arial" w:cs="Arial" w:eastAsia="Arial" w:hAnsi="Arial"/>
                <w:sz w:val="14"/>
                <w:szCs w:val="14"/>
                <w:b w:val="1"/>
                <w:bCs w:val="1"/>
                <w:color w:val="auto"/>
              </w:rPr>
              <w:t>Location of Gain (Loss) Reclassified</w:t>
            </w:r>
          </w:p>
        </w:tc>
        <w:tc>
          <w:tcPr>
            <w:tcW w:w="18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auto"/>
            </w:tcBorders>
            <w:shd w:val="clear" w:color="auto" w:fill="98B0CF"/>
          </w:tcPr>
          <w:p>
            <w:pPr>
              <w:spacing w:after="0"/>
              <w:rPr>
                <w:sz w:val="14"/>
                <w:szCs w:val="14"/>
                <w:color w:val="auto"/>
              </w:rPr>
            </w:pPr>
          </w:p>
        </w:tc>
        <w:tc>
          <w:tcPr>
            <w:tcW w:w="1580" w:type="dxa"/>
            <w:vAlign w:val="bottom"/>
            <w:tcBorders>
              <w:bottom w:val="single" w:sz="8" w:color="auto"/>
            </w:tcBorders>
            <w:gridSpan w:val="2"/>
            <w:shd w:val="clear" w:color="auto" w:fill="98B0CF"/>
          </w:tcPr>
          <w:p>
            <w:pPr>
              <w:jc w:val="center"/>
              <w:ind w:left="584"/>
              <w:spacing w:after="0"/>
              <w:rPr>
                <w:sz w:val="20"/>
                <w:szCs w:val="20"/>
                <w:color w:val="auto"/>
              </w:rPr>
            </w:pPr>
            <w:r>
              <w:rPr>
                <w:rFonts w:ascii="Arial" w:cs="Arial" w:eastAsia="Arial" w:hAnsi="Arial"/>
                <w:sz w:val="14"/>
                <w:szCs w:val="14"/>
                <w:b w:val="1"/>
                <w:bCs w:val="1"/>
                <w:color w:val="auto"/>
              </w:rPr>
              <w:t>into Income</w:t>
            </w:r>
          </w:p>
        </w:tc>
        <w:tc>
          <w:tcPr>
            <w:tcW w:w="940" w:type="dxa"/>
            <w:vAlign w:val="bottom"/>
            <w:tcBorders>
              <w:bottom w:val="single" w:sz="8" w:color="auto"/>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180" w:type="dxa"/>
            <w:vAlign w:val="bottom"/>
            <w:tcBorders>
              <w:bottom w:val="single" w:sz="8" w:color="auto"/>
            </w:tcBorders>
            <w:gridSpan w:val="2"/>
            <w:shd w:val="clear" w:color="auto" w:fill="98B0CF"/>
          </w:tcPr>
          <w:p>
            <w:pPr>
              <w:ind w:left="4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shd w:val="clear" w:color="auto" w:fill="98B0CF"/>
          </w:tcPr>
          <w:p>
            <w:pPr>
              <w:spacing w:after="0"/>
              <w:rPr>
                <w:sz w:val="13"/>
                <w:szCs w:val="13"/>
                <w:color w:val="auto"/>
              </w:rPr>
            </w:pPr>
          </w:p>
        </w:tc>
        <w:tc>
          <w:tcPr>
            <w:tcW w:w="3020" w:type="dxa"/>
            <w:vAlign w:val="bottom"/>
            <w:tcBorders>
              <w:bottom w:val="single" w:sz="8" w:color="98B0CF"/>
            </w:tcBorders>
            <w:vMerge w:val="continue"/>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520" w:type="dxa"/>
            <w:vAlign w:val="bottom"/>
            <w:tcBorders>
              <w:bottom w:val="single" w:sz="8" w:color="auto"/>
            </w:tcBorders>
            <w:gridSpan w:val="3"/>
            <w:shd w:val="clear" w:color="auto" w:fill="98B0CF"/>
          </w:tcPr>
          <w:p>
            <w:pPr>
              <w:jc w:val="center"/>
              <w:ind w:right="199"/>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shd w:val="clear" w:color="auto" w:fill="98B0CF"/>
          </w:tcPr>
          <w:p>
            <w:pPr>
              <w:ind w:left="940"/>
              <w:spacing w:after="0" w:line="155" w:lineRule="exact"/>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44"/>
              <w:spacing w:after="0" w:line="155" w:lineRule="exact"/>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tcBorders>
            <w:shd w:val="clear" w:color="auto" w:fill="98B0CF"/>
          </w:tcPr>
          <w:p>
            <w:pPr>
              <w:jc w:val="right"/>
              <w:ind w:right="139"/>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shd w:val="clear" w:color="auto" w:fill="98B0CF"/>
          </w:tcPr>
          <w:p>
            <w:pPr>
              <w:spacing w:after="0"/>
              <w:rPr>
                <w:sz w:val="13"/>
                <w:szCs w:val="13"/>
                <w:color w:val="auto"/>
              </w:rPr>
            </w:pPr>
          </w:p>
        </w:tc>
        <w:tc>
          <w:tcPr>
            <w:tcW w:w="3020" w:type="dxa"/>
            <w:vAlign w:val="bottom"/>
            <w:tcBorders>
              <w:bottom w:val="single" w:sz="8" w:color="auto"/>
            </w:tcBorders>
            <w:shd w:val="clear" w:color="auto" w:fill="98B0CF"/>
          </w:tcPr>
          <w:p>
            <w:pPr>
              <w:jc w:val="center"/>
              <w:ind w:left="108"/>
              <w:spacing w:after="0" w:line="155" w:lineRule="exact"/>
              <w:rPr>
                <w:sz w:val="20"/>
                <w:szCs w:val="20"/>
                <w:color w:val="auto"/>
              </w:rPr>
            </w:pPr>
            <w:r>
              <w:rPr>
                <w:rFonts w:ascii="Arial" w:cs="Arial" w:eastAsia="Arial" w:hAnsi="Arial"/>
                <w:sz w:val="14"/>
                <w:szCs w:val="14"/>
                <w:b w:val="1"/>
                <w:bCs w:val="1"/>
                <w:color w:val="auto"/>
              </w:rPr>
              <w:t>from AOCI into Income</w:t>
            </w:r>
          </w:p>
        </w:tc>
        <w:tc>
          <w:tcPr>
            <w:tcW w:w="18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64"/>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479"/>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100" w:type="dxa"/>
            <w:vAlign w:val="bottom"/>
            <w:tcBorders>
              <w:bottom w:val="single" w:sz="8" w:color="auto"/>
            </w:tcBorders>
            <w:shd w:val="clear" w:color="auto" w:fill="E2E8F1"/>
          </w:tcPr>
          <w:p>
            <w:pPr>
              <w:spacing w:after="0"/>
              <w:rPr>
                <w:sz w:val="17"/>
                <w:szCs w:val="17"/>
                <w:color w:val="auto"/>
              </w:rPr>
            </w:pPr>
          </w:p>
        </w:tc>
        <w:tc>
          <w:tcPr>
            <w:tcW w:w="16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2E8F1"/>
          </w:tcPr>
          <w:p>
            <w:pPr>
              <w:ind w:left="80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2E8F1"/>
          </w:tcPr>
          <w:p>
            <w:pPr>
              <w:jc w:val="right"/>
              <w:ind w:right="779"/>
              <w:spacing w:after="0" w:line="196" w:lineRule="exact"/>
              <w:rPr>
                <w:sz w:val="20"/>
                <w:szCs w:val="20"/>
                <w:color w:val="auto"/>
              </w:rPr>
            </w:pPr>
            <w:r>
              <w:rPr>
                <w:rFonts w:ascii="Arial" w:cs="Arial" w:eastAsia="Arial" w:hAnsi="Arial"/>
                <w:sz w:val="18"/>
                <w:szCs w:val="18"/>
                <w:color w:val="auto"/>
              </w:rPr>
              <w:t>$</w:t>
            </w:r>
          </w:p>
        </w:tc>
        <w:tc>
          <w:tcPr>
            <w:tcW w:w="3320" w:type="dxa"/>
            <w:vAlign w:val="bottom"/>
            <w:tcBorders>
              <w:bottom w:val="single" w:sz="8" w:color="auto"/>
            </w:tcBorders>
            <w:gridSpan w:val="2"/>
            <w:shd w:val="clear" w:color="auto" w:fill="E2E8F1"/>
          </w:tcPr>
          <w:p>
            <w:pPr>
              <w:spacing w:after="0" w:line="196" w:lineRule="exact"/>
              <w:rPr>
                <w:sz w:val="20"/>
                <w:szCs w:val="20"/>
                <w:color w:val="auto"/>
              </w:rPr>
            </w:pPr>
            <w:r>
              <w:rPr>
                <w:rFonts w:ascii="Arial" w:cs="Arial" w:eastAsia="Arial" w:hAnsi="Arial"/>
                <w:sz w:val="18"/>
                <w:szCs w:val="18"/>
                <w:color w:val="auto"/>
              </w:rPr>
              <w:t>—   Interest and other expenses, net</w:t>
            </w:r>
          </w:p>
        </w:tc>
        <w:tc>
          <w:tcPr>
            <w:tcW w:w="340" w:type="dxa"/>
            <w:vAlign w:val="bottom"/>
            <w:tcBorders>
              <w:bottom w:val="single" w:sz="8" w:color="auto"/>
            </w:tcBorders>
            <w:gridSpan w:val="2"/>
            <w:shd w:val="clear" w:color="auto" w:fill="E2E8F1"/>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2E8F1"/>
          </w:tcPr>
          <w:p>
            <w:pPr>
              <w:jc w:val="right"/>
              <w:ind w:right="44"/>
              <w:spacing w:after="0" w:line="196" w:lineRule="exact"/>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shd w:val="clear" w:color="auto" w:fill="E2E8F1"/>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-367665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-256540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the net amount of pre-tax derivative gains and losses included in AOCL at March 31, 2025 to be reclassified into earnings within the next 12 months will not be significant. The actual amount that will be reclassified to earnings over the next 12 months will vary due to future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Hedges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2022, we entered into a cross currency swap agreement to hedge an intercompany fixed-rate CHF denominated note, including the annual interest payment, to a fixed-rate Euro denominated note. On April 18, 2024, we settled the swaps at maturity for a net cash inflow of $14.9 and entered into a new cross currency swap with a maturity date of April 2027.</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Operations for the three months ended March 31, 2025 and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6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auto"/>
            </w:tcBorders>
            <w:shd w:val="clear" w:color="auto" w:fill="98B0CF"/>
          </w:tcPr>
          <w:p>
            <w:pPr>
              <w:spacing w:after="0"/>
              <w:rPr>
                <w:sz w:val="15"/>
                <w:szCs w:val="15"/>
                <w:color w:val="auto"/>
              </w:rPr>
            </w:pPr>
          </w:p>
        </w:tc>
        <w:tc>
          <w:tcPr>
            <w:tcW w:w="2500" w:type="dxa"/>
            <w:vAlign w:val="bottom"/>
            <w:tcBorders>
              <w:top w:val="single" w:sz="8" w:color="auto"/>
              <w:bottom w:val="single" w:sz="8" w:color="auto"/>
            </w:tcBorders>
            <w:gridSpan w:val="2"/>
            <w:shd w:val="clear" w:color="auto" w:fill="98B0CF"/>
          </w:tcPr>
          <w:p>
            <w:pPr>
              <w:jc w:val="right"/>
              <w:ind w:right="242"/>
              <w:spacing w:after="0"/>
              <w:rPr>
                <w:sz w:val="20"/>
                <w:szCs w:val="20"/>
                <w:color w:val="auto"/>
              </w:rPr>
            </w:pPr>
            <w:r>
              <w:rPr>
                <w:rFonts w:ascii="Arial" w:cs="Arial" w:eastAsia="Arial" w:hAnsi="Arial"/>
                <w:sz w:val="14"/>
                <w:szCs w:val="14"/>
                <w:b w:val="1"/>
                <w:bCs w:val="1"/>
                <w:color w:val="auto"/>
              </w:rPr>
              <w:t>Gain (Loss) Recognized in OCI</w:t>
            </w:r>
          </w:p>
        </w:tc>
        <w:tc>
          <w:tcPr>
            <w:tcW w:w="3000" w:type="dxa"/>
            <w:vAlign w:val="bottom"/>
            <w:tcBorders>
              <w:top w:val="single" w:sz="8" w:color="auto"/>
              <w:bottom w:val="single" w:sz="8" w:color="auto"/>
            </w:tcBorders>
            <w:vMerge w:val="restart"/>
            <w:shd w:val="clear" w:color="auto" w:fill="98B0CF"/>
          </w:tcPr>
          <w:p>
            <w:pPr>
              <w:jc w:val="center"/>
              <w:spacing w:after="0"/>
              <w:rPr>
                <w:sz w:val="20"/>
                <w:szCs w:val="20"/>
                <w:color w:val="auto"/>
              </w:rPr>
            </w:pPr>
            <w:r>
              <w:rPr>
                <w:rFonts w:ascii="Arial" w:cs="Arial" w:eastAsia="Arial" w:hAnsi="Arial"/>
                <w:sz w:val="14"/>
                <w:szCs w:val="14"/>
                <w:b w:val="1"/>
                <w:bCs w:val="1"/>
                <w:color w:val="auto"/>
              </w:rPr>
              <w:t>Location of Gain (Loss)</w:t>
            </w: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2620" w:type="dxa"/>
            <w:vAlign w:val="bottom"/>
            <w:tcBorders>
              <w:top w:val="single" w:sz="8" w:color="auto"/>
              <w:bottom w:val="single" w:sz="8" w:color="auto"/>
            </w:tcBorders>
            <w:gridSpan w:val="3"/>
            <w:shd w:val="clear" w:color="auto" w:fill="98B0CF"/>
          </w:tcPr>
          <w:p>
            <w:pPr>
              <w:jc w:val="right"/>
              <w:ind w:right="162"/>
              <w:spacing w:after="0"/>
              <w:rPr>
                <w:sz w:val="20"/>
                <w:szCs w:val="20"/>
                <w:color w:val="auto"/>
              </w:rPr>
            </w:pPr>
            <w:r>
              <w:rPr>
                <w:rFonts w:ascii="Arial" w:cs="Arial" w:eastAsia="Arial" w:hAnsi="Arial"/>
                <w:sz w:val="14"/>
                <w:szCs w:val="14"/>
                <w:b w:val="1"/>
                <w:bCs w:val="1"/>
                <w:color w:val="auto"/>
              </w:rPr>
              <w:t>Gain (Loss) Recognized in Income</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500" w:type="dxa"/>
            <w:vAlign w:val="bottom"/>
            <w:tcBorders>
              <w:bottom w:val="single" w:sz="8" w:color="auto"/>
            </w:tcBorders>
            <w:gridSpan w:val="2"/>
            <w:shd w:val="clear" w:color="auto" w:fill="98B0CF"/>
          </w:tcPr>
          <w:p>
            <w:pPr>
              <w:jc w:val="right"/>
              <w:ind w:right="242"/>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3000" w:type="dxa"/>
            <w:vAlign w:val="bottom"/>
            <w:tcBorders>
              <w:bottom w:val="single" w:sz="8" w:color="98B0CF"/>
            </w:tcBorders>
            <w:vMerge w:val="continue"/>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620" w:type="dxa"/>
            <w:vAlign w:val="bottom"/>
            <w:tcBorders>
              <w:bottom w:val="single" w:sz="8" w:color="auto"/>
            </w:tcBorders>
            <w:gridSpan w:val="3"/>
            <w:shd w:val="clear" w:color="auto" w:fill="98B0CF"/>
          </w:tcPr>
          <w:p>
            <w:pPr>
              <w:jc w:val="right"/>
              <w:ind w:right="282"/>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760" w:type="dxa"/>
            <w:vAlign w:val="bottom"/>
            <w:tcBorders>
              <w:bottom w:val="single" w:sz="8" w:color="auto"/>
            </w:tcBorders>
            <w:shd w:val="clear" w:color="auto" w:fill="98B0CF"/>
          </w:tcPr>
          <w:p>
            <w:pPr>
              <w:ind w:left="1020"/>
              <w:spacing w:after="0" w:line="155" w:lineRule="exact"/>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480" w:type="dxa"/>
            <w:vAlign w:val="bottom"/>
            <w:tcBorders>
              <w:bottom w:val="single" w:sz="8" w:color="auto"/>
            </w:tcBorders>
            <w:shd w:val="clear" w:color="auto" w:fill="98B0CF"/>
          </w:tcPr>
          <w:p>
            <w:pPr>
              <w:jc w:val="right"/>
              <w:ind w:right="804"/>
              <w:spacing w:after="0" w:line="155" w:lineRule="exact"/>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shd w:val="clear" w:color="auto" w:fill="98B0CF"/>
          </w:tcPr>
          <w:p>
            <w:pPr>
              <w:jc w:val="right"/>
              <w:ind w:right="442"/>
              <w:spacing w:after="0" w:line="155" w:lineRule="exact"/>
              <w:rPr>
                <w:sz w:val="20"/>
                <w:szCs w:val="20"/>
                <w:color w:val="auto"/>
              </w:rPr>
            </w:pPr>
            <w:r>
              <w:rPr>
                <w:rFonts w:ascii="Arial" w:cs="Arial" w:eastAsia="Arial" w:hAnsi="Arial"/>
                <w:sz w:val="14"/>
                <w:szCs w:val="14"/>
                <w:b w:val="1"/>
                <w:bCs w:val="1"/>
                <w:color w:val="auto"/>
              </w:rPr>
              <w:t>2024</w:t>
            </w:r>
          </w:p>
        </w:tc>
        <w:tc>
          <w:tcPr>
            <w:tcW w:w="3000" w:type="dxa"/>
            <w:vAlign w:val="bottom"/>
            <w:tcBorders>
              <w:bottom w:val="single" w:sz="8" w:color="auto"/>
            </w:tcBorders>
            <w:shd w:val="clear" w:color="auto" w:fill="98B0CF"/>
          </w:tcPr>
          <w:p>
            <w:pPr>
              <w:jc w:val="center"/>
              <w:spacing w:after="0" w:line="155" w:lineRule="exact"/>
              <w:rPr>
                <w:sz w:val="20"/>
                <w:szCs w:val="20"/>
                <w:color w:val="auto"/>
              </w:rPr>
            </w:pPr>
            <w:r>
              <w:rPr>
                <w:rFonts w:ascii="Arial" w:cs="Arial" w:eastAsia="Arial" w:hAnsi="Arial"/>
                <w:sz w:val="14"/>
                <w:szCs w:val="14"/>
                <w:b w:val="1"/>
                <w:bCs w:val="1"/>
                <w:color w:val="auto"/>
              </w:rPr>
              <w:t>Recognized in Income</w:t>
            </w:r>
          </w:p>
        </w:tc>
        <w:tc>
          <w:tcPr>
            <w:tcW w:w="100" w:type="dxa"/>
            <w:vAlign w:val="bottom"/>
            <w:tcBorders>
              <w:bottom w:val="single" w:sz="8" w:color="auto"/>
            </w:tcBorders>
            <w:shd w:val="clear" w:color="auto" w:fill="98B0CF"/>
          </w:tcPr>
          <w:p>
            <w:pPr>
              <w:spacing w:after="0"/>
              <w:rPr>
                <w:sz w:val="13"/>
                <w:szCs w:val="13"/>
                <w:color w:val="auto"/>
              </w:rPr>
            </w:pPr>
          </w:p>
        </w:tc>
        <w:tc>
          <w:tcPr>
            <w:tcW w:w="1200" w:type="dxa"/>
            <w:vAlign w:val="bottom"/>
            <w:tcBorders>
              <w:bottom w:val="single" w:sz="8" w:color="auto"/>
            </w:tcBorders>
            <w:shd w:val="clear" w:color="auto" w:fill="98B0CF"/>
          </w:tcPr>
          <w:p>
            <w:pPr>
              <w:jc w:val="right"/>
              <w:ind w:right="484"/>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shd w:val="clear" w:color="auto" w:fill="98B0CF"/>
          </w:tcPr>
          <w:p>
            <w:pPr>
              <w:spacing w:after="0"/>
              <w:rPr>
                <w:sz w:val="13"/>
                <w:szCs w:val="13"/>
                <w:color w:val="auto"/>
              </w:rPr>
            </w:pPr>
          </w:p>
        </w:tc>
        <w:tc>
          <w:tcPr>
            <w:tcW w:w="1060" w:type="dxa"/>
            <w:vAlign w:val="bottom"/>
            <w:tcBorders>
              <w:bottom w:val="single" w:sz="8" w:color="auto"/>
            </w:tcBorders>
            <w:shd w:val="clear" w:color="auto" w:fill="98B0CF"/>
          </w:tcPr>
          <w:p>
            <w:pPr>
              <w:jc w:val="right"/>
              <w:ind w:right="482"/>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Intercompany CHF notes</w:t>
            </w:r>
          </w:p>
        </w:tc>
        <w:tc>
          <w:tcPr>
            <w:tcW w:w="100" w:type="dxa"/>
            <w:vAlign w:val="bottom"/>
            <w:tcBorders>
              <w:bottom w:val="single" w:sz="8" w:color="auto"/>
            </w:tcBorders>
            <w:shd w:val="clear" w:color="auto" w:fill="E2E8F1"/>
          </w:tcPr>
          <w:p>
            <w:pPr>
              <w:spacing w:after="0"/>
              <w:rPr>
                <w:sz w:val="15"/>
                <w:szCs w:val="15"/>
                <w:color w:val="auto"/>
              </w:rPr>
            </w:pPr>
          </w:p>
        </w:tc>
        <w:tc>
          <w:tcPr>
            <w:tcW w:w="1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2E8F1"/>
          </w:tcPr>
          <w:p>
            <w:pPr>
              <w:jc w:val="right"/>
              <w:ind w:right="84"/>
              <w:spacing w:after="0" w:line="183" w:lineRule="exact"/>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300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Interest and other expenses, net</w:t>
            </w:r>
          </w:p>
        </w:tc>
        <w:tc>
          <w:tcPr>
            <w:tcW w:w="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2E8F1"/>
          </w:tcPr>
          <w:p>
            <w:pPr>
              <w:jc w:val="right"/>
              <w:ind w:right="64"/>
              <w:spacing w:after="0" w:line="183" w:lineRule="exact"/>
              <w:rPr>
                <w:sz w:val="20"/>
                <w:szCs w:val="20"/>
                <w:color w:val="auto"/>
              </w:rPr>
            </w:pPr>
            <w:r>
              <w:rPr>
                <w:rFonts w:ascii="Arial" w:cs="Arial" w:eastAsia="Arial" w:hAnsi="Arial"/>
                <w:sz w:val="16"/>
                <w:szCs w:val="16"/>
                <w:color w:val="auto"/>
              </w:rPr>
              <w:t>5.8</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2E8F1"/>
          </w:tcPr>
          <w:p>
            <w:pPr>
              <w:jc w:val="right"/>
              <w:ind w:right="42"/>
              <w:spacing w:after="0" w:line="183"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Cross-currency swaps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44"/>
              <w:spacing w:after="0" w:line="183" w:lineRule="exact"/>
              <w:rPr>
                <w:sz w:val="20"/>
                <w:szCs w:val="20"/>
                <w:color w:val="auto"/>
              </w:rPr>
            </w:pPr>
            <w:r>
              <w:rPr>
                <w:rFonts w:ascii="Arial" w:cs="Arial" w:eastAsia="Arial" w:hAnsi="Arial"/>
                <w:sz w:val="16"/>
                <w:szCs w:val="16"/>
                <w:color w:val="auto"/>
              </w:rPr>
              <w:t>(0.8)</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(0.9)</w:t>
            </w:r>
          </w:p>
        </w:tc>
        <w:tc>
          <w:tcPr>
            <w:tcW w:w="300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Interest and other expenses, net</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(5.8)</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-487680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-376555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Non-designated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months ended March 31, 2025 and 2024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8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3680" w:type="dxa"/>
            <w:vAlign w:val="bottom"/>
            <w:tcBorders>
              <w:top w:val="single" w:sz="8" w:color="auto"/>
              <w:bottom w:val="single" w:sz="8" w:color="auto"/>
            </w:tcBorders>
            <w:vMerge w:val="restart"/>
            <w:shd w:val="clear" w:color="auto" w:fill="98B0CF"/>
          </w:tcPr>
          <w:p>
            <w:pPr>
              <w:jc w:val="center"/>
              <w:ind w:right="42"/>
              <w:spacing w:after="0"/>
              <w:rPr>
                <w:sz w:val="20"/>
                <w:szCs w:val="20"/>
                <w:color w:val="auto"/>
              </w:rPr>
            </w:pPr>
            <w:r>
              <w:rPr>
                <w:rFonts w:ascii="Arial" w:cs="Arial" w:eastAsia="Arial" w:hAnsi="Arial"/>
                <w:sz w:val="14"/>
                <w:szCs w:val="14"/>
                <w:b w:val="1"/>
                <w:bCs w:val="1"/>
                <w:color w:val="auto"/>
              </w:rPr>
              <w:t>Location of Gain (Loss)</w:t>
            </w:r>
          </w:p>
        </w:tc>
        <w:tc>
          <w:tcPr>
            <w:tcW w:w="2980" w:type="dxa"/>
            <w:vAlign w:val="bottom"/>
            <w:tcBorders>
              <w:top w:val="single" w:sz="8" w:color="auto"/>
              <w:bottom w:val="single" w:sz="8" w:color="auto"/>
            </w:tcBorders>
            <w:gridSpan w:val="3"/>
            <w:shd w:val="clear" w:color="auto" w:fill="98B0CF"/>
          </w:tcPr>
          <w:p>
            <w:pPr>
              <w:ind w:left="600"/>
              <w:spacing w:after="0"/>
              <w:rPr>
                <w:sz w:val="20"/>
                <w:szCs w:val="20"/>
                <w:color w:val="auto"/>
              </w:rPr>
            </w:pPr>
            <w:r>
              <w:rPr>
                <w:rFonts w:ascii="Arial" w:cs="Arial" w:eastAsia="Arial" w:hAnsi="Arial"/>
                <w:sz w:val="14"/>
                <w:szCs w:val="14"/>
                <w:b w:val="1"/>
                <w:bCs w:val="1"/>
                <w:color w:val="auto"/>
              </w:rPr>
              <w:t>Gain (Loss) Recognized in Income</w:t>
            </w:r>
          </w:p>
        </w:tc>
        <w:tc>
          <w:tcPr>
            <w:tcW w:w="48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3680" w:type="dxa"/>
            <w:vAlign w:val="bottom"/>
            <w:tcBorders>
              <w:bottom w:val="single" w:sz="8" w:color="98B0CF"/>
            </w:tcBorders>
            <w:vMerge w:val="continue"/>
            <w:shd w:val="clear" w:color="auto" w:fill="98B0CF"/>
          </w:tcPr>
          <w:p>
            <w:pPr>
              <w:spacing w:after="0"/>
              <w:rPr>
                <w:sz w:val="13"/>
                <w:szCs w:val="13"/>
                <w:color w:val="auto"/>
              </w:rPr>
            </w:pPr>
          </w:p>
        </w:tc>
        <w:tc>
          <w:tcPr>
            <w:tcW w:w="2980" w:type="dxa"/>
            <w:vAlign w:val="bottom"/>
            <w:tcBorders>
              <w:bottom w:val="single" w:sz="8" w:color="auto"/>
            </w:tcBorders>
            <w:gridSpan w:val="3"/>
            <w:shd w:val="clear" w:color="auto" w:fill="98B0CF"/>
          </w:tcPr>
          <w:p>
            <w:pPr>
              <w:ind w:left="60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Borders>
              <w:bottom w:val="single" w:sz="8" w:color="auto"/>
            </w:tcBorders>
            <w:shd w:val="clear" w:color="auto" w:fill="98B0CF"/>
          </w:tcPr>
          <w:p>
            <w:pPr>
              <w:ind w:left="156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3680" w:type="dxa"/>
            <w:vAlign w:val="bottom"/>
            <w:tcBorders>
              <w:bottom w:val="single" w:sz="8" w:color="auto"/>
            </w:tcBorders>
            <w:shd w:val="clear" w:color="auto" w:fill="98B0CF"/>
          </w:tcPr>
          <w:p>
            <w:pPr>
              <w:jc w:val="center"/>
              <w:ind w:right="42"/>
              <w:spacing w:after="0" w:line="155" w:lineRule="exact"/>
              <w:rPr>
                <w:sz w:val="20"/>
                <w:szCs w:val="20"/>
                <w:color w:val="auto"/>
              </w:rPr>
            </w:pPr>
            <w:r>
              <w:rPr>
                <w:rFonts w:ascii="Arial" w:cs="Arial" w:eastAsia="Arial" w:hAnsi="Arial"/>
                <w:sz w:val="14"/>
                <w:szCs w:val="14"/>
                <w:b w:val="1"/>
                <w:bCs w:val="1"/>
                <w:color w:val="auto"/>
              </w:rPr>
              <w:t>Recognized in Income</w:t>
            </w:r>
          </w:p>
        </w:tc>
        <w:tc>
          <w:tcPr>
            <w:tcW w:w="1120" w:type="dxa"/>
            <w:vAlign w:val="bottom"/>
            <w:tcBorders>
              <w:bottom w:val="single" w:sz="8" w:color="auto"/>
            </w:tcBorders>
            <w:shd w:val="clear" w:color="auto" w:fill="98B0CF"/>
          </w:tcPr>
          <w:p>
            <w:pPr>
              <w:ind w:left="620"/>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98B0CF"/>
          </w:tcPr>
          <w:p>
            <w:pPr>
              <w:spacing w:after="0"/>
              <w:rPr>
                <w:sz w:val="13"/>
                <w:szCs w:val="13"/>
                <w:color w:val="auto"/>
              </w:rPr>
            </w:pPr>
          </w:p>
        </w:tc>
        <w:tc>
          <w:tcPr>
            <w:tcW w:w="1320" w:type="dxa"/>
            <w:vAlign w:val="bottom"/>
            <w:tcBorders>
              <w:bottom w:val="single" w:sz="8" w:color="auto"/>
            </w:tcBorders>
            <w:shd w:val="clear" w:color="auto" w:fill="98B0CF"/>
          </w:tcPr>
          <w:p>
            <w:pPr>
              <w:jc w:val="right"/>
              <w:ind w:right="179"/>
              <w:spacing w:after="0" w:line="155" w:lineRule="exact"/>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shd w:val="clear" w:color="auto" w:fill="E2E8F1"/>
          </w:tcPr>
          <w:p>
            <w:pPr>
              <w:ind w:left="60"/>
              <w:spacing w:after="0" w:line="196" w:lineRule="exact"/>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auto"/>
            </w:tcBorders>
            <w:shd w:val="clear" w:color="auto" w:fill="E2E8F1"/>
          </w:tcPr>
          <w:p>
            <w:pPr>
              <w:spacing w:after="0"/>
              <w:rPr>
                <w:sz w:val="17"/>
                <w:szCs w:val="17"/>
                <w:color w:val="auto"/>
              </w:rPr>
            </w:pPr>
          </w:p>
        </w:tc>
        <w:tc>
          <w:tcPr>
            <w:tcW w:w="3680" w:type="dxa"/>
            <w:vAlign w:val="bottom"/>
            <w:tcBorders>
              <w:bottom w:val="single" w:sz="8" w:color="auto"/>
            </w:tcBorders>
            <w:shd w:val="clear" w:color="auto" w:fill="E2E8F1"/>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1120" w:type="dxa"/>
            <w:vAlign w:val="bottom"/>
            <w:tcBorders>
              <w:bottom w:val="single" w:sz="8" w:color="auto"/>
            </w:tcBorders>
            <w:shd w:val="clear" w:color="auto" w:fill="E2E8F1"/>
          </w:tcPr>
          <w:p>
            <w:pPr>
              <w:jc w:val="right"/>
              <w:ind w:right="944"/>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2E8F1"/>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shd w:val="clear" w:color="auto" w:fill="E2E8F1"/>
          </w:tcPr>
          <w:p>
            <w:pPr>
              <w:jc w:val="right"/>
              <w:ind w:right="1019"/>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shd w:val="clear" w:color="auto" w:fill="E2E8F1"/>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231F20"/>
              <w:bottom w:val="single" w:sz="8" w:color="98B0CF"/>
            </w:tcBorders>
            <w:shd w:val="clear" w:color="auto" w:fill="98B0CF"/>
          </w:tcPr>
          <w:p>
            <w:pPr>
              <w:spacing w:after="0"/>
              <w:rPr>
                <w:sz w:val="21"/>
                <w:szCs w:val="21"/>
                <w:color w:val="auto"/>
              </w:rPr>
            </w:pPr>
          </w:p>
        </w:tc>
        <w:tc>
          <w:tcPr>
            <w:tcW w:w="2600" w:type="dxa"/>
            <w:vAlign w:val="bottom"/>
            <w:tcBorders>
              <w:top w:val="single" w:sz="8" w:color="231F20"/>
              <w:bottom w:val="single" w:sz="8" w:color="231F20"/>
            </w:tcBorders>
            <w:shd w:val="clear" w:color="auto" w:fill="98B0CF"/>
          </w:tcPr>
          <w:p>
            <w:pPr>
              <w:spacing w:after="0"/>
              <w:rPr>
                <w:sz w:val="21"/>
                <w:szCs w:val="21"/>
                <w:color w:val="auto"/>
              </w:rPr>
            </w:pPr>
          </w:p>
        </w:tc>
        <w:tc>
          <w:tcPr>
            <w:tcW w:w="880" w:type="dxa"/>
            <w:vAlign w:val="bottom"/>
            <w:tcBorders>
              <w:top w:val="single" w:sz="8" w:color="231F20"/>
              <w:bottom w:val="single" w:sz="8" w:color="231F20"/>
            </w:tcBorders>
            <w:gridSpan w:val="2"/>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1160" w:type="dxa"/>
            <w:vAlign w:val="bottom"/>
            <w:tcBorders>
              <w:top w:val="single" w:sz="8" w:color="231F20"/>
              <w:bottom w:val="single" w:sz="8" w:color="231F20"/>
            </w:tcBorders>
            <w:shd w:val="clear" w:color="auto" w:fill="98B0CF"/>
          </w:tcPr>
          <w:p>
            <w:pPr>
              <w:spacing w:after="0"/>
              <w:rPr>
                <w:sz w:val="21"/>
                <w:szCs w:val="21"/>
                <w:color w:val="auto"/>
              </w:rPr>
            </w:pPr>
          </w:p>
        </w:tc>
        <w:tc>
          <w:tcPr>
            <w:tcW w:w="240" w:type="dxa"/>
            <w:vAlign w:val="bottom"/>
            <w:tcBorders>
              <w:top w:val="single" w:sz="8" w:color="231F20"/>
              <w:bottom w:val="single" w:sz="8" w:color="231F20"/>
            </w:tcBorders>
            <w:shd w:val="clear" w:color="auto" w:fill="98B0CF"/>
          </w:tcPr>
          <w:p>
            <w:pPr>
              <w:spacing w:after="0"/>
              <w:rPr>
                <w:sz w:val="21"/>
                <w:szCs w:val="21"/>
                <w:color w:val="auto"/>
              </w:rPr>
            </w:pPr>
          </w:p>
        </w:tc>
        <w:tc>
          <w:tcPr>
            <w:tcW w:w="128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5080" w:type="dxa"/>
            <w:vAlign w:val="bottom"/>
            <w:tcBorders>
              <w:bottom w:val="single" w:sz="8" w:color="98B0CF"/>
            </w:tcBorders>
            <w:shd w:val="clear" w:color="auto" w:fill="98B0CF"/>
          </w:tcPr>
          <w:p>
            <w:pPr>
              <w:spacing w:after="0"/>
              <w:rPr>
                <w:sz w:val="19"/>
                <w:szCs w:val="19"/>
                <w:color w:val="auto"/>
              </w:rPr>
            </w:pPr>
          </w:p>
        </w:tc>
        <w:tc>
          <w:tcPr>
            <w:tcW w:w="2600" w:type="dxa"/>
            <w:vAlign w:val="bottom"/>
            <w:tcBorders>
              <w:bottom w:val="single" w:sz="8" w:color="98B0CF"/>
            </w:tcBorders>
            <w:shd w:val="clear" w:color="auto" w:fill="98B0CF"/>
          </w:tcPr>
          <w:p>
            <w:pPr>
              <w:spacing w:after="0"/>
              <w:rPr>
                <w:sz w:val="19"/>
                <w:szCs w:val="19"/>
                <w:color w:val="auto"/>
              </w:rPr>
            </w:pPr>
          </w:p>
        </w:tc>
        <w:tc>
          <w:tcPr>
            <w:tcW w:w="680" w:type="dxa"/>
            <w:vAlign w:val="bottom"/>
            <w:tcBorders>
              <w:bottom w:val="single" w:sz="8" w:color="98B0CF"/>
            </w:tcBorders>
            <w:shd w:val="clear" w:color="auto" w:fill="98B0CF"/>
          </w:tcPr>
          <w:p>
            <w:pPr>
              <w:spacing w:after="0"/>
              <w:rPr>
                <w:sz w:val="19"/>
                <w:szCs w:val="19"/>
                <w:color w:val="auto"/>
              </w:rPr>
            </w:pPr>
          </w:p>
        </w:tc>
        <w:tc>
          <w:tcPr>
            <w:tcW w:w="200" w:type="dxa"/>
            <w:vAlign w:val="bottom"/>
            <w:tcBorders>
              <w:bottom w:val="single" w:sz="8" w:color="231F20"/>
            </w:tcBorders>
            <w:shd w:val="clear" w:color="auto" w:fill="98B0CF"/>
          </w:tcPr>
          <w:p>
            <w:pPr>
              <w:spacing w:after="0"/>
              <w:rPr>
                <w:sz w:val="19"/>
                <w:szCs w:val="19"/>
                <w:color w:val="auto"/>
              </w:rPr>
            </w:pPr>
          </w:p>
        </w:tc>
        <w:tc>
          <w:tcPr>
            <w:tcW w:w="1160" w:type="dxa"/>
            <w:vAlign w:val="bottom"/>
            <w:tcBorders>
              <w:bottom w:val="single" w:sz="8" w:color="231F20"/>
            </w:tcBorders>
            <w:shd w:val="clear" w:color="auto" w:fill="98B0CF"/>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231F20"/>
            </w:tcBorders>
            <w:shd w:val="clear" w:color="auto" w:fill="98B0CF"/>
          </w:tcPr>
          <w:p>
            <w:pPr>
              <w:spacing w:after="0"/>
              <w:rPr>
                <w:sz w:val="19"/>
                <w:szCs w:val="19"/>
                <w:color w:val="auto"/>
              </w:rPr>
            </w:pPr>
          </w:p>
        </w:tc>
        <w:tc>
          <w:tcPr>
            <w:tcW w:w="1280" w:type="dxa"/>
            <w:vAlign w:val="bottom"/>
            <w:tcBorders>
              <w:bottom w:val="single" w:sz="8" w:color="231F20"/>
            </w:tcBorders>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080" w:type="dxa"/>
            <w:vAlign w:val="bottom"/>
            <w:tcBorders>
              <w:bottom w:val="single" w:sz="8" w:color="98B0CF"/>
            </w:tcBorders>
            <w:shd w:val="clear" w:color="auto" w:fill="98B0CF"/>
          </w:tcPr>
          <w:p>
            <w:pPr>
              <w:spacing w:after="0"/>
              <w:rPr>
                <w:sz w:val="21"/>
                <w:szCs w:val="21"/>
                <w:color w:val="auto"/>
              </w:rPr>
            </w:pPr>
          </w:p>
        </w:tc>
        <w:tc>
          <w:tcPr>
            <w:tcW w:w="2600" w:type="dxa"/>
            <w:vAlign w:val="bottom"/>
            <w:tcBorders>
              <w:bottom w:val="single" w:sz="8" w:color="auto"/>
            </w:tcBorders>
            <w:shd w:val="clear" w:color="auto" w:fill="98B0CF"/>
          </w:tcPr>
          <w:p>
            <w:pPr>
              <w:ind w:left="780"/>
              <w:spacing w:after="0"/>
              <w:rPr>
                <w:sz w:val="20"/>
                <w:szCs w:val="20"/>
                <w:color w:val="auto"/>
              </w:rPr>
            </w:pPr>
            <w:r>
              <w:rPr>
                <w:rFonts w:ascii="Arial" w:cs="Arial" w:eastAsia="Arial" w:hAnsi="Arial"/>
                <w:sz w:val="14"/>
                <w:szCs w:val="14"/>
                <w:b w:val="1"/>
                <w:bCs w:val="1"/>
                <w:color w:val="auto"/>
              </w:rPr>
              <w:t>Balance Sheet Location</w:t>
            </w:r>
          </w:p>
        </w:tc>
        <w:tc>
          <w:tcPr>
            <w:tcW w:w="680" w:type="dxa"/>
            <w:vAlign w:val="bottom"/>
            <w:tcBorders>
              <w:bottom w:val="single" w:sz="8" w:color="auto"/>
            </w:tcBorders>
            <w:shd w:val="clear" w:color="auto" w:fill="98B0CF"/>
          </w:tcPr>
          <w:p>
            <w:pPr>
              <w:spacing w:after="0"/>
              <w:rPr>
                <w:sz w:val="21"/>
                <w:szCs w:val="21"/>
                <w:color w:val="auto"/>
              </w:rPr>
            </w:pPr>
          </w:p>
        </w:tc>
        <w:tc>
          <w:tcPr>
            <w:tcW w:w="200" w:type="dxa"/>
            <w:vAlign w:val="bottom"/>
            <w:tcBorders>
              <w:bottom w:val="single" w:sz="8" w:color="auto"/>
            </w:tcBorders>
            <w:shd w:val="clear" w:color="auto" w:fill="98B0CF"/>
          </w:tcPr>
          <w:p>
            <w:pPr>
              <w:spacing w:after="0"/>
              <w:rPr>
                <w:sz w:val="21"/>
                <w:szCs w:val="21"/>
                <w:color w:val="auto"/>
              </w:rPr>
            </w:pPr>
          </w:p>
        </w:tc>
        <w:tc>
          <w:tcPr>
            <w:tcW w:w="1160" w:type="dxa"/>
            <w:vAlign w:val="bottom"/>
            <w:tcBorders>
              <w:bottom w:val="single" w:sz="8" w:color="auto"/>
            </w:tcBorders>
            <w:shd w:val="clear" w:color="auto" w:fill="98B0CF"/>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shd w:val="clear" w:color="auto" w:fill="98B0CF"/>
          </w:tcPr>
          <w:p>
            <w:pPr>
              <w:spacing w:after="0"/>
              <w:rPr>
                <w:sz w:val="21"/>
                <w:szCs w:val="21"/>
                <w:color w:val="auto"/>
              </w:rPr>
            </w:pPr>
          </w:p>
        </w:tc>
        <w:tc>
          <w:tcPr>
            <w:tcW w:w="1280" w:type="dxa"/>
            <w:vAlign w:val="bottom"/>
            <w:tcBorders>
              <w:bottom w:val="single" w:sz="8" w:color="auto"/>
            </w:tcBorders>
            <w:shd w:val="clear" w:color="auto" w:fill="98B0CF"/>
          </w:tcPr>
          <w:p>
            <w:pPr>
              <w:jc w:val="right"/>
              <w:ind w:right="522"/>
              <w:spacing w:after="0"/>
              <w:rPr>
                <w:sz w:val="20"/>
                <w:szCs w:val="20"/>
                <w:color w:val="auto"/>
              </w:rPr>
            </w:pPr>
            <w:r>
              <w:rPr>
                <w:rFonts w:ascii="Arial" w:cs="Arial" w:eastAsia="Arial" w:hAnsi="Arial"/>
                <w:sz w:val="14"/>
                <w:szCs w:val="14"/>
                <w:b w:val="1"/>
                <w:bCs w:val="1"/>
                <w:color w:val="auto"/>
              </w:rPr>
              <w:t>2024</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fair value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Cross-currency swaps</w:t>
            </w:r>
          </w:p>
        </w:tc>
        <w:tc>
          <w:tcPr>
            <w:tcW w:w="26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10.3</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net investment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Cross-currency swaps</w:t>
            </w:r>
          </w:p>
        </w:tc>
        <w:tc>
          <w:tcPr>
            <w:tcW w:w="26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7.8</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not designated as hedges:</w:t>
            </w:r>
          </w:p>
        </w:tc>
        <w:tc>
          <w:tcPr>
            <w:tcW w:w="2600" w:type="dxa"/>
            <w:vAlign w:val="bottom"/>
            <w:shd w:val="clear" w:color="auto" w:fill="E2E8F1"/>
          </w:tcPr>
          <w:p>
            <w:pPr>
              <w:spacing w:after="0"/>
              <w:rPr>
                <w:sz w:val="18"/>
                <w:szCs w:val="18"/>
                <w:color w:val="auto"/>
              </w:rPr>
            </w:pPr>
          </w:p>
        </w:tc>
        <w:tc>
          <w:tcPr>
            <w:tcW w:w="68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Borders>
              <w:bottom w:val="single" w:sz="8" w:color="231F20"/>
            </w:tcBorders>
          </w:tcPr>
          <w:p>
            <w:pPr>
              <w:ind w:left="140"/>
              <w:spacing w:after="0"/>
              <w:rPr>
                <w:sz w:val="20"/>
                <w:szCs w:val="20"/>
                <w:color w:val="auto"/>
              </w:rPr>
            </w:pPr>
            <w:r>
              <w:rPr>
                <w:rFonts w:ascii="Arial" w:cs="Arial" w:eastAsia="Arial" w:hAnsi="Arial"/>
                <w:sz w:val="16"/>
                <w:szCs w:val="16"/>
                <w:color w:val="auto"/>
              </w:rPr>
              <w:t>Foreign currency forward contracts</w:t>
            </w:r>
          </w:p>
        </w:tc>
        <w:tc>
          <w:tcPr>
            <w:tcW w:w="2600" w:type="dxa"/>
            <w:vAlign w:val="bottom"/>
            <w:tcBorders>
              <w:bottom w:val="single" w:sz="8" w:color="231F20"/>
            </w:tcBorders>
          </w:tcPr>
          <w:p>
            <w:pPr>
              <w:spacing w:after="0"/>
              <w:rPr>
                <w:sz w:val="20"/>
                <w:szCs w:val="20"/>
                <w:color w:val="auto"/>
              </w:rPr>
            </w:pPr>
            <w:r>
              <w:rPr>
                <w:rFonts w:ascii="Arial" w:cs="Arial" w:eastAsia="Arial" w:hAnsi="Arial"/>
                <w:sz w:val="16"/>
                <w:szCs w:val="16"/>
                <w:color w:val="auto"/>
              </w:rPr>
              <w:t>Accounts Receivable, net</w:t>
            </w:r>
          </w:p>
        </w:tc>
        <w:tc>
          <w:tcPr>
            <w:tcW w:w="6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w:t>
            </w:r>
          </w:p>
        </w:tc>
      </w:tr>
      <w:tr>
        <w:trPr>
          <w:trHeight w:val="210"/>
        </w:trPr>
        <w:tc>
          <w:tcPr>
            <w:tcW w:w="508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6"/>
                <w:szCs w:val="16"/>
                <w:color w:val="auto"/>
              </w:rPr>
              <w:t>Total instruments</w:t>
            </w:r>
          </w:p>
        </w:tc>
        <w:tc>
          <w:tcPr>
            <w:tcW w:w="2600" w:type="dxa"/>
            <w:vAlign w:val="bottom"/>
            <w:tcBorders>
              <w:bottom w:val="single" w:sz="8" w:color="231F20"/>
            </w:tcBorders>
            <w:shd w:val="clear" w:color="auto" w:fill="E2E8F1"/>
          </w:tcPr>
          <w:p>
            <w:pPr>
              <w:spacing w:after="0"/>
              <w:rPr>
                <w:sz w:val="18"/>
                <w:szCs w:val="18"/>
                <w:color w:val="auto"/>
              </w:rPr>
            </w:pPr>
          </w:p>
        </w:tc>
        <w:tc>
          <w:tcPr>
            <w:tcW w:w="880" w:type="dxa"/>
            <w:vAlign w:val="bottom"/>
            <w:tcBorders>
              <w:bottom w:val="single" w:sz="8" w:color="231F20"/>
            </w:tcBorders>
            <w:gridSpan w:val="2"/>
            <w:shd w:val="clear" w:color="auto" w:fill="E2E8F1"/>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31F20"/>
            </w:tcBorders>
            <w:shd w:val="clear" w:color="auto" w:fill="E2E8F1"/>
          </w:tcPr>
          <w:p>
            <w:pPr>
              <w:jc w:val="right"/>
              <w:ind w:right="42"/>
              <w:spacing w:after="0"/>
              <w:rPr>
                <w:sz w:val="20"/>
                <w:szCs w:val="20"/>
                <w:color w:val="auto"/>
              </w:rPr>
            </w:pPr>
            <w:r>
              <w:rPr>
                <w:rFonts w:ascii="Arial" w:cs="Arial" w:eastAsia="Arial" w:hAnsi="Arial"/>
                <w:sz w:val="16"/>
                <w:szCs w:val="16"/>
                <w:color w:val="auto"/>
              </w:rPr>
              <w:t>19.1</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31F20"/>
            </w:tcBorders>
            <w:shd w:val="clear" w:color="auto" w:fill="E2E8F1"/>
          </w:tcPr>
          <w:p>
            <w:pPr>
              <w:jc w:val="right"/>
              <w:ind w:right="42"/>
              <w:spacing w:after="0"/>
              <w:rPr>
                <w:sz w:val="20"/>
                <w:szCs w:val="20"/>
                <w:color w:val="auto"/>
              </w:rPr>
            </w:pPr>
            <w:r>
              <w:rPr>
                <w:rFonts w:ascii="Arial" w:cs="Arial" w:eastAsia="Arial" w:hAnsi="Arial"/>
                <w:sz w:val="16"/>
                <w:szCs w:val="16"/>
                <w:color w:val="auto"/>
              </w:rPr>
              <w:t>18.1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231F20"/>
              <w:bottom w:val="single" w:sz="8" w:color="98B0CF"/>
            </w:tcBorders>
            <w:shd w:val="clear" w:color="auto" w:fill="98B0CF"/>
          </w:tcPr>
          <w:p>
            <w:pPr>
              <w:spacing w:after="0"/>
              <w:rPr>
                <w:sz w:val="21"/>
                <w:szCs w:val="21"/>
                <w:color w:val="auto"/>
              </w:rPr>
            </w:pPr>
          </w:p>
        </w:tc>
        <w:tc>
          <w:tcPr>
            <w:tcW w:w="2540" w:type="dxa"/>
            <w:vAlign w:val="bottom"/>
            <w:tcBorders>
              <w:top w:val="single" w:sz="8" w:color="231F20"/>
              <w:bottom w:val="single" w:sz="8" w:color="231F20"/>
            </w:tcBorders>
            <w:shd w:val="clear" w:color="auto" w:fill="98B0CF"/>
          </w:tcPr>
          <w:p>
            <w:pPr>
              <w:spacing w:after="0"/>
              <w:rPr>
                <w:sz w:val="21"/>
                <w:szCs w:val="21"/>
                <w:color w:val="auto"/>
              </w:rPr>
            </w:pPr>
          </w:p>
        </w:tc>
        <w:tc>
          <w:tcPr>
            <w:tcW w:w="940" w:type="dxa"/>
            <w:vAlign w:val="bottom"/>
            <w:tcBorders>
              <w:top w:val="single" w:sz="8" w:color="231F20"/>
              <w:bottom w:val="single" w:sz="8" w:color="231F20"/>
            </w:tcBorders>
            <w:gridSpan w:val="2"/>
            <w:shd w:val="clear" w:color="auto" w:fill="98B0CF"/>
          </w:tcPr>
          <w:p>
            <w:pPr>
              <w:jc w:val="right"/>
              <w:ind w:right="120"/>
              <w:spacing w:after="0"/>
              <w:rPr>
                <w:sz w:val="20"/>
                <w:szCs w:val="20"/>
                <w:color w:val="auto"/>
              </w:rPr>
            </w:pPr>
            <w:r>
              <w:rPr>
                <w:rFonts w:ascii="Arial" w:cs="Arial" w:eastAsia="Arial" w:hAnsi="Arial"/>
                <w:sz w:val="14"/>
                <w:szCs w:val="14"/>
                <w:b w:val="1"/>
                <w:bCs w:val="1"/>
                <w:color w:val="auto"/>
              </w:rPr>
              <w:t>Liabilities</w:t>
            </w:r>
          </w:p>
        </w:tc>
        <w:tc>
          <w:tcPr>
            <w:tcW w:w="1160" w:type="dxa"/>
            <w:vAlign w:val="bottom"/>
            <w:tcBorders>
              <w:top w:val="single" w:sz="8" w:color="231F20"/>
              <w:bottom w:val="single" w:sz="8" w:color="231F20"/>
            </w:tcBorders>
            <w:shd w:val="clear" w:color="auto" w:fill="98B0CF"/>
          </w:tcPr>
          <w:p>
            <w:pPr>
              <w:spacing w:after="0"/>
              <w:rPr>
                <w:sz w:val="21"/>
                <w:szCs w:val="21"/>
                <w:color w:val="auto"/>
              </w:rPr>
            </w:pPr>
          </w:p>
        </w:tc>
        <w:tc>
          <w:tcPr>
            <w:tcW w:w="240" w:type="dxa"/>
            <w:vAlign w:val="bottom"/>
            <w:tcBorders>
              <w:top w:val="single" w:sz="8" w:color="231F20"/>
              <w:bottom w:val="single" w:sz="8" w:color="231F20"/>
            </w:tcBorders>
            <w:shd w:val="clear" w:color="auto" w:fill="98B0CF"/>
          </w:tcPr>
          <w:p>
            <w:pPr>
              <w:spacing w:after="0"/>
              <w:rPr>
                <w:sz w:val="21"/>
                <w:szCs w:val="21"/>
                <w:color w:val="auto"/>
              </w:rPr>
            </w:pPr>
          </w:p>
        </w:tc>
        <w:tc>
          <w:tcPr>
            <w:tcW w:w="128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5080" w:type="dxa"/>
            <w:vAlign w:val="bottom"/>
            <w:tcBorders>
              <w:bottom w:val="single" w:sz="8" w:color="98B0CF"/>
            </w:tcBorders>
            <w:shd w:val="clear" w:color="auto" w:fill="98B0CF"/>
          </w:tcPr>
          <w:p>
            <w:pPr>
              <w:spacing w:after="0"/>
              <w:rPr>
                <w:sz w:val="19"/>
                <w:szCs w:val="19"/>
                <w:color w:val="auto"/>
              </w:rPr>
            </w:pPr>
          </w:p>
        </w:tc>
        <w:tc>
          <w:tcPr>
            <w:tcW w:w="2540" w:type="dxa"/>
            <w:vAlign w:val="bottom"/>
            <w:tcBorders>
              <w:bottom w:val="single" w:sz="8" w:color="98B0CF"/>
            </w:tcBorders>
            <w:shd w:val="clear" w:color="auto" w:fill="98B0CF"/>
          </w:tcPr>
          <w:p>
            <w:pPr>
              <w:spacing w:after="0"/>
              <w:rPr>
                <w:sz w:val="19"/>
                <w:szCs w:val="19"/>
                <w:color w:val="auto"/>
              </w:rPr>
            </w:pPr>
          </w:p>
        </w:tc>
        <w:tc>
          <w:tcPr>
            <w:tcW w:w="740" w:type="dxa"/>
            <w:vAlign w:val="bottom"/>
            <w:tcBorders>
              <w:bottom w:val="single" w:sz="8" w:color="98B0CF"/>
            </w:tcBorders>
            <w:shd w:val="clear" w:color="auto" w:fill="98B0CF"/>
          </w:tcPr>
          <w:p>
            <w:pPr>
              <w:spacing w:after="0"/>
              <w:rPr>
                <w:sz w:val="19"/>
                <w:szCs w:val="19"/>
                <w:color w:val="auto"/>
              </w:rPr>
            </w:pPr>
          </w:p>
        </w:tc>
        <w:tc>
          <w:tcPr>
            <w:tcW w:w="200" w:type="dxa"/>
            <w:vAlign w:val="bottom"/>
            <w:tcBorders>
              <w:bottom w:val="single" w:sz="8" w:color="231F20"/>
            </w:tcBorders>
            <w:shd w:val="clear" w:color="auto" w:fill="98B0CF"/>
          </w:tcPr>
          <w:p>
            <w:pPr>
              <w:spacing w:after="0"/>
              <w:rPr>
                <w:sz w:val="19"/>
                <w:szCs w:val="19"/>
                <w:color w:val="auto"/>
              </w:rPr>
            </w:pPr>
          </w:p>
        </w:tc>
        <w:tc>
          <w:tcPr>
            <w:tcW w:w="1160" w:type="dxa"/>
            <w:vAlign w:val="bottom"/>
            <w:tcBorders>
              <w:bottom w:val="single" w:sz="8" w:color="231F20"/>
            </w:tcBorders>
            <w:shd w:val="clear" w:color="auto" w:fill="98B0CF"/>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231F20"/>
            </w:tcBorders>
            <w:shd w:val="clear" w:color="auto" w:fill="98B0CF"/>
          </w:tcPr>
          <w:p>
            <w:pPr>
              <w:spacing w:after="0"/>
              <w:rPr>
                <w:sz w:val="19"/>
                <w:szCs w:val="19"/>
                <w:color w:val="auto"/>
              </w:rPr>
            </w:pPr>
          </w:p>
        </w:tc>
        <w:tc>
          <w:tcPr>
            <w:tcW w:w="1280" w:type="dxa"/>
            <w:vAlign w:val="bottom"/>
            <w:tcBorders>
              <w:bottom w:val="single" w:sz="8" w:color="231F20"/>
            </w:tcBorders>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080" w:type="dxa"/>
            <w:vAlign w:val="bottom"/>
            <w:tcBorders>
              <w:bottom w:val="single" w:sz="8" w:color="98B0CF"/>
            </w:tcBorders>
            <w:shd w:val="clear" w:color="auto" w:fill="98B0CF"/>
          </w:tcPr>
          <w:p>
            <w:pPr>
              <w:spacing w:after="0"/>
              <w:rPr>
                <w:sz w:val="21"/>
                <w:szCs w:val="21"/>
                <w:color w:val="auto"/>
              </w:rPr>
            </w:pPr>
          </w:p>
        </w:tc>
        <w:tc>
          <w:tcPr>
            <w:tcW w:w="2540" w:type="dxa"/>
            <w:vAlign w:val="bottom"/>
            <w:tcBorders>
              <w:bottom w:val="single" w:sz="8" w:color="auto"/>
            </w:tcBorders>
            <w:shd w:val="clear" w:color="auto" w:fill="98B0CF"/>
          </w:tcPr>
          <w:p>
            <w:pPr>
              <w:ind w:left="780"/>
              <w:spacing w:after="0"/>
              <w:rPr>
                <w:sz w:val="20"/>
                <w:szCs w:val="20"/>
                <w:color w:val="auto"/>
              </w:rPr>
            </w:pPr>
            <w:r>
              <w:rPr>
                <w:rFonts w:ascii="Arial" w:cs="Arial" w:eastAsia="Arial" w:hAnsi="Arial"/>
                <w:sz w:val="14"/>
                <w:szCs w:val="14"/>
                <w:b w:val="1"/>
                <w:bCs w:val="1"/>
                <w:color w:val="auto"/>
              </w:rPr>
              <w:t>Balance Sheet Location</w:t>
            </w:r>
          </w:p>
        </w:tc>
        <w:tc>
          <w:tcPr>
            <w:tcW w:w="740" w:type="dxa"/>
            <w:vAlign w:val="bottom"/>
            <w:tcBorders>
              <w:bottom w:val="single" w:sz="8" w:color="auto"/>
            </w:tcBorders>
            <w:shd w:val="clear" w:color="auto" w:fill="98B0CF"/>
          </w:tcPr>
          <w:p>
            <w:pPr>
              <w:spacing w:after="0"/>
              <w:rPr>
                <w:sz w:val="21"/>
                <w:szCs w:val="21"/>
                <w:color w:val="auto"/>
              </w:rPr>
            </w:pPr>
          </w:p>
        </w:tc>
        <w:tc>
          <w:tcPr>
            <w:tcW w:w="200" w:type="dxa"/>
            <w:vAlign w:val="bottom"/>
            <w:tcBorders>
              <w:bottom w:val="single" w:sz="8" w:color="auto"/>
            </w:tcBorders>
            <w:shd w:val="clear" w:color="auto" w:fill="98B0CF"/>
          </w:tcPr>
          <w:p>
            <w:pPr>
              <w:spacing w:after="0"/>
              <w:rPr>
                <w:sz w:val="21"/>
                <w:szCs w:val="21"/>
                <w:color w:val="auto"/>
              </w:rPr>
            </w:pPr>
          </w:p>
        </w:tc>
        <w:tc>
          <w:tcPr>
            <w:tcW w:w="1160" w:type="dxa"/>
            <w:vAlign w:val="bottom"/>
            <w:tcBorders>
              <w:bottom w:val="single" w:sz="8" w:color="auto"/>
            </w:tcBorders>
            <w:shd w:val="clear" w:color="auto" w:fill="98B0CF"/>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shd w:val="clear" w:color="auto" w:fill="98B0CF"/>
          </w:tcPr>
          <w:p>
            <w:pPr>
              <w:spacing w:after="0"/>
              <w:rPr>
                <w:sz w:val="21"/>
                <w:szCs w:val="21"/>
                <w:color w:val="auto"/>
              </w:rPr>
            </w:pPr>
          </w:p>
        </w:tc>
        <w:tc>
          <w:tcPr>
            <w:tcW w:w="1280" w:type="dxa"/>
            <w:vAlign w:val="bottom"/>
            <w:tcBorders>
              <w:bottom w:val="single" w:sz="8" w:color="auto"/>
            </w:tcBorders>
            <w:shd w:val="clear" w:color="auto" w:fill="98B0CF"/>
          </w:tcPr>
          <w:p>
            <w:pPr>
              <w:jc w:val="right"/>
              <w:ind w:right="522"/>
              <w:spacing w:after="0"/>
              <w:rPr>
                <w:sz w:val="20"/>
                <w:szCs w:val="20"/>
                <w:color w:val="auto"/>
              </w:rPr>
            </w:pPr>
            <w:r>
              <w:rPr>
                <w:rFonts w:ascii="Arial" w:cs="Arial" w:eastAsia="Arial" w:hAnsi="Arial"/>
                <w:sz w:val="14"/>
                <w:szCs w:val="14"/>
                <w:b w:val="1"/>
                <w:bCs w:val="1"/>
                <w:color w:val="auto"/>
              </w:rPr>
              <w:t>2024</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designated as net investment hedges:</w:t>
            </w:r>
          </w:p>
        </w:tc>
        <w:tc>
          <w:tcPr>
            <w:tcW w:w="2540" w:type="dxa"/>
            <w:vAlign w:val="bottom"/>
            <w:shd w:val="clear" w:color="auto" w:fill="E2E8F1"/>
          </w:tcPr>
          <w:p>
            <w:pPr>
              <w:spacing w:after="0"/>
              <w:rPr>
                <w:sz w:val="18"/>
                <w:szCs w:val="18"/>
                <w:color w:val="auto"/>
              </w:rPr>
            </w:pPr>
          </w:p>
        </w:tc>
        <w:tc>
          <w:tcPr>
            <w:tcW w:w="7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Euro Notes due in 2026</w:t>
            </w:r>
          </w:p>
        </w:tc>
        <w:tc>
          <w:tcPr>
            <w:tcW w:w="2540" w:type="dxa"/>
            <w:vAlign w:val="bottom"/>
          </w:tcPr>
          <w:p>
            <w:pPr>
              <w:spacing w:after="0"/>
              <w:rPr>
                <w:sz w:val="20"/>
                <w:szCs w:val="20"/>
                <w:color w:val="auto"/>
              </w:rPr>
            </w:pPr>
            <w:r>
              <w:rPr>
                <w:rFonts w:ascii="Arial" w:cs="Arial" w:eastAsia="Arial" w:hAnsi="Arial"/>
                <w:sz w:val="16"/>
                <w:szCs w:val="16"/>
                <w:color w:val="auto"/>
              </w:rPr>
              <w:t>Long-term debt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540.0</w:t>
            </w:r>
          </w:p>
        </w:tc>
        <w:tc>
          <w:tcPr>
            <w:tcW w:w="2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516.6</w:t>
            </w:r>
          </w:p>
        </w:tc>
      </w:tr>
      <w:tr>
        <w:trPr>
          <w:trHeight w:val="216"/>
        </w:trPr>
        <w:tc>
          <w:tcPr>
            <w:tcW w:w="5080" w:type="dxa"/>
            <w:vAlign w:val="bottom"/>
            <w:shd w:val="clear" w:color="auto" w:fill="E2E8F1"/>
          </w:tcPr>
          <w:p>
            <w:pPr>
              <w:ind w:left="140"/>
              <w:spacing w:after="0"/>
              <w:rPr>
                <w:sz w:val="20"/>
                <w:szCs w:val="20"/>
                <w:color w:val="auto"/>
              </w:rPr>
            </w:pPr>
            <w:r>
              <w:rPr>
                <w:rFonts w:ascii="Arial" w:cs="Arial" w:eastAsia="Arial" w:hAnsi="Arial"/>
                <w:sz w:val="16"/>
                <w:szCs w:val="16"/>
                <w:color w:val="auto"/>
              </w:rPr>
              <w:t>Euro Notes due in 2027</w:t>
            </w:r>
          </w:p>
        </w:tc>
        <w:tc>
          <w:tcPr>
            <w:tcW w:w="2540" w:type="dxa"/>
            <w:vAlign w:val="bottom"/>
            <w:shd w:val="clear" w:color="auto" w:fill="E2E8F1"/>
          </w:tcPr>
          <w:p>
            <w:pPr>
              <w:spacing w:after="0"/>
              <w:rPr>
                <w:sz w:val="20"/>
                <w:szCs w:val="20"/>
                <w:color w:val="auto"/>
              </w:rPr>
            </w:pPr>
            <w:r>
              <w:rPr>
                <w:rFonts w:ascii="Arial" w:cs="Arial" w:eastAsia="Arial" w:hAnsi="Arial"/>
                <w:sz w:val="16"/>
                <w:szCs w:val="16"/>
                <w:color w:val="auto"/>
              </w:rPr>
              <w:t>Long-term debt</w:t>
            </w:r>
          </w:p>
        </w:tc>
        <w:tc>
          <w:tcPr>
            <w:tcW w:w="7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430.6</w:t>
            </w: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411.8</w:t>
            </w:r>
          </w:p>
        </w:tc>
      </w:tr>
      <w:tr>
        <w:trPr>
          <w:trHeight w:val="216"/>
        </w:trPr>
        <w:tc>
          <w:tcPr>
            <w:tcW w:w="5080" w:type="dxa"/>
            <w:vAlign w:val="bottom"/>
          </w:tcPr>
          <w:p>
            <w:pPr>
              <w:ind w:left="140"/>
              <w:spacing w:after="0"/>
              <w:rPr>
                <w:sz w:val="20"/>
                <w:szCs w:val="20"/>
                <w:color w:val="auto"/>
              </w:rPr>
            </w:pPr>
            <w:r>
              <w:rPr>
                <w:rFonts w:ascii="Arial" w:cs="Arial" w:eastAsia="Arial" w:hAnsi="Arial"/>
                <w:sz w:val="16"/>
                <w:szCs w:val="16"/>
                <w:color w:val="auto"/>
              </w:rPr>
              <w:t>Cross-currency swaps</w:t>
            </w:r>
          </w:p>
        </w:tc>
        <w:tc>
          <w:tcPr>
            <w:tcW w:w="2540" w:type="dxa"/>
            <w:vAlign w:val="bottom"/>
          </w:tcPr>
          <w:p>
            <w:pPr>
              <w:spacing w:after="0"/>
              <w:rPr>
                <w:sz w:val="20"/>
                <w:szCs w:val="20"/>
                <w:color w:val="auto"/>
              </w:rPr>
            </w:pPr>
            <w:r>
              <w:rPr>
                <w:rFonts w:ascii="Arial" w:cs="Arial" w:eastAsia="Arial" w:hAnsi="Arial"/>
                <w:sz w:val="16"/>
                <w:szCs w:val="16"/>
                <w:color w:val="auto"/>
              </w:rPr>
              <w:t>Accrued liabilities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61.7</w:t>
            </w:r>
          </w:p>
        </w:tc>
        <w:tc>
          <w:tcPr>
            <w:tcW w:w="24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44.8</w:t>
            </w:r>
          </w:p>
        </w:tc>
      </w:tr>
      <w:tr>
        <w:trPr>
          <w:trHeight w:val="216"/>
        </w:trPr>
        <w:tc>
          <w:tcPr>
            <w:tcW w:w="508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Instruments not designated as hedges:</w:t>
            </w:r>
          </w:p>
        </w:tc>
        <w:tc>
          <w:tcPr>
            <w:tcW w:w="2540" w:type="dxa"/>
            <w:vAlign w:val="bottom"/>
            <w:shd w:val="clear" w:color="auto" w:fill="E2E8F1"/>
          </w:tcPr>
          <w:p>
            <w:pPr>
              <w:spacing w:after="0"/>
              <w:rPr>
                <w:sz w:val="18"/>
                <w:szCs w:val="18"/>
                <w:color w:val="auto"/>
              </w:rPr>
            </w:pPr>
          </w:p>
        </w:tc>
        <w:tc>
          <w:tcPr>
            <w:tcW w:w="7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160" w:type="dxa"/>
            <w:vAlign w:val="bottom"/>
            <w:shd w:val="clear" w:color="auto" w:fill="E2E8F1"/>
          </w:tcPr>
          <w:p>
            <w:pPr>
              <w:spacing w:after="0"/>
              <w:rPr>
                <w:sz w:val="18"/>
                <w:szCs w:val="18"/>
                <w:color w:val="auto"/>
              </w:rPr>
            </w:pPr>
          </w:p>
        </w:tc>
        <w:tc>
          <w:tcPr>
            <w:tcW w:w="240" w:type="dxa"/>
            <w:vAlign w:val="bottom"/>
            <w:shd w:val="clear" w:color="auto" w:fill="E2E8F1"/>
          </w:tcPr>
          <w:p>
            <w:pPr>
              <w:spacing w:after="0"/>
              <w:rPr>
                <w:sz w:val="18"/>
                <w:szCs w:val="18"/>
                <w:color w:val="auto"/>
              </w:rPr>
            </w:pPr>
          </w:p>
        </w:tc>
        <w:tc>
          <w:tcPr>
            <w:tcW w:w="1280" w:type="dxa"/>
            <w:vAlign w:val="bottom"/>
            <w:shd w:val="clear" w:color="auto" w:fill="E2E8F1"/>
          </w:tcPr>
          <w:p>
            <w:pPr>
              <w:spacing w:after="0"/>
              <w:rPr>
                <w:sz w:val="18"/>
                <w:szCs w:val="18"/>
                <w:color w:val="auto"/>
              </w:rPr>
            </w:pPr>
          </w:p>
        </w:tc>
      </w:tr>
      <w:tr>
        <w:trPr>
          <w:trHeight w:val="216"/>
        </w:trPr>
        <w:tc>
          <w:tcPr>
            <w:tcW w:w="5080" w:type="dxa"/>
            <w:vAlign w:val="bottom"/>
            <w:tcBorders>
              <w:bottom w:val="single" w:sz="8" w:color="231F20"/>
            </w:tcBorders>
          </w:tcPr>
          <w:p>
            <w:pPr>
              <w:ind w:left="140"/>
              <w:spacing w:after="0"/>
              <w:rPr>
                <w:sz w:val="20"/>
                <w:szCs w:val="20"/>
                <w:color w:val="auto"/>
              </w:rPr>
            </w:pPr>
            <w:r>
              <w:rPr>
                <w:rFonts w:ascii="Arial" w:cs="Arial" w:eastAsia="Arial" w:hAnsi="Arial"/>
                <w:sz w:val="16"/>
                <w:szCs w:val="16"/>
                <w:color w:val="auto"/>
              </w:rPr>
              <w:t>Foreign currency forward contracts</w:t>
            </w:r>
          </w:p>
        </w:tc>
        <w:tc>
          <w:tcPr>
            <w:tcW w:w="2540" w:type="dxa"/>
            <w:vAlign w:val="bottom"/>
            <w:tcBorders>
              <w:bottom w:val="single" w:sz="8" w:color="231F20"/>
            </w:tcBorders>
          </w:tcPr>
          <w:p>
            <w:pPr>
              <w:spacing w:after="0"/>
              <w:rPr>
                <w:sz w:val="20"/>
                <w:szCs w:val="20"/>
                <w:color w:val="auto"/>
              </w:rPr>
            </w:pPr>
            <w:r>
              <w:rPr>
                <w:rFonts w:ascii="Arial" w:cs="Arial" w:eastAsia="Arial" w:hAnsi="Arial"/>
                <w:sz w:val="16"/>
                <w:szCs w:val="16"/>
                <w:color w:val="auto"/>
              </w:rPr>
              <w:t>Accrued liabilities</w:t>
            </w:r>
          </w:p>
        </w:tc>
        <w:tc>
          <w:tcPr>
            <w:tcW w:w="74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auto"/>
              </w:rPr>
              <w:t>0.7</w:t>
            </w:r>
          </w:p>
        </w:tc>
      </w:tr>
      <w:tr>
        <w:trPr>
          <w:trHeight w:val="210"/>
        </w:trPr>
        <w:tc>
          <w:tcPr>
            <w:tcW w:w="5080" w:type="dxa"/>
            <w:vAlign w:val="bottom"/>
            <w:tcBorders>
              <w:bottom w:val="single" w:sz="8" w:color="231F20"/>
            </w:tcBorders>
            <w:shd w:val="clear" w:color="auto" w:fill="E2E8F1"/>
          </w:tcPr>
          <w:p>
            <w:pPr>
              <w:ind w:left="240"/>
              <w:spacing w:after="0"/>
              <w:rPr>
                <w:sz w:val="20"/>
                <w:szCs w:val="20"/>
                <w:color w:val="auto"/>
              </w:rPr>
            </w:pPr>
            <w:r>
              <w:rPr>
                <w:rFonts w:ascii="Arial" w:cs="Arial" w:eastAsia="Arial" w:hAnsi="Arial"/>
                <w:sz w:val="16"/>
                <w:szCs w:val="16"/>
                <w:color w:val="auto"/>
              </w:rPr>
              <w:t>Total instruments</w:t>
            </w:r>
          </w:p>
        </w:tc>
        <w:tc>
          <w:tcPr>
            <w:tcW w:w="2540" w:type="dxa"/>
            <w:vAlign w:val="bottom"/>
            <w:tcBorders>
              <w:bottom w:val="single" w:sz="8" w:color="231F20"/>
            </w:tcBorders>
            <w:shd w:val="clear" w:color="auto" w:fill="E2E8F1"/>
          </w:tcPr>
          <w:p>
            <w:pPr>
              <w:spacing w:after="0"/>
              <w:rPr>
                <w:sz w:val="18"/>
                <w:szCs w:val="18"/>
                <w:color w:val="auto"/>
              </w:rPr>
            </w:pPr>
          </w:p>
        </w:tc>
        <w:tc>
          <w:tcPr>
            <w:tcW w:w="940" w:type="dxa"/>
            <w:vAlign w:val="bottom"/>
            <w:tcBorders>
              <w:bottom w:val="single" w:sz="8" w:color="231F20"/>
            </w:tcBorders>
            <w:gridSpan w:val="2"/>
            <w:shd w:val="clear" w:color="auto" w:fill="E2E8F1"/>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31F20"/>
            </w:tcBorders>
            <w:shd w:val="clear" w:color="auto" w:fill="E2E8F1"/>
          </w:tcPr>
          <w:p>
            <w:pPr>
              <w:jc w:val="right"/>
              <w:ind w:right="42"/>
              <w:spacing w:after="0"/>
              <w:rPr>
                <w:sz w:val="20"/>
                <w:szCs w:val="20"/>
                <w:color w:val="auto"/>
              </w:rPr>
            </w:pPr>
            <w:r>
              <w:rPr>
                <w:rFonts w:ascii="Arial" w:cs="Arial" w:eastAsia="Arial" w:hAnsi="Arial"/>
                <w:sz w:val="16"/>
                <w:szCs w:val="16"/>
                <w:color w:val="auto"/>
              </w:rPr>
              <w:t>1,032.3</w:t>
            </w:r>
          </w:p>
        </w:tc>
        <w:tc>
          <w:tcPr>
            <w:tcW w:w="2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231F20"/>
            </w:tcBorders>
            <w:shd w:val="clear" w:color="auto" w:fill="E2E8F1"/>
          </w:tcPr>
          <w:p>
            <w:pPr>
              <w:jc w:val="right"/>
              <w:ind w:right="42"/>
              <w:spacing w:after="0"/>
              <w:rPr>
                <w:sz w:val="20"/>
                <w:szCs w:val="20"/>
                <w:color w:val="auto"/>
              </w:rPr>
            </w:pPr>
            <w:r>
              <w:rPr>
                <w:rFonts w:ascii="Arial" w:cs="Arial" w:eastAsia="Arial" w:hAnsi="Arial"/>
                <w:sz w:val="16"/>
                <w:szCs w:val="16"/>
                <w:color w:val="auto"/>
              </w:rPr>
              <w:t>973.9</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Measurements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$973.8 and $928.5 as of March 31, 2025 and December 31, 2024, respectively, compared to a carrying value of $970.6 and $928.4,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deferred compensation plan assets, included in other assets on the Consolidated Balance Sheets, were $163.9 and $165.4 as of March 31, 2025 and December 31, 2024, respectively. We determine the fair value of these assets, comprised of publicly traded securities, by using market quotes as of the last day of the period (Level 1 inputs).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(14) </w:t>
      </w:r>
      <w:r>
        <w:rPr>
          <w:rFonts w:ascii="Arial" w:cs="Arial" w:eastAsia="Arial" w:hAnsi="Arial"/>
          <w:sz w:val="25"/>
          <w:szCs w:val="25"/>
          <w:b w:val="1"/>
          <w:bCs w:val="1"/>
          <w:i w:val="1"/>
          <w:iCs w:val="1"/>
          <w:u w:val="single" w:color="auto"/>
          <w:color w:val="5B89B4"/>
        </w:rPr>
        <w:t>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20" w:type="dxa"/>
            <w:vAlign w:val="bottom"/>
            <w:tcBorders>
              <w:top w:val="single" w:sz="8" w:color="auto"/>
              <w:bottom w:val="single" w:sz="8" w:color="98B0CF"/>
            </w:tcBorders>
            <w:shd w:val="clear" w:color="auto" w:fill="98B0CF"/>
          </w:tcPr>
          <w:p>
            <w:pPr>
              <w:spacing w:after="0"/>
              <w:rPr>
                <w:sz w:val="15"/>
                <w:szCs w:val="15"/>
                <w:color w:val="auto"/>
              </w:rPr>
            </w:pPr>
          </w:p>
        </w:tc>
        <w:tc>
          <w:tcPr>
            <w:tcW w:w="220" w:type="dxa"/>
            <w:vAlign w:val="bottom"/>
            <w:tcBorders>
              <w:top w:val="single" w:sz="8" w:color="auto"/>
              <w:bottom w:val="single" w:sz="8" w:color="98B0CF"/>
            </w:tcBorders>
            <w:shd w:val="clear" w:color="auto" w:fill="98B0CF"/>
          </w:tcPr>
          <w:p>
            <w:pPr>
              <w:spacing w:after="0"/>
              <w:rPr>
                <w:sz w:val="15"/>
                <w:szCs w:val="15"/>
                <w:color w:val="auto"/>
              </w:rPr>
            </w:pPr>
          </w:p>
        </w:tc>
        <w:tc>
          <w:tcPr>
            <w:tcW w:w="2460" w:type="dxa"/>
            <w:vAlign w:val="bottom"/>
            <w:tcBorders>
              <w:top w:val="single" w:sz="8" w:color="auto"/>
              <w:bottom w:val="single" w:sz="8" w:color="auto"/>
            </w:tcBorders>
            <w:gridSpan w:val="3"/>
            <w:shd w:val="clear" w:color="auto" w:fill="98B0CF"/>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top w:val="single" w:sz="8" w:color="auto"/>
              <w:bottom w:val="single" w:sz="8" w:color="auto"/>
            </w:tcBorders>
            <w:shd w:val="clear" w:color="auto" w:fill="98B0CF"/>
          </w:tcPr>
          <w:p>
            <w:pPr>
              <w:spacing w:after="0"/>
              <w:rPr>
                <w:sz w:val="15"/>
                <w:szCs w:val="15"/>
                <w:color w:val="auto"/>
              </w:rPr>
            </w:pPr>
          </w:p>
        </w:tc>
      </w:tr>
      <w:tr>
        <w:trPr>
          <w:trHeight w:val="155"/>
        </w:trPr>
        <w:tc>
          <w:tcPr>
            <w:tcW w:w="8120" w:type="dxa"/>
            <w:vAlign w:val="bottom"/>
            <w:tcBorders>
              <w:bottom w:val="single" w:sz="8" w:color="auto"/>
            </w:tcBorders>
            <w:shd w:val="clear" w:color="auto" w:fill="98B0CF"/>
          </w:tcPr>
          <w:p>
            <w:pPr>
              <w:spacing w:after="0"/>
              <w:rPr>
                <w:sz w:val="13"/>
                <w:szCs w:val="13"/>
                <w:color w:val="auto"/>
              </w:rPr>
            </w:pPr>
          </w:p>
        </w:tc>
        <w:tc>
          <w:tcPr>
            <w:tcW w:w="1080" w:type="dxa"/>
            <w:vAlign w:val="bottom"/>
            <w:tcBorders>
              <w:bottom w:val="single" w:sz="8" w:color="auto"/>
            </w:tcBorders>
            <w:gridSpan w:val="2"/>
            <w:shd w:val="clear" w:color="auto" w:fill="98B0CF"/>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98B0CF"/>
          </w:tcPr>
          <w:p>
            <w:pPr>
              <w:spacing w:after="0"/>
              <w:rPr>
                <w:sz w:val="13"/>
                <w:szCs w:val="13"/>
                <w:color w:val="auto"/>
              </w:rPr>
            </w:pPr>
          </w:p>
        </w:tc>
        <w:tc>
          <w:tcPr>
            <w:tcW w:w="1060" w:type="dxa"/>
            <w:vAlign w:val="bottom"/>
            <w:tcBorders>
              <w:bottom w:val="single" w:sz="8" w:color="auto"/>
            </w:tcBorders>
            <w:shd w:val="clear" w:color="auto" w:fill="98B0CF"/>
          </w:tcPr>
          <w:p>
            <w:pPr>
              <w:jc w:val="right"/>
              <w:ind w:right="42"/>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shd w:val="clear" w:color="auto" w:fill="98B0CF"/>
          </w:tcPr>
          <w:p>
            <w:pPr>
              <w:spacing w:after="0"/>
              <w:rPr>
                <w:sz w:val="13"/>
                <w:szCs w:val="13"/>
                <w:color w:val="auto"/>
              </w:rPr>
            </w:pPr>
          </w:p>
        </w:tc>
      </w:tr>
      <w:tr>
        <w:trPr>
          <w:trHeight w:val="183"/>
        </w:trPr>
        <w:tc>
          <w:tcPr>
            <w:tcW w:w="812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Operating lease expense</w:t>
            </w:r>
          </w:p>
        </w:tc>
        <w:tc>
          <w:tcPr>
            <w:tcW w:w="1080" w:type="dxa"/>
            <w:vAlign w:val="bottom"/>
            <w:gridSpan w:val="2"/>
            <w:shd w:val="clear" w:color="auto" w:fill="E2E8F1"/>
          </w:tcPr>
          <w:p>
            <w:pPr>
              <w:jc w:val="right"/>
              <w:ind w:right="708"/>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30.8</w:t>
            </w:r>
          </w:p>
        </w:tc>
        <w:tc>
          <w:tcPr>
            <w:tcW w:w="1060" w:type="dxa"/>
            <w:vAlign w:val="bottom"/>
            <w:shd w:val="clear" w:color="auto" w:fill="E2E8F1"/>
          </w:tcPr>
          <w:p>
            <w:pPr>
              <w:jc w:val="right"/>
              <w:ind w:right="722"/>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w w:val="96"/>
              </w:rPr>
              <w:t>33.1</w:t>
            </w:r>
          </w:p>
        </w:tc>
      </w:tr>
      <w:tr>
        <w:trPr>
          <w:trHeight w:val="189"/>
        </w:trPr>
        <w:tc>
          <w:tcPr>
            <w:tcW w:w="8120" w:type="dxa"/>
            <w:vAlign w:val="bottom"/>
          </w:tcPr>
          <w:p>
            <w:pPr>
              <w:ind w:left="80"/>
              <w:spacing w:after="0"/>
              <w:rPr>
                <w:sz w:val="20"/>
                <w:szCs w:val="20"/>
                <w:color w:val="auto"/>
              </w:rPr>
            </w:pPr>
            <w:r>
              <w:rPr>
                <w:rFonts w:ascii="Arial" w:cs="Arial" w:eastAsia="Arial" w:hAnsi="Arial"/>
                <w:sz w:val="16"/>
                <w:szCs w:val="16"/>
                <w:color w:val="auto"/>
              </w:rPr>
              <w:t>Short-term lease expense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0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189"/>
        </w:trPr>
        <w:tc>
          <w:tcPr>
            <w:tcW w:w="8120" w:type="dxa"/>
            <w:vAlign w:val="bottom"/>
            <w:tcBorders>
              <w:bottom w:val="single" w:sz="8" w:color="auto"/>
            </w:tcBorders>
            <w:shd w:val="clear" w:color="auto" w:fill="E2E8F1"/>
          </w:tcPr>
          <w:p>
            <w:pPr>
              <w:ind w:left="80"/>
              <w:spacing w:after="0" w:line="189" w:lineRule="exact"/>
              <w:rPr>
                <w:sz w:val="20"/>
                <w:szCs w:val="20"/>
                <w:color w:val="auto"/>
              </w:rPr>
            </w:pPr>
            <w:r>
              <w:rPr>
                <w:rFonts w:ascii="Arial" w:cs="Arial" w:eastAsia="Arial" w:hAnsi="Arial"/>
                <w:sz w:val="16"/>
                <w:szCs w:val="16"/>
                <w:color w:val="auto"/>
              </w:rPr>
              <w:t>Other lease expense</w:t>
            </w:r>
            <w:r>
              <w:rPr>
                <w:rFonts w:ascii="Arial" w:cs="Arial" w:eastAsia="Arial" w:hAnsi="Arial"/>
                <w:sz w:val="21"/>
                <w:szCs w:val="21"/>
                <w:color w:val="auto"/>
                <w:vertAlign w:val="superscript"/>
              </w:rPr>
              <w:t>(a)</w:t>
            </w:r>
          </w:p>
        </w:tc>
        <w:tc>
          <w:tcPr>
            <w:tcW w:w="22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spacing w:after="0"/>
              <w:rPr>
                <w:sz w:val="16"/>
                <w:szCs w:val="16"/>
                <w:color w:val="auto"/>
              </w:rPr>
            </w:pPr>
          </w:p>
        </w:tc>
        <w:tc>
          <w:tcPr>
            <w:tcW w:w="540" w:type="dxa"/>
            <w:vAlign w:val="bottom"/>
            <w:tcBorders>
              <w:bottom w:val="single" w:sz="8" w:color="auto"/>
            </w:tcBorders>
            <w:shd w:val="clear" w:color="auto" w:fill="E2E8F1"/>
          </w:tcPr>
          <w:p>
            <w:pPr>
              <w:jc w:val="right"/>
              <w:ind w:right="79"/>
              <w:spacing w:after="0"/>
              <w:rPr>
                <w:sz w:val="20"/>
                <w:szCs w:val="20"/>
                <w:color w:val="auto"/>
              </w:rPr>
            </w:pPr>
            <w:r>
              <w:rPr>
                <w:rFonts w:ascii="Arial" w:cs="Arial" w:eastAsia="Arial" w:hAnsi="Arial"/>
                <w:sz w:val="16"/>
                <w:szCs w:val="16"/>
                <w:color w:val="auto"/>
              </w:rPr>
              <w:t>0.7</w:t>
            </w:r>
          </w:p>
        </w:tc>
        <w:tc>
          <w:tcPr>
            <w:tcW w:w="1060" w:type="dxa"/>
            <w:vAlign w:val="bottom"/>
            <w:tcBorders>
              <w:bottom w:val="single" w:sz="8" w:color="auto"/>
            </w:tcBorders>
            <w:shd w:val="clear" w:color="auto" w:fill="E2E8F1"/>
          </w:tcPr>
          <w:p>
            <w:pPr>
              <w:spacing w:after="0"/>
              <w:rPr>
                <w:sz w:val="16"/>
                <w:szCs w:val="16"/>
                <w:color w:val="auto"/>
              </w:rPr>
            </w:pPr>
          </w:p>
        </w:tc>
        <w:tc>
          <w:tcPr>
            <w:tcW w:w="44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2.1</w:t>
            </w:r>
          </w:p>
        </w:tc>
      </w:tr>
      <w:tr>
        <w:trPr>
          <w:trHeight w:val="183"/>
        </w:trPr>
        <w:tc>
          <w:tcPr>
            <w:tcW w:w="812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Total lease expense</w:t>
            </w:r>
          </w:p>
        </w:tc>
        <w:tc>
          <w:tcPr>
            <w:tcW w:w="1080" w:type="dxa"/>
            <w:vAlign w:val="bottom"/>
            <w:tcBorders>
              <w:bottom w:val="single" w:sz="8" w:color="auto"/>
            </w:tcBorders>
            <w:gridSpan w:val="2"/>
          </w:tcPr>
          <w:p>
            <w:pPr>
              <w:jc w:val="right"/>
              <w:ind w:right="708"/>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35.6</w:t>
            </w:r>
          </w:p>
        </w:tc>
        <w:tc>
          <w:tcPr>
            <w:tcW w:w="1060" w:type="dxa"/>
            <w:vAlign w:val="bottom"/>
            <w:tcBorders>
              <w:bottom w:val="single" w:sz="8" w:color="auto"/>
            </w:tcBorders>
          </w:tcPr>
          <w:p>
            <w:pPr>
              <w:jc w:val="right"/>
              <w:ind w:right="722"/>
              <w:spacing w:after="0" w:line="183"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96"/>
              </w:rPr>
              <w:t>35.6</w:t>
            </w:r>
          </w:p>
        </w:tc>
      </w:tr>
    </w:tbl>
    <w:p>
      <w:pPr>
        <w:spacing w:after="0" w:line="9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lease expense includes variable lease expense and sublease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Borders>
              <w:top w:val="single" w:sz="8" w:color="auto"/>
              <w:bottom w:val="single" w:sz="8" w:color="98B0CF"/>
            </w:tcBorders>
            <w:shd w:val="clear" w:color="auto" w:fill="98B0CF"/>
          </w:tcPr>
          <w:p>
            <w:pPr>
              <w:spacing w:after="0"/>
              <w:rPr>
                <w:sz w:val="15"/>
                <w:szCs w:val="15"/>
                <w:color w:val="auto"/>
              </w:rPr>
            </w:pPr>
          </w:p>
        </w:tc>
        <w:tc>
          <w:tcPr>
            <w:tcW w:w="200" w:type="dxa"/>
            <w:vAlign w:val="bottom"/>
            <w:tcBorders>
              <w:top w:val="single" w:sz="8" w:color="auto"/>
              <w:bottom w:val="single" w:sz="8" w:color="98B0CF"/>
            </w:tcBorders>
            <w:shd w:val="clear" w:color="auto" w:fill="98B0CF"/>
          </w:tcPr>
          <w:p>
            <w:pPr>
              <w:spacing w:after="0"/>
              <w:rPr>
                <w:sz w:val="15"/>
                <w:szCs w:val="15"/>
                <w:color w:val="auto"/>
              </w:rPr>
            </w:pPr>
          </w:p>
        </w:tc>
        <w:tc>
          <w:tcPr>
            <w:tcW w:w="220" w:type="dxa"/>
            <w:vAlign w:val="bottom"/>
            <w:tcBorders>
              <w:top w:val="single" w:sz="8" w:color="auto"/>
              <w:bottom w:val="single" w:sz="8" w:color="auto"/>
            </w:tcBorders>
            <w:shd w:val="clear" w:color="auto" w:fill="98B0CF"/>
          </w:tcPr>
          <w:p>
            <w:pPr>
              <w:spacing w:after="0"/>
              <w:rPr>
                <w:sz w:val="15"/>
                <w:szCs w:val="15"/>
                <w:color w:val="auto"/>
              </w:rPr>
            </w:pPr>
          </w:p>
        </w:tc>
        <w:tc>
          <w:tcPr>
            <w:tcW w:w="2760" w:type="dxa"/>
            <w:vAlign w:val="bottom"/>
            <w:tcBorders>
              <w:top w:val="single" w:sz="8" w:color="auto"/>
              <w:bottom w:val="single" w:sz="8" w:color="auto"/>
            </w:tcBorders>
            <w:gridSpan w:val="3"/>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060" w:type="dxa"/>
            <w:vAlign w:val="bottom"/>
            <w:tcBorders>
              <w:bottom w:val="single" w:sz="8" w:color="auto"/>
            </w:tcBorders>
            <w:shd w:val="clear" w:color="auto" w:fill="98B0CF"/>
          </w:tcPr>
          <w:p>
            <w:pPr>
              <w:spacing w:after="0"/>
              <w:rPr>
                <w:sz w:val="13"/>
                <w:szCs w:val="13"/>
                <w:color w:val="auto"/>
              </w:rPr>
            </w:pPr>
          </w:p>
        </w:tc>
        <w:tc>
          <w:tcPr>
            <w:tcW w:w="20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jc w:val="right"/>
              <w:ind w:right="562"/>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shd w:val="clear" w:color="auto" w:fill="98B0CF"/>
          </w:tcPr>
          <w:p>
            <w:pPr>
              <w:spacing w:after="0"/>
              <w:rPr>
                <w:sz w:val="13"/>
                <w:szCs w:val="13"/>
                <w:color w:val="auto"/>
              </w:rPr>
            </w:pPr>
          </w:p>
        </w:tc>
        <w:tc>
          <w:tcPr>
            <w:tcW w:w="1120" w:type="dxa"/>
            <w:vAlign w:val="bottom"/>
            <w:tcBorders>
              <w:bottom w:val="single" w:sz="8" w:color="auto"/>
            </w:tcBorders>
            <w:shd w:val="clear" w:color="auto" w:fill="98B0CF"/>
          </w:tcPr>
          <w:p>
            <w:pPr>
              <w:jc w:val="right"/>
              <w:ind w:right="540"/>
              <w:spacing w:after="0" w:line="155" w:lineRule="exact"/>
              <w:rPr>
                <w:sz w:val="20"/>
                <w:szCs w:val="20"/>
                <w:color w:val="auto"/>
              </w:rPr>
            </w:pPr>
            <w:r>
              <w:rPr>
                <w:rFonts w:ascii="Arial" w:cs="Arial" w:eastAsia="Arial" w:hAnsi="Arial"/>
                <w:sz w:val="14"/>
                <w:szCs w:val="14"/>
                <w:b w:val="1"/>
                <w:bCs w:val="1"/>
                <w:color w:val="auto"/>
              </w:rPr>
              <w:t>2024</w:t>
            </w: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paid for amounts included in the measurement of liabilities</w:t>
            </w:r>
          </w:p>
        </w:tc>
        <w:tc>
          <w:tcPr>
            <w:tcW w:w="420" w:type="dxa"/>
            <w:vAlign w:val="bottom"/>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E2E8F1"/>
          </w:tcPr>
          <w:p>
            <w:pPr>
              <w:jc w:val="right"/>
              <w:ind w:right="102"/>
              <w:spacing w:after="0" w:line="183" w:lineRule="exact"/>
              <w:rPr>
                <w:sz w:val="20"/>
                <w:szCs w:val="20"/>
                <w:color w:val="auto"/>
              </w:rPr>
            </w:pPr>
            <w:r>
              <w:rPr>
                <w:rFonts w:ascii="Arial" w:cs="Arial" w:eastAsia="Arial" w:hAnsi="Arial"/>
                <w:sz w:val="16"/>
                <w:szCs w:val="16"/>
                <w:color w:val="auto"/>
              </w:rPr>
              <w:t>32.1</w:t>
            </w:r>
          </w:p>
        </w:tc>
        <w:tc>
          <w:tcPr>
            <w:tcW w:w="46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30.5</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Right-of-use assets obtained in exchange for new liabilities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27.4</w:t>
            </w:r>
          </w:p>
        </w:tc>
        <w:tc>
          <w:tcPr>
            <w:tcW w:w="460" w:type="dxa"/>
            <w:vAlign w:val="bottom"/>
          </w:tcPr>
          <w:p>
            <w:pPr>
              <w:spacing w:after="0"/>
              <w:rPr>
                <w:sz w:val="16"/>
                <w:szCs w:val="16"/>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21.5</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Weighted-average remaining lease term</w:t>
            </w:r>
          </w:p>
        </w:tc>
        <w:tc>
          <w:tcPr>
            <w:tcW w:w="2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180" w:type="dxa"/>
            <w:vAlign w:val="bottom"/>
            <w:shd w:val="clear" w:color="auto" w:fill="E2E8F1"/>
          </w:tcPr>
          <w:p>
            <w:pPr>
              <w:jc w:val="right"/>
              <w:ind w:right="102"/>
              <w:spacing w:after="0"/>
              <w:rPr>
                <w:sz w:val="20"/>
                <w:szCs w:val="20"/>
                <w:color w:val="auto"/>
              </w:rPr>
            </w:pPr>
            <w:r>
              <w:rPr>
                <w:rFonts w:ascii="Arial" w:cs="Arial" w:eastAsia="Arial" w:hAnsi="Arial"/>
                <w:sz w:val="16"/>
                <w:szCs w:val="16"/>
                <w:color w:val="auto"/>
              </w:rPr>
              <w:t>5.3 years</w:t>
            </w:r>
          </w:p>
        </w:tc>
        <w:tc>
          <w:tcPr>
            <w:tcW w:w="460" w:type="dxa"/>
            <w:vAlign w:val="bottom"/>
            <w:shd w:val="clear" w:color="auto" w:fill="E2E8F1"/>
          </w:tcPr>
          <w:p>
            <w:pPr>
              <w:spacing w:after="0"/>
              <w:rPr>
                <w:sz w:val="16"/>
                <w:szCs w:val="16"/>
                <w:color w:val="auto"/>
              </w:rPr>
            </w:pPr>
          </w:p>
        </w:tc>
        <w:tc>
          <w:tcPr>
            <w:tcW w:w="1120" w:type="dxa"/>
            <w:vAlign w:val="bottom"/>
            <w:shd w:val="clear" w:color="auto" w:fill="E2E8F1"/>
          </w:tcPr>
          <w:p>
            <w:pPr>
              <w:jc w:val="right"/>
              <w:ind w:right="100"/>
              <w:spacing w:after="0"/>
              <w:rPr>
                <w:sz w:val="20"/>
                <w:szCs w:val="20"/>
                <w:color w:val="auto"/>
              </w:rPr>
            </w:pPr>
            <w:r>
              <w:rPr>
                <w:rFonts w:ascii="Arial" w:cs="Arial" w:eastAsia="Arial" w:hAnsi="Arial"/>
                <w:sz w:val="16"/>
                <w:szCs w:val="16"/>
                <w:color w:val="auto"/>
              </w:rPr>
              <w:t>5.5 years</w:t>
            </w:r>
          </w:p>
        </w:tc>
      </w:tr>
      <w:tr>
        <w:trPr>
          <w:trHeight w:val="189"/>
        </w:trPr>
        <w:tc>
          <w:tcPr>
            <w:tcW w:w="8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Weighted-average discount rate</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322"/>
        </w:trPr>
        <w:tc>
          <w:tcPr>
            <w:tcW w:w="8060" w:type="dxa"/>
            <w:vAlign w:val="bottom"/>
          </w:tcPr>
          <w:p>
            <w:pPr>
              <w:spacing w:after="0"/>
              <w:rPr>
                <w:sz w:val="20"/>
                <w:szCs w:val="20"/>
                <w:color w:val="auto"/>
              </w:rPr>
            </w:pPr>
            <w:r>
              <w:rPr>
                <w:rFonts w:ascii="Arial" w:cs="Arial" w:eastAsia="Arial" w:hAnsi="Arial"/>
                <w:sz w:val="18"/>
                <w:szCs w:val="18"/>
                <w:color w:val="auto"/>
              </w:rPr>
              <w:t>Maturities of operating lease liabilities as of March 31, 2025 were as follows: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4"/>
        </w:trPr>
        <w:tc>
          <w:tcPr>
            <w:tcW w:w="8060" w:type="dxa"/>
            <w:vAlign w:val="bottom"/>
            <w:tcBorders>
              <w:bottom w:val="single" w:sz="8" w:color="231F20"/>
            </w:tcBorders>
          </w:tcPr>
          <w:p>
            <w:pPr>
              <w:spacing w:after="0"/>
              <w:rPr>
                <w:sz w:val="9"/>
                <w:szCs w:val="9"/>
                <w:color w:val="auto"/>
              </w:rPr>
            </w:pPr>
          </w:p>
        </w:tc>
        <w:tc>
          <w:tcPr>
            <w:tcW w:w="200" w:type="dxa"/>
            <w:vAlign w:val="bottom"/>
            <w:tcBorders>
              <w:bottom w:val="single" w:sz="8" w:color="231F20"/>
            </w:tcBorders>
          </w:tcPr>
          <w:p>
            <w:pPr>
              <w:spacing w:after="0"/>
              <w:rPr>
                <w:sz w:val="9"/>
                <w:szCs w:val="9"/>
                <w:color w:val="auto"/>
              </w:rPr>
            </w:pPr>
          </w:p>
        </w:tc>
        <w:tc>
          <w:tcPr>
            <w:tcW w:w="220" w:type="dxa"/>
            <w:vAlign w:val="bottom"/>
            <w:tcBorders>
              <w:bottom w:val="single" w:sz="8" w:color="231F20"/>
            </w:tcBorders>
          </w:tcPr>
          <w:p>
            <w:pPr>
              <w:spacing w:after="0"/>
              <w:rPr>
                <w:sz w:val="9"/>
                <w:szCs w:val="9"/>
                <w:color w:val="auto"/>
              </w:rPr>
            </w:pPr>
          </w:p>
        </w:tc>
        <w:tc>
          <w:tcPr>
            <w:tcW w:w="1180" w:type="dxa"/>
            <w:vAlign w:val="bottom"/>
            <w:tcBorders>
              <w:bottom w:val="single" w:sz="8" w:color="231F20"/>
            </w:tcBorders>
          </w:tcPr>
          <w:p>
            <w:pPr>
              <w:spacing w:after="0"/>
              <w:rPr>
                <w:sz w:val="9"/>
                <w:szCs w:val="9"/>
                <w:color w:val="auto"/>
              </w:rPr>
            </w:pPr>
          </w:p>
        </w:tc>
        <w:tc>
          <w:tcPr>
            <w:tcW w:w="1580" w:type="dxa"/>
            <w:vAlign w:val="bottom"/>
            <w:tcBorders>
              <w:bottom w:val="single" w:sz="8" w:color="231F20"/>
            </w:tcBorders>
            <w:gridSpan w:val="2"/>
          </w:tcPr>
          <w:p>
            <w:pPr>
              <w:spacing w:after="0"/>
              <w:rPr>
                <w:sz w:val="9"/>
                <w:szCs w:val="9"/>
                <w:color w:val="auto"/>
              </w:rPr>
            </w:pPr>
          </w:p>
        </w:tc>
      </w:tr>
      <w:tr>
        <w:trPr>
          <w:trHeight w:val="237"/>
        </w:trPr>
        <w:tc>
          <w:tcPr>
            <w:tcW w:w="8060" w:type="dxa"/>
            <w:vAlign w:val="bottom"/>
            <w:tcBorders>
              <w:bottom w:val="single" w:sz="8" w:color="auto"/>
            </w:tcBorders>
            <w:shd w:val="clear" w:color="auto" w:fill="98B0CF"/>
          </w:tcPr>
          <w:p>
            <w:pPr>
              <w:ind w:left="100"/>
              <w:spacing w:after="0"/>
              <w:rPr>
                <w:sz w:val="20"/>
                <w:szCs w:val="20"/>
                <w:color w:val="auto"/>
              </w:rPr>
            </w:pPr>
            <w:r>
              <w:rPr>
                <w:rFonts w:ascii="Arial" w:cs="Arial" w:eastAsia="Arial" w:hAnsi="Arial"/>
                <w:sz w:val="14"/>
                <w:szCs w:val="14"/>
                <w:b w:val="1"/>
                <w:bCs w:val="1"/>
                <w:color w:val="auto"/>
              </w:rPr>
              <w:t>Period Ending March 31, 2025</w:t>
            </w:r>
          </w:p>
        </w:tc>
        <w:tc>
          <w:tcPr>
            <w:tcW w:w="200" w:type="dxa"/>
            <w:vAlign w:val="bottom"/>
            <w:tcBorders>
              <w:bottom w:val="single" w:sz="8" w:color="auto"/>
            </w:tcBorders>
            <w:shd w:val="clear" w:color="auto" w:fill="98B0CF"/>
          </w:tcPr>
          <w:p>
            <w:pPr>
              <w:spacing w:after="0"/>
              <w:rPr>
                <w:sz w:val="20"/>
                <w:szCs w:val="20"/>
                <w:color w:val="auto"/>
              </w:rPr>
            </w:pPr>
          </w:p>
        </w:tc>
        <w:tc>
          <w:tcPr>
            <w:tcW w:w="220" w:type="dxa"/>
            <w:vAlign w:val="bottom"/>
            <w:tcBorders>
              <w:bottom w:val="single" w:sz="8" w:color="auto"/>
            </w:tcBorders>
            <w:shd w:val="clear" w:color="auto" w:fill="98B0CF"/>
          </w:tcPr>
          <w:p>
            <w:pPr>
              <w:spacing w:after="0"/>
              <w:rPr>
                <w:sz w:val="20"/>
                <w:szCs w:val="20"/>
                <w:color w:val="auto"/>
              </w:rPr>
            </w:pPr>
          </w:p>
        </w:tc>
        <w:tc>
          <w:tcPr>
            <w:tcW w:w="1180" w:type="dxa"/>
            <w:vAlign w:val="bottom"/>
            <w:tcBorders>
              <w:bottom w:val="single" w:sz="8" w:color="auto"/>
            </w:tcBorders>
            <w:shd w:val="clear" w:color="auto" w:fill="98B0CF"/>
          </w:tcPr>
          <w:p>
            <w:pPr>
              <w:spacing w:after="0"/>
              <w:rPr>
                <w:sz w:val="20"/>
                <w:szCs w:val="20"/>
                <w:color w:val="auto"/>
              </w:rPr>
            </w:pPr>
          </w:p>
        </w:tc>
        <w:tc>
          <w:tcPr>
            <w:tcW w:w="1580" w:type="dxa"/>
            <w:vAlign w:val="bottom"/>
            <w:tcBorders>
              <w:bottom w:val="single" w:sz="8" w:color="auto"/>
            </w:tcBorders>
            <w:gridSpan w:val="2"/>
            <w:shd w:val="clear" w:color="auto" w:fill="98B0CF"/>
          </w:tcPr>
          <w:p>
            <w:pPr>
              <w:jc w:val="right"/>
              <w:ind w:right="160"/>
              <w:spacing w:after="0"/>
              <w:rPr>
                <w:sz w:val="20"/>
                <w:szCs w:val="20"/>
                <w:color w:val="auto"/>
              </w:rPr>
            </w:pPr>
            <w:r>
              <w:rPr>
                <w:rFonts w:ascii="Arial" w:cs="Arial" w:eastAsia="Arial" w:hAnsi="Arial"/>
                <w:sz w:val="14"/>
                <w:szCs w:val="14"/>
                <w:b w:val="1"/>
                <w:bCs w:val="1"/>
                <w:color w:val="auto"/>
              </w:rPr>
              <w:t>Operating Leases</w:t>
            </w:r>
          </w:p>
        </w:tc>
      </w:tr>
      <w:tr>
        <w:trPr>
          <w:trHeight w:val="209"/>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80" w:type="dxa"/>
            <w:vAlign w:val="bottom"/>
            <w:shd w:val="clear" w:color="auto" w:fill="E2E8F1"/>
          </w:tcPr>
          <w:p>
            <w:pPr>
              <w:spacing w:after="0"/>
              <w:rPr>
                <w:sz w:val="18"/>
                <w:szCs w:val="18"/>
                <w:color w:val="auto"/>
              </w:rPr>
            </w:pPr>
          </w:p>
        </w:tc>
        <w:tc>
          <w:tcPr>
            <w:tcW w:w="460" w:type="dxa"/>
            <w:vAlign w:val="bottom"/>
            <w:shd w:val="clear" w:color="auto" w:fill="E2E8F1"/>
          </w:tcPr>
          <w:p>
            <w:pPr>
              <w:jc w:val="right"/>
              <w:ind w:right="2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89.0</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99.1</w:t>
            </w:r>
          </w:p>
        </w:tc>
      </w:tr>
      <w:tr>
        <w:trPr>
          <w:trHeight w:val="216"/>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80" w:type="dxa"/>
            <w:vAlign w:val="bottom"/>
            <w:shd w:val="clear" w:color="auto" w:fill="E2E8F1"/>
          </w:tcPr>
          <w:p>
            <w:pPr>
              <w:spacing w:after="0"/>
              <w:rPr>
                <w:sz w:val="18"/>
                <w:szCs w:val="18"/>
                <w:color w:val="auto"/>
              </w:rPr>
            </w:pPr>
          </w:p>
        </w:tc>
        <w:tc>
          <w:tcPr>
            <w:tcW w:w="460" w:type="dxa"/>
            <w:vAlign w:val="bottom"/>
            <w:shd w:val="clear" w:color="auto" w:fill="E2E8F1"/>
          </w:tcPr>
          <w:p>
            <w:pPr>
              <w:spacing w:after="0"/>
              <w:rPr>
                <w:sz w:val="18"/>
                <w:szCs w:val="18"/>
                <w:color w:val="auto"/>
              </w:rPr>
            </w:pP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76.4</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58.6</w:t>
            </w:r>
          </w:p>
        </w:tc>
      </w:tr>
      <w:tr>
        <w:trPr>
          <w:trHeight w:val="216"/>
        </w:trPr>
        <w:tc>
          <w:tcPr>
            <w:tcW w:w="806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2029</w:t>
            </w:r>
          </w:p>
        </w:tc>
        <w:tc>
          <w:tcPr>
            <w:tcW w:w="200" w:type="dxa"/>
            <w:vAlign w:val="bottom"/>
            <w:shd w:val="clear" w:color="auto" w:fill="E2E8F1"/>
          </w:tcPr>
          <w:p>
            <w:pPr>
              <w:spacing w:after="0"/>
              <w:rPr>
                <w:sz w:val="18"/>
                <w:szCs w:val="18"/>
                <w:color w:val="auto"/>
              </w:rPr>
            </w:pPr>
          </w:p>
        </w:tc>
        <w:tc>
          <w:tcPr>
            <w:tcW w:w="220" w:type="dxa"/>
            <w:vAlign w:val="bottom"/>
            <w:shd w:val="clear" w:color="auto" w:fill="E2E8F1"/>
          </w:tcPr>
          <w:p>
            <w:pPr>
              <w:spacing w:after="0"/>
              <w:rPr>
                <w:sz w:val="18"/>
                <w:szCs w:val="18"/>
                <w:color w:val="auto"/>
              </w:rPr>
            </w:pPr>
          </w:p>
        </w:tc>
        <w:tc>
          <w:tcPr>
            <w:tcW w:w="1180" w:type="dxa"/>
            <w:vAlign w:val="bottom"/>
            <w:shd w:val="clear" w:color="auto" w:fill="E2E8F1"/>
          </w:tcPr>
          <w:p>
            <w:pPr>
              <w:spacing w:after="0"/>
              <w:rPr>
                <w:sz w:val="18"/>
                <w:szCs w:val="18"/>
                <w:color w:val="auto"/>
              </w:rPr>
            </w:pPr>
          </w:p>
        </w:tc>
        <w:tc>
          <w:tcPr>
            <w:tcW w:w="460" w:type="dxa"/>
            <w:vAlign w:val="bottom"/>
            <w:shd w:val="clear" w:color="auto" w:fill="E2E8F1"/>
          </w:tcPr>
          <w:p>
            <w:pPr>
              <w:spacing w:after="0"/>
              <w:rPr>
                <w:sz w:val="18"/>
                <w:szCs w:val="18"/>
                <w:color w:val="auto"/>
              </w:rPr>
            </w:pPr>
          </w:p>
        </w:tc>
        <w:tc>
          <w:tcPr>
            <w:tcW w:w="112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41.6</w:t>
            </w:r>
          </w:p>
        </w:tc>
      </w:tr>
      <w:tr>
        <w:trPr>
          <w:trHeight w:val="216"/>
        </w:trPr>
        <w:tc>
          <w:tcPr>
            <w:tcW w:w="8060" w:type="dxa"/>
            <w:vAlign w:val="bottom"/>
          </w:tcPr>
          <w:p>
            <w:pPr>
              <w:ind w:left="100"/>
              <w:spacing w:after="0"/>
              <w:rPr>
                <w:sz w:val="20"/>
                <w:szCs w:val="20"/>
                <w:color w:val="auto"/>
              </w:rPr>
            </w:pPr>
            <w:r>
              <w:rPr>
                <w:rFonts w:ascii="Arial" w:cs="Arial" w:eastAsia="Arial" w:hAnsi="Arial"/>
                <w:sz w:val="16"/>
                <w:szCs w:val="16"/>
                <w:color w:val="auto"/>
              </w:rPr>
              <w:t>2030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31.2</w:t>
            </w:r>
          </w:p>
        </w:tc>
      </w:tr>
      <w:tr>
        <w:trPr>
          <w:trHeight w:val="216"/>
        </w:trPr>
        <w:tc>
          <w:tcPr>
            <w:tcW w:w="806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E2E8F1"/>
          </w:tcPr>
          <w:p>
            <w:pPr>
              <w:spacing w:after="0"/>
              <w:rPr>
                <w:sz w:val="18"/>
                <w:szCs w:val="18"/>
                <w:color w:val="auto"/>
              </w:rPr>
            </w:pPr>
          </w:p>
        </w:tc>
        <w:tc>
          <w:tcPr>
            <w:tcW w:w="220" w:type="dxa"/>
            <w:vAlign w:val="bottom"/>
            <w:tcBorders>
              <w:bottom w:val="single" w:sz="8" w:color="auto"/>
            </w:tcBorders>
            <w:shd w:val="clear" w:color="auto" w:fill="E2E8F1"/>
          </w:tcPr>
          <w:p>
            <w:pPr>
              <w:spacing w:after="0"/>
              <w:rPr>
                <w:sz w:val="18"/>
                <w:szCs w:val="18"/>
                <w:color w:val="auto"/>
              </w:rPr>
            </w:pPr>
          </w:p>
        </w:tc>
        <w:tc>
          <w:tcPr>
            <w:tcW w:w="1180" w:type="dxa"/>
            <w:vAlign w:val="bottom"/>
            <w:tcBorders>
              <w:bottom w:val="single" w:sz="8" w:color="auto"/>
            </w:tcBorders>
            <w:shd w:val="clear" w:color="auto" w:fill="E2E8F1"/>
          </w:tcPr>
          <w:p>
            <w:pPr>
              <w:spacing w:after="0"/>
              <w:rPr>
                <w:sz w:val="18"/>
                <w:szCs w:val="18"/>
                <w:color w:val="auto"/>
              </w:rPr>
            </w:pPr>
          </w:p>
        </w:tc>
        <w:tc>
          <w:tcPr>
            <w:tcW w:w="460" w:type="dxa"/>
            <w:vAlign w:val="bottom"/>
            <w:tcBorders>
              <w:bottom w:val="single" w:sz="8" w:color="auto"/>
            </w:tcBorders>
            <w:shd w:val="clear" w:color="auto" w:fill="E2E8F1"/>
          </w:tcPr>
          <w:p>
            <w:pPr>
              <w:spacing w:after="0"/>
              <w:rPr>
                <w:sz w:val="18"/>
                <w:szCs w:val="18"/>
                <w:color w:val="auto"/>
              </w:rPr>
            </w:pPr>
          </w:p>
        </w:tc>
        <w:tc>
          <w:tcPr>
            <w:tcW w:w="112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48.5</w:t>
            </w:r>
          </w:p>
        </w:tc>
      </w:tr>
      <w:tr>
        <w:trPr>
          <w:trHeight w:val="210"/>
        </w:trPr>
        <w:tc>
          <w:tcPr>
            <w:tcW w:w="8060" w:type="dxa"/>
            <w:vAlign w:val="bottom"/>
          </w:tcPr>
          <w:p>
            <w:pPr>
              <w:ind w:left="260"/>
              <w:spacing w:after="0"/>
              <w:rPr>
                <w:sz w:val="20"/>
                <w:szCs w:val="20"/>
                <w:color w:val="auto"/>
              </w:rPr>
            </w:pPr>
            <w:r>
              <w:rPr>
                <w:rFonts w:ascii="Arial" w:cs="Arial" w:eastAsia="Arial" w:hAnsi="Arial"/>
                <w:sz w:val="16"/>
                <w:szCs w:val="16"/>
                <w:color w:val="auto"/>
              </w:rPr>
              <w:t>Total future undiscounted lease payments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444.4</w:t>
            </w:r>
          </w:p>
        </w:tc>
      </w:tr>
      <w:tr>
        <w:trPr>
          <w:trHeight w:val="216"/>
        </w:trPr>
        <w:tc>
          <w:tcPr>
            <w:tcW w:w="8060" w:type="dxa"/>
            <w:vAlign w:val="bottom"/>
            <w:tcBorders>
              <w:bottom w:val="single" w:sz="8" w:color="auto"/>
            </w:tcBorders>
            <w:shd w:val="clear" w:color="auto" w:fill="E2E8F1"/>
          </w:tcPr>
          <w:p>
            <w:pPr>
              <w:ind w:left="44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auto"/>
            </w:tcBorders>
            <w:shd w:val="clear" w:color="auto" w:fill="E2E8F1"/>
          </w:tcPr>
          <w:p>
            <w:pPr>
              <w:spacing w:after="0"/>
              <w:rPr>
                <w:sz w:val="18"/>
                <w:szCs w:val="18"/>
                <w:color w:val="auto"/>
              </w:rPr>
            </w:pPr>
          </w:p>
        </w:tc>
        <w:tc>
          <w:tcPr>
            <w:tcW w:w="220" w:type="dxa"/>
            <w:vAlign w:val="bottom"/>
            <w:tcBorders>
              <w:bottom w:val="single" w:sz="8" w:color="auto"/>
            </w:tcBorders>
            <w:shd w:val="clear" w:color="auto" w:fill="E2E8F1"/>
          </w:tcPr>
          <w:p>
            <w:pPr>
              <w:spacing w:after="0"/>
              <w:rPr>
                <w:sz w:val="18"/>
                <w:szCs w:val="18"/>
                <w:color w:val="auto"/>
              </w:rPr>
            </w:pPr>
          </w:p>
        </w:tc>
        <w:tc>
          <w:tcPr>
            <w:tcW w:w="1180" w:type="dxa"/>
            <w:vAlign w:val="bottom"/>
            <w:tcBorders>
              <w:bottom w:val="single" w:sz="8" w:color="auto"/>
            </w:tcBorders>
            <w:shd w:val="clear" w:color="auto" w:fill="E2E8F1"/>
          </w:tcPr>
          <w:p>
            <w:pPr>
              <w:spacing w:after="0"/>
              <w:rPr>
                <w:sz w:val="18"/>
                <w:szCs w:val="18"/>
                <w:color w:val="auto"/>
              </w:rPr>
            </w:pPr>
          </w:p>
        </w:tc>
        <w:tc>
          <w:tcPr>
            <w:tcW w:w="460" w:type="dxa"/>
            <w:vAlign w:val="bottom"/>
            <w:tcBorders>
              <w:bottom w:val="single" w:sz="8" w:color="auto"/>
            </w:tcBorders>
            <w:shd w:val="clear" w:color="auto" w:fill="E2E8F1"/>
          </w:tcPr>
          <w:p>
            <w:pPr>
              <w:spacing w:after="0"/>
              <w:rPr>
                <w:sz w:val="18"/>
                <w:szCs w:val="18"/>
                <w:color w:val="auto"/>
              </w:rPr>
            </w:pPr>
          </w:p>
        </w:tc>
        <w:tc>
          <w:tcPr>
            <w:tcW w:w="11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(46.9)</w:t>
            </w:r>
          </w:p>
        </w:tc>
      </w:tr>
      <w:tr>
        <w:trPr>
          <w:trHeight w:val="210"/>
        </w:trPr>
        <w:tc>
          <w:tcPr>
            <w:tcW w:w="8060" w:type="dxa"/>
            <w:vAlign w:val="bottom"/>
            <w:tcBorders>
              <w:bottom w:val="single" w:sz="8" w:color="231F20"/>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180" w:type="dxa"/>
            <w:vAlign w:val="bottom"/>
            <w:tcBorders>
              <w:bottom w:val="single" w:sz="8" w:color="231F20"/>
            </w:tcBorders>
          </w:tcPr>
          <w:p>
            <w:pPr>
              <w:spacing w:after="0"/>
              <w:rPr>
                <w:sz w:val="18"/>
                <w:szCs w:val="18"/>
                <w:color w:val="auto"/>
              </w:rPr>
            </w:pPr>
          </w:p>
        </w:tc>
        <w:tc>
          <w:tcPr>
            <w:tcW w:w="460" w:type="dxa"/>
            <w:vAlign w:val="bottom"/>
            <w:tcBorders>
              <w:bottom w:val="single" w:sz="8" w:color="231F20"/>
            </w:tcBorders>
          </w:tcPr>
          <w:p>
            <w:pPr>
              <w:jc w:val="right"/>
              <w:ind w:right="2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397.5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Segment Data</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chief operating decision maker ("CODM") is our Chief Executive Officer, who evaluates the performance of our operating segments using operating unit profit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184150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184150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184150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231F20"/>
            </w:tcBorders>
            <w:shd w:val="clear" w:color="auto" w:fill="98B0CF"/>
          </w:tcPr>
          <w:p>
            <w:pPr>
              <w:spacing w:after="0"/>
              <w:rPr>
                <w:sz w:val="14"/>
                <w:szCs w:val="14"/>
                <w:color w:val="auto"/>
              </w:rPr>
            </w:pPr>
          </w:p>
        </w:tc>
        <w:tc>
          <w:tcPr>
            <w:tcW w:w="70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March 31, 2025</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4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688.8</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313.2</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830.2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397.8</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333.7</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(18.3)</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398.1</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4,097.9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3,398.5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(6.5)</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E2E8F1"/>
          </w:tcPr>
          <w:p>
            <w:pPr>
              <w:spacing w:after="0"/>
              <w:rPr>
                <w:sz w:val="17"/>
                <w:szCs w:val="17"/>
                <w:color w:val="auto"/>
              </w:rPr>
            </w:pP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4,090.3</w:t>
            </w:r>
          </w:p>
        </w:tc>
        <w:tc>
          <w:tcPr>
            <w:tcW w:w="100" w:type="dxa"/>
            <w:vAlign w:val="bottom"/>
          </w:tcPr>
          <w:p>
            <w:pPr>
              <w:spacing w:after="0"/>
              <w:rPr>
                <w:sz w:val="17"/>
                <w:szCs w:val="17"/>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3,392.0</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620.9</w:t>
            </w:r>
          </w:p>
        </w:tc>
        <w:tc>
          <w:tcPr>
            <w:tcW w:w="12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r>
      <w:tr>
        <w:trPr>
          <w:trHeight w:val="203"/>
        </w:trPr>
        <w:tc>
          <w:tcPr>
            <w:tcW w:w="4540" w:type="dxa"/>
            <w:vAlign w:val="bottom"/>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(8.1)</w:t>
            </w:r>
          </w:p>
        </w:tc>
      </w:tr>
      <w:tr>
        <w:trPr>
          <w:trHeight w:val="210"/>
        </w:trPr>
        <w:tc>
          <w:tcPr>
            <w:tcW w:w="4540" w:type="dxa"/>
            <w:vAlign w:val="bottom"/>
            <w:tcBorders>
              <w:top w:val="single" w:sz="8" w:color="E2E8F1"/>
            </w:tcBorders>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104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80" w:type="dxa"/>
            <w:vAlign w:val="bottom"/>
            <w:tcBorders>
              <w:top w:val="single" w:sz="8" w:color="E2E8F1"/>
            </w:tcBorders>
          </w:tcPr>
          <w:p>
            <w:pPr>
              <w:spacing w:after="0"/>
              <w:rPr>
                <w:sz w:val="18"/>
                <w:szCs w:val="18"/>
                <w:color w:val="auto"/>
              </w:rPr>
            </w:pPr>
          </w:p>
        </w:tc>
        <w:tc>
          <w:tcPr>
            <w:tcW w:w="86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114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980" w:type="dxa"/>
            <w:vAlign w:val="bottom"/>
            <w:tcBorders>
              <w:top w:val="single" w:sz="8" w:color="231F20"/>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E2E8F1"/>
            </w:tcBorders>
          </w:tcPr>
          <w:p>
            <w:pPr>
              <w:spacing w:after="0"/>
              <w:rPr>
                <w:sz w:val="18"/>
                <w:szCs w:val="18"/>
                <w:color w:val="auto"/>
              </w:rPr>
            </w:pPr>
          </w:p>
        </w:tc>
      </w:tr>
      <w:tr>
        <w:trPr>
          <w:trHeight w:val="203"/>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(11.5)</w:t>
            </w:r>
          </w:p>
        </w:tc>
      </w:tr>
      <w:tr>
        <w:trPr>
          <w:trHeight w:val="183"/>
        </w:trPr>
        <w:tc>
          <w:tcPr>
            <w:tcW w:w="4540" w:type="dxa"/>
            <w:vAlign w:val="bottom"/>
            <w:tcBorders>
              <w:top w:val="single" w:sz="8" w:color="E2E8F1"/>
            </w:tcBorders>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104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380" w:type="dxa"/>
            <w:vAlign w:val="bottom"/>
            <w:tcBorders>
              <w:top w:val="single" w:sz="8" w:color="E2E8F1"/>
            </w:tcBorders>
          </w:tcPr>
          <w:p>
            <w:pPr>
              <w:spacing w:after="0"/>
              <w:rPr>
                <w:sz w:val="15"/>
                <w:szCs w:val="15"/>
                <w:color w:val="auto"/>
              </w:rPr>
            </w:pPr>
          </w:p>
        </w:tc>
        <w:tc>
          <w:tcPr>
            <w:tcW w:w="86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114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60" w:type="dxa"/>
            <w:vAlign w:val="bottom"/>
            <w:tcBorders>
              <w:top w:val="single" w:sz="8" w:color="E2E8F1"/>
            </w:tcBorders>
          </w:tcPr>
          <w:p>
            <w:pPr>
              <w:spacing w:after="0"/>
              <w:rPr>
                <w:sz w:val="15"/>
                <w:szCs w:val="15"/>
                <w:color w:val="auto"/>
              </w:rPr>
            </w:pPr>
          </w:p>
        </w:tc>
        <w:tc>
          <w:tcPr>
            <w:tcW w:w="300" w:type="dxa"/>
            <w:vAlign w:val="bottom"/>
            <w:tcBorders>
              <w:top w:val="single" w:sz="8" w:color="231F20"/>
              <w:bottom w:val="single" w:sz="8" w:color="231F20"/>
            </w:tcBorders>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231F20"/>
              <w:bottom w:val="single" w:sz="8" w:color="231F20"/>
            </w:tcBorders>
          </w:tcPr>
          <w:p>
            <w:pPr>
              <w:jc w:val="right"/>
              <w:spacing w:after="0" w:line="169" w:lineRule="exact"/>
              <w:rPr>
                <w:sz w:val="20"/>
                <w:szCs w:val="20"/>
                <w:color w:val="auto"/>
              </w:rPr>
            </w:pPr>
            <w:r>
              <w:rPr>
                <w:rFonts w:ascii="Arial" w:cs="Arial" w:eastAsia="Arial" w:hAnsi="Arial"/>
                <w:sz w:val="16"/>
                <w:szCs w:val="16"/>
                <w:color w:val="auto"/>
              </w:rPr>
              <w:t>16.7</w:t>
            </w:r>
          </w:p>
        </w:tc>
        <w:tc>
          <w:tcPr>
            <w:tcW w:w="120" w:type="dxa"/>
            <w:vAlign w:val="bottom"/>
            <w:tcBorders>
              <w:top w:val="single" w:sz="8" w:color="E2E8F1"/>
            </w:tcBorders>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-2348230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-2348230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-2348230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-1525270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-1525270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-1525270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-1250950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-1250950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-1250950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-976630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-976630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-976630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left="520" w:hanging="512"/>
        <w:spacing w:after="0" w:line="25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$2.2 for the three months ended March 31, 2025.</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292100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Borders>
              <w:top w:val="single" w:sz="8" w:color="231F20"/>
            </w:tcBorders>
            <w:shd w:val="clear" w:color="auto" w:fill="98B0CF"/>
          </w:tcPr>
          <w:p>
            <w:pPr>
              <w:spacing w:after="0"/>
              <w:rPr>
                <w:sz w:val="14"/>
                <w:szCs w:val="14"/>
                <w:color w:val="auto"/>
              </w:rPr>
            </w:pPr>
          </w:p>
        </w:tc>
        <w:tc>
          <w:tcPr>
            <w:tcW w:w="240" w:type="dxa"/>
            <w:vAlign w:val="bottom"/>
            <w:tcBorders>
              <w:top w:val="single" w:sz="8" w:color="231F20"/>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104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231F20"/>
            </w:tcBorders>
            <w:shd w:val="clear" w:color="auto" w:fill="98B0CF"/>
          </w:tcPr>
          <w:p>
            <w:pPr>
              <w:spacing w:after="0"/>
              <w:rPr>
                <w:sz w:val="14"/>
                <w:szCs w:val="14"/>
                <w:color w:val="auto"/>
              </w:rPr>
            </w:pPr>
          </w:p>
        </w:tc>
        <w:tc>
          <w:tcPr>
            <w:tcW w:w="380" w:type="dxa"/>
            <w:vAlign w:val="bottom"/>
            <w:tcBorders>
              <w:top w:val="single" w:sz="8" w:color="231F20"/>
            </w:tcBorders>
            <w:shd w:val="clear" w:color="auto" w:fill="98B0CF"/>
          </w:tcPr>
          <w:p>
            <w:pPr>
              <w:spacing w:after="0"/>
              <w:rPr>
                <w:sz w:val="14"/>
                <w:szCs w:val="14"/>
                <w:color w:val="auto"/>
              </w:rPr>
            </w:pPr>
          </w:p>
        </w:tc>
        <w:tc>
          <w:tcPr>
            <w:tcW w:w="86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231F20"/>
            </w:tcBorders>
            <w:shd w:val="clear" w:color="auto" w:fill="98B0CF"/>
          </w:tcPr>
          <w:p>
            <w:pPr>
              <w:spacing w:after="0"/>
              <w:rPr>
                <w:sz w:val="14"/>
                <w:szCs w:val="14"/>
                <w:color w:val="auto"/>
              </w:rPr>
            </w:pPr>
          </w:p>
        </w:tc>
        <w:tc>
          <w:tcPr>
            <w:tcW w:w="100" w:type="dxa"/>
            <w:vAlign w:val="bottom"/>
            <w:tcBorders>
              <w:top w:val="single" w:sz="8" w:color="231F20"/>
            </w:tcBorders>
            <w:shd w:val="clear" w:color="auto" w:fill="98B0CF"/>
          </w:tcPr>
          <w:p>
            <w:pPr>
              <w:spacing w:after="0"/>
              <w:rPr>
                <w:sz w:val="14"/>
                <w:szCs w:val="14"/>
                <w:color w:val="auto"/>
              </w:rPr>
            </w:pPr>
          </w:p>
        </w:tc>
        <w:tc>
          <w:tcPr>
            <w:tcW w:w="1140" w:type="dxa"/>
            <w:vAlign w:val="bottom"/>
            <w:tcBorders>
              <w:top w:val="single" w:sz="8" w:color="231F20"/>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231F20"/>
            </w:tcBorders>
            <w:shd w:val="clear" w:color="auto" w:fill="98B0CF"/>
          </w:tcPr>
          <w:p>
            <w:pPr>
              <w:spacing w:after="0"/>
              <w:rPr>
                <w:sz w:val="14"/>
                <w:szCs w:val="14"/>
                <w:color w:val="auto"/>
              </w:rPr>
            </w:pPr>
          </w:p>
        </w:tc>
        <w:tc>
          <w:tcPr>
            <w:tcW w:w="300" w:type="dxa"/>
            <w:vAlign w:val="bottom"/>
            <w:tcBorders>
              <w:top w:val="single" w:sz="8" w:color="231F20"/>
            </w:tcBorders>
            <w:shd w:val="clear" w:color="auto" w:fill="98B0CF"/>
          </w:tcPr>
          <w:p>
            <w:pPr>
              <w:spacing w:after="0"/>
              <w:rPr>
                <w:sz w:val="14"/>
                <w:szCs w:val="14"/>
                <w:color w:val="auto"/>
              </w:rPr>
            </w:pPr>
          </w:p>
        </w:tc>
        <w:tc>
          <w:tcPr>
            <w:tcW w:w="980" w:type="dxa"/>
            <w:vAlign w:val="bottom"/>
            <w:tcBorders>
              <w:top w:val="single" w:sz="8" w:color="231F20"/>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500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140" w:type="dxa"/>
            <w:vAlign w:val="bottom"/>
            <w:shd w:val="clear" w:color="auto" w:fill="98B0CF"/>
          </w:tcPr>
          <w:p>
            <w:pPr>
              <w:jc w:val="center"/>
              <w:ind w:right="21"/>
              <w:spacing w:after="0"/>
              <w:rPr>
                <w:sz w:val="20"/>
                <w:szCs w:val="20"/>
                <w:color w:val="auto"/>
              </w:rPr>
            </w:pPr>
            <w:r>
              <w:rPr>
                <w:rFonts w:ascii="Arial" w:cs="Arial" w:eastAsia="Arial" w:hAnsi="Arial"/>
                <w:sz w:val="14"/>
                <w:szCs w:val="14"/>
                <w:b w:val="1"/>
                <w:bCs w:val="1"/>
                <w:color w:val="auto"/>
              </w:rPr>
              <w:t>Administrative</w:t>
            </w:r>
          </w:p>
        </w:tc>
        <w:tc>
          <w:tcPr>
            <w:tcW w:w="12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8"/>
        </w:trPr>
        <w:tc>
          <w:tcPr>
            <w:tcW w:w="500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March 31, 2024</w:t>
            </w:r>
          </w:p>
        </w:tc>
        <w:tc>
          <w:tcPr>
            <w:tcW w:w="240" w:type="dxa"/>
            <w:vAlign w:val="bottom"/>
            <w:shd w:val="clear" w:color="auto" w:fill="98B0CF"/>
          </w:tcPr>
          <w:p>
            <w:pPr>
              <w:spacing w:after="0"/>
              <w:rPr>
                <w:sz w:val="15"/>
                <w:szCs w:val="15"/>
                <w:color w:val="auto"/>
              </w:rPr>
            </w:pPr>
          </w:p>
        </w:tc>
        <w:tc>
          <w:tcPr>
            <w:tcW w:w="200" w:type="dxa"/>
            <w:vAlign w:val="bottom"/>
            <w:shd w:val="clear" w:color="auto" w:fill="98B0CF"/>
          </w:tcPr>
          <w:p>
            <w:pPr>
              <w:spacing w:after="0"/>
              <w:rPr>
                <w:sz w:val="15"/>
                <w:szCs w:val="15"/>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5"/>
                <w:szCs w:val="15"/>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5"/>
                <w:szCs w:val="15"/>
                <w:color w:val="auto"/>
              </w:rPr>
            </w:pPr>
          </w:p>
        </w:tc>
        <w:tc>
          <w:tcPr>
            <w:tcW w:w="100" w:type="dxa"/>
            <w:vAlign w:val="bottom"/>
            <w:shd w:val="clear" w:color="auto" w:fill="98B0CF"/>
          </w:tcPr>
          <w:p>
            <w:pPr>
              <w:spacing w:after="0"/>
              <w:rPr>
                <w:sz w:val="15"/>
                <w:szCs w:val="15"/>
                <w:color w:val="auto"/>
              </w:rPr>
            </w:pPr>
          </w:p>
        </w:tc>
        <w:tc>
          <w:tcPr>
            <w:tcW w:w="1140" w:type="dxa"/>
            <w:vAlign w:val="bottom"/>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98B0CF"/>
          </w:tcPr>
          <w:p>
            <w:pPr>
              <w:spacing w:after="0"/>
              <w:rPr>
                <w:sz w:val="15"/>
                <w:szCs w:val="15"/>
                <w:color w:val="auto"/>
              </w:rPr>
            </w:pPr>
          </w:p>
        </w:tc>
        <w:tc>
          <w:tcPr>
            <w:tcW w:w="160" w:type="dxa"/>
            <w:vAlign w:val="bottom"/>
            <w:shd w:val="clear" w:color="auto" w:fill="98B0CF"/>
          </w:tcPr>
          <w:p>
            <w:pPr>
              <w:spacing w:after="0"/>
              <w:rPr>
                <w:sz w:val="15"/>
                <w:szCs w:val="15"/>
                <w:color w:val="auto"/>
              </w:rPr>
            </w:pPr>
          </w:p>
        </w:tc>
        <w:tc>
          <w:tcPr>
            <w:tcW w:w="300" w:type="dxa"/>
            <w:vAlign w:val="bottom"/>
            <w:shd w:val="clear" w:color="auto" w:fill="98B0CF"/>
          </w:tcPr>
          <w:p>
            <w:pPr>
              <w:spacing w:after="0"/>
              <w:rPr>
                <w:sz w:val="15"/>
                <w:szCs w:val="15"/>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6"/>
        </w:trPr>
        <w:tc>
          <w:tcPr>
            <w:tcW w:w="5000" w:type="dxa"/>
            <w:vAlign w:val="bottom"/>
            <w:tcBorders>
              <w:top w:val="single" w:sz="8" w:color="231F20"/>
            </w:tcBorders>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231F20"/>
            </w:tcBorders>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tcBorders>
              <w:top w:val="single" w:sz="8" w:color="98B0CF"/>
            </w:tcBorders>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80" w:type="dxa"/>
            <w:vAlign w:val="bottom"/>
            <w:tcBorders>
              <w:top w:val="single" w:sz="8" w:color="231F20"/>
            </w:tcBorders>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60" w:type="dxa"/>
            <w:vAlign w:val="bottom"/>
            <w:tcBorders>
              <w:top w:val="single" w:sz="8" w:color="231F20"/>
            </w:tcBorders>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r>
      <w:tr>
        <w:trPr>
          <w:trHeight w:val="216"/>
        </w:trPr>
        <w:tc>
          <w:tcPr>
            <w:tcW w:w="500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501.5</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166.9</w:t>
            </w:r>
          </w:p>
        </w:tc>
        <w:tc>
          <w:tcPr>
            <w:tcW w:w="5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r>
      <w:tr>
        <w:trPr>
          <w:trHeight w:val="203"/>
        </w:trPr>
        <w:tc>
          <w:tcPr>
            <w:tcW w:w="500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2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356.0</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1,036.4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798.2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r>
      <w:tr>
        <w:trPr>
          <w:trHeight w:val="210"/>
        </w:trPr>
        <w:tc>
          <w:tcPr>
            <w:tcW w:w="5000" w:type="dxa"/>
            <w:vAlign w:val="bottom"/>
            <w:shd w:val="clear" w:color="auto" w:fill="E2E8F1"/>
          </w:tcPr>
          <w:p>
            <w:pPr>
              <w:ind w:left="60"/>
              <w:spacing w:after="0" w:line="210" w:lineRule="exact"/>
              <w:rPr>
                <w:sz w:val="20"/>
                <w:szCs w:val="20"/>
                <w:color w:val="auto"/>
              </w:rPr>
            </w:pPr>
            <w:r>
              <w:rPr>
                <w:rFonts w:ascii="Arial" w:cs="Arial" w:eastAsia="Arial" w:hAnsi="Arial"/>
                <w:sz w:val="16"/>
                <w:szCs w:val="16"/>
                <w:color w:val="auto"/>
              </w:rPr>
              <w:t>Southern Europe:</w:t>
            </w:r>
            <w:r>
              <w:rPr>
                <w:rFonts w:ascii="Arial" w:cs="Arial" w:eastAsia="Arial" w:hAnsi="Arial"/>
                <w:sz w:val="21"/>
                <w:szCs w:val="21"/>
                <w:color w:val="auto"/>
                <w:vertAlign w:val="superscript"/>
              </w:rPr>
              <w:t>(b)</w:t>
            </w:r>
          </w:p>
        </w:tc>
        <w:tc>
          <w:tcPr>
            <w:tcW w:w="2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r>
      <w:tr>
        <w:trPr>
          <w:trHeight w:val="216"/>
        </w:trPr>
        <w:tc>
          <w:tcPr>
            <w:tcW w:w="500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404.3</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336.4</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E2E8F1"/>
          </w:tcPr>
          <w:p>
            <w:pPr>
              <w:spacing w:after="0"/>
              <w:rPr>
                <w:sz w:val="18"/>
                <w:szCs w:val="18"/>
                <w:color w:val="auto"/>
              </w:rPr>
            </w:pPr>
          </w:p>
        </w:tc>
      </w:tr>
      <w:tr>
        <w:trPr>
          <w:trHeight w:val="203"/>
        </w:trPr>
        <w:tc>
          <w:tcPr>
            <w:tcW w:w="500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477.7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412.8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r>
      <w:tr>
        <w:trPr>
          <w:trHeight w:val="196"/>
        </w:trPr>
        <w:tc>
          <w:tcPr>
            <w:tcW w:w="500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1,981.3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1,687.4</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09"/>
        </w:trPr>
        <w:tc>
          <w:tcPr>
            <w:tcW w:w="500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r>
      <w:tr>
        <w:trPr>
          <w:trHeight w:val="203"/>
        </w:trPr>
        <w:tc>
          <w:tcPr>
            <w:tcW w:w="500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535.1</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500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2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4,423.1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3,659.4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647.8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17"/>
                <w:szCs w:val="17"/>
                <w:color w:val="auto"/>
              </w:rPr>
            </w:pPr>
          </w:p>
        </w:tc>
      </w:tr>
      <w:tr>
        <w:trPr>
          <w:trHeight w:val="196"/>
        </w:trPr>
        <w:tc>
          <w:tcPr>
            <w:tcW w:w="500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24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(19.8)</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E2E8F1"/>
          </w:tcPr>
          <w:p>
            <w:pPr>
              <w:spacing w:after="0"/>
              <w:rPr>
                <w:sz w:val="17"/>
                <w:szCs w:val="17"/>
                <w:color w:val="auto"/>
              </w:rPr>
            </w:pPr>
          </w:p>
        </w:tc>
      </w:tr>
      <w:tr>
        <w:trPr>
          <w:trHeight w:val="20"/>
        </w:trPr>
        <w:tc>
          <w:tcPr>
            <w:tcW w:w="5000" w:type="dxa"/>
            <w:vAlign w:val="bottom"/>
            <w:shd w:val="clear" w:color="auto" w:fill="E2E8F1"/>
          </w:tcPr>
          <w:p>
            <w:pPr>
              <w:spacing w:after="0" w:line="20" w:lineRule="exact"/>
              <w:rPr>
                <w:sz w:val="1"/>
                <w:szCs w:val="1"/>
                <w:color w:val="auto"/>
              </w:rPr>
            </w:pPr>
          </w:p>
        </w:tc>
        <w:tc>
          <w:tcPr>
            <w:tcW w:w="24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83"/>
        </w:trPr>
        <w:tc>
          <w:tcPr>
            <w:tcW w:w="5000" w:type="dxa"/>
            <w:vAlign w:val="bottom"/>
          </w:tcPr>
          <w:p>
            <w:pPr>
              <w:spacing w:after="0"/>
              <w:rPr>
                <w:sz w:val="15"/>
                <w:szCs w:val="15"/>
                <w:color w:val="auto"/>
              </w:rPr>
            </w:pPr>
          </w:p>
        </w:tc>
        <w:tc>
          <w:tcPr>
            <w:tcW w:w="4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4,403.3</w:t>
            </w:r>
          </w:p>
        </w:tc>
        <w:tc>
          <w:tcPr>
            <w:tcW w:w="100" w:type="dxa"/>
            <w:vAlign w:val="bottom"/>
          </w:tcPr>
          <w:p>
            <w:pPr>
              <w:spacing w:after="0"/>
              <w:rPr>
                <w:sz w:val="15"/>
                <w:szCs w:val="15"/>
                <w:color w:val="auto"/>
              </w:rPr>
            </w:pPr>
          </w:p>
        </w:tc>
        <w:tc>
          <w:tcPr>
            <w:tcW w:w="580" w:type="dxa"/>
            <w:vAlign w:val="bottom"/>
            <w:gridSpan w:val="2"/>
          </w:tcPr>
          <w:p>
            <w:pPr>
              <w:jc w:val="right"/>
              <w:ind w:right="228"/>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3,639.6</w:t>
            </w:r>
          </w:p>
        </w:tc>
        <w:tc>
          <w:tcPr>
            <w:tcW w:w="120" w:type="dxa"/>
            <w:vAlign w:val="bottom"/>
          </w:tcPr>
          <w:p>
            <w:pPr>
              <w:spacing w:after="0"/>
              <w:rPr>
                <w:sz w:val="15"/>
                <w:szCs w:val="15"/>
                <w:color w:val="auto"/>
              </w:rPr>
            </w:pP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647.8</w:t>
            </w:r>
          </w:p>
        </w:tc>
        <w:tc>
          <w:tcPr>
            <w:tcW w:w="580" w:type="dxa"/>
            <w:vAlign w:val="bottom"/>
            <w:gridSpan w:val="3"/>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115.9</w:t>
            </w:r>
          </w:p>
        </w:tc>
        <w:tc>
          <w:tcPr>
            <w:tcW w:w="120" w:type="dxa"/>
            <w:vAlign w:val="bottom"/>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0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24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98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r>
      <w:tr>
        <w:trPr>
          <w:trHeight w:val="216"/>
        </w:trPr>
        <w:tc>
          <w:tcPr>
            <w:tcW w:w="500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(41.7)</w:t>
            </w:r>
          </w:p>
        </w:tc>
      </w:tr>
      <w:tr>
        <w:trPr>
          <w:trHeight w:val="203"/>
        </w:trPr>
        <w:tc>
          <w:tcPr>
            <w:tcW w:w="5000" w:type="dxa"/>
            <w:vAlign w:val="bottom"/>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(c)</w:t>
            </w:r>
          </w:p>
        </w:tc>
        <w:tc>
          <w:tcPr>
            <w:tcW w:w="24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(8.3)</w:t>
            </w:r>
          </w:p>
        </w:tc>
      </w:tr>
      <w:tr>
        <w:trPr>
          <w:trHeight w:val="209"/>
        </w:trPr>
        <w:tc>
          <w:tcPr>
            <w:tcW w:w="5000" w:type="dxa"/>
            <w:vAlign w:val="bottom"/>
            <w:tcBorders>
              <w:top w:val="single" w:sz="8" w:color="E2E8F1"/>
            </w:tcBorders>
          </w:tcPr>
          <w:p>
            <w:pPr>
              <w:ind w:left="240"/>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104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80" w:type="dxa"/>
            <w:vAlign w:val="bottom"/>
            <w:tcBorders>
              <w:top w:val="single" w:sz="8" w:color="E2E8F1"/>
            </w:tcBorders>
          </w:tcPr>
          <w:p>
            <w:pPr>
              <w:spacing w:after="0"/>
              <w:rPr>
                <w:sz w:val="18"/>
                <w:szCs w:val="18"/>
                <w:color w:val="auto"/>
              </w:rPr>
            </w:pPr>
          </w:p>
        </w:tc>
        <w:tc>
          <w:tcPr>
            <w:tcW w:w="86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114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top w:val="single" w:sz="8" w:color="E2E8F1"/>
            </w:tcBorders>
          </w:tcPr>
          <w:p>
            <w:pPr>
              <w:spacing w:after="0"/>
              <w:rPr>
                <w:sz w:val="18"/>
                <w:szCs w:val="18"/>
                <w:color w:val="auto"/>
              </w:rPr>
            </w:pPr>
          </w:p>
        </w:tc>
      </w:tr>
      <w:tr>
        <w:trPr>
          <w:trHeight w:val="203"/>
        </w:trPr>
        <w:tc>
          <w:tcPr>
            <w:tcW w:w="500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24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(8.4)</w:t>
            </w:r>
          </w:p>
        </w:tc>
      </w:tr>
      <w:tr>
        <w:trPr>
          <w:trHeight w:val="183"/>
        </w:trPr>
        <w:tc>
          <w:tcPr>
            <w:tcW w:w="5000" w:type="dxa"/>
            <w:vAlign w:val="bottom"/>
            <w:tcBorders>
              <w:top w:val="single" w:sz="8" w:color="E2E8F1"/>
            </w:tcBorders>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24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104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380" w:type="dxa"/>
            <w:vAlign w:val="bottom"/>
            <w:tcBorders>
              <w:top w:val="single" w:sz="8" w:color="E2E8F1"/>
            </w:tcBorders>
          </w:tcPr>
          <w:p>
            <w:pPr>
              <w:spacing w:after="0"/>
              <w:rPr>
                <w:sz w:val="15"/>
                <w:szCs w:val="15"/>
                <w:color w:val="auto"/>
              </w:rPr>
            </w:pPr>
          </w:p>
        </w:tc>
        <w:tc>
          <w:tcPr>
            <w:tcW w:w="86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1140" w:type="dxa"/>
            <w:vAlign w:val="bottom"/>
            <w:tcBorders>
              <w:top w:val="single" w:sz="8" w:color="E2E8F1"/>
            </w:tcBorders>
          </w:tcPr>
          <w:p>
            <w:pPr>
              <w:spacing w:after="0"/>
              <w:rPr>
                <w:sz w:val="15"/>
                <w:szCs w:val="15"/>
                <w:color w:val="auto"/>
              </w:rPr>
            </w:pPr>
          </w:p>
        </w:tc>
        <w:tc>
          <w:tcPr>
            <w:tcW w:w="280" w:type="dxa"/>
            <w:vAlign w:val="bottom"/>
            <w:tcBorders>
              <w:top w:val="single" w:sz="8" w:color="E2E8F1"/>
            </w:tcBorders>
            <w:gridSpan w:val="2"/>
          </w:tcPr>
          <w:p>
            <w:pPr>
              <w:spacing w:after="0"/>
              <w:rPr>
                <w:sz w:val="15"/>
                <w:szCs w:val="15"/>
                <w:color w:val="auto"/>
              </w:rPr>
            </w:pPr>
          </w:p>
        </w:tc>
        <w:tc>
          <w:tcPr>
            <w:tcW w:w="300" w:type="dxa"/>
            <w:vAlign w:val="bottom"/>
            <w:tcBorders>
              <w:top w:val="single" w:sz="8" w:color="auto"/>
              <w:bottom w:val="single" w:sz="8" w:color="231F20"/>
            </w:tcBorders>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231F20"/>
            </w:tcBorders>
          </w:tcPr>
          <w:p>
            <w:pPr>
              <w:jc w:val="right"/>
              <w:spacing w:after="0" w:line="169" w:lineRule="exact"/>
              <w:rPr>
                <w:sz w:val="20"/>
                <w:szCs w:val="20"/>
                <w:color w:val="auto"/>
              </w:rPr>
            </w:pPr>
            <w:r>
              <w:rPr>
                <w:rFonts w:ascii="Arial" w:cs="Arial" w:eastAsia="Arial" w:hAnsi="Arial"/>
                <w:sz w:val="16"/>
                <w:szCs w:val="16"/>
                <w:color w:val="auto"/>
              </w:rPr>
              <w:t>57.5</w:t>
            </w:r>
          </w:p>
        </w:tc>
        <w:tc>
          <w:tcPr>
            <w:tcW w:w="120" w:type="dxa"/>
            <w:vAlign w:val="bottom"/>
            <w:tcBorders>
              <w:top w:val="single" w:sz="8" w:color="E2E8F1"/>
            </w:tcBorders>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-2768600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-2768600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-2768600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-2768600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-2357120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-2357120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-2357120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-2357120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-1534160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-1534160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-1534160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-1534160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-1259840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-1259840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-1259840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-985520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-985520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3" w:lineRule="exact"/>
        <w:rPr>
          <w:sz w:val="20"/>
          <w:szCs w:val="20"/>
          <w:color w:val="auto"/>
        </w:rPr>
      </w:pPr>
    </w:p>
    <w:p>
      <w:pPr>
        <w:ind w:left="520" w:hanging="512"/>
        <w:spacing w:after="0" w:line="25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$2.4 for the three months ended March 31, 2024.</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20" w:hanging="512"/>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123" w:lineRule="exact"/>
        <w:rPr>
          <w:sz w:val="20"/>
          <w:szCs w:val="20"/>
          <w:color w:val="auto"/>
        </w:rPr>
      </w:pPr>
    </w:p>
    <w:p>
      <w:pPr>
        <w:ind w:right="920"/>
        <w:spacing w:after="0" w:line="255" w:lineRule="auto"/>
        <w:rPr>
          <w:sz w:val="20"/>
          <w:szCs w:val="20"/>
          <w:color w:val="auto"/>
        </w:rPr>
      </w:pPr>
      <w:r>
        <w:rPr>
          <w:rFonts w:ascii="Arial" w:cs="Arial" w:eastAsia="Arial" w:hAnsi="Arial"/>
          <w:sz w:val="25"/>
          <w:szCs w:val="25"/>
          <w:b w:val="1"/>
          <w:bCs w:val="1"/>
          <w:color w:val="5B89B4"/>
        </w:rPr>
        <w:t>Item 2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5B89B4"/>
        </w:rPr>
        <w:t>in millions, except share and per share data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financial measures section on page 26 for further information on the Non-GAAP financial measures of constant currency and organic constant currency.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Forward-Looking Statements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w:t>
      </w:r>
    </w:p>
    <w:p>
      <w:pPr>
        <w:spacing w:after="0" w:line="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Risk Factors in our annual report on Form 10-K for the year-ended December 31, 2024, which information is incorporated herein by reference. Such risks and uncertainties include, but are not limited to, volatile, negative or uncertain economic conditions, particularly in Europe and the United States, including inflation, global trade policies,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Business Overview</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continued to experience in the first quarter of 2025,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2025, we observed the continuation of a challenging environment in Europe and North America, while demand for our services in Latin America and Asia Pacific increased during the quarter. Employers are continuing their cautious approach with many employers retaining their current workforce, delaying hiring decisions or reducing their demand for contingent labor as they remain focused on managing the macro-economic and geopolitical challenges impacting their businesses, including the impact of recent tariff announcements. We believe many employers are still hesitant to increase their spend and expand their workforce until they perceive a significant improvement in economic outlook and greater certainty in trade policy. As a result of these factors, we expect the business environment will continue to be challenging, which could further negatively impact our operations in future periods.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first quarter of 2025, the United States dollar strengthened, on average, relative to the currencies in most of our markets, and overall had an unfavorable impact on our reported results. The changes in the foreign currency exchange rates had a -2.5% unfavorable impact on revenues from services and an approximately $ 0.01 per share unfavorable impact on net earnings per share – diluted in the quarter.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first quarter of 2025 compared to the first quarter of 2024, we experienced a 2.0% revenue increase in the Americas, primarily driven by an increase in demand for our Manpower staffing services and an increase in demand for Talent Based Outsourcing (TBO), partially offset by the unfavorable impact of currency exchange rates and a decrease in demand for our Experis interim services. During the first quarter of 2025 compared to the first quarter of 2024, we experienced a -7.4% revenue decrease in Southern Europe, primarily due to a decrease in demand for our Manpower and Experis staffing/interim services, the unfavorable impact of currency exchange rates and a decrease in demand for our permanent recruitment services. During the first quarter of 2025 compared to the first quarter of 2024, we experienced a -16.0% revenue decrease in Northern Europe, primarily due to a decrease in demand for our Manpower and Experis staffing/interim services, the unfavorable impact of currency exchange rates, a decrease in demand for our Experis solutions services and a decrease in demand for our permanent recruitment services. We experienced an -11.0% revenue decrease in APME in the first quarter of 2025 compared to the first quarter of 2024 primarily due to the disposition of our Korea business in 2024 which contributed to the decrease in revenue for our Manpower staffing and TBO services and the unfavorable impact of currency exchange rates.</w:t>
      </w:r>
    </w:p>
    <w:p>
      <w:pPr>
        <w:spacing w:after="0" w:line="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From a brand perspective, we experienced revenue decreases in Manpower, Experis and Talent Solutions in the first quarter of 2025 compared to the first quarter of 2024. In our Manpower brand, the revenue decrease was primarily due to decreased demand for staffing services. The revenue decrease in our Experis brand was primarily due to decreased demand for interim services, our Experis solutions services and our permanent recruitment services. On an overall basis, the revenue decrease in our Talent Solutions brand, which includes RPO, MSP and our Right Management offerings, was primarily due to a decrease in demand for our Right Management outplacement services.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first quarter of 2025, our gross profit margin decreased 20 basis points compared to the first quarter of 2024, primarily due to decreases in permanent recruitment, a decrease in staffing/interim margins, a decrease in Right Management outplacement activity, and the unfavorable effects of currency exchange rates, partially offset by the favorable impact from the wind down of our Proservia business in Germany in 2024.</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profit decreased 57.2% in the first quarter of 2025 and our operating profit margin decreased 80 basis points compared to the first quarter of 2024. Operating profit margin decreased primarily due to a decrease in gross profit margin and an increase in restructuring expense taken in the first quarter of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Three Months Ended March 31,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2025 as compared to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60" w:type="dxa"/>
            <w:vAlign w:val="bottom"/>
            <w:tcBorders>
              <w:top w:val="single" w:sz="8" w:color="auto"/>
            </w:tcBorders>
            <w:shd w:val="clear" w:color="auto" w:fill="98B0CF"/>
          </w:tcPr>
          <w:p>
            <w:pPr>
              <w:spacing w:after="0"/>
              <w:rPr>
                <w:sz w:val="14"/>
                <w:szCs w:val="14"/>
                <w:color w:val="auto"/>
              </w:rPr>
            </w:pPr>
          </w:p>
        </w:tc>
        <w:tc>
          <w:tcPr>
            <w:tcW w:w="1560" w:type="dxa"/>
            <w:vAlign w:val="bottom"/>
            <w:tcBorders>
              <w:top w:val="single" w:sz="8" w:color="auto"/>
            </w:tcBorders>
            <w:shd w:val="clear" w:color="auto" w:fill="98B0CF"/>
          </w:tcPr>
          <w:p>
            <w:pPr>
              <w:spacing w:after="0"/>
              <w:rPr>
                <w:sz w:val="14"/>
                <w:szCs w:val="14"/>
                <w:color w:val="auto"/>
              </w:rPr>
            </w:pPr>
          </w:p>
        </w:tc>
        <w:tc>
          <w:tcPr>
            <w:tcW w:w="240" w:type="dxa"/>
            <w:vAlign w:val="bottom"/>
            <w:tcBorders>
              <w:top w:val="single" w:sz="8" w:color="auto"/>
            </w:tcBorders>
            <w:shd w:val="clear" w:color="auto" w:fill="98B0CF"/>
          </w:tcPr>
          <w:p>
            <w:pPr>
              <w:spacing w:after="0"/>
              <w:rPr>
                <w:sz w:val="14"/>
                <w:szCs w:val="14"/>
                <w:color w:val="auto"/>
              </w:rPr>
            </w:pPr>
          </w:p>
        </w:tc>
        <w:tc>
          <w:tcPr>
            <w:tcW w:w="102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220" w:type="dxa"/>
            <w:vAlign w:val="bottom"/>
            <w:tcBorders>
              <w:top w:val="single" w:sz="8" w:color="auto"/>
            </w:tcBorders>
            <w:shd w:val="clear" w:color="auto" w:fill="98B0CF"/>
          </w:tcPr>
          <w:p>
            <w:pPr>
              <w:spacing w:after="0"/>
              <w:rPr>
                <w:sz w:val="14"/>
                <w:szCs w:val="14"/>
                <w:color w:val="auto"/>
              </w:rPr>
            </w:pPr>
          </w:p>
        </w:tc>
        <w:tc>
          <w:tcPr>
            <w:tcW w:w="1000" w:type="dxa"/>
            <w:vAlign w:val="bottom"/>
            <w:tcBorders>
              <w:top w:val="single" w:sz="8" w:color="auto"/>
            </w:tcBorders>
            <w:shd w:val="clear" w:color="auto" w:fill="98B0CF"/>
          </w:tcPr>
          <w:p>
            <w:pPr>
              <w:spacing w:after="0"/>
              <w:rPr>
                <w:sz w:val="14"/>
                <w:szCs w:val="14"/>
                <w:color w:val="auto"/>
              </w:rPr>
            </w:pPr>
          </w:p>
        </w:tc>
        <w:tc>
          <w:tcPr>
            <w:tcW w:w="1600" w:type="dxa"/>
            <w:vAlign w:val="bottom"/>
            <w:tcBorders>
              <w:top w:val="single" w:sz="8" w:color="auto"/>
            </w:tcBorders>
            <w:shd w:val="clear" w:color="auto" w:fill="98B0CF"/>
          </w:tcPr>
          <w:p>
            <w:pPr>
              <w:spacing w:after="0"/>
              <w:rPr>
                <w:sz w:val="14"/>
                <w:szCs w:val="14"/>
                <w:color w:val="auto"/>
              </w:rPr>
            </w:pPr>
          </w:p>
        </w:tc>
        <w:tc>
          <w:tcPr>
            <w:tcW w:w="1340" w:type="dxa"/>
            <w:vAlign w:val="bottom"/>
            <w:tcBorders>
              <w:top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4160" w:type="dxa"/>
            <w:vAlign w:val="bottom"/>
            <w:shd w:val="clear" w:color="auto" w:fill="98B0CF"/>
          </w:tcPr>
          <w:p>
            <w:pPr>
              <w:spacing w:after="0"/>
              <w:rPr>
                <w:sz w:val="14"/>
                <w:szCs w:val="14"/>
                <w:color w:val="auto"/>
              </w:rPr>
            </w:pPr>
          </w:p>
        </w:tc>
        <w:tc>
          <w:tcPr>
            <w:tcW w:w="1560" w:type="dxa"/>
            <w:vAlign w:val="bottom"/>
            <w:shd w:val="clear" w:color="auto" w:fill="98B0CF"/>
          </w:tcPr>
          <w:p>
            <w:pPr>
              <w:spacing w:after="0"/>
              <w:rPr>
                <w:sz w:val="14"/>
                <w:szCs w:val="14"/>
                <w:color w:val="auto"/>
              </w:rPr>
            </w:pPr>
          </w:p>
        </w:tc>
        <w:tc>
          <w:tcPr>
            <w:tcW w:w="24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1000" w:type="dxa"/>
            <w:vAlign w:val="bottom"/>
            <w:shd w:val="clear" w:color="auto" w:fill="98B0CF"/>
          </w:tcPr>
          <w:p>
            <w:pPr>
              <w:spacing w:after="0"/>
              <w:rPr>
                <w:sz w:val="14"/>
                <w:szCs w:val="14"/>
                <w:color w:val="auto"/>
              </w:rPr>
            </w:pPr>
          </w:p>
        </w:tc>
        <w:tc>
          <w:tcPr>
            <w:tcW w:w="1600" w:type="dxa"/>
            <w:vAlign w:val="bottom"/>
            <w:shd w:val="clear" w:color="auto" w:fill="98B0CF"/>
          </w:tcPr>
          <w:p>
            <w:pPr>
              <w:spacing w:after="0"/>
              <w:rPr>
                <w:sz w:val="14"/>
                <w:szCs w:val="14"/>
                <w:color w:val="auto"/>
              </w:rPr>
            </w:pPr>
          </w:p>
        </w:tc>
        <w:tc>
          <w:tcPr>
            <w:tcW w:w="134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16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56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600" w:type="dxa"/>
            <w:vAlign w:val="bottom"/>
            <w:tcBorders>
              <w:bottom w:val="single" w:sz="8" w:color="auto"/>
            </w:tcBorders>
            <w:shd w:val="clear" w:color="auto" w:fill="98B0CF"/>
          </w:tcPr>
          <w:p>
            <w:pPr>
              <w:jc w:val="right"/>
              <w:ind w:right="56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416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800" w:type="dxa"/>
            <w:vAlign w:val="bottom"/>
            <w:gridSpan w:val="2"/>
            <w:shd w:val="clear" w:color="auto" w:fill="E2E8F1"/>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4,090.3</w:t>
            </w:r>
          </w:p>
        </w:tc>
        <w:tc>
          <w:tcPr>
            <w:tcW w:w="320" w:type="dxa"/>
            <w:vAlign w:val="bottom"/>
            <w:gridSpan w:val="2"/>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4,403.3</w:t>
            </w:r>
          </w:p>
        </w:tc>
        <w:tc>
          <w:tcPr>
            <w:tcW w:w="16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(7.1)%</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(4.6)%</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Cost of services</w:t>
            </w:r>
          </w:p>
        </w:tc>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3,392.0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3,639.6</w:t>
            </w:r>
          </w:p>
        </w:tc>
        <w:tc>
          <w:tcPr>
            <w:tcW w:w="1600" w:type="dxa"/>
            <w:vAlign w:val="bottom"/>
          </w:tcPr>
          <w:p>
            <w:pPr>
              <w:jc w:val="right"/>
              <w:ind w:right="100"/>
              <w:spacing w:after="0"/>
              <w:rPr>
                <w:sz w:val="20"/>
                <w:szCs w:val="20"/>
                <w:color w:val="auto"/>
              </w:rPr>
            </w:pPr>
            <w:r>
              <w:rPr>
                <w:rFonts w:ascii="Arial" w:cs="Arial" w:eastAsia="Arial" w:hAnsi="Arial"/>
                <w:sz w:val="16"/>
                <w:szCs w:val="16"/>
                <w:color w:val="auto"/>
              </w:rPr>
              <w:t>(6.8)%</w:t>
            </w: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3"/>
        </w:trPr>
        <w:tc>
          <w:tcPr>
            <w:tcW w:w="416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Gross profit</w:t>
            </w:r>
          </w:p>
        </w:tc>
        <w:tc>
          <w:tcPr>
            <w:tcW w:w="156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698.3</w:t>
            </w:r>
          </w:p>
        </w:tc>
        <w:tc>
          <w:tcPr>
            <w:tcW w:w="10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763.7</w:t>
            </w:r>
          </w:p>
        </w:tc>
        <w:tc>
          <w:tcPr>
            <w:tcW w:w="16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(8.6)%</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(6.2)%</w:t>
            </w:r>
          </w:p>
        </w:tc>
      </w:tr>
      <w:tr>
        <w:trPr>
          <w:trHeight w:val="189"/>
        </w:trPr>
        <w:tc>
          <w:tcPr>
            <w:tcW w:w="4160" w:type="dxa"/>
            <w:vAlign w:val="bottom"/>
          </w:tcPr>
          <w:p>
            <w:pPr>
              <w:ind w:left="120"/>
              <w:spacing w:after="0"/>
              <w:rPr>
                <w:sz w:val="20"/>
                <w:szCs w:val="20"/>
                <w:color w:val="auto"/>
              </w:rPr>
            </w:pPr>
            <w:r>
              <w:rPr>
                <w:rFonts w:ascii="Arial" w:cs="Arial" w:eastAsia="Arial" w:hAnsi="Arial"/>
                <w:sz w:val="16"/>
                <w:szCs w:val="16"/>
                <w:i w:val="1"/>
                <w:iCs w:val="1"/>
                <w:color w:val="auto"/>
              </w:rPr>
              <w:t>Gross profit margin</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17.3%</w:t>
            </w: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16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Selling and administrative expenses</w:t>
            </w:r>
          </w:p>
        </w:tc>
        <w:tc>
          <w:tcPr>
            <w:tcW w:w="1560" w:type="dxa"/>
            <w:vAlign w:val="bottom"/>
            <w:tcBorders>
              <w:bottom w:val="single" w:sz="8" w:color="E2E8F1"/>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670.1</w:t>
            </w:r>
          </w:p>
        </w:tc>
        <w:tc>
          <w:tcPr>
            <w:tcW w:w="100" w:type="dxa"/>
            <w:vAlign w:val="bottom"/>
            <w:tcBorders>
              <w:bottom w:val="single" w:sz="8" w:color="E2E8F1"/>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697.8</w:t>
            </w:r>
          </w:p>
        </w:tc>
        <w:tc>
          <w:tcPr>
            <w:tcW w:w="1600" w:type="dxa"/>
            <w:vAlign w:val="bottom"/>
            <w:tcBorders>
              <w:bottom w:val="single" w:sz="8" w:color="E2E8F1"/>
            </w:tcBorders>
            <w:shd w:val="clear" w:color="auto" w:fill="E2E8F1"/>
          </w:tcPr>
          <w:p>
            <w:pPr>
              <w:jc w:val="right"/>
              <w:ind w:right="100"/>
              <w:spacing w:after="0"/>
              <w:rPr>
                <w:sz w:val="20"/>
                <w:szCs w:val="20"/>
                <w:color w:val="auto"/>
              </w:rPr>
            </w:pPr>
            <w:r>
              <w:rPr>
                <w:rFonts w:ascii="Arial" w:cs="Arial" w:eastAsia="Arial" w:hAnsi="Arial"/>
                <w:sz w:val="16"/>
                <w:szCs w:val="16"/>
                <w:color w:val="auto"/>
              </w:rPr>
              <w:t>(4.0)%</w:t>
            </w:r>
          </w:p>
        </w:tc>
        <w:tc>
          <w:tcPr>
            <w:tcW w:w="134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4160" w:type="dxa"/>
            <w:vAlign w:val="bottom"/>
          </w:tcPr>
          <w:p>
            <w:pPr>
              <w:ind w:left="120"/>
              <w:spacing w:after="0" w:line="183" w:lineRule="exact"/>
              <w:rPr>
                <w:sz w:val="20"/>
                <w:szCs w:val="20"/>
                <w:color w:val="auto"/>
              </w:rPr>
            </w:pPr>
            <w:r>
              <w:rPr>
                <w:rFonts w:ascii="Arial" w:cs="Arial" w:eastAsia="Arial" w:hAnsi="Arial"/>
                <w:sz w:val="16"/>
                <w:szCs w:val="16"/>
                <w:color w:val="auto"/>
              </w:rPr>
              <w:t>Operating profit</w:t>
            </w: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28.2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65.9</w:t>
            </w:r>
          </w:p>
        </w:tc>
        <w:tc>
          <w:tcPr>
            <w:tcW w:w="160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(57.2)%</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(52.6)%</w:t>
            </w:r>
          </w:p>
        </w:tc>
      </w:tr>
      <w:tr>
        <w:trPr>
          <w:trHeight w:val="189"/>
        </w:trPr>
        <w:tc>
          <w:tcPr>
            <w:tcW w:w="4160" w:type="dxa"/>
            <w:vAlign w:val="bottom"/>
            <w:shd w:val="clear" w:color="auto" w:fill="E2E8F1"/>
          </w:tcPr>
          <w:p>
            <w:pPr>
              <w:ind w:left="120"/>
              <w:spacing w:after="0"/>
              <w:rPr>
                <w:sz w:val="20"/>
                <w:szCs w:val="20"/>
                <w:color w:val="auto"/>
              </w:rPr>
            </w:pPr>
            <w:r>
              <w:rPr>
                <w:rFonts w:ascii="Arial" w:cs="Arial" w:eastAsia="Arial" w:hAnsi="Arial"/>
                <w:sz w:val="16"/>
                <w:szCs w:val="16"/>
                <w:i w:val="1"/>
                <w:iCs w:val="1"/>
                <w:color w:val="auto"/>
              </w:rPr>
              <w:t>Operating profit margin</w:t>
            </w:r>
          </w:p>
        </w:tc>
        <w:tc>
          <w:tcPr>
            <w:tcW w:w="156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0.7%</w:t>
            </w:r>
          </w:p>
        </w:tc>
        <w:tc>
          <w:tcPr>
            <w:tcW w:w="10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1.5%</w:t>
            </w:r>
          </w:p>
        </w:tc>
        <w:tc>
          <w:tcPr>
            <w:tcW w:w="1600" w:type="dxa"/>
            <w:vAlign w:val="bottom"/>
            <w:shd w:val="clear" w:color="auto" w:fill="E2E8F1"/>
          </w:tcPr>
          <w:p>
            <w:pPr>
              <w:spacing w:after="0"/>
              <w:rPr>
                <w:sz w:val="16"/>
                <w:szCs w:val="16"/>
                <w:color w:val="auto"/>
              </w:rPr>
            </w:pPr>
          </w:p>
        </w:tc>
        <w:tc>
          <w:tcPr>
            <w:tcW w:w="1340" w:type="dxa"/>
            <w:vAlign w:val="bottom"/>
            <w:shd w:val="clear" w:color="auto" w:fill="E2E8F1"/>
          </w:tcPr>
          <w:p>
            <w:pPr>
              <w:spacing w:after="0"/>
              <w:rPr>
                <w:sz w:val="16"/>
                <w:szCs w:val="16"/>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8.4</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37.0%</w:t>
            </w:r>
          </w:p>
        </w:tc>
        <w:tc>
          <w:tcPr>
            <w:tcW w:w="1340" w:type="dxa"/>
            <w:vAlign w:val="bottom"/>
          </w:tcPr>
          <w:p>
            <w:pPr>
              <w:spacing w:after="0"/>
              <w:rPr>
                <w:sz w:val="16"/>
                <w:szCs w:val="16"/>
                <w:color w:val="auto"/>
              </w:rPr>
            </w:pPr>
          </w:p>
        </w:tc>
      </w:tr>
      <w:tr>
        <w:trPr>
          <w:trHeight w:val="183"/>
        </w:trPr>
        <w:tc>
          <w:tcPr>
            <w:tcW w:w="4160" w:type="dxa"/>
            <w:vAlign w:val="bottom"/>
            <w:shd w:val="clear" w:color="auto" w:fill="E2E8F1"/>
          </w:tcPr>
          <w:p>
            <w:pPr>
              <w:ind w:left="120"/>
              <w:spacing w:after="0" w:line="183" w:lineRule="exact"/>
              <w:rPr>
                <w:sz w:val="20"/>
                <w:szCs w:val="20"/>
                <w:color w:val="auto"/>
              </w:rPr>
            </w:pPr>
            <w:r>
              <w:rPr>
                <w:rFonts w:ascii="Arial" w:cs="Arial" w:eastAsia="Arial" w:hAnsi="Arial"/>
                <w:sz w:val="16"/>
                <w:szCs w:val="16"/>
                <w:color w:val="auto"/>
              </w:rPr>
              <w:t>Earnings before income taxes</w:t>
            </w:r>
          </w:p>
        </w:tc>
        <w:tc>
          <w:tcPr>
            <w:tcW w:w="156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16.7</w:t>
            </w:r>
          </w:p>
        </w:tc>
        <w:tc>
          <w:tcPr>
            <w:tcW w:w="100" w:type="dxa"/>
            <w:vAlign w:val="bottom"/>
            <w:shd w:val="clear" w:color="auto" w:fill="E2E8F1"/>
          </w:tcPr>
          <w:p>
            <w:pPr>
              <w:spacing w:after="0"/>
              <w:rPr>
                <w:sz w:val="15"/>
                <w:szCs w:val="15"/>
                <w:color w:val="auto"/>
              </w:rPr>
            </w:pPr>
          </w:p>
        </w:tc>
        <w:tc>
          <w:tcPr>
            <w:tcW w:w="22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57.5</w:t>
            </w:r>
          </w:p>
        </w:tc>
        <w:tc>
          <w:tcPr>
            <w:tcW w:w="160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(70.9)%</w:t>
            </w:r>
          </w:p>
        </w:tc>
        <w:tc>
          <w:tcPr>
            <w:tcW w:w="13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(67.9)%</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17.8</w:t>
            </w:r>
          </w:p>
        </w:tc>
        <w:tc>
          <w:tcPr>
            <w:tcW w:w="1600" w:type="dxa"/>
            <w:vAlign w:val="bottom"/>
          </w:tcPr>
          <w:p>
            <w:pPr>
              <w:jc w:val="right"/>
              <w:ind w:right="100"/>
              <w:spacing w:after="0"/>
              <w:rPr>
                <w:sz w:val="20"/>
                <w:szCs w:val="20"/>
                <w:color w:val="auto"/>
              </w:rPr>
            </w:pPr>
            <w:r>
              <w:rPr>
                <w:rFonts w:ascii="Arial" w:cs="Arial" w:eastAsia="Arial" w:hAnsi="Arial"/>
                <w:sz w:val="16"/>
                <w:szCs w:val="16"/>
                <w:color w:val="auto"/>
              </w:rPr>
              <w:t>(37.2)%</w:t>
            </w:r>
          </w:p>
        </w:tc>
        <w:tc>
          <w:tcPr>
            <w:tcW w:w="1340" w:type="dxa"/>
            <w:vAlign w:val="bottom"/>
          </w:tcPr>
          <w:p>
            <w:pPr>
              <w:spacing w:after="0"/>
              <w:rPr>
                <w:sz w:val="16"/>
                <w:szCs w:val="16"/>
                <w:color w:val="auto"/>
              </w:rPr>
            </w:pPr>
          </w:p>
        </w:tc>
      </w:tr>
      <w:tr>
        <w:trPr>
          <w:trHeight w:val="189"/>
        </w:trPr>
        <w:tc>
          <w:tcPr>
            <w:tcW w:w="416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1560" w:type="dxa"/>
            <w:vAlign w:val="bottom"/>
            <w:tcBorders>
              <w:bottom w:val="single" w:sz="8" w:color="E2E8F1"/>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66.8%</w:t>
            </w:r>
          </w:p>
        </w:tc>
        <w:tc>
          <w:tcPr>
            <w:tcW w:w="100" w:type="dxa"/>
            <w:vAlign w:val="bottom"/>
            <w:tcBorders>
              <w:bottom w:val="single" w:sz="8" w:color="E2E8F1"/>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31.0%</w:t>
            </w:r>
          </w:p>
        </w:tc>
        <w:tc>
          <w:tcPr>
            <w:tcW w:w="1600" w:type="dxa"/>
            <w:vAlign w:val="bottom"/>
            <w:tcBorders>
              <w:bottom w:val="single" w:sz="8" w:color="E2E8F1"/>
            </w:tcBorders>
            <w:shd w:val="clear" w:color="auto" w:fill="E2E8F1"/>
          </w:tcPr>
          <w:p>
            <w:pPr>
              <w:spacing w:after="0"/>
              <w:rPr>
                <w:sz w:val="16"/>
                <w:szCs w:val="16"/>
                <w:color w:val="auto"/>
              </w:rPr>
            </w:pPr>
          </w:p>
        </w:tc>
        <w:tc>
          <w:tcPr>
            <w:tcW w:w="1340" w:type="dxa"/>
            <w:vAlign w:val="bottom"/>
            <w:tcBorders>
              <w:bottom w:val="single" w:sz="8" w:color="E2E8F1"/>
            </w:tcBorders>
            <w:shd w:val="clear" w:color="auto" w:fill="E2E8F1"/>
          </w:tcPr>
          <w:p>
            <w:pPr>
              <w:spacing w:after="0"/>
              <w:rPr>
                <w:sz w:val="16"/>
                <w:szCs w:val="16"/>
                <w:color w:val="auto"/>
              </w:rPr>
            </w:pPr>
          </w:p>
        </w:tc>
      </w:tr>
      <w:tr>
        <w:trPr>
          <w:trHeight w:val="183"/>
        </w:trPr>
        <w:tc>
          <w:tcPr>
            <w:tcW w:w="4160" w:type="dxa"/>
            <w:vAlign w:val="bottom"/>
          </w:tcPr>
          <w:p>
            <w:pPr>
              <w:ind w:left="120"/>
              <w:spacing w:after="0" w:line="169" w:lineRule="exact"/>
              <w:rPr>
                <w:sz w:val="20"/>
                <w:szCs w:val="20"/>
                <w:color w:val="auto"/>
              </w:rPr>
            </w:pPr>
            <w:r>
              <w:rPr>
                <w:rFonts w:ascii="Arial" w:cs="Arial" w:eastAsia="Arial" w:hAnsi="Arial"/>
                <w:sz w:val="16"/>
                <w:szCs w:val="16"/>
                <w:color w:val="auto"/>
              </w:rPr>
              <w:t>Net earnings</w:t>
            </w:r>
          </w:p>
        </w:tc>
        <w:tc>
          <w:tcPr>
            <w:tcW w:w="180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5.6</w:t>
            </w:r>
          </w:p>
        </w:tc>
        <w:tc>
          <w:tcPr>
            <w:tcW w:w="32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39.7</w:t>
            </w:r>
          </w:p>
        </w:tc>
        <w:tc>
          <w:tcPr>
            <w:tcW w:w="160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(86.0)%</w:t>
            </w:r>
          </w:p>
        </w:tc>
        <w:tc>
          <w:tcPr>
            <w:tcW w:w="1340" w:type="dxa"/>
            <w:vAlign w:val="bottom"/>
          </w:tcPr>
          <w:p>
            <w:pPr>
              <w:jc w:val="right"/>
              <w:spacing w:after="0" w:line="169" w:lineRule="exact"/>
              <w:rPr>
                <w:sz w:val="20"/>
                <w:szCs w:val="20"/>
                <w:color w:val="auto"/>
              </w:rPr>
            </w:pPr>
            <w:r>
              <w:rPr>
                <w:rFonts w:ascii="Arial" w:cs="Arial" w:eastAsia="Arial" w:hAnsi="Arial"/>
                <w:sz w:val="16"/>
                <w:szCs w:val="16"/>
                <w:color w:val="auto"/>
              </w:rPr>
              <w:t>(84.6)%</w:t>
            </w:r>
          </w:p>
        </w:tc>
      </w:tr>
      <w:tr>
        <w:trPr>
          <w:trHeight w:val="20"/>
        </w:trPr>
        <w:tc>
          <w:tcPr>
            <w:tcW w:w="4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0"/>
        </w:trPr>
        <w:tc>
          <w:tcPr>
            <w:tcW w:w="416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earnings per share – diluted</w:t>
            </w:r>
          </w:p>
        </w:tc>
        <w:tc>
          <w:tcPr>
            <w:tcW w:w="1800" w:type="dxa"/>
            <w:vAlign w:val="bottom"/>
            <w:gridSpan w:val="2"/>
            <w:shd w:val="clear" w:color="auto" w:fill="E2E8F1"/>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0.12</w:t>
            </w:r>
          </w:p>
        </w:tc>
        <w:tc>
          <w:tcPr>
            <w:tcW w:w="320" w:type="dxa"/>
            <w:vAlign w:val="bottom"/>
            <w:gridSpan w:val="2"/>
            <w:shd w:val="clear" w:color="auto" w:fill="E2E8F1"/>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0.81</w:t>
            </w:r>
          </w:p>
        </w:tc>
        <w:tc>
          <w:tcPr>
            <w:tcW w:w="160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(85.5)%</w:t>
            </w:r>
          </w:p>
        </w:tc>
        <w:tc>
          <w:tcPr>
            <w:tcW w:w="1340" w:type="dxa"/>
            <w:vAlign w:val="bottom"/>
            <w:shd w:val="clear" w:color="auto" w:fill="E2E8F1"/>
          </w:tcPr>
          <w:p>
            <w:pPr>
              <w:jc w:val="right"/>
              <w:spacing w:after="0" w:line="169" w:lineRule="exact"/>
              <w:rPr>
                <w:sz w:val="20"/>
                <w:szCs w:val="20"/>
                <w:color w:val="auto"/>
              </w:rPr>
            </w:pPr>
            <w:r>
              <w:rPr>
                <w:rFonts w:ascii="Arial" w:cs="Arial" w:eastAsia="Arial" w:hAnsi="Arial"/>
                <w:sz w:val="16"/>
                <w:szCs w:val="16"/>
                <w:color w:val="auto"/>
              </w:rPr>
              <w:t>(84.0)%</w:t>
            </w:r>
          </w:p>
        </w:tc>
      </w:tr>
      <w:tr>
        <w:trPr>
          <w:trHeight w:val="169"/>
        </w:trPr>
        <w:tc>
          <w:tcPr>
            <w:tcW w:w="416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1560" w:type="dxa"/>
            <w:vAlign w:val="bottom"/>
            <w:tcBorders>
              <w:top w:val="single" w:sz="8" w:color="E2E8F1"/>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47.3</w:t>
            </w:r>
          </w:p>
        </w:tc>
        <w:tc>
          <w:tcPr>
            <w:tcW w:w="100" w:type="dxa"/>
            <w:vAlign w:val="bottom"/>
            <w:tcBorders>
              <w:top w:val="single" w:sz="8" w:color="E2E8F1"/>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48.9</w:t>
            </w:r>
          </w:p>
        </w:tc>
        <w:tc>
          <w:tcPr>
            <w:tcW w:w="1600" w:type="dxa"/>
            <w:vAlign w:val="bottom"/>
            <w:tcBorders>
              <w:top w:val="single" w:sz="8" w:color="E2E8F1"/>
            </w:tcBorders>
          </w:tcPr>
          <w:p>
            <w:pPr>
              <w:jc w:val="right"/>
              <w:ind w:right="100"/>
              <w:spacing w:after="0" w:line="169" w:lineRule="exact"/>
              <w:rPr>
                <w:sz w:val="20"/>
                <w:szCs w:val="20"/>
                <w:color w:val="auto"/>
              </w:rPr>
            </w:pPr>
            <w:r>
              <w:rPr>
                <w:rFonts w:ascii="Arial" w:cs="Arial" w:eastAsia="Arial" w:hAnsi="Arial"/>
                <w:sz w:val="16"/>
                <w:szCs w:val="16"/>
                <w:color w:val="auto"/>
              </w:rPr>
              <w:t>(3.3)%</w:t>
            </w:r>
          </w:p>
        </w:tc>
        <w:tc>
          <w:tcPr>
            <w:tcW w:w="1340" w:type="dxa"/>
            <w:vAlign w:val="bottom"/>
            <w:tcBorders>
              <w:top w:val="single" w:sz="8" w:color="E2E8F1"/>
            </w:tcBorders>
          </w:tcPr>
          <w:p>
            <w:pPr>
              <w:spacing w:after="0"/>
              <w:rPr>
                <w:sz w:val="14"/>
                <w:szCs w:val="14"/>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-1182370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-445135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-445135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-153670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-153670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year-over-year decrease in revenues from services of -7.1% (-4.6% in constant currency and -2.4% in organic constant currency) was attributed to:</w:t>
      </w:r>
    </w:p>
    <w:p>
      <w:pPr>
        <w:spacing w:after="0" w:line="19" w:lineRule="exact"/>
        <w:rPr>
          <w:sz w:val="20"/>
          <w:szCs w:val="20"/>
          <w:color w:val="auto"/>
        </w:rPr>
      </w:pPr>
    </w:p>
    <w:p>
      <w:pPr>
        <w:jc w:val="both"/>
        <w:ind w:left="540" w:hanging="308"/>
        <w:spacing w:after="0" w:line="243" w:lineRule="auto"/>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the Americas of 2.0% (5.3% in constant currency) primarily driven by a $70.5 increase in demand for our Manpower staffing services and a $4.4 increase in demand for TBO, partially offset by the $34.6 unfavorable impact of currency exchange rates and a $15.2 decrease in demand for our Experis interim services. The United States, our largest market in the Americas, experienced a revenue increase of 1.2% primarily driven by an $11.7 increase in demand for our Manpower and Experis staffing/interim services, partially offset by a $3.1 decrease in demand for our Right Management outplacement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23" w:lineRule="exact"/>
        <w:rPr>
          <w:sz w:val="20"/>
          <w:szCs w:val="20"/>
          <w:color w:val="auto"/>
        </w:rPr>
      </w:pPr>
    </w:p>
    <w:p>
      <w:pPr>
        <w:jc w:val="both"/>
        <w:ind w:left="540" w:hanging="308"/>
        <w:spacing w:after="0" w:line="239"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Southern Europe of -7.4% (-4.8% in constant currency and -4.0% in organic constant currency) primarily driven by a $97.5 decrease in demand for our Manpower and Experis staffing/interim services, the $52.1 unfavorable impact of currency exchange rates and a $4.2 decrease in demand for our permanent recruitment services. France, the largest market in Southern Europe, experienced a revenue decrease of -12.2% (-9.5% in constant currency) primarily driven by a $99.9 decrease in demand for our Manpower staffing services, the $29.5 unfavorable impact of currency exchange rates and a $3.2 decrease in demand for our permanent recruitment services. Italy, our second-largest market in Southern Europe, experienced a revenue decrease of -1.6% (increase of 1.4% in constant currency) primarily driven by the $12.1 unfavorable impact of currency exchange rates, partially offset by a $3.5 increase in demand for our Manpower and Experis consulting services and a $1.6 increase in demand for our Manpower and Experis staffing/interim services;</w:t>
      </w:r>
    </w:p>
    <w:p>
      <w:pPr>
        <w:spacing w:after="0" w:line="47" w:lineRule="exact"/>
        <w:rPr>
          <w:rFonts w:ascii="Times New Roman" w:cs="Times New Roman" w:eastAsia="Times New Roman" w:hAnsi="Times New Roman"/>
          <w:sz w:val="18"/>
          <w:szCs w:val="18"/>
          <w:color w:val="5B89B4"/>
        </w:rPr>
      </w:pPr>
    </w:p>
    <w:p>
      <w:pPr>
        <w:jc w:val="both"/>
        <w:ind w:left="540" w:hanging="308"/>
        <w:spacing w:after="0" w:line="242"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Northern Europe of -16.0% (-14.3% in constant currency) primarily driven by a $109.5 decrease in demand for our Manpower and Experis staffing/interim services, the $15.1 unfavorable impact of currency exchange rates, a $9.6 decrease in demand for our Experis solutions services and a $6.6 decrease in demand for our permanent recruitment services. Within our Northern Europe segment, we experienced revenue decreases in the United Kingdom of $49.9, the Nordics of $28.8, Germany of $40.2, the Netherlands of $10.2 and Belgium of $5.9, which represented revenue decreases of -16.4%, -17.1%, -30.3%, -10.7% and -7.9%, respectively (-16.0%, -14.0%, -28.2%, -7.9% and -5.1%, respectively, in constant currency); and</w:t>
      </w:r>
    </w:p>
    <w:p>
      <w:pPr>
        <w:spacing w:after="0" w:line="56" w:lineRule="exact"/>
        <w:rPr>
          <w:rFonts w:ascii="Times New Roman" w:cs="Times New Roman" w:eastAsia="Times New Roman" w:hAnsi="Times New Roman"/>
          <w:sz w:val="18"/>
          <w:szCs w:val="18"/>
          <w:color w:val="5B89B4"/>
        </w:rPr>
      </w:pPr>
    </w:p>
    <w:p>
      <w:pPr>
        <w:jc w:val="both"/>
        <w:ind w:left="540" w:hanging="308"/>
        <w:spacing w:after="0" w:line="246"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decrease in APME of -11.0% (-9.2% in constant currency and an increase of 7.3% in organic constant currency) primarily driven by the disposition and franchising of our Korea business in 2024 which contributed to the $27.5 decrease in revenues for our Manpower staffing services, a $26.0 decrease in revenues for TBO and the $9.4 unfavorable impact of currency exchange rates, partially offset by revenue increases in Japan of $11.5 and India of $5.5.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decrease in gross profit margin was primarily attributed to:</w:t>
      </w:r>
    </w:p>
    <w:p>
      <w:pPr>
        <w:spacing w:after="0" w:line="90" w:lineRule="exact"/>
        <w:rPr>
          <w:sz w:val="20"/>
          <w:szCs w:val="20"/>
          <w:color w:val="auto"/>
        </w:rPr>
      </w:pPr>
    </w:p>
    <w:p>
      <w:pPr>
        <w:ind w:left="540" w:right="20" w:hanging="308"/>
        <w:spacing w:after="0" w:line="270" w:lineRule="auto"/>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decreases in permanent recruitment, including Talent Solutions RPO, as permanent hiring activity in the first quarter decreased year over year;</w:t>
      </w:r>
    </w:p>
    <w:p>
      <w:pPr>
        <w:spacing w:after="0" w:line="1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the decrease in staffing/interim margins, mix shifts and lower bench utilization in select countries while pricing remained stable;</w:t>
      </w:r>
    </w:p>
    <w:p>
      <w:pPr>
        <w:spacing w:after="0" w:line="32"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from Right Management career transition within Talent Solutions as outplacement activity decreased year over year; and</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due to decreases in our TBO business; partially offset by</w:t>
      </w:r>
    </w:p>
    <w:p>
      <w:pPr>
        <w:spacing w:after="0" w:line="8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5"/>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increase due to the impact of the wind down of our Proservia business in Germany.</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-4.0% decrease in selling and administrative expenses in the first quarter of 2025 (-1.9% in constant currency and -0.6% in organic constant currency) was primarily attributed to:</w:t>
      </w:r>
    </w:p>
    <w:p>
      <w:pPr>
        <w:spacing w:after="0" w:line="32" w:lineRule="exact"/>
        <w:rPr>
          <w:sz w:val="20"/>
          <w:szCs w:val="20"/>
          <w:color w:val="auto"/>
        </w:rPr>
      </w:pPr>
    </w:p>
    <w:p>
      <w:pPr>
        <w:jc w:val="both"/>
        <w:ind w:left="540" w:hanging="308"/>
        <w:spacing w:after="0" w:line="252" w:lineRule="auto"/>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$19.3, or -6.5% decrease (-4.2% in constant currency and -3.2% in organic constant currency) in personnel costs primarily due to a $7.9 decrease in bonuses and sales commission costs and a $6.3 decrease in salaries as we saw the effects of restructuring actions taken in 2024 and 2023;</w:t>
      </w:r>
    </w:p>
    <w:p>
      <w:pPr>
        <w:spacing w:after="0" w:line="4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$14.8, or -1.2% decrease due to the impact of changes in currency exchange rates; and</w:t>
      </w:r>
    </w:p>
    <w:p>
      <w:pPr>
        <w:spacing w:after="0" w:line="89" w:lineRule="exact"/>
        <w:rPr>
          <w:rFonts w:ascii="Times New Roman" w:cs="Times New Roman" w:eastAsia="Times New Roman" w:hAnsi="Times New Roman"/>
          <w:sz w:val="18"/>
          <w:szCs w:val="18"/>
          <w:color w:val="5B89B4"/>
        </w:rPr>
      </w:pPr>
    </w:p>
    <w:p>
      <w:pPr>
        <w:jc w:val="both"/>
        <w:ind w:left="540" w:hanging="308"/>
        <w:spacing w:after="0" w:line="252" w:lineRule="auto"/>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a $5.3, or -5.2% decrease (-2.8% in constant currency and -1.0% in organic constant currency) in non-personnel costs primarily due to a $3.3 reduction in other office related costs as well as broader cost-cutting measures implemented during the quarter which impacted multiple expense streams; partially offset by</w:t>
      </w:r>
    </w:p>
    <w:p>
      <w:pPr>
        <w:spacing w:after="0" w:line="4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6"/>
        </w:numPr>
        <w:rPr>
          <w:rFonts w:ascii="Times New Roman" w:cs="Times New Roman" w:eastAsia="Times New Roman" w:hAnsi="Times New Roman"/>
          <w:sz w:val="18"/>
          <w:szCs w:val="18"/>
          <w:color w:val="5B89B4"/>
        </w:rPr>
      </w:pPr>
      <w:r>
        <w:rPr>
          <w:rFonts w:ascii="Arial" w:cs="Arial" w:eastAsia="Arial" w:hAnsi="Arial"/>
          <w:sz w:val="18"/>
          <w:szCs w:val="18"/>
          <w:color w:val="auto"/>
        </w:rPr>
        <w:t>$15.8 of restructuring costs, incurred in the first quarter of 2025 compared to zero in the first quarter of 2024.</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increased 50 basis points in the first quarter of 2025 compared to the first quarter of 2024 due primarily to:</w:t>
      </w:r>
    </w:p>
    <w:p>
      <w:pPr>
        <w:spacing w:after="0" w:line="32" w:lineRule="exact"/>
        <w:rPr>
          <w:sz w:val="20"/>
          <w:szCs w:val="20"/>
          <w:color w:val="auto"/>
        </w:rPr>
      </w:pPr>
    </w:p>
    <w:p>
      <w:pPr>
        <w:ind w:left="540" w:hanging="308"/>
        <w:spacing w:after="0" w:line="270" w:lineRule="auto"/>
        <w:tabs>
          <w:tab w:leader="none" w:pos="540" w:val="left"/>
        </w:tabs>
        <w:numPr>
          <w:ilvl w:val="0"/>
          <w:numId w:val="27"/>
        </w:numPr>
        <w:rPr>
          <w:rFonts w:ascii="Times New Roman" w:cs="Times New Roman" w:eastAsia="Times New Roman" w:hAnsi="Times New Roman"/>
          <w:sz w:val="18"/>
          <w:szCs w:val="18"/>
          <w:color w:val="5B89B4"/>
        </w:rPr>
      </w:pPr>
      <w:r>
        <w:rPr>
          <w:rFonts w:ascii="Arial" w:cs="Arial" w:eastAsia="Arial" w:hAnsi="Arial"/>
          <w:sz w:val="18"/>
          <w:szCs w:val="18"/>
          <w:color w:val="auto"/>
        </w:rPr>
        <w:t>a 40 basis point unfavorable impact as a result of the increase in restructuring costs incurred in the first quarter of 2025 compared to the first quarter of 2024; and</w:t>
      </w:r>
    </w:p>
    <w:p>
      <w:pPr>
        <w:spacing w:after="0" w:line="19"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7"/>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unfavorable impact as personnel costs increased as a percent of revenues primarily due to salaries.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$15.6 in the first quarter of 2025 compared to $12.3 in the first quarter of 2024 primarily due to increased revolver and other short-term borrowings during the period. Foreign exchange loss, net was $0.9 in the first quarter of 2025 compared to $2.4 in the first quarter of 2024 primarily due to a reduction in foreign currency exchange losses year over year. Miscellaneous income, net was $5.0 in the first quarter of 2025 compared to $6.3 in the first quarter of 2024.</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66.8% for the three months ended March 31, 2025, as compared to an effective rate of 31.0% for the three months ended March 31, 2024. The 2025 rate was unfavorably impacted by the lower level and overall mix of earnings, restructuring costs recorded in the quarter, and the 2025 enacted one-time French exceptional corporate income tax surcharge. The 66.8% effective tax rate for the three months ended March 31, 2025 was higher than the United States Federal statutory rate of 21% primarily due to the overall mix of earnings, tax losses in certain countries for which we did not recognize a corresponding tax benefit due to valuation allowances, the French exceptional corporate income tax surcharge, and the French business tax.</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earnings per share - diluted was $0.12 in the first quarter of 2025 compared to $0.81 in the first quarter of 2024. Restructuring costs unfavorably impacted net earnings per share - diluted by approximately $0.26, net of tax, in the first quarter of 2025. The 2025 enacted one-time French exceptional corporate income tax surcharge and overall mix of earnings unfavorably impacted net earnings per share - diluted by $0.04 and $0.02, respectively, in the first quarter of 2025.</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Weighted average shares - diluted decreased to 47.3 million in the first quarter of 2025 from 48.9 million in the first quarter of 2024. This decrease was due to the impact of share repurchases completed since the first quarter of 2024, partially offset by grants of share-based awards.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Segment Operating Results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Americas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Americas, revenues from services increased 2.0% (5.3% in constant currency) in the first quarter of 2025 compared to the first quarter of 2024. In the United States (which represents 65% of the Americas' revenues), revenues from services increased 1.2% in the first quarter of 2025 compared to the first quarter of 2024, primarily driven by a $16.0 increase in demand for our Manpower staffing services, partially offset by a $3.1 decrease in demand for our Right Management outplacement services. In Other Americas, revenues from services increased 3.3% (13.1% in constant currency) in the first quarter of 2025 compared to the first quarter of 2024, primarily driven by a $47.0 increase in demand for our Manpower and Experis staffing/interim services and a $4.4 increase in demand for TBO, partially offset by the $34.6 unfavorable impact of foreign currency exchange rates. The constant currency increase in Other Americas was primarily due to inflation in Argentina. Within our Other Americas segment, we experienced an increase in Argentina of $9.3, or 33.9% (69.5% in constant currency), partially offset by decreases in Canada and Mexico of $11.3, or -14.6%, and $11.6, or -17.6%, respectively (-9.2% and -0.9%, respectively, in constant currency).</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160 basis points in the first quarter of 2025 compared to the first quarter of 2024. This decrease was primarily due to decreased margins in our Experis interim services, which contributed 110 basis points to the decrease, decreased activity in our Right Management outplacement business, which contributed 30 basis points to the decrease, and decreased activity in our permanent recruitment business, which contributed 20 basis points to the decrease.</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Selling and administrative expenses decreased -5.2% (-2.9% in constant currency) in the first quarter of 2025 compared to the first quarter of 2024, primarily driven by the $4.9 favorable impact of currency exchange rates and a $3.6 decrease in bonuses and sales commissions.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Unit Profit (“OUP”) decreased -2.4% (increase of 2.0% in constant currency) in the first quarter of 2025, which represents a 2.4% OUP margin, a decrease from 2.5% in the first quarter of 2024. This OUP decrease was primarily due to decreased profitability in our United States business of $0.6, which experienced decreased demand in our higher-margin Experis interim services. In the United States, OUP margin decreased to 1.6% in the first quarter of 2025 from 1.8% in the first quarter of 2024 primarily due to decreased margins in our staffing/interim business, partially offset by a decrease in our selling and administrative expenses as a percent of revenue. Other Americas OUP margin decreased to 3.9% in the first quarter of 2025 from 4.0% in the first quarter of 2024 primarily due to a decrease in our selling and administrative expenses as a percent of revenue, partially offset by decreased activity in our higher-margin permanent recruitment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Southern Europe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decreased -7.4% ( -4.8% in constant currency and -4.0% in organic constant currency) in the first quarter of 2025 compared to the first quarter of 2024. In France (which represents 53% of Southern Europe’s revenues), revenues from services decreased -12.2% (-9.5% in constant currency) in the first quarter of 2025 compared to the first quarter of 2024, primarily driven by a $99.9 decrease in demand for our Manpower staffing services, the $29.5 unfavorable impact of currency exchange rates and a $3.2 decrease in demand for our permanent recruitment services. In Italy (which represents 22% of Southern Europe’s revenues), revenues from services decreased -1.6% (increase of 1.4% in constant currency) in the first quarter of 2025 compared to the first quarter of 2024, primarily driven by the $12.1 unfavorable impact of currency exchange rates, partially offset by a $3.5 increase in demand for our Manpower and Experis consulting services, and a $1.6 increase in demand for our Manpower and Experis staffing/interim services. In Other Southern Europe, revenues from services decreased -1.5% (increase of 0.7% in constant currency and 4.1% in organic constant currency) in the first quarter of 2025 compared to the first quarter of 2024, primarily due to the $10.4 unfavorable impact of currency exchange rates and a $2.5 decrease in demand for our Experis interim services, partially offset by a $ 4.4 increase in demand for our Manpower staffing services. Within our Other Southern Europe segment, we experienced a revenue increase in Spain of $12.8, or 11.6% (15.1% in constant currency), partially offset by a revenue decrease in Switzerland of $20.8, or -19.3% (-17.1% in constant currency).</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20 basis points in the first quarter of 2025 compared to the first quarter of 2024. This decrease was primarily due to decreased activity in our higher margin Experis interim services, which contributed 20 basis points to the decrease, and a decrease of activity in our permanent recruitment services, which contributed 10 basis points to the decrease. These decreases were partially offset by increased demand in our higher-margin Manpower consulting services, which had a 10 basis point impact.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decreased -2.7% (increase of 0.1% in constant currency and 1.1% in organic constant currency) during the first quarter of 2025 compared to the first quarter of 2024, primarily due to the $6.2 favorable impact of currency exchange rates and a decrease of $4.7 to bonuses and sales commissions and other personnel costs, partially offset by the $3.5 of restructuring costs incurred in the first quarter of 2025.</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OUP decreased -28.2% (-26.4% in constant currency and -26.9% in organic constant currency), in the first quarter of 2025, which represents a 2.7% OUP margin, a decrease from 3.5% in the first quarter of 2024. This OUP decrease was primarily due to decreased profitability in the France reporting unit of $ 11.7. In France, the OUP margin decreased to 2.2% for the first quarter of 2025 compared to 3.0% for the first quarter of 2024, primarily driven by increases to selling and administrative expenses as a percent of revenue. In Italy, the OUP margin decreased to 6.2% for the first quarter of 2025 compared to 6.8% for the first quarter of 2024 primarily due to a decrease in gross profit margin as we saw decreased activity in our higher-margin permanent recruitment services. In Other Southern Europe, the OUP margin decreased to 1.0% for the first quarter of 2025 from 2.1% for the first quarter of 2024 primarily due to decreased activity in higher-margin permanent recruitment services, as noted above, and an increase in our selling and administrative expenses as a percent of revenue.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Northern Europe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Northern Europe, the largest country operations include the United Kingdom, the Nordics, Germany, the Netherlands and Belgium (comprising 35%, 19%, 13%, 12% and 9%, respectively, of Northern Europe’s revenues). In the Northern Europe region, revenues from services decreased -16.0% (-14.3% in constant currency) in the first quarter of 2025 compared to the first quarter of 2024, primarily driven by a $109.5 decrease in demand for our Manpower and Experis staffing/interim services, the $15.1 unfavorable impact of currency exchange rates, a $9.6 decrease in demand for our Experis solutions services and a $6.6 decrease in demand for our permanent recruitment services. Within our Northern Europe segment, we experienced revenue decreases in the United Kingdom of $49.9, the Nordics of $28.8, Germany of $40.2, the Netherlands of $10.2 and Belgium of $5.9, which represented revenue decreases of -16.4%, -17.1%, -30.3%, -10.7% and -7.9%, respectively (-16.0%, -14.0%, -28.2%, -7.9% and -5.1%, respectively, in constant currency)</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margin increased by 10 basis points in the first quarter of 2025 compared to the first quarter of 2024. The increase was primarily due to a shift in business mix towards our higher-margin Right Management outplacement and MSP services, which contributed 50 basis points to the increase and increased margins in our Experis solutions services, which contributed 30 basis points to the increase. These contributions were partially offset by a decrease in our staffing/interim margins, which had a 50 basis point impact and decreased activity in our higher-margin permanent recruitment business, which had a 20 basis point impact.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-3.5% (-1.5% in constant currency) in the first quarter of 2025 compared to the first quarter of 2024. The decrease is primarily driven by a $7.9 decrease in salary-related costs as we experience the impacts of significant restructuring actions taken in 2024 and 2023. This decrease was partially offset by $12.3 in restructuring costs incurred in the first quarter of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5" w:name="page26"/>
    <w:bookmarkEnd w:id="25"/>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Northern Europe decreased $18.3 (reported and constant currency variances are not meaningful) in the first quarter of 2025, which represents a -2.5% OUP margin, a decrease from 0.0% in the first quarter of 2024. This OUP decrease was primarily driven by an OUP decrease in United Kingdom of $10.4. The OUP margin decrease was primarily driven by an increase in selling and administrative expenses as a percent of revenue.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APME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services decreased -11.0% (-9.2% in constant currency and an increase of 7.3% in organic constant currency) in the first quarter of 2025 compared to the first quarter of 2024 primarily driven by the Korea disposition and franchising. In Japan (which represents 60% of APME’s revenues), revenues from services increased 4.2% (6.9% in constant currency), primarily driven by a $16.0 increase in demand for our Manpower and Experis staffing/interim services, partially offset by the $7.2 unfavorable impact of currency exchange rates. In India (which represents 14% of APME’s revenues), revenues from services increased 9.2% (13.8% in constant currency), primarily driven by a $7.4 increase in demand for our Manpower and Experis staffing/interim services, partially offset by the $2.8 unfavorable impact of currency exchange rates.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increased by 120 basis points in the first quarter of 2025 compared to the first quarter of 2024, primarily due to increased margins for our staffing/interim services, which contributed 140 basis points to the increase, and franchise fees, which contributed 20 basis points to the increase. The increase was partially offset by decreased activity in our Right Management outplacement business, which decreased 40 basis points.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decreased -5.5% (-3.5% in constant currency and an increase of 7.1% in organic constant currency) in the first quarter of 2025 compared to the first quarter of 2024. The decrease is primarily due to a $1.6 reduction in other office related costs and the $1.3 favorable impact of currency exchange rates.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OUP in APME increased 1.0% (2.9% in constant currency and 14.1% in organic constant currency) in the first quarter of 2025, which represents a 4.2% OUP margin, an increase from 3.7% in the first quarter of 2024. This OUP margin increase was primarily driven by increased activity and gross profit margin improvements in our staffing/interim services, as noted above, partially offset by an increase in selling and administrative expenses as percent of revenue.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Financial Measures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Constant Currency and Organic Constant Currency Reconciliation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4660" w:type="dxa"/>
            <w:vAlign w:val="bottom"/>
            <w:tcBorders>
              <w:top w:val="single" w:sz="8" w:color="auto"/>
              <w:bottom w:val="single" w:sz="8" w:color="auto"/>
            </w:tcBorders>
            <w:gridSpan w:val="4"/>
            <w:shd w:val="clear" w:color="auto" w:fill="98B0CF"/>
          </w:tcPr>
          <w:p>
            <w:pPr>
              <w:jc w:val="right"/>
              <w:ind w:right="328"/>
              <w:spacing w:after="0"/>
              <w:rPr>
                <w:sz w:val="20"/>
                <w:szCs w:val="20"/>
                <w:color w:val="auto"/>
              </w:rPr>
            </w:pPr>
            <w:r>
              <w:rPr>
                <w:rFonts w:ascii="Arial" w:cs="Arial" w:eastAsia="Arial" w:hAnsi="Arial"/>
                <w:sz w:val="14"/>
                <w:szCs w:val="14"/>
                <w:b w:val="1"/>
                <w:bCs w:val="1"/>
                <w:color w:val="auto"/>
              </w:rPr>
              <w:t>Three Months Ended March 31, 2025, Compared to 2024</w:t>
            </w:r>
          </w:p>
        </w:tc>
        <w:tc>
          <w:tcPr>
            <w:tcW w:w="112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446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780" w:type="dxa"/>
            <w:vAlign w:val="bottom"/>
            <w:shd w:val="clear" w:color="auto" w:fill="98B0CF"/>
          </w:tcPr>
          <w:p>
            <w:pPr>
              <w:spacing w:after="0"/>
              <w:rPr>
                <w:sz w:val="12"/>
                <w:szCs w:val="12"/>
                <w:color w:val="auto"/>
              </w:rPr>
            </w:pPr>
          </w:p>
        </w:tc>
        <w:tc>
          <w:tcPr>
            <w:tcW w:w="1240" w:type="dxa"/>
            <w:vAlign w:val="bottom"/>
            <w:shd w:val="clear" w:color="auto" w:fill="98B0CF"/>
          </w:tcPr>
          <w:p>
            <w:pPr>
              <w:spacing w:after="0"/>
              <w:rPr>
                <w:sz w:val="12"/>
                <w:szCs w:val="12"/>
                <w:color w:val="auto"/>
              </w:rPr>
            </w:pPr>
          </w:p>
        </w:tc>
        <w:tc>
          <w:tcPr>
            <w:tcW w:w="1120" w:type="dxa"/>
            <w:vAlign w:val="bottom"/>
            <w:shd w:val="clear" w:color="auto" w:fill="98B0CF"/>
          </w:tcPr>
          <w:p>
            <w:pPr>
              <w:spacing w:after="0"/>
              <w:rPr>
                <w:sz w:val="12"/>
                <w:szCs w:val="12"/>
                <w:color w:val="auto"/>
              </w:rPr>
            </w:pPr>
          </w:p>
        </w:tc>
        <w:tc>
          <w:tcPr>
            <w:tcW w:w="110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68"/>
              <w:spacing w:after="0" w:line="147" w:lineRule="exact"/>
              <w:rPr>
                <w:sz w:val="20"/>
                <w:szCs w:val="20"/>
                <w:color w:val="auto"/>
              </w:rPr>
            </w:pPr>
            <w:r>
              <w:rPr>
                <w:rFonts w:ascii="Arial" w:cs="Arial" w:eastAsia="Arial" w:hAnsi="Arial"/>
                <w:sz w:val="14"/>
                <w:szCs w:val="14"/>
                <w:b w:val="1"/>
                <w:bCs w:val="1"/>
                <w:color w:val="auto"/>
              </w:rPr>
              <w:t>Impact of</w:t>
            </w:r>
          </w:p>
        </w:tc>
        <w:tc>
          <w:tcPr>
            <w:tcW w:w="1120" w:type="dxa"/>
            <w:vAlign w:val="bottom"/>
            <w:shd w:val="clear" w:color="auto" w:fill="98B0CF"/>
          </w:tcPr>
          <w:p>
            <w:pPr>
              <w:spacing w:after="0"/>
              <w:rPr>
                <w:sz w:val="12"/>
                <w:szCs w:val="12"/>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Acquisition</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and</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Disposition</w:t>
            </w:r>
          </w:p>
        </w:tc>
        <w:tc>
          <w:tcPr>
            <w:tcW w:w="1120" w:type="dxa"/>
            <w:vAlign w:val="bottom"/>
            <w:shd w:val="clear" w:color="auto" w:fill="98B0CF"/>
          </w:tcPr>
          <w:p>
            <w:pPr>
              <w:spacing w:after="0"/>
              <w:rPr>
                <w:sz w:val="14"/>
                <w:szCs w:val="14"/>
                <w:color w:val="auto"/>
              </w:rPr>
            </w:pP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spacing w:after="0"/>
              <w:rPr>
                <w:sz w:val="14"/>
                <w:szCs w:val="14"/>
                <w:color w:val="auto"/>
              </w:rPr>
            </w:pPr>
          </w:p>
        </w:tc>
        <w:tc>
          <w:tcPr>
            <w:tcW w:w="1200" w:type="dxa"/>
            <w:vAlign w:val="bottom"/>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s</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Organic</w:t>
            </w: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780" w:type="dxa"/>
            <w:vAlign w:val="bottom"/>
            <w:shd w:val="clear" w:color="auto" w:fill="98B0CF"/>
          </w:tcPr>
          <w:p>
            <w:pPr>
              <w:spacing w:after="0"/>
              <w:rPr>
                <w:sz w:val="14"/>
                <w:szCs w:val="14"/>
                <w:color w:val="auto"/>
              </w:rPr>
            </w:pPr>
          </w:p>
        </w:tc>
        <w:tc>
          <w:tcPr>
            <w:tcW w:w="1240" w:type="dxa"/>
            <w:vAlign w:val="bottom"/>
            <w:shd w:val="clear" w:color="auto" w:fill="98B0CF"/>
          </w:tcPr>
          <w:p>
            <w:pPr>
              <w:spacing w:after="0"/>
              <w:rPr>
                <w:sz w:val="14"/>
                <w:szCs w:val="14"/>
                <w:color w:val="auto"/>
              </w:rPr>
            </w:pPr>
          </w:p>
        </w:tc>
        <w:tc>
          <w:tcPr>
            <w:tcW w:w="1120" w:type="dxa"/>
            <w:vAlign w:val="bottom"/>
            <w:shd w:val="clear" w:color="auto" w:fill="98B0CF"/>
          </w:tcPr>
          <w:p>
            <w:pPr>
              <w:spacing w:after="0"/>
              <w:rPr>
                <w:sz w:val="14"/>
                <w:szCs w:val="14"/>
                <w:color w:val="auto"/>
              </w:rPr>
            </w:pPr>
          </w:p>
        </w:tc>
        <w:tc>
          <w:tcPr>
            <w:tcW w:w="110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Constant</w:t>
            </w:r>
          </w:p>
        </w:tc>
        <w:tc>
          <w:tcPr>
            <w:tcW w:w="1200" w:type="dxa"/>
            <w:vAlign w:val="bottom"/>
            <w:shd w:val="clear" w:color="auto" w:fill="98B0CF"/>
          </w:tcPr>
          <w:p>
            <w:pPr>
              <w:jc w:val="center"/>
              <w:ind w:right="228"/>
              <w:spacing w:after="0"/>
              <w:rPr>
                <w:sz w:val="20"/>
                <w:szCs w:val="20"/>
                <w:color w:val="auto"/>
              </w:rPr>
            </w:pPr>
            <w:r>
              <w:rPr>
                <w:rFonts w:ascii="Arial" w:cs="Arial" w:eastAsia="Arial" w:hAnsi="Arial"/>
                <w:sz w:val="14"/>
                <w:szCs w:val="14"/>
                <w:b w:val="1"/>
                <w:bCs w:val="1"/>
                <w:color w:val="auto"/>
              </w:rPr>
              <w:t>(In</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4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880" w:type="dxa"/>
            <w:vAlign w:val="bottom"/>
            <w:gridSpan w:val="2"/>
            <w:shd w:val="clear" w:color="auto" w:fill="98B0CF"/>
          </w:tcPr>
          <w:p>
            <w:pPr>
              <w:jc w:val="right"/>
              <w:ind w:right="108"/>
              <w:spacing w:after="0"/>
              <w:rPr>
                <w:sz w:val="20"/>
                <w:szCs w:val="20"/>
                <w:color w:val="auto"/>
              </w:rPr>
            </w:pPr>
            <w:r>
              <w:rPr>
                <w:rFonts w:ascii="Arial" w:cs="Arial" w:eastAsia="Arial" w:hAnsi="Arial"/>
                <w:sz w:val="14"/>
                <w:szCs w:val="14"/>
                <w:b w:val="1"/>
                <w:bCs w:val="1"/>
                <w:color w:val="auto"/>
              </w:rPr>
              <w:t>Reported</w:t>
            </w:r>
          </w:p>
        </w:tc>
        <w:tc>
          <w:tcPr>
            <w:tcW w:w="1240" w:type="dxa"/>
            <w:vAlign w:val="bottom"/>
            <w:shd w:val="clear" w:color="auto" w:fill="98B0CF"/>
          </w:tcPr>
          <w:p>
            <w:pPr>
              <w:jc w:val="right"/>
              <w:ind w:right="328"/>
              <w:spacing w:after="0"/>
              <w:rPr>
                <w:sz w:val="20"/>
                <w:szCs w:val="20"/>
                <w:color w:val="auto"/>
              </w:rPr>
            </w:pPr>
            <w:r>
              <w:rPr>
                <w:rFonts w:ascii="Arial" w:cs="Arial" w:eastAsia="Arial" w:hAnsi="Arial"/>
                <w:sz w:val="14"/>
                <w:szCs w:val="14"/>
                <w:b w:val="1"/>
                <w:bCs w:val="1"/>
                <w:color w:val="auto"/>
              </w:rPr>
              <w:t>Reported</w:t>
            </w:r>
          </w:p>
        </w:tc>
        <w:tc>
          <w:tcPr>
            <w:tcW w:w="1120" w:type="dxa"/>
            <w:vAlign w:val="bottom"/>
            <w:shd w:val="clear" w:color="auto" w:fill="98B0CF"/>
          </w:tcPr>
          <w:p>
            <w:pPr>
              <w:jc w:val="right"/>
              <w:ind w:right="308"/>
              <w:spacing w:after="0"/>
              <w:rPr>
                <w:sz w:val="20"/>
                <w:szCs w:val="20"/>
                <w:color w:val="auto"/>
              </w:rPr>
            </w:pPr>
            <w:r>
              <w:rPr>
                <w:rFonts w:ascii="Arial" w:cs="Arial" w:eastAsia="Arial" w:hAnsi="Arial"/>
                <w:sz w:val="14"/>
                <w:szCs w:val="14"/>
                <w:b w:val="1"/>
                <w:bCs w:val="1"/>
                <w:color w:val="auto"/>
              </w:rPr>
              <w:t>Impact of</w:t>
            </w:r>
          </w:p>
        </w:tc>
        <w:tc>
          <w:tcPr>
            <w:tcW w:w="1100" w:type="dxa"/>
            <w:vAlign w:val="bottom"/>
            <w:shd w:val="clear" w:color="auto" w:fill="98B0CF"/>
          </w:tcPr>
          <w:p>
            <w:pPr>
              <w:ind w:left="120"/>
              <w:spacing w:after="0"/>
              <w:rPr>
                <w:sz w:val="20"/>
                <w:szCs w:val="20"/>
                <w:color w:val="auto"/>
              </w:rPr>
            </w:pPr>
            <w:r>
              <w:rPr>
                <w:rFonts w:ascii="Arial" w:cs="Arial" w:eastAsia="Arial" w:hAnsi="Arial"/>
                <w:sz w:val="14"/>
                <w:szCs w:val="14"/>
                <w:b w:val="1"/>
                <w:bCs w:val="1"/>
                <w:color w:val="auto"/>
              </w:rPr>
              <w:t>Currency</w:t>
            </w:r>
          </w:p>
        </w:tc>
        <w:tc>
          <w:tcPr>
            <w:tcW w:w="1200" w:type="dxa"/>
            <w:vAlign w:val="bottom"/>
            <w:shd w:val="clear" w:color="auto" w:fill="98B0CF"/>
          </w:tcPr>
          <w:p>
            <w:pPr>
              <w:jc w:val="center"/>
              <w:ind w:right="188"/>
              <w:spacing w:after="0"/>
              <w:rPr>
                <w:sz w:val="20"/>
                <w:szCs w:val="20"/>
                <w:color w:val="auto"/>
              </w:rPr>
            </w:pPr>
            <w:r>
              <w:rPr>
                <w:rFonts w:ascii="Arial" w:cs="Arial" w:eastAsia="Arial" w:hAnsi="Arial"/>
                <w:sz w:val="14"/>
                <w:szCs w:val="14"/>
                <w:b w:val="1"/>
                <w:bCs w:val="1"/>
                <w:color w:val="auto"/>
              </w:rPr>
              <w:t>Constant</w:t>
            </w:r>
          </w:p>
        </w:tc>
        <w:tc>
          <w:tcPr>
            <w:tcW w:w="112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446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780" w:type="dxa"/>
            <w:vAlign w:val="bottom"/>
            <w:tcBorders>
              <w:bottom w:val="single" w:sz="8" w:color="auto"/>
            </w:tcBorders>
            <w:shd w:val="clear" w:color="auto" w:fill="98B0CF"/>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bottom w:val="single" w:sz="8" w:color="auto"/>
            </w:tcBorders>
            <w:shd w:val="clear" w:color="auto" w:fill="98B0CF"/>
          </w:tcPr>
          <w:p>
            <w:pPr>
              <w:jc w:val="right"/>
              <w:ind w:right="348"/>
              <w:spacing w:after="0"/>
              <w:rPr>
                <w:sz w:val="20"/>
                <w:szCs w:val="20"/>
                <w:color w:val="auto"/>
              </w:rPr>
            </w:pPr>
            <w:r>
              <w:rPr>
                <w:rFonts w:ascii="Arial" w:cs="Arial" w:eastAsia="Arial" w:hAnsi="Arial"/>
                <w:sz w:val="14"/>
                <w:szCs w:val="14"/>
                <w:b w:val="1"/>
                <w:bCs w:val="1"/>
                <w:color w:val="auto"/>
              </w:rPr>
              <w:t>Variance</w:t>
            </w:r>
          </w:p>
        </w:tc>
        <w:tc>
          <w:tcPr>
            <w:tcW w:w="1120" w:type="dxa"/>
            <w:vAlign w:val="bottom"/>
            <w:tcBorders>
              <w:bottom w:val="single" w:sz="8" w:color="auto"/>
            </w:tcBorders>
            <w:shd w:val="clear" w:color="auto" w:fill="98B0CF"/>
          </w:tcPr>
          <w:p>
            <w:pPr>
              <w:jc w:val="right"/>
              <w:ind w:right="308"/>
              <w:spacing w:after="0"/>
              <w:rPr>
                <w:sz w:val="20"/>
                <w:szCs w:val="20"/>
                <w:color w:val="auto"/>
              </w:rPr>
            </w:pPr>
            <w:r>
              <w:rPr>
                <w:rFonts w:ascii="Arial" w:cs="Arial" w:eastAsia="Arial" w:hAnsi="Arial"/>
                <w:sz w:val="14"/>
                <w:szCs w:val="14"/>
                <w:b w:val="1"/>
                <w:bCs w:val="1"/>
                <w:color w:val="auto"/>
              </w:rPr>
              <w:t>Currency</w:t>
            </w:r>
          </w:p>
        </w:tc>
        <w:tc>
          <w:tcPr>
            <w:tcW w:w="1100" w:type="dxa"/>
            <w:vAlign w:val="bottom"/>
            <w:tcBorders>
              <w:bottom w:val="single" w:sz="8" w:color="auto"/>
            </w:tcBorders>
            <w:shd w:val="clear" w:color="auto" w:fill="98B0CF"/>
          </w:tcPr>
          <w:p>
            <w:pPr>
              <w:ind w:left="14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shd w:val="clear" w:color="auto" w:fill="98B0CF"/>
          </w:tcPr>
          <w:p>
            <w:pPr>
              <w:jc w:val="center"/>
              <w:ind w:right="168"/>
              <w:spacing w:after="0"/>
              <w:rPr>
                <w:sz w:val="20"/>
                <w:szCs w:val="20"/>
                <w:color w:val="auto"/>
              </w:rPr>
            </w:pPr>
            <w:r>
              <w:rPr>
                <w:rFonts w:ascii="Arial" w:cs="Arial" w:eastAsia="Arial" w:hAnsi="Arial"/>
                <w:sz w:val="14"/>
                <w:szCs w:val="14"/>
                <w:b w:val="1"/>
                <w:bCs w:val="1"/>
                <w:color w:val="auto"/>
              </w:rPr>
              <w:t>Currency)</w:t>
            </w:r>
          </w:p>
        </w:tc>
        <w:tc>
          <w:tcPr>
            <w:tcW w:w="1120" w:type="dxa"/>
            <w:vAlign w:val="bottom"/>
            <w:tcBorders>
              <w:bottom w:val="single" w:sz="8" w:color="auto"/>
            </w:tcBorders>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Variance</w:t>
            </w:r>
          </w:p>
        </w:tc>
      </w:tr>
      <w:tr>
        <w:trPr>
          <w:trHeight w:val="156"/>
        </w:trPr>
        <w:tc>
          <w:tcPr>
            <w:tcW w:w="446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80" w:type="dxa"/>
            <w:vAlign w:val="bottom"/>
            <w:shd w:val="clear" w:color="auto" w:fill="E2E8F1"/>
          </w:tcPr>
          <w:p>
            <w:pPr>
              <w:spacing w:after="0"/>
              <w:rPr>
                <w:sz w:val="13"/>
                <w:szCs w:val="13"/>
                <w:color w:val="auto"/>
              </w:rPr>
            </w:pPr>
          </w:p>
        </w:tc>
        <w:tc>
          <w:tcPr>
            <w:tcW w:w="124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Americas: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460" w:type="dxa"/>
            <w:vAlign w:val="bottom"/>
            <w:shd w:val="clear" w:color="auto" w:fill="E2E8F1"/>
          </w:tcPr>
          <w:p>
            <w:pPr>
              <w:ind w:left="100"/>
              <w:spacing w:after="0"/>
              <w:rPr>
                <w:sz w:val="20"/>
                <w:szCs w:val="20"/>
                <w:color w:val="auto"/>
              </w:rPr>
            </w:pPr>
            <w:r>
              <w:rPr>
                <w:rFonts w:ascii="Arial" w:cs="Arial" w:eastAsia="Arial" w:hAnsi="Arial"/>
                <w:sz w:val="14"/>
                <w:szCs w:val="14"/>
                <w:color w:val="auto"/>
              </w:rPr>
              <w:t>United States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688.8</w:t>
            </w:r>
          </w:p>
        </w:tc>
        <w:tc>
          <w:tcPr>
            <w:tcW w:w="1240" w:type="dxa"/>
            <w:vAlign w:val="bottom"/>
            <w:shd w:val="clear" w:color="auto" w:fill="E2E8F1"/>
          </w:tcPr>
          <w:p>
            <w:pPr>
              <w:jc w:val="right"/>
              <w:ind w:right="88"/>
              <w:spacing w:after="0"/>
              <w:rPr>
                <w:sz w:val="20"/>
                <w:szCs w:val="20"/>
                <w:color w:val="auto"/>
              </w:rPr>
            </w:pPr>
            <w:r>
              <w:rPr>
                <w:rFonts w:ascii="Arial" w:cs="Arial" w:eastAsia="Arial" w:hAnsi="Arial"/>
                <w:sz w:val="14"/>
                <w:szCs w:val="14"/>
                <w:color w:val="auto"/>
              </w:rPr>
              <w:t>1.2%</w:t>
            </w:r>
          </w:p>
        </w:tc>
        <w:tc>
          <w:tcPr>
            <w:tcW w:w="1120" w:type="dxa"/>
            <w:vAlign w:val="bottom"/>
            <w:shd w:val="clear" w:color="auto" w:fill="E2E8F1"/>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1.2%</w:t>
            </w:r>
          </w:p>
        </w:tc>
        <w:tc>
          <w:tcPr>
            <w:tcW w:w="120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r>
      <w:tr>
        <w:trPr>
          <w:trHeight w:val="162"/>
        </w:trPr>
        <w:tc>
          <w:tcPr>
            <w:tcW w:w="4460" w:type="dxa"/>
            <w:vAlign w:val="bottom"/>
          </w:tcPr>
          <w:p>
            <w:pPr>
              <w:ind w:left="100"/>
              <w:spacing w:after="0"/>
              <w:rPr>
                <w:sz w:val="20"/>
                <w:szCs w:val="20"/>
                <w:color w:val="auto"/>
              </w:rPr>
            </w:pPr>
            <w:r>
              <w:rPr>
                <w:rFonts w:ascii="Arial" w:cs="Arial" w:eastAsia="Arial" w:hAnsi="Arial"/>
                <w:sz w:val="14"/>
                <w:szCs w:val="14"/>
                <w:color w:val="auto"/>
              </w:rPr>
              <w:t>Other Americas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367.9</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55"/>
        </w:trPr>
        <w:tc>
          <w:tcPr>
            <w:tcW w:w="44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1,056.7</w:t>
            </w:r>
          </w:p>
        </w:tc>
        <w:tc>
          <w:tcPr>
            <w:tcW w:w="1240" w:type="dxa"/>
            <w:vAlign w:val="bottom"/>
            <w:tcBorders>
              <w:bottom w:val="single" w:sz="8" w:color="E2E8F1"/>
            </w:tcBorders>
            <w:shd w:val="clear" w:color="auto" w:fill="E2E8F1"/>
          </w:tcPr>
          <w:p>
            <w:pPr>
              <w:jc w:val="right"/>
              <w:ind w:right="88"/>
              <w:spacing w:after="0" w:line="155" w:lineRule="exact"/>
              <w:rPr>
                <w:sz w:val="20"/>
                <w:szCs w:val="20"/>
                <w:color w:val="auto"/>
              </w:rPr>
            </w:pPr>
            <w:r>
              <w:rPr>
                <w:rFonts w:ascii="Arial" w:cs="Arial" w:eastAsia="Arial" w:hAnsi="Arial"/>
                <w:sz w:val="14"/>
                <w:szCs w:val="14"/>
                <w:color w:val="auto"/>
              </w:rPr>
              <w:t>2.0%</w:t>
            </w:r>
          </w:p>
        </w:tc>
        <w:tc>
          <w:tcPr>
            <w:tcW w:w="1120" w:type="dxa"/>
            <w:vAlign w:val="bottom"/>
            <w:tcBorders>
              <w:bottom w:val="single" w:sz="8" w:color="E2E8F1"/>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(3.3)%</w:t>
            </w:r>
          </w:p>
        </w:tc>
        <w:tc>
          <w:tcPr>
            <w:tcW w:w="110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5.3%</w:t>
            </w:r>
          </w:p>
        </w:tc>
        <w:tc>
          <w:tcPr>
            <w:tcW w:w="1200" w:type="dxa"/>
            <w:vAlign w:val="bottom"/>
            <w:tcBorders>
              <w:bottom w:val="single" w:sz="8" w:color="E2E8F1"/>
            </w:tcBorders>
            <w:shd w:val="clear" w:color="auto" w:fill="E2E8F1"/>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5.3%</w:t>
            </w:r>
          </w:p>
        </w:tc>
      </w:tr>
      <w:tr>
        <w:trPr>
          <w:trHeight w:val="156"/>
        </w:trPr>
        <w:tc>
          <w:tcPr>
            <w:tcW w:w="446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4460" w:type="dxa"/>
            <w:vAlign w:val="bottom"/>
            <w:shd w:val="clear" w:color="auto" w:fill="E2E8F1"/>
          </w:tcPr>
          <w:p>
            <w:pPr>
              <w:ind w:left="100"/>
              <w:spacing w:after="0"/>
              <w:rPr>
                <w:sz w:val="20"/>
                <w:szCs w:val="20"/>
                <w:color w:val="auto"/>
              </w:rPr>
            </w:pPr>
            <w:r>
              <w:rPr>
                <w:rFonts w:ascii="Arial" w:cs="Arial" w:eastAsia="Arial" w:hAnsi="Arial"/>
                <w:sz w:val="14"/>
                <w:szCs w:val="14"/>
                <w:color w:val="auto"/>
              </w:rPr>
              <w:t>France</w:t>
            </w:r>
          </w:p>
        </w:tc>
        <w:tc>
          <w:tcPr>
            <w:tcW w:w="1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965.7</w:t>
            </w:r>
          </w:p>
        </w:tc>
        <w:tc>
          <w:tcPr>
            <w:tcW w:w="12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(12.2)%</w:t>
            </w:r>
          </w:p>
        </w:tc>
        <w:tc>
          <w:tcPr>
            <w:tcW w:w="112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(2.7)%</w:t>
            </w: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(9.5)%</w:t>
            </w:r>
          </w:p>
        </w:tc>
        <w:tc>
          <w:tcPr>
            <w:tcW w:w="1200" w:type="dxa"/>
            <w:vAlign w:val="bottom"/>
            <w:shd w:val="clear" w:color="auto" w:fill="E2E8F1"/>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(9.5)%</w:t>
            </w:r>
          </w:p>
        </w:tc>
      </w:tr>
      <w:tr>
        <w:trPr>
          <w:trHeight w:val="162"/>
        </w:trPr>
        <w:tc>
          <w:tcPr>
            <w:tcW w:w="4460" w:type="dxa"/>
            <w:vAlign w:val="bottom"/>
          </w:tcPr>
          <w:p>
            <w:pPr>
              <w:ind w:left="100"/>
              <w:spacing w:after="0"/>
              <w:rPr>
                <w:sz w:val="20"/>
                <w:szCs w:val="20"/>
                <w:color w:val="auto"/>
              </w:rPr>
            </w:pPr>
            <w:r>
              <w:rPr>
                <w:rFonts w:ascii="Arial" w:cs="Arial" w:eastAsia="Arial" w:hAnsi="Arial"/>
                <w:sz w:val="14"/>
                <w:szCs w:val="14"/>
                <w:color w:val="auto"/>
              </w:rPr>
              <w:t>Italy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397.8</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2"/>
        </w:trPr>
        <w:tc>
          <w:tcPr>
            <w:tcW w:w="4460" w:type="dxa"/>
            <w:vAlign w:val="bottom"/>
            <w:tcBorders>
              <w:bottom w:val="single" w:sz="8" w:color="E2E8F1"/>
            </w:tcBorders>
            <w:shd w:val="clear" w:color="auto" w:fill="E2E8F1"/>
          </w:tcPr>
          <w:p>
            <w:pPr>
              <w:ind w:left="10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auto"/>
            </w:tcBorders>
            <w:shd w:val="clear" w:color="auto" w:fill="E2E8F1"/>
          </w:tcPr>
          <w:p>
            <w:pPr>
              <w:spacing w:after="0"/>
              <w:rPr>
                <w:sz w:val="14"/>
                <w:szCs w:val="14"/>
                <w:color w:val="auto"/>
              </w:rPr>
            </w:pPr>
          </w:p>
        </w:tc>
        <w:tc>
          <w:tcPr>
            <w:tcW w:w="780" w:type="dxa"/>
            <w:vAlign w:val="bottom"/>
            <w:tcBorders>
              <w:bottom w:val="single" w:sz="8" w:color="auto"/>
            </w:tcBorders>
            <w:shd w:val="clear" w:color="auto" w:fill="E2E8F1"/>
          </w:tcPr>
          <w:p>
            <w:pPr>
              <w:jc w:val="right"/>
              <w:ind w:right="28"/>
              <w:spacing w:after="0"/>
              <w:rPr>
                <w:sz w:val="20"/>
                <w:szCs w:val="20"/>
                <w:color w:val="auto"/>
              </w:rPr>
            </w:pPr>
            <w:r>
              <w:rPr>
                <w:rFonts w:ascii="Arial" w:cs="Arial" w:eastAsia="Arial" w:hAnsi="Arial"/>
                <w:sz w:val="14"/>
                <w:szCs w:val="14"/>
                <w:color w:val="auto"/>
              </w:rPr>
              <w:t>470.5</w:t>
            </w:r>
          </w:p>
        </w:tc>
        <w:tc>
          <w:tcPr>
            <w:tcW w:w="1240" w:type="dxa"/>
            <w:vAlign w:val="bottom"/>
            <w:tcBorders>
              <w:bottom w:val="single" w:sz="8" w:color="E2E8F1"/>
            </w:tcBorders>
            <w:shd w:val="clear" w:color="auto" w:fill="E2E8F1"/>
          </w:tcPr>
          <w:p>
            <w:pPr>
              <w:jc w:val="right"/>
              <w:ind w:right="48"/>
              <w:spacing w:after="0"/>
              <w:rPr>
                <w:sz w:val="20"/>
                <w:szCs w:val="20"/>
                <w:color w:val="auto"/>
              </w:rPr>
            </w:pPr>
            <w:r>
              <w:rPr>
                <w:rFonts w:ascii="Arial" w:cs="Arial" w:eastAsia="Arial" w:hAnsi="Arial"/>
                <w:sz w:val="14"/>
                <w:szCs w:val="14"/>
                <w:color w:val="auto"/>
              </w:rPr>
              <w:t>(1.5)%</w:t>
            </w:r>
          </w:p>
        </w:tc>
        <w:tc>
          <w:tcPr>
            <w:tcW w:w="1120" w:type="dxa"/>
            <w:vAlign w:val="bottom"/>
            <w:tcBorders>
              <w:bottom w:val="single" w:sz="8" w:color="E2E8F1"/>
            </w:tcBorders>
            <w:shd w:val="clear" w:color="auto" w:fill="E2E8F1"/>
          </w:tcPr>
          <w:p>
            <w:pPr>
              <w:jc w:val="right"/>
              <w:ind w:right="28"/>
              <w:spacing w:after="0"/>
              <w:rPr>
                <w:sz w:val="20"/>
                <w:szCs w:val="20"/>
                <w:color w:val="auto"/>
              </w:rPr>
            </w:pPr>
            <w:r>
              <w:rPr>
                <w:rFonts w:ascii="Arial" w:cs="Arial" w:eastAsia="Arial" w:hAnsi="Arial"/>
                <w:sz w:val="14"/>
                <w:szCs w:val="14"/>
                <w:color w:val="auto"/>
              </w:rPr>
              <w:t>(2.2)%</w:t>
            </w:r>
          </w:p>
        </w:tc>
        <w:tc>
          <w:tcPr>
            <w:tcW w:w="1100" w:type="dxa"/>
            <w:vAlign w:val="bottom"/>
            <w:tcBorders>
              <w:bottom w:val="single" w:sz="8" w:color="E2E8F1"/>
            </w:tcBorders>
            <w:shd w:val="clear" w:color="auto" w:fill="E2E8F1"/>
          </w:tcPr>
          <w:p>
            <w:pPr>
              <w:jc w:val="right"/>
              <w:ind w:right="48"/>
              <w:spacing w:after="0"/>
              <w:rPr>
                <w:sz w:val="20"/>
                <w:szCs w:val="20"/>
                <w:color w:val="auto"/>
              </w:rPr>
            </w:pPr>
            <w:r>
              <w:rPr>
                <w:rFonts w:ascii="Arial" w:cs="Arial" w:eastAsia="Arial" w:hAnsi="Arial"/>
                <w:sz w:val="14"/>
                <w:szCs w:val="14"/>
                <w:color w:val="auto"/>
              </w:rPr>
              <w:t>0.7%</w:t>
            </w:r>
          </w:p>
        </w:tc>
        <w:tc>
          <w:tcPr>
            <w:tcW w:w="1200" w:type="dxa"/>
            <w:vAlign w:val="bottom"/>
            <w:tcBorders>
              <w:bottom w:val="single" w:sz="8" w:color="E2E8F1"/>
            </w:tcBorders>
            <w:shd w:val="clear" w:color="auto" w:fill="E2E8F1"/>
          </w:tcPr>
          <w:p>
            <w:pPr>
              <w:jc w:val="right"/>
              <w:ind w:right="68"/>
              <w:spacing w:after="0"/>
              <w:rPr>
                <w:sz w:val="20"/>
                <w:szCs w:val="20"/>
                <w:color w:val="auto"/>
              </w:rPr>
            </w:pPr>
            <w:r>
              <w:rPr>
                <w:rFonts w:ascii="Arial" w:cs="Arial" w:eastAsia="Arial" w:hAnsi="Arial"/>
                <w:sz w:val="14"/>
                <w:szCs w:val="14"/>
                <w:color w:val="auto"/>
              </w:rPr>
              <w:t>(3.4)%</w:t>
            </w:r>
          </w:p>
        </w:tc>
        <w:tc>
          <w:tcPr>
            <w:tcW w:w="112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4.1%</w:t>
            </w:r>
          </w:p>
        </w:tc>
      </w:tr>
      <w:tr>
        <w:trPr>
          <w:trHeight w:val="156"/>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1,834.0</w:t>
            </w:r>
          </w:p>
        </w:tc>
        <w:tc>
          <w:tcPr>
            <w:tcW w:w="12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(7.4)%</w:t>
            </w:r>
          </w:p>
        </w:tc>
        <w:tc>
          <w:tcPr>
            <w:tcW w:w="11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(2.6)%</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(4.8)%</w:t>
            </w:r>
          </w:p>
        </w:tc>
        <w:tc>
          <w:tcPr>
            <w:tcW w:w="12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(0.8)%</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r>
      <w:tr>
        <w:trPr>
          <w:trHeight w:val="155"/>
        </w:trPr>
        <w:tc>
          <w:tcPr>
            <w:tcW w:w="446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80" w:type="dxa"/>
            <w:vAlign w:val="bottom"/>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730.8</w:t>
            </w:r>
          </w:p>
        </w:tc>
        <w:tc>
          <w:tcPr>
            <w:tcW w:w="124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(16.0)%</w:t>
            </w:r>
          </w:p>
        </w:tc>
        <w:tc>
          <w:tcPr>
            <w:tcW w:w="1120" w:type="dxa"/>
            <w:vAlign w:val="bottom"/>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(1.7)%</w:t>
            </w:r>
          </w:p>
        </w:tc>
        <w:tc>
          <w:tcPr>
            <w:tcW w:w="110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(14.3)%</w:t>
            </w:r>
          </w:p>
        </w:tc>
        <w:tc>
          <w:tcPr>
            <w:tcW w:w="1200" w:type="dxa"/>
            <w:vAlign w:val="bottom"/>
            <w:shd w:val="clear" w:color="auto" w:fill="E2E8F1"/>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(14.3)%</w:t>
            </w: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APME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476.4</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100" w:type="dxa"/>
            <w:vAlign w:val="bottom"/>
          </w:tcPr>
          <w:p>
            <w:pPr>
              <w:jc w:val="right"/>
              <w:spacing w:after="0"/>
              <w:rPr>
                <w:sz w:val="20"/>
                <w:szCs w:val="20"/>
                <w:color w:val="auto"/>
              </w:rPr>
            </w:pPr>
            <w:r>
              <w:rPr>
                <w:rFonts w:ascii="Arial" w:cs="Arial" w:eastAsia="Arial" w:hAnsi="Arial"/>
                <w:sz w:val="14"/>
                <w:szCs w:val="14"/>
                <w:color w:val="auto"/>
              </w:rPr>
              <w:t>(9.2)%</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11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55"/>
        </w:trPr>
        <w:tc>
          <w:tcPr>
            <w:tcW w:w="44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auto"/>
            </w:tcBorders>
            <w:shd w:val="clear" w:color="auto" w:fill="E2E8F1"/>
          </w:tcPr>
          <w:p>
            <w:pPr>
              <w:spacing w:after="0"/>
              <w:rPr>
                <w:sz w:val="13"/>
                <w:szCs w:val="13"/>
                <w:color w:val="auto"/>
              </w:rPr>
            </w:pPr>
          </w:p>
        </w:tc>
        <w:tc>
          <w:tcPr>
            <w:tcW w:w="780" w:type="dxa"/>
            <w:vAlign w:val="bottom"/>
            <w:tcBorders>
              <w:bottom w:val="single" w:sz="8" w:color="auto"/>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4,097.9</w:t>
            </w:r>
          </w:p>
        </w:tc>
        <w:tc>
          <w:tcPr>
            <w:tcW w:w="1240" w:type="dxa"/>
            <w:vAlign w:val="bottom"/>
            <w:tcBorders>
              <w:bottom w:val="single" w:sz="8" w:color="E2E8F1"/>
            </w:tcBorders>
            <w:shd w:val="clear" w:color="auto" w:fill="E2E8F1"/>
          </w:tcPr>
          <w:p>
            <w:pPr>
              <w:spacing w:after="0"/>
              <w:rPr>
                <w:sz w:val="13"/>
                <w:szCs w:val="13"/>
                <w:color w:val="auto"/>
              </w:rPr>
            </w:pPr>
          </w:p>
        </w:tc>
        <w:tc>
          <w:tcPr>
            <w:tcW w:w="11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shd w:val="clear" w:color="auto" w:fill="E2E8F1"/>
          </w:tcPr>
          <w:p>
            <w:pPr>
              <w:spacing w:after="0"/>
              <w:rPr>
                <w:sz w:val="13"/>
                <w:szCs w:val="13"/>
                <w:color w:val="auto"/>
              </w:rPr>
            </w:pPr>
          </w:p>
        </w:tc>
        <w:tc>
          <w:tcPr>
            <w:tcW w:w="1200" w:type="dxa"/>
            <w:vAlign w:val="bottom"/>
            <w:tcBorders>
              <w:bottom w:val="single" w:sz="8" w:color="E2E8F1"/>
            </w:tcBorders>
            <w:shd w:val="clear" w:color="auto" w:fill="E2E8F1"/>
          </w:tcPr>
          <w:p>
            <w:pPr>
              <w:spacing w:after="0"/>
              <w:rPr>
                <w:sz w:val="13"/>
                <w:szCs w:val="13"/>
                <w:color w:val="auto"/>
              </w:rPr>
            </w:pPr>
          </w:p>
        </w:tc>
        <w:tc>
          <w:tcPr>
            <w:tcW w:w="1120" w:type="dxa"/>
            <w:vAlign w:val="bottom"/>
            <w:tcBorders>
              <w:bottom w:val="single" w:sz="8" w:color="E2E8F1"/>
            </w:tcBorders>
            <w:shd w:val="clear" w:color="auto" w:fill="E2E8F1"/>
          </w:tcPr>
          <w:p>
            <w:pPr>
              <w:spacing w:after="0"/>
              <w:rPr>
                <w:sz w:val="13"/>
                <w:szCs w:val="13"/>
                <w:color w:val="auto"/>
              </w:rPr>
            </w:pPr>
          </w:p>
        </w:tc>
      </w:tr>
      <w:tr>
        <w:trPr>
          <w:trHeight w:val="156"/>
        </w:trPr>
        <w:tc>
          <w:tcPr>
            <w:tcW w:w="446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446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2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E2E8F1"/>
          </w:tcPr>
          <w:p>
            <w:pPr>
              <w:jc w:val="right"/>
              <w:ind w:right="28"/>
              <w:spacing w:after="0" w:line="142" w:lineRule="exact"/>
              <w:rPr>
                <w:sz w:val="20"/>
                <w:szCs w:val="20"/>
                <w:color w:val="auto"/>
              </w:rPr>
            </w:pPr>
            <w:r>
              <w:rPr>
                <w:rFonts w:ascii="Arial" w:cs="Arial" w:eastAsia="Arial" w:hAnsi="Arial"/>
                <w:sz w:val="14"/>
                <w:szCs w:val="14"/>
                <w:color w:val="auto"/>
              </w:rPr>
              <w:t>4,090.3</w:t>
            </w:r>
          </w:p>
        </w:tc>
        <w:tc>
          <w:tcPr>
            <w:tcW w:w="124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(7.1)%</w:t>
            </w:r>
          </w:p>
        </w:tc>
        <w:tc>
          <w:tcPr>
            <w:tcW w:w="1120" w:type="dxa"/>
            <w:vAlign w:val="bottom"/>
            <w:tcBorders>
              <w:bottom w:val="single" w:sz="8" w:color="E2E8F1"/>
            </w:tcBorders>
            <w:shd w:val="clear" w:color="auto" w:fill="E2E8F1"/>
          </w:tcPr>
          <w:p>
            <w:pPr>
              <w:jc w:val="right"/>
              <w:ind w:right="28"/>
              <w:spacing w:after="0" w:line="155" w:lineRule="exact"/>
              <w:rPr>
                <w:sz w:val="20"/>
                <w:szCs w:val="20"/>
                <w:color w:val="auto"/>
              </w:rPr>
            </w:pPr>
            <w:r>
              <w:rPr>
                <w:rFonts w:ascii="Arial" w:cs="Arial" w:eastAsia="Arial" w:hAnsi="Arial"/>
                <w:sz w:val="14"/>
                <w:szCs w:val="14"/>
                <w:color w:val="auto"/>
              </w:rPr>
              <w:t>(2.5)%</w:t>
            </w:r>
          </w:p>
        </w:tc>
        <w:tc>
          <w:tcPr>
            <w:tcW w:w="110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(4.6)%</w:t>
            </w:r>
          </w:p>
        </w:tc>
        <w:tc>
          <w:tcPr>
            <w:tcW w:w="1200" w:type="dxa"/>
            <w:vAlign w:val="bottom"/>
            <w:tcBorders>
              <w:bottom w:val="single" w:sz="8" w:color="E2E8F1"/>
            </w:tcBorders>
            <w:shd w:val="clear" w:color="auto" w:fill="E2E8F1"/>
          </w:tcPr>
          <w:p>
            <w:pPr>
              <w:jc w:val="right"/>
              <w:ind w:right="68"/>
              <w:spacing w:after="0" w:line="155" w:lineRule="exact"/>
              <w:rPr>
                <w:sz w:val="20"/>
                <w:szCs w:val="20"/>
                <w:color w:val="auto"/>
              </w:rPr>
            </w:pPr>
            <w:r>
              <w:rPr>
                <w:rFonts w:ascii="Arial" w:cs="Arial" w:eastAsia="Arial" w:hAnsi="Arial"/>
                <w:sz w:val="14"/>
                <w:szCs w:val="14"/>
                <w:color w:val="auto"/>
              </w:rPr>
              <w:t>(2.2)%</w:t>
            </w:r>
          </w:p>
        </w:tc>
        <w:tc>
          <w:tcPr>
            <w:tcW w:w="112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(2.4)%</w:t>
            </w:r>
          </w:p>
        </w:tc>
      </w:tr>
      <w:tr>
        <w:trPr>
          <w:trHeight w:val="143"/>
        </w:trPr>
        <w:tc>
          <w:tcPr>
            <w:tcW w:w="446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line="143" w:lineRule="exact"/>
              <w:rPr>
                <w:sz w:val="20"/>
                <w:szCs w:val="20"/>
                <w:color w:val="auto"/>
              </w:rPr>
            </w:pPr>
            <w:r>
              <w:rPr>
                <w:rFonts w:ascii="Arial" w:cs="Arial" w:eastAsia="Arial" w:hAnsi="Arial"/>
                <w:sz w:val="14"/>
                <w:szCs w:val="14"/>
                <w:color w:val="auto"/>
              </w:rPr>
              <w:t>698.3</w:t>
            </w:r>
          </w:p>
        </w:tc>
        <w:tc>
          <w:tcPr>
            <w:tcW w:w="12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(8.6)%</w:t>
            </w:r>
          </w:p>
        </w:tc>
        <w:tc>
          <w:tcPr>
            <w:tcW w:w="1120" w:type="dxa"/>
            <w:vAlign w:val="bottom"/>
          </w:tcPr>
          <w:p>
            <w:pPr>
              <w:jc w:val="right"/>
              <w:ind w:right="28"/>
              <w:spacing w:after="0" w:line="143" w:lineRule="exact"/>
              <w:rPr>
                <w:sz w:val="20"/>
                <w:szCs w:val="20"/>
                <w:color w:val="auto"/>
              </w:rPr>
            </w:pPr>
            <w:r>
              <w:rPr>
                <w:rFonts w:ascii="Arial" w:cs="Arial" w:eastAsia="Arial" w:hAnsi="Arial"/>
                <w:sz w:val="14"/>
                <w:szCs w:val="14"/>
                <w:color w:val="auto"/>
              </w:rPr>
              <w:t>(2.4)%</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(6.2)%</w:t>
            </w:r>
          </w:p>
        </w:tc>
        <w:tc>
          <w:tcPr>
            <w:tcW w:w="1200" w:type="dxa"/>
            <w:vAlign w:val="bottom"/>
          </w:tcPr>
          <w:p>
            <w:pPr>
              <w:jc w:val="right"/>
              <w:ind w:right="68"/>
              <w:spacing w:after="0" w:line="143" w:lineRule="exact"/>
              <w:rPr>
                <w:sz w:val="20"/>
                <w:szCs w:val="20"/>
                <w:color w:val="auto"/>
              </w:rPr>
            </w:pPr>
            <w:r>
              <w:rPr>
                <w:rFonts w:ascii="Arial" w:cs="Arial" w:eastAsia="Arial" w:hAnsi="Arial"/>
                <w:sz w:val="14"/>
                <w:szCs w:val="14"/>
                <w:color w:val="auto"/>
              </w:rPr>
              <w:t>(1.2)%</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(5.0)%</w:t>
            </w:r>
          </w:p>
        </w:tc>
      </w:tr>
      <w:tr>
        <w:trPr>
          <w:trHeight w:val="162"/>
        </w:trPr>
        <w:tc>
          <w:tcPr>
            <w:tcW w:w="446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2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670.1</w:t>
            </w:r>
          </w:p>
        </w:tc>
        <w:tc>
          <w:tcPr>
            <w:tcW w:w="12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(4.0)%</w:t>
            </w:r>
          </w:p>
        </w:tc>
        <w:tc>
          <w:tcPr>
            <w:tcW w:w="1120" w:type="dxa"/>
            <w:vAlign w:val="bottom"/>
            <w:shd w:val="clear" w:color="auto" w:fill="E2E8F1"/>
          </w:tcPr>
          <w:p>
            <w:pPr>
              <w:jc w:val="right"/>
              <w:ind w:right="28"/>
              <w:spacing w:after="0"/>
              <w:rPr>
                <w:sz w:val="20"/>
                <w:szCs w:val="20"/>
                <w:color w:val="auto"/>
              </w:rPr>
            </w:pPr>
            <w:r>
              <w:rPr>
                <w:rFonts w:ascii="Arial" w:cs="Arial" w:eastAsia="Arial" w:hAnsi="Arial"/>
                <w:sz w:val="14"/>
                <w:szCs w:val="14"/>
                <w:color w:val="auto"/>
              </w:rPr>
              <w:t>(2.1)%</w:t>
            </w: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(1.9)%</w:t>
            </w:r>
          </w:p>
        </w:tc>
        <w:tc>
          <w:tcPr>
            <w:tcW w:w="120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(1.2)%</w:t>
            </w:r>
          </w:p>
        </w:tc>
        <w:tc>
          <w:tcPr>
            <w:tcW w:w="11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(0.7)%</w:t>
            </w: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Operating Profit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100" w:type="dxa"/>
            <w:vAlign w:val="bottom"/>
          </w:tcPr>
          <w:p>
            <w:pPr>
              <w:jc w:val="right"/>
              <w:spacing w:after="0"/>
              <w:rPr>
                <w:sz w:val="20"/>
                <w:szCs w:val="20"/>
                <w:color w:val="auto"/>
              </w:rPr>
            </w:pPr>
            <w:r>
              <w:rPr>
                <w:rFonts w:ascii="Arial" w:cs="Arial" w:eastAsia="Arial" w:hAnsi="Arial"/>
                <w:sz w:val="14"/>
                <w:szCs w:val="14"/>
                <w:color w:val="auto"/>
              </w:rPr>
              <w:t>(52.6)%</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120" w:type="dxa"/>
            <w:vAlign w:val="bottom"/>
          </w:tcPr>
          <w:p>
            <w:pPr>
              <w:jc w:val="right"/>
              <w:spacing w:after="0"/>
              <w:rPr>
                <w:sz w:val="20"/>
                <w:szCs w:val="20"/>
                <w:color w:val="auto"/>
              </w:rPr>
            </w:pPr>
            <w:r>
              <w:rPr>
                <w:rFonts w:ascii="Arial" w:cs="Arial" w:eastAsia="Arial" w:hAnsi="Arial"/>
                <w:sz w:val="14"/>
                <w:szCs w:val="14"/>
                <w:color w:val="auto"/>
              </w:rPr>
              <w:t>(51.5)%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-1431925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-1011555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-574675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-351790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-334645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Liquidity and Capital Resources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March 31, 2025, we had $295.8 of cash held by foreign subsidiaries. We have historically made and anticipate future cash repatriations to the United States from certain foreign subsidiaries to fund domestic operations.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 as we are seeing in the current economic cycle.</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in operating activities was $153.2 during the three months ended March 31, 2025, as compared to $116.0 provided during the three months ended March 31, 2024. Changes in operating assets and liabilities utilized $196.4 of cash during the three months ended March 31, 2025 and generated $37.1 of cash during the three months ended March 31, 2024. These changes were primarily attributable to the timing of collections and payments. Accounts receivable decreased to $4,168.8 as of March 31, 2025 from $4,297.2 as of December 31, 2024 primarily due to the revenue decline and the impact of changes in currency exchange rates. Days Sales Outstanding ("DSO") increased by two days from December 31, 2024 to 54 days as of March 31, 2025.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7" w:name="page28"/>
    <w:bookmarkEnd w:id="27"/>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in investing activities was $14.6 and $9.7 for the three months ended March 31, 2025, and 2024, respectively. Capital expenditures were $13.7 for the three months ended March 31, 2025 compared to $ 11.8 for the three months ended March 31, 2024. These expenditures were primarily comprised of purchases of computer equipment, office furniture and other costs related to office openings and refurbishments, as well as capitalized software costs. From time to time, we acquire and invest in companies throughout the world, including franchises. Total cash consideration paid for acquisitions, net of cash acquired, was $1.0 and $1.1 for the three months ended March 31, 2025 and 2024, respectively.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financing activities was $45.7 for the three months ended March 31, 2025 compared to $57.5 used in the three months ended March 31, 2024. Net debt borrowings were $76.6 and $3.5 in the three months ended March 31, 2025 and 2024, respectively. The larger borrowings in 2025 were due to our working capital needs.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€500.0 notes and €400.0 notes are due June 2026 and June 2027, respectively. When those notes mature, we plan to either repay the amounts with available cash or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$600.0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2.68 to 1 and a fixed charge coverage ratio of 3.05 to 1 as of March 31, 2025. Based on our current forecast, we expect to be in compliance with our financial covenants for the next 12 months.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2025, we had letters of credit of $0.4 issued under our $ 600.0 revolving credit facility, as well as $45.0 drawn under our $150.0 uncommitted credit facilities. Additional borrowings of $599.6 and $105.0 were available to us under our $600.0 revolving credit facility and $150.0 uncommitted credit facilities, respectively, as of March 31, 2025.</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the working capital needs of our subsidiary operations. As of March 31, 2025, such uncommitted credit lines totaled $298.6, of which $268.2 was unused. Under the revolving credit agreement, total subsidiary borrowings cannot exceed $300.0 in the first, second and fourth quarters, and $600.0 in the third quarter of each year.</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assessed our liquidity position as of March 31, 2025 and for the near future. As of March 31, 2025, our cash and cash equivalents balance was $395.0.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In addition, we have access to the previously mentioned credit lines to meet the working capital needs of our subsidiaries, of which $268.2 was available to use as of March 31, 2025. Our € 500.0 ($540.0) notes mature in June 2026, and our €400.0 ($430.6) notes mature in June 2027. Based on the above, we believe we have sufficient liquidity and capital resources to satisfy future requirements and meet our obligations currently and in the near future.</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and $1.54 per share on May 2, 2025 and May 3, 2024, respectively. The 2025 dividends are payable on June 16, 2025 to shareholders of record as of June 2, 2025. The 2024 dividends were paid on June 14, 2024 to shareholders of record as of June 3, 2024.</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three months ended March 31, 2025, we repurchased 0.4 million shares under the 2023 authorization at a cost of $25.0. During the three months ended March 31, 2024, we repurchased 0.7 million shares under the 2023 authorization at a cost of $50.0. As of March 31, 2025, there were 2.2 million shares remaining authorized for repurchase under the 2023 authorization.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had aggregate commitments of $2,404.9 as of March 31, 2025 related to debt, operating leases, severance and office closure costs, transition tax resulting from the Tax Act and certain other commitments compared to $2,279.6 as of December 31,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have entered into guarantee contracts and stand-by letters of credit totaling $600.9 and $571.0 as of March 31, 2025 and December 31, 2024, respectively ($ 554.1 and $524.2 for guarantees as of March 31, 2025 and December 31, 2024, respectively, and $ 46.8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$0.4 for both of the three months ended March 31, 2025 and 2024.</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2025, we recorded $15.8 in restructuring costs. During the three months ended March 31, 2024, we did not record any restructuring costs. Payments made from the restructuring reserve were $ 12.3 during the three months ended March 31, 2025. We use our restructuring reserve for severance, office closures, office consolidations, and professional and other fees related to restructuring in multiple countries and territories. We expect a majority of the remaining $49.0 reserve will be paid by the end of 2025.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Recently Issued Accounting Standards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3 – Quantitative and Qualitative Disclosures About Market Risk</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2024 Annual Report on Form 10-K contains certain disclosures about market risks affecting us. There have been no material changes to the information provided which would require additional disclosures as of the date of this filing.</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4 – Controls and Procedures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II -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1A – Risk Factors</w:t>
      </w:r>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2024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2 – Unregistered Sales of Equity Securities and Use of Proceeds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2025. As of March 31, 2025, there were 2.2 million shares remaining authorized for repurchase under the 2023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489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ind w:right="45"/>
              <w:spacing w:after="0" w:line="147" w:lineRule="exact"/>
              <w:rPr>
                <w:sz w:val="20"/>
                <w:szCs w:val="20"/>
                <w:color w:val="auto"/>
              </w:rPr>
            </w:pPr>
            <w:r>
              <w:rPr>
                <w:rFonts w:ascii="Arial" w:cs="Arial" w:eastAsia="Arial" w:hAnsi="Arial"/>
                <w:sz w:val="14"/>
                <w:szCs w:val="14"/>
                <w:b w:val="1"/>
                <w:bCs w:val="1"/>
                <w:color w:val="auto"/>
              </w:rPr>
              <w:t>Total number</w:t>
            </w:r>
          </w:p>
        </w:tc>
        <w:tc>
          <w:tcPr>
            <w:tcW w:w="1960" w:type="dxa"/>
            <w:vAlign w:val="bottom"/>
            <w:tcBorders>
              <w:top w:val="single" w:sz="8" w:color="auto"/>
            </w:tcBorders>
          </w:tcPr>
          <w:p>
            <w:pPr>
              <w:spacing w:after="0"/>
              <w:rPr>
                <w:sz w:val="12"/>
                <w:szCs w:val="12"/>
                <w:color w:val="auto"/>
              </w:rPr>
            </w:pPr>
          </w:p>
        </w:tc>
      </w:tr>
      <w:tr>
        <w:trPr>
          <w:trHeight w:val="162"/>
        </w:trPr>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of shares</w:t>
            </w:r>
          </w:p>
        </w:tc>
        <w:tc>
          <w:tcPr>
            <w:tcW w:w="19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purchased as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6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part of</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jc w:val="center"/>
              <w:ind w:right="65"/>
              <w:spacing w:after="0"/>
              <w:rPr>
                <w:sz w:val="20"/>
                <w:szCs w:val="20"/>
                <w:color w:val="auto"/>
              </w:rPr>
            </w:pPr>
            <w:r>
              <w:rPr>
                <w:rFonts w:ascii="Arial" w:cs="Arial" w:eastAsia="Arial" w:hAnsi="Arial"/>
                <w:sz w:val="14"/>
                <w:szCs w:val="14"/>
                <w:b w:val="1"/>
                <w:bCs w:val="1"/>
                <w:color w:val="auto"/>
              </w:rPr>
              <w:t>publicly</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3600" w:type="dxa"/>
            <w:vAlign w:val="bottom"/>
          </w:tcPr>
          <w:p>
            <w:pPr>
              <w:spacing w:after="0"/>
              <w:rPr>
                <w:sz w:val="14"/>
                <w:szCs w:val="14"/>
                <w:color w:val="auto"/>
              </w:rPr>
            </w:pPr>
          </w:p>
        </w:tc>
        <w:tc>
          <w:tcPr>
            <w:tcW w:w="1880" w:type="dxa"/>
            <w:vAlign w:val="bottom"/>
          </w:tcPr>
          <w:p>
            <w:pPr>
              <w:jc w:val="center"/>
              <w:ind w:right="44"/>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482"/>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right="45"/>
              <w:spacing w:after="0"/>
              <w:rPr>
                <w:sz w:val="20"/>
                <w:szCs w:val="20"/>
                <w:color w:val="auto"/>
              </w:rPr>
            </w:pPr>
            <w:r>
              <w:rPr>
                <w:rFonts w:ascii="Arial" w:cs="Arial" w:eastAsia="Arial" w:hAnsi="Arial"/>
                <w:sz w:val="14"/>
                <w:szCs w:val="14"/>
                <w:b w:val="1"/>
                <w:bCs w:val="1"/>
                <w:color w:val="auto"/>
              </w:rPr>
              <w:t>announced</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may yet be</w:t>
            </w:r>
          </w:p>
        </w:tc>
      </w:tr>
      <w:tr>
        <w:trPr>
          <w:trHeight w:val="171"/>
        </w:trPr>
        <w:tc>
          <w:tcPr>
            <w:tcW w:w="36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purchased</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7"/>
              </w:rPr>
              <w:t>plan</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r>
      <w:tr>
        <w:trPr>
          <w:trHeight w:val="183"/>
        </w:trPr>
        <w:tc>
          <w:tcPr>
            <w:tcW w:w="360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January 1 - 31, 2025</w:t>
            </w:r>
          </w:p>
        </w:tc>
        <w:tc>
          <w:tcPr>
            <w:tcW w:w="188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194,727</w:t>
            </w:r>
          </w:p>
        </w:tc>
        <w:tc>
          <w:tcPr>
            <w:tcW w:w="180" w:type="dxa"/>
            <w:vAlign w:val="bottom"/>
            <w:shd w:val="clear" w:color="auto" w:fill="E2E8F1"/>
          </w:tcPr>
          <w:p>
            <w:pPr>
              <w:spacing w:after="0"/>
              <w:rPr>
                <w:sz w:val="20"/>
                <w:szCs w:val="20"/>
                <w:color w:val="auto"/>
              </w:rPr>
            </w:pPr>
            <w:r>
              <w:rPr>
                <w:rFonts w:ascii="Arial" w:cs="Arial" w:eastAsia="Arial" w:hAnsi="Arial"/>
                <w:sz w:val="11"/>
                <w:szCs w:val="11"/>
                <w:color w:val="auto"/>
              </w:rPr>
              <w:t>(a)</w:t>
            </w:r>
          </w:p>
        </w:tc>
        <w:tc>
          <w:tcPr>
            <w:tcW w:w="22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E2E8F1"/>
          </w:tcPr>
          <w:p>
            <w:pPr>
              <w:jc w:val="right"/>
              <w:ind w:right="162"/>
              <w:spacing w:after="0" w:line="183" w:lineRule="exact"/>
              <w:rPr>
                <w:sz w:val="20"/>
                <w:szCs w:val="20"/>
                <w:color w:val="auto"/>
              </w:rPr>
            </w:pPr>
            <w:r>
              <w:rPr>
                <w:rFonts w:ascii="Arial" w:cs="Arial" w:eastAsia="Arial" w:hAnsi="Arial"/>
                <w:sz w:val="16"/>
                <w:szCs w:val="16"/>
                <w:color w:val="auto"/>
              </w:rPr>
              <w:t>57.04</w:t>
            </w:r>
          </w:p>
        </w:tc>
        <w:tc>
          <w:tcPr>
            <w:tcW w:w="1760" w:type="dxa"/>
            <w:vAlign w:val="bottom"/>
            <w:shd w:val="clear" w:color="auto" w:fill="E2E8F1"/>
          </w:tcPr>
          <w:p>
            <w:pPr>
              <w:jc w:val="right"/>
              <w:ind w:right="45"/>
              <w:spacing w:after="0" w:line="183" w:lineRule="exact"/>
              <w:rPr>
                <w:sz w:val="20"/>
                <w:szCs w:val="20"/>
                <w:color w:val="auto"/>
              </w:rPr>
            </w:pPr>
            <w:r>
              <w:rPr>
                <w:rFonts w:ascii="Arial" w:cs="Arial" w:eastAsia="Arial" w:hAnsi="Arial"/>
                <w:sz w:val="16"/>
                <w:szCs w:val="16"/>
                <w:color w:val="auto"/>
              </w:rPr>
              <w:t>192,834</w:t>
            </w:r>
          </w:p>
        </w:tc>
        <w:tc>
          <w:tcPr>
            <w:tcW w:w="196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2,402,093</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February 1 - 28, 2025</w:t>
            </w:r>
          </w:p>
        </w:tc>
        <w:tc>
          <w:tcPr>
            <w:tcW w:w="1880" w:type="dxa"/>
            <w:vAlign w:val="bottom"/>
          </w:tcPr>
          <w:p>
            <w:pPr>
              <w:jc w:val="right"/>
              <w:ind w:right="44"/>
              <w:spacing w:after="0"/>
              <w:rPr>
                <w:sz w:val="20"/>
                <w:szCs w:val="20"/>
                <w:color w:val="auto"/>
              </w:rPr>
            </w:pPr>
            <w:r>
              <w:rPr>
                <w:rFonts w:ascii="Arial" w:cs="Arial" w:eastAsia="Arial" w:hAnsi="Arial"/>
                <w:sz w:val="16"/>
                <w:szCs w:val="16"/>
                <w:color w:val="auto"/>
              </w:rPr>
              <w:t>166,809</w:t>
            </w:r>
          </w:p>
        </w:tc>
        <w:tc>
          <w:tcPr>
            <w:tcW w:w="180" w:type="dxa"/>
            <w:vAlign w:val="bottom"/>
          </w:tcPr>
          <w:p>
            <w:pPr>
              <w:spacing w:after="0"/>
              <w:rPr>
                <w:sz w:val="20"/>
                <w:szCs w:val="20"/>
                <w:color w:val="auto"/>
              </w:rPr>
            </w:pPr>
            <w:r>
              <w:rPr>
                <w:rFonts w:ascii="Arial" w:cs="Arial" w:eastAsia="Arial" w:hAnsi="Arial"/>
                <w:sz w:val="11"/>
                <w:szCs w:val="11"/>
                <w:color w:val="auto"/>
              </w:rPr>
              <w:t>(a)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62"/>
              <w:spacing w:after="0"/>
              <w:rPr>
                <w:sz w:val="20"/>
                <w:szCs w:val="20"/>
                <w:color w:val="auto"/>
              </w:rPr>
            </w:pPr>
            <w:r>
              <w:rPr>
                <w:rFonts w:ascii="Arial" w:cs="Arial" w:eastAsia="Arial" w:hAnsi="Arial"/>
                <w:sz w:val="16"/>
                <w:szCs w:val="16"/>
                <w:color w:val="auto"/>
              </w:rPr>
              <w:t>55.47</w:t>
            </w:r>
          </w:p>
        </w:tc>
        <w:tc>
          <w:tcPr>
            <w:tcW w:w="1760" w:type="dxa"/>
            <w:vAlign w:val="bottom"/>
          </w:tcPr>
          <w:p>
            <w:pPr>
              <w:jc w:val="right"/>
              <w:ind w:right="45"/>
              <w:spacing w:after="0"/>
              <w:rPr>
                <w:sz w:val="20"/>
                <w:szCs w:val="20"/>
                <w:color w:val="auto"/>
              </w:rPr>
            </w:pPr>
            <w:r>
              <w:rPr>
                <w:rFonts w:ascii="Arial" w:cs="Arial" w:eastAsia="Arial" w:hAnsi="Arial"/>
                <w:sz w:val="16"/>
                <w:szCs w:val="16"/>
                <w:color w:val="auto"/>
              </w:rPr>
              <w:t>72,082</w:t>
            </w:r>
          </w:p>
        </w:tc>
        <w:tc>
          <w:tcPr>
            <w:tcW w:w="1960" w:type="dxa"/>
            <w:vAlign w:val="bottom"/>
          </w:tcPr>
          <w:p>
            <w:pPr>
              <w:jc w:val="right"/>
              <w:ind w:right="44"/>
              <w:spacing w:after="0"/>
              <w:rPr>
                <w:sz w:val="20"/>
                <w:szCs w:val="20"/>
                <w:color w:val="auto"/>
              </w:rPr>
            </w:pPr>
            <w:r>
              <w:rPr>
                <w:rFonts w:ascii="Arial" w:cs="Arial" w:eastAsia="Arial" w:hAnsi="Arial"/>
                <w:sz w:val="16"/>
                <w:szCs w:val="16"/>
                <w:color w:val="auto"/>
              </w:rPr>
              <w:t>2,330,011</w:t>
            </w:r>
          </w:p>
        </w:tc>
      </w:tr>
      <w:tr>
        <w:trPr>
          <w:trHeight w:val="189"/>
        </w:trPr>
        <w:tc>
          <w:tcPr>
            <w:tcW w:w="360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March 1 - 31, 2025</w:t>
            </w:r>
          </w:p>
        </w:tc>
        <w:tc>
          <w:tcPr>
            <w:tcW w:w="1880" w:type="dxa"/>
            <w:vAlign w:val="bottom"/>
            <w:tcBorders>
              <w:bottom w:val="single" w:sz="8" w:color="auto"/>
            </w:tcBorders>
            <w:shd w:val="clear" w:color="auto" w:fill="E2E8F1"/>
          </w:tcPr>
          <w:p>
            <w:pPr>
              <w:jc w:val="right"/>
              <w:ind w:right="44"/>
              <w:spacing w:after="0"/>
              <w:rPr>
                <w:sz w:val="20"/>
                <w:szCs w:val="20"/>
                <w:color w:val="auto"/>
              </w:rPr>
            </w:pPr>
            <w:r>
              <w:rPr>
                <w:rFonts w:ascii="Arial" w:cs="Arial" w:eastAsia="Arial" w:hAnsi="Arial"/>
                <w:sz w:val="16"/>
                <w:szCs w:val="16"/>
                <w:color w:val="auto"/>
              </w:rPr>
              <w:t>177,850</w:t>
            </w:r>
          </w:p>
        </w:tc>
        <w:tc>
          <w:tcPr>
            <w:tcW w:w="18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E2E8F1"/>
            </w:tcBorders>
            <w:shd w:val="clear" w:color="auto" w:fill="E2E8F1"/>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2E8F1"/>
            </w:tcBorders>
            <w:shd w:val="clear" w:color="auto" w:fill="E2E8F1"/>
          </w:tcPr>
          <w:p>
            <w:pPr>
              <w:jc w:val="right"/>
              <w:ind w:right="162"/>
              <w:spacing w:after="0"/>
              <w:rPr>
                <w:sz w:val="20"/>
                <w:szCs w:val="20"/>
                <w:color w:val="auto"/>
              </w:rPr>
            </w:pPr>
            <w:r>
              <w:rPr>
                <w:rFonts w:ascii="Arial" w:cs="Arial" w:eastAsia="Arial" w:hAnsi="Arial"/>
                <w:sz w:val="16"/>
                <w:szCs w:val="16"/>
                <w:color w:val="auto"/>
              </w:rPr>
              <w:t>59.44</w:t>
            </w:r>
          </w:p>
        </w:tc>
        <w:tc>
          <w:tcPr>
            <w:tcW w:w="1760" w:type="dxa"/>
            <w:vAlign w:val="bottom"/>
            <w:tcBorders>
              <w:bottom w:val="single" w:sz="8" w:color="auto"/>
            </w:tcBorders>
            <w:shd w:val="clear" w:color="auto" w:fill="E2E8F1"/>
          </w:tcPr>
          <w:p>
            <w:pPr>
              <w:jc w:val="right"/>
              <w:ind w:right="45"/>
              <w:spacing w:after="0"/>
              <w:rPr>
                <w:sz w:val="20"/>
                <w:szCs w:val="20"/>
                <w:color w:val="auto"/>
              </w:rPr>
            </w:pPr>
            <w:r>
              <w:rPr>
                <w:rFonts w:ascii="Arial" w:cs="Arial" w:eastAsia="Arial" w:hAnsi="Arial"/>
                <w:sz w:val="16"/>
                <w:szCs w:val="16"/>
                <w:color w:val="auto"/>
              </w:rPr>
              <w:t>168,219</w:t>
            </w:r>
          </w:p>
        </w:tc>
        <w:tc>
          <w:tcPr>
            <w:tcW w:w="1960" w:type="dxa"/>
            <w:vAlign w:val="bottom"/>
            <w:tcBorders>
              <w:bottom w:val="single" w:sz="8" w:color="E2E8F1"/>
            </w:tcBorders>
            <w:shd w:val="clear" w:color="auto" w:fill="E2E8F1"/>
          </w:tcPr>
          <w:p>
            <w:pPr>
              <w:jc w:val="right"/>
              <w:ind w:right="44"/>
              <w:spacing w:after="0"/>
              <w:rPr>
                <w:sz w:val="20"/>
                <w:szCs w:val="20"/>
                <w:color w:val="auto"/>
              </w:rPr>
            </w:pPr>
            <w:r>
              <w:rPr>
                <w:rFonts w:ascii="Arial" w:cs="Arial" w:eastAsia="Arial" w:hAnsi="Arial"/>
                <w:sz w:val="16"/>
                <w:szCs w:val="16"/>
                <w:color w:val="auto"/>
              </w:rPr>
              <w:t>2,161,792</w:t>
            </w:r>
          </w:p>
        </w:tc>
      </w:tr>
      <w:tr>
        <w:trPr>
          <w:trHeight w:val="183"/>
        </w:trPr>
        <w:tc>
          <w:tcPr>
            <w:tcW w:w="360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6"/>
                <w:szCs w:val="16"/>
                <w:color w:val="auto"/>
              </w:rPr>
              <w:t>539,386</w:t>
            </w:r>
          </w:p>
        </w:tc>
        <w:tc>
          <w:tcPr>
            <w:tcW w:w="180" w:type="dxa"/>
            <w:vAlign w:val="bottom"/>
          </w:tcPr>
          <w:p>
            <w:pPr>
              <w:spacing w:after="0"/>
              <w:rPr>
                <w:sz w:val="15"/>
                <w:szCs w:val="15"/>
                <w:color w:val="auto"/>
              </w:rPr>
            </w:pPr>
          </w:p>
        </w:tc>
        <w:tc>
          <w:tcPr>
            <w:tcW w:w="2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640" w:type="dxa"/>
            <w:vAlign w:val="bottom"/>
          </w:tcPr>
          <w:p>
            <w:pPr>
              <w:jc w:val="right"/>
              <w:ind w:right="162"/>
              <w:spacing w:after="0" w:line="169" w:lineRule="exact"/>
              <w:rPr>
                <w:sz w:val="20"/>
                <w:szCs w:val="20"/>
                <w:color w:val="auto"/>
              </w:rPr>
            </w:pPr>
            <w:r>
              <w:rPr>
                <w:rFonts w:ascii="Arial" w:cs="Arial" w:eastAsia="Arial" w:hAnsi="Arial"/>
                <w:sz w:val="16"/>
                <w:szCs w:val="16"/>
                <w:color w:val="auto"/>
              </w:rPr>
              <w:t>57.71</w:t>
            </w:r>
          </w:p>
        </w:tc>
        <w:tc>
          <w:tcPr>
            <w:tcW w:w="176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color w:val="auto"/>
              </w:rPr>
              <w:t>433,135</w:t>
            </w:r>
          </w:p>
        </w:tc>
        <w:tc>
          <w:tcPr>
            <w:tcW w:w="1960" w:type="dxa"/>
            <w:vAlign w:val="bottom"/>
          </w:tcPr>
          <w:p>
            <w:pPr>
              <w:jc w:val="right"/>
              <w:ind w:right="44"/>
              <w:spacing w:after="0" w:line="169" w:lineRule="exact"/>
              <w:rPr>
                <w:sz w:val="20"/>
                <w:szCs w:val="20"/>
                <w:color w:val="auto"/>
              </w:rPr>
            </w:pPr>
            <w:r>
              <w:rPr>
                <w:rFonts w:ascii="Arial" w:cs="Arial" w:eastAsia="Arial" w:hAnsi="Arial"/>
                <w:sz w:val="16"/>
                <w:szCs w:val="16"/>
                <w:color w:val="auto"/>
              </w:rPr>
              <w:t>2,161,792</w:t>
            </w:r>
          </w:p>
        </w:tc>
      </w:tr>
      <w:tr>
        <w:trPr>
          <w:trHeight w:val="20"/>
        </w:trPr>
        <w:tc>
          <w:tcPr>
            <w:tcW w:w="36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-153670</wp:posOffset>
            </wp:positionV>
            <wp:extent cx="1289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1,893, 94,727 and 9,631 shares of common stock withheld by ManpowerGroup in January, February and March, respectively, to satisfy tax withholding obligations on shares acquired by certain officers in settlement of restricted stock and performance share units.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5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Audit Committee Approval of Audit-Related and Non-Audit Services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2025:</w:t>
      </w:r>
    </w:p>
    <w:p>
      <w:pPr>
        <w:spacing w:after="0" w:line="46" w:lineRule="exact"/>
        <w:rPr>
          <w:sz w:val="20"/>
          <w:szCs w:val="20"/>
          <w:color w:val="auto"/>
        </w:rPr>
      </w:pPr>
    </w:p>
    <w:p>
      <w:pPr>
        <w:ind w:left="320" w:right="20" w:hanging="312"/>
        <w:spacing w:after="0" w:line="271"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45" w:lineRule="exact"/>
        <w:rPr>
          <w:rFonts w:ascii="Arial" w:cs="Arial" w:eastAsia="Arial" w:hAnsi="Arial"/>
          <w:sz w:val="18"/>
          <w:szCs w:val="18"/>
          <w:color w:val="auto"/>
        </w:rPr>
      </w:pPr>
    </w:p>
    <w:p>
      <w:pPr>
        <w:ind w:left="320" w:right="20" w:hanging="312"/>
        <w:spacing w:after="0" w:line="271"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45"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03" w:lineRule="exact"/>
        <w:rPr>
          <w:rFonts w:ascii="Arial" w:cs="Arial" w:eastAsia="Arial" w:hAnsi="Arial"/>
          <w:sz w:val="18"/>
          <w:szCs w:val="18"/>
          <w:color w:val="auto"/>
        </w:rPr>
      </w:pPr>
    </w:p>
    <w:p>
      <w:pPr>
        <w:ind w:left="320" w:hanging="312"/>
        <w:spacing w:after="0" w:line="271"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advice regarding the company's sustainability program and compliance with and interpretation of sustainability regulations such as Corporate Sustainability Reporting Directive (“CSRD”).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Trading Plans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ended March 31, 2025, no director or Section 16 officer adopted or terminated any "Rule 10b5-1 trading arrangements" or "non-Rule 10b5-1 trading arrangements" as each term is defined in Item 408(a) of Regulation S-K.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0" w:name="page31"/>
    <w:bookmarkEnd w:id="30"/>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6 – Exhibits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gridSpan w:val="6"/>
          </w:tcPr>
          <w:p>
            <w:pPr>
              <w:spacing w:after="0"/>
              <w:rPr>
                <w:sz w:val="20"/>
                <w:szCs w:val="20"/>
                <w:color w:val="auto"/>
              </w:rPr>
            </w:pPr>
            <w:r>
              <w:rPr>
                <w:rFonts w:ascii="Arial" w:cs="Arial" w:eastAsia="Arial" w:hAnsi="Arial"/>
                <w:sz w:val="18"/>
                <w:szCs w:val="18"/>
                <w:color w:val="auto"/>
              </w:rPr>
              <w:t>Letter Agreement between Becky Frankiewicz and the Company dated February 14, 2025.**</w:t>
            </w:r>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Certification of Jonas Prising, Chief Executive Officer, pursuant to Section 13a-14(a) of the Securities Exchange Act of 1934.</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6"/>
          </w:tcPr>
          <w:p>
            <w:pPr>
              <w:spacing w:after="0"/>
              <w:rPr>
                <w:sz w:val="20"/>
                <w:szCs w:val="20"/>
                <w:color w:val="auto"/>
              </w:rPr>
            </w:pPr>
            <w:r>
              <w:rPr>
                <w:rFonts w:ascii="Arial" w:cs="Arial" w:eastAsia="Arial" w:hAnsi="Arial"/>
                <w:sz w:val="18"/>
                <w:szCs w:val="18"/>
                <w:color w:val="auto"/>
              </w:rPr>
              <w:t>Certification of John T. McGinnis, Executive Vice President and Chief Financial Officer, pursuant to Section 13a-14(a) of the</w:t>
            </w:r>
          </w:p>
        </w:tc>
      </w:tr>
      <w:tr>
        <w:trPr>
          <w:trHeight w:val="183"/>
        </w:trPr>
        <w:tc>
          <w:tcPr>
            <w:tcW w:w="1140" w:type="dxa"/>
            <w:vAlign w:val="bottom"/>
          </w:tcPr>
          <w:p>
            <w:pPr>
              <w:spacing w:after="0"/>
              <w:rPr>
                <w:sz w:val="15"/>
                <w:szCs w:val="15"/>
                <w:color w:val="auto"/>
              </w:rPr>
            </w:pPr>
          </w:p>
        </w:tc>
        <w:tc>
          <w:tcPr>
            <w:tcW w:w="26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9"/>
              </w:rPr>
              <w:t>Securities Exchange Act of 1934.</w:t>
            </w:r>
          </w:p>
        </w:tc>
        <w:tc>
          <w:tcPr>
            <w:tcW w:w="724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9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6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9"/>
              </w:rPr>
              <w:t>Statement of Jonas Prising, Chief Executive Officer, pursuant to 18 U.S.C. ss. 1350.</w:t>
            </w:r>
          </w:p>
        </w:tc>
        <w:tc>
          <w:tcPr>
            <w:tcW w:w="3220" w:type="dxa"/>
            <w:vAlign w:val="bottom"/>
            <w:gridSpan w:val="4"/>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6"/>
          </w:tcPr>
          <w:p>
            <w:pPr>
              <w:spacing w:after="0"/>
              <w:rPr>
                <w:sz w:val="20"/>
                <w:szCs w:val="20"/>
                <w:color w:val="auto"/>
              </w:rPr>
            </w:pPr>
            <w:r>
              <w:rPr>
                <w:rFonts w:ascii="Arial" w:cs="Arial" w:eastAsia="Arial" w:hAnsi="Arial"/>
                <w:sz w:val="18"/>
                <w:szCs w:val="18"/>
                <w:color w:val="auto"/>
              </w:rPr>
              <w:t>Statement of John T. McGinnis, Executive Vice President and Chief Financial Officer, pursuant to 18 U.S.C. ss. 1350.</w:t>
            </w:r>
          </w:p>
        </w:tc>
      </w:tr>
      <w:tr>
        <w:trPr>
          <w:trHeight w:val="20"/>
        </w:trPr>
        <w:tc>
          <w:tcPr>
            <w:tcW w:w="1140" w:type="dxa"/>
            <w:vAlign w:val="bottom"/>
          </w:tcPr>
          <w:p>
            <w:pPr>
              <w:spacing w:after="0" w:line="20" w:lineRule="exact"/>
              <w:rPr>
                <w:sz w:val="1"/>
                <w:szCs w:val="1"/>
                <w:color w:val="auto"/>
              </w:rPr>
            </w:pPr>
          </w:p>
        </w:tc>
        <w:tc>
          <w:tcPr>
            <w:tcW w:w="934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19"/>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93" w:lineRule="exact"/>
        <w:rPr>
          <w:sz w:val="20"/>
          <w:szCs w:val="20"/>
          <w:color w:val="auto"/>
        </w:rPr>
      </w:pPr>
    </w:p>
    <w:p>
      <w:pPr>
        <w:ind w:left="1140" w:hanging="1132"/>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2025 has been formatted in Inline XBRL (Inline Extensible Business Reporting Language)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of compensatory plan or arrangement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SIGNATURES</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14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w w:val="99"/>
              </w:rPr>
              <w:t>(Signing on behalf of the Registrant and as the Principal Financial Officer)</w:t>
            </w:r>
          </w:p>
        </w:tc>
      </w:tr>
      <w:tr>
        <w:trPr>
          <w:trHeight w:val="544"/>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Eric Rozek</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Vice President and Global Controller (Principal Accounting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Eric Rozek</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33655</wp:posOffset>
            </wp:positionV>
            <wp:extent cx="16370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8"/>
          <w:szCs w:val="18"/>
          <w:b w:val="1"/>
          <w:bCs w:val="1"/>
          <w:u w:val="single" w:color="auto"/>
          <w:color w:val="auto"/>
        </w:rPr>
        <w:t>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547" w:lineRule="exact"/>
        <w:rPr>
          <w:sz w:val="20"/>
          <w:szCs w:val="20"/>
          <w:color w:val="auto"/>
        </w:rPr>
      </w:pPr>
    </w:p>
    <w:p>
      <w:pPr>
        <w:sectPr>
          <w:pgSz w:w="11900" w:h="16838" w:orient="portrait"/>
          <w:cols w:equalWidth="0" w:num="2">
            <w:col w:w="8200" w:space="520"/>
            <w:col w:w="2520"/>
          </w:cols>
          <w:pgMar w:left="320" w:top="782"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 Manpower Place</w:t>
      </w:r>
    </w:p>
    <w:p>
      <w:pPr>
        <w:jc w:val="center"/>
        <w:spacing w:after="0"/>
        <w:rPr>
          <w:sz w:val="20"/>
          <w:szCs w:val="20"/>
          <w:color w:val="auto"/>
        </w:rPr>
      </w:pPr>
      <w:r>
        <w:rPr>
          <w:rFonts w:ascii="Times New Roman" w:cs="Times New Roman" w:eastAsia="Times New Roman" w:hAnsi="Times New Roman"/>
          <w:sz w:val="22"/>
          <w:szCs w:val="22"/>
          <w:color w:val="auto"/>
        </w:rPr>
        <w:t>Milwaukee, Wisconsin 53212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14,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Becky Frankiewicz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Regional President, North America</w:t>
      </w:r>
    </w:p>
    <w:p>
      <w:pPr>
        <w:spacing w:after="0" w:line="230" w:lineRule="auto"/>
        <w:rPr>
          <w:sz w:val="20"/>
          <w:szCs w:val="20"/>
          <w:color w:val="auto"/>
        </w:rPr>
      </w:pPr>
      <w:r>
        <w:rPr>
          <w:rFonts w:ascii="Times New Roman" w:cs="Times New Roman" w:eastAsia="Times New Roman" w:hAnsi="Times New Roman"/>
          <w:sz w:val="22"/>
          <w:szCs w:val="22"/>
          <w:color w:val="auto"/>
        </w:rPr>
        <w:t>Chief Commercial Officer</w:t>
      </w:r>
    </w:p>
    <w:p>
      <w:pPr>
        <w:spacing w:after="0" w:line="231" w:lineRule="auto"/>
        <w:rPr>
          <w:sz w:val="20"/>
          <w:szCs w:val="20"/>
          <w:color w:val="auto"/>
        </w:rPr>
      </w:pPr>
      <w:r>
        <w:rPr>
          <w:rFonts w:ascii="Times New Roman" w:cs="Times New Roman" w:eastAsia="Times New Roman" w:hAnsi="Times New Roman"/>
          <w:sz w:val="22"/>
          <w:szCs w:val="22"/>
          <w:color w:val="auto"/>
        </w:rPr>
        <w:t>ManpowerGroup Inc.</w:t>
      </w:r>
    </w:p>
    <w:p>
      <w:pPr>
        <w:spacing w:after="0" w:line="230" w:lineRule="auto"/>
        <w:rPr>
          <w:sz w:val="20"/>
          <w:szCs w:val="20"/>
          <w:color w:val="auto"/>
        </w:rPr>
      </w:pPr>
      <w:r>
        <w:rPr>
          <w:rFonts w:ascii="Times New Roman" w:cs="Times New Roman" w:eastAsia="Times New Roman" w:hAnsi="Times New Roman"/>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Milwaukee, WI 53212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Becky:</w:t>
      </w:r>
    </w:p>
    <w:p>
      <w:pPr>
        <w:spacing w:after="0" w:line="233"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07"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letter agreement:</w:t>
      </w:r>
    </w:p>
    <w:p>
      <w:pPr>
        <w:spacing w:after="0" w:line="233" w:lineRule="exact"/>
        <w:rPr>
          <w:rFonts w:ascii="Times New Roman" w:cs="Times New Roman" w:eastAsia="Times New Roman" w:hAnsi="Times New Roman"/>
          <w:sz w:val="22"/>
          <w:szCs w:val="22"/>
          <w:color w:val="auto"/>
        </w:rPr>
      </w:pPr>
    </w:p>
    <w:p>
      <w:pPr>
        <w:ind w:left="1500" w:right="120" w:hanging="743"/>
        <w:spacing w:after="0" w:line="258" w:lineRule="auto"/>
        <w:tabs>
          <w:tab w:leader="none" w:pos="15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“Benefit Plans” means all benefits of employment generally made available to executives of the Corporation from time to time.</w:t>
      </w:r>
    </w:p>
    <w:p>
      <w:pPr>
        <w:spacing w:after="0" w:line="185" w:lineRule="exact"/>
        <w:rPr>
          <w:rFonts w:ascii="Times New Roman" w:cs="Times New Roman" w:eastAsia="Times New Roman" w:hAnsi="Times New Roman"/>
          <w:sz w:val="22"/>
          <w:szCs w:val="22"/>
          <w:color w:val="auto"/>
        </w:rPr>
      </w:pPr>
    </w:p>
    <w:p>
      <w:pPr>
        <w:ind w:left="1500" w:right="20" w:hanging="743"/>
        <w:spacing w:after="0" w:line="244" w:lineRule="auto"/>
        <w:tabs>
          <w:tab w:leader="none" w:pos="150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Insider Trading Policy,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3" w:name="page34"/>
    <w:bookmarkEnd w:id="33"/>
    <w:p>
      <w:pPr>
        <w:ind w:left="743" w:right="340"/>
        <w:spacing w:after="0" w:line="238" w:lineRule="auto"/>
        <w:rPr>
          <w:sz w:val="20"/>
          <w:szCs w:val="20"/>
          <w:color w:val="auto"/>
        </w:rPr>
      </w:pPr>
      <w:r>
        <w:rPr>
          <w:rFonts w:ascii="Times New Roman" w:cs="Times New Roman" w:eastAsia="Times New Roman" w:hAnsi="Times New Roman"/>
          <w:sz w:val="22"/>
          <w:szCs w:val="22"/>
          <w:color w:val="auto"/>
        </w:rPr>
        <w:t>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04" w:lineRule="exact"/>
        <w:rPr>
          <w:sz w:val="20"/>
          <w:szCs w:val="20"/>
          <w:color w:val="auto"/>
        </w:rPr>
      </w:pPr>
    </w:p>
    <w:p>
      <w:pPr>
        <w:ind w:left="743" w:hanging="743"/>
        <w:spacing w:after="0"/>
        <w:tabs>
          <w:tab w:leader="none" w:pos="7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“Change of Control” will mean the first to occur of the following:</w:t>
      </w:r>
    </w:p>
    <w:p>
      <w:pPr>
        <w:spacing w:after="0" w:line="233" w:lineRule="exact"/>
        <w:rPr>
          <w:rFonts w:ascii="Times New Roman" w:cs="Times New Roman" w:eastAsia="Times New Roman" w:hAnsi="Times New Roman"/>
          <w:sz w:val="22"/>
          <w:szCs w:val="22"/>
          <w:color w:val="auto"/>
        </w:rPr>
      </w:pPr>
    </w:p>
    <w:p>
      <w:pPr>
        <w:ind w:left="1503" w:right="20" w:hanging="755"/>
        <w:spacing w:after="0" w:line="232" w:lineRule="auto"/>
        <w:tabs>
          <w:tab w:leader="none" w:pos="150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16" w:lineRule="exact"/>
        <w:rPr>
          <w:rFonts w:ascii="Times New Roman" w:cs="Times New Roman" w:eastAsia="Times New Roman" w:hAnsi="Times New Roman"/>
          <w:sz w:val="22"/>
          <w:szCs w:val="22"/>
          <w:color w:val="auto"/>
        </w:rPr>
      </w:pPr>
    </w:p>
    <w:p>
      <w:pPr>
        <w:ind w:left="1503" w:hanging="755"/>
        <w:spacing w:after="0" w:line="234" w:lineRule="auto"/>
        <w:tabs>
          <w:tab w:leader="none" w:pos="150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5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615315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76" w:right="339" w:bottom="1440" w:gutter="0" w:footer="0" w:header="0"/>
        </w:sectPr>
      </w:pPr>
    </w:p>
    <w:bookmarkStart w:id="34" w:name="page35"/>
    <w:bookmarkEnd w:id="34"/>
    <w:p>
      <w:pPr>
        <w:ind w:left="2260" w:right="180" w:hanging="755"/>
        <w:spacing w:after="0" w:line="258" w:lineRule="auto"/>
        <w:tabs>
          <w:tab w:leader="none" w:pos="22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liquidation or dissolution of the Corporation or a sale or other disposition of all or substantially all of the assets of the Corporation; or</w:t>
      </w:r>
    </w:p>
    <w:p>
      <w:pPr>
        <w:spacing w:after="0" w:line="185" w:lineRule="exact"/>
        <w:rPr>
          <w:rFonts w:ascii="Times New Roman" w:cs="Times New Roman" w:eastAsia="Times New Roman" w:hAnsi="Times New Roman"/>
          <w:sz w:val="22"/>
          <w:szCs w:val="22"/>
          <w:color w:val="auto"/>
        </w:rPr>
      </w:pPr>
    </w:p>
    <w:p>
      <w:pPr>
        <w:ind w:left="2260" w:right="80" w:hanging="755"/>
        <w:spacing w:after="0" w:line="252" w:lineRule="exact"/>
        <w:tabs>
          <w:tab w:leader="none" w:pos="22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12(c); or</w:t>
      </w:r>
    </w:p>
    <w:p>
      <w:pPr>
        <w:spacing w:after="0" w:line="176" w:lineRule="exact"/>
        <w:rPr>
          <w:rFonts w:ascii="Times New Roman" w:cs="Times New Roman" w:eastAsia="Times New Roman" w:hAnsi="Times New Roman"/>
          <w:sz w:val="22"/>
          <w:szCs w:val="22"/>
          <w:color w:val="auto"/>
        </w:rPr>
      </w:pPr>
    </w:p>
    <w:p>
      <w:pPr>
        <w:ind w:left="2260" w:right="20" w:hanging="755"/>
        <w:spacing w:after="0" w:line="255" w:lineRule="auto"/>
        <w:tabs>
          <w:tab w:leader="none" w:pos="22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80" w:lineRule="exact"/>
        <w:rPr>
          <w:sz w:val="20"/>
          <w:szCs w:val="20"/>
          <w:color w:val="auto"/>
        </w:rPr>
      </w:pPr>
    </w:p>
    <w:p>
      <w:pPr>
        <w:ind w:left="1500" w:right="580" w:hanging="743"/>
        <w:spacing w:after="0" w:line="258" w:lineRule="auto"/>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“Good Reason” will mean, without your consent, the occurrence of any one or more of the following during the Term:</w:t>
      </w:r>
    </w:p>
    <w:p>
      <w:pPr>
        <w:spacing w:after="0" w:line="185"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any material obligation of any member of the Consolidated ManpowerGroup for the payment or provision of compensation or other benefits to you;</w:t>
      </w:r>
    </w:p>
    <w:p>
      <w:pPr>
        <w:spacing w:after="0" w:line="15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base salary;</w:t>
      </w:r>
    </w:p>
    <w:p>
      <w:pPr>
        <w:spacing w:after="0" w:line="206" w:lineRule="exact"/>
        <w:rPr>
          <w:rFonts w:ascii="Times New Roman" w:cs="Times New Roman" w:eastAsia="Times New Roman" w:hAnsi="Times New Roman"/>
          <w:sz w:val="22"/>
          <w:szCs w:val="22"/>
          <w:color w:val="auto"/>
        </w:rPr>
      </w:pPr>
    </w:p>
    <w:p>
      <w:pPr>
        <w:ind w:left="2260" w:right="200" w:hanging="754"/>
        <w:spacing w:after="0" w:line="239" w:lineRule="auto"/>
        <w:tabs>
          <w:tab w:leader="none" w:pos="19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80" w:lineRule="exact"/>
        <w:rPr>
          <w:rFonts w:ascii="Times New Roman" w:cs="Times New Roman" w:eastAsia="Times New Roman" w:hAnsi="Times New Roman"/>
          <w:sz w:val="22"/>
          <w:szCs w:val="22"/>
          <w:color w:val="auto"/>
        </w:rPr>
      </w:pPr>
    </w:p>
    <w:p>
      <w:pPr>
        <w:ind w:left="2260" w:right="240" w:hanging="754"/>
        <w:spacing w:after="0" w:line="258" w:lineRule="auto"/>
        <w:tabs>
          <w:tab w:leader="none" w:pos="194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authority, duties or responsibilities which is not accompanied by a material reduction in your target bonus opportunity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5" w:name="page36"/>
    <w:bookmarkEnd w:id="35"/>
    <w:p>
      <w:pPr>
        <w:ind w:left="2260"/>
        <w:spacing w:after="0"/>
        <w:rPr>
          <w:sz w:val="20"/>
          <w:szCs w:val="20"/>
          <w:color w:val="auto"/>
        </w:rPr>
      </w:pPr>
      <w:r>
        <w:rPr>
          <w:rFonts w:ascii="Times New Roman" w:cs="Times New Roman" w:eastAsia="Times New Roman" w:hAnsi="Times New Roman"/>
          <w:sz w:val="22"/>
          <w:szCs w:val="22"/>
          <w:color w:val="auto"/>
        </w:rPr>
        <w:t>but which diminution occurs within two years after the occurrence of a Change of Control;</w:t>
      </w:r>
    </w:p>
    <w:p>
      <w:pPr>
        <w:spacing w:after="0" w:line="206" w:lineRule="exact"/>
        <w:rPr>
          <w:sz w:val="20"/>
          <w:szCs w:val="20"/>
          <w:color w:val="auto"/>
        </w:rPr>
      </w:pPr>
    </w:p>
    <w:p>
      <w:pPr>
        <w:ind w:left="2260" w:right="400" w:hanging="754"/>
        <w:spacing w:after="0" w:line="239" w:lineRule="auto"/>
        <w:tabs>
          <w:tab w:leader="none" w:pos="19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80" w:lineRule="exact"/>
        <w:rPr>
          <w:rFonts w:ascii="Times New Roman" w:cs="Times New Roman" w:eastAsia="Times New Roman" w:hAnsi="Times New Roman"/>
          <w:sz w:val="22"/>
          <w:szCs w:val="22"/>
          <w:color w:val="auto"/>
        </w:rPr>
      </w:pPr>
    </w:p>
    <w:p>
      <w:pPr>
        <w:ind w:left="2260" w:right="80" w:hanging="754"/>
        <w:spacing w:after="0" w:line="244" w:lineRule="auto"/>
        <w:tabs>
          <w:tab w:leader="none" w:pos="194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00" w:lineRule="exact"/>
        <w:rPr>
          <w:sz w:val="20"/>
          <w:szCs w:val="20"/>
          <w:color w:val="auto"/>
        </w:rPr>
      </w:pPr>
    </w:p>
    <w:p>
      <w:pPr>
        <w:spacing w:after="0" w:line="216"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1"/>
          <w:szCs w:val="21"/>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firstLine="8"/>
        <w:spacing w:after="0" w:line="232" w:lineRule="auto"/>
        <w:tabs>
          <w:tab w:leader="none" w:pos="3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6" w:lineRule="exact"/>
        <w:rPr>
          <w:rFonts w:ascii="Times New Roman" w:cs="Times New Roman" w:eastAsia="Times New Roman" w:hAnsi="Times New Roman"/>
          <w:sz w:val="22"/>
          <w:szCs w:val="22"/>
          <w:color w:val="auto"/>
        </w:rPr>
      </w:pPr>
    </w:p>
    <w:p>
      <w:pPr>
        <w:ind w:left="1500" w:right="100" w:hanging="743"/>
        <w:spacing w:after="0" w:line="236"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208" w:lineRule="exact"/>
        <w:rPr>
          <w:rFonts w:ascii="Times New Roman" w:cs="Times New Roman" w:eastAsia="Times New Roman" w:hAnsi="Times New Roman"/>
          <w:sz w:val="22"/>
          <w:szCs w:val="22"/>
          <w:color w:val="auto"/>
        </w:rPr>
      </w:pPr>
    </w:p>
    <w:p>
      <w:pPr>
        <w:jc w:val="both"/>
        <w:ind w:left="1500" w:right="260" w:hanging="743"/>
        <w:spacing w:after="0" w:line="244"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0" w:lineRule="exact"/>
        <w:rPr>
          <w:rFonts w:ascii="Times New Roman" w:cs="Times New Roman" w:eastAsia="Times New Roman" w:hAnsi="Times New Roman"/>
          <w:sz w:val="22"/>
          <w:szCs w:val="22"/>
          <w:color w:val="auto"/>
        </w:rPr>
      </w:pPr>
    </w:p>
    <w:p>
      <w:pPr>
        <w:ind w:left="1500" w:right="940" w:hanging="743"/>
        <w:spacing w:after="0" w:line="258"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Period</w:t>
      </w:r>
      <w:r>
        <w:rPr>
          <w:rFonts w:ascii="Times New Roman" w:cs="Times New Roman" w:eastAsia="Times New Roman" w:hAnsi="Times New Roman"/>
          <w:sz w:val="22"/>
          <w:szCs w:val="22"/>
          <w:color w:val="auto"/>
        </w:rPr>
        <w:t>. The “Protected Period” shall be a period of time determined in accordance with the following:</w:t>
      </w:r>
    </w:p>
    <w:p>
      <w:pPr>
        <w:spacing w:after="0" w:line="185" w:lineRule="exact"/>
        <w:rPr>
          <w:sz w:val="20"/>
          <w:szCs w:val="20"/>
          <w:color w:val="auto"/>
        </w:rPr>
      </w:pPr>
    </w:p>
    <w:p>
      <w:pPr>
        <w:ind w:left="2260" w:right="320" w:hanging="755"/>
        <w:spacing w:after="0" w:line="244" w:lineRule="auto"/>
        <w:tabs>
          <w:tab w:leader="none" w:pos="2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is triggered by an acquisition of shares of common stock of the Corporation pursuant to a tender offer, the Protected Period shall commence on the date of the initial tender offer and shall continue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6" w:name="page37"/>
    <w:bookmarkEnd w:id="36"/>
    <w:p>
      <w:pPr>
        <w:ind w:left="2252" w:right="300"/>
        <w:spacing w:after="0" w:line="282" w:lineRule="auto"/>
        <w:rPr>
          <w:sz w:val="20"/>
          <w:szCs w:val="20"/>
          <w:color w:val="auto"/>
        </w:rPr>
      </w:pPr>
      <w:r>
        <w:rPr>
          <w:rFonts w:ascii="Times New Roman" w:cs="Times New Roman" w:eastAsia="Times New Roman" w:hAnsi="Times New Roman"/>
          <w:sz w:val="21"/>
          <w:szCs w:val="21"/>
          <w:color w:val="auto"/>
        </w:rPr>
        <w:t>through and including the date of the Change of Control, provided that in no case will the Protected Period commence earlier than the date that is six months prior to the Change of Control;</w:t>
      </w:r>
    </w:p>
    <w:p>
      <w:pPr>
        <w:spacing w:after="0" w:line="162" w:lineRule="exact"/>
        <w:rPr>
          <w:sz w:val="20"/>
          <w:szCs w:val="20"/>
          <w:color w:val="auto"/>
        </w:rPr>
      </w:pPr>
    </w:p>
    <w:p>
      <w:pPr>
        <w:ind w:left="2252" w:right="40" w:hanging="755"/>
        <w:spacing w:after="0" w:line="238" w:lineRule="auto"/>
        <w:tabs>
          <w:tab w:leader="none" w:pos="225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3" w:lineRule="exact"/>
        <w:rPr>
          <w:rFonts w:ascii="Times New Roman" w:cs="Times New Roman" w:eastAsia="Times New Roman" w:hAnsi="Times New Roman"/>
          <w:sz w:val="22"/>
          <w:szCs w:val="22"/>
          <w:color w:val="auto"/>
        </w:rPr>
      </w:pPr>
    </w:p>
    <w:p>
      <w:pPr>
        <w:ind w:left="2252" w:right="20" w:hanging="755"/>
        <w:spacing w:after="0" w:line="244" w:lineRule="auto"/>
        <w:tabs>
          <w:tab w:leader="none" w:pos="225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0" w:lineRule="exact"/>
        <w:rPr>
          <w:rFonts w:ascii="Times New Roman" w:cs="Times New Roman" w:eastAsia="Times New Roman" w:hAnsi="Times New Roman"/>
          <w:sz w:val="22"/>
          <w:szCs w:val="22"/>
          <w:color w:val="auto"/>
        </w:rPr>
      </w:pPr>
    </w:p>
    <w:p>
      <w:pPr>
        <w:ind w:left="1472" w:right="440" w:hanging="723"/>
        <w:spacing w:after="0" w:line="239" w:lineRule="auto"/>
        <w:tabs>
          <w:tab w:leader="none" w:pos="147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will be a period beginning on the date of this letter agreement indicated above and ending on the first to occur of the following: (a) the date which is the two-year anniversary of the occurrence of a Change of Control; (b) February 28, 2026 if no Change of Control occurs between the date of this letter agreement indicated above and February 28, 2026; or (c) the Date of Termination.</w:t>
      </w:r>
    </w:p>
    <w:p>
      <w:pPr>
        <w:spacing w:after="0" w:line="207"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 on 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492" w:hanging="743"/>
        <w:spacing w:after="0" w:line="235" w:lineRule="auto"/>
        <w:tabs>
          <w:tab w:leader="none" w:pos="14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Corporation for Cause or by You Other Than for Good Reason</w:t>
      </w:r>
      <w:r>
        <w:rPr>
          <w:rFonts w:ascii="Times New Roman" w:cs="Times New Roman" w:eastAsia="Times New Roman" w:hAnsi="Times New Roman"/>
          <w:sz w:val="22"/>
          <w:szCs w:val="22"/>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10" w:lineRule="exact"/>
        <w:rPr>
          <w:rFonts w:ascii="Times New Roman" w:cs="Times New Roman" w:eastAsia="Times New Roman" w:hAnsi="Times New Roman"/>
          <w:sz w:val="22"/>
          <w:szCs w:val="22"/>
          <w:color w:val="auto"/>
        </w:rPr>
      </w:pPr>
    </w:p>
    <w:p>
      <w:pPr>
        <w:ind w:left="1492" w:right="120" w:hanging="743"/>
        <w:spacing w:after="0" w:line="253" w:lineRule="auto"/>
        <w:tabs>
          <w:tab w:leader="none" w:pos="149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Reason of Disability or Death</w:t>
      </w:r>
      <w:r>
        <w:rPr>
          <w:rFonts w:ascii="Times New Roman" w:cs="Times New Roman" w:eastAsia="Times New Roman" w:hAnsi="Times New Roman"/>
          <w:sz w:val="21"/>
          <w:szCs w:val="21"/>
          <w:color w:val="auto"/>
        </w:rPr>
        <w:t>. If your employment with the Consolidated ManpowerGroup terminates during the Term by reason of your disability or death, the Corporation will pay or provide you with</w:t>
      </w:r>
    </w:p>
    <w:p>
      <w:pPr>
        <w:ind w:left="1492" w:right="20" w:firstLine="6"/>
        <w:spacing w:after="0" w:line="232" w:lineRule="auto"/>
        <w:tabs>
          <w:tab w:leader="none" w:pos="175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w:t>
      </w:r>
    </w:p>
    <w:p>
      <w:pPr>
        <w:spacing w:after="0" w:line="15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76" w:right="419" w:bottom="1440" w:gutter="0" w:footer="0" w:header="0"/>
        </w:sectPr>
      </w:pPr>
    </w:p>
    <w:bookmarkStart w:id="37" w:name="page38"/>
    <w:bookmarkEnd w:id="37"/>
    <w:p>
      <w:pPr>
        <w:ind w:left="743" w:right="240"/>
        <w:spacing w:after="0" w:line="239" w:lineRule="auto"/>
        <w:rPr>
          <w:sz w:val="20"/>
          <w:szCs w:val="20"/>
          <w:color w:val="auto"/>
        </w:rPr>
      </w:pPr>
      <w:r>
        <w:rPr>
          <w:rFonts w:ascii="Times New Roman" w:cs="Times New Roman" w:eastAsia="Times New Roman" w:hAnsi="Times New Roman"/>
          <w:sz w:val="22"/>
          <w:szCs w:val="22"/>
          <w:color w:val="auto"/>
        </w:rPr>
        <w:t>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7" w:lineRule="exact"/>
        <w:rPr>
          <w:sz w:val="20"/>
          <w:szCs w:val="20"/>
          <w:color w:val="auto"/>
        </w:rPr>
      </w:pPr>
    </w:p>
    <w:p>
      <w:pPr>
        <w:ind w:left="743" w:hanging="743"/>
        <w:spacing w:after="0" w:line="261" w:lineRule="auto"/>
        <w:tabs>
          <w:tab w:leader="none" w:pos="74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Any Other Reason - Other than in a Change of Control</w:t>
      </w:r>
      <w:r>
        <w:rPr>
          <w:rFonts w:ascii="Times New Roman" w:cs="Times New Roman" w:eastAsia="Times New Roman" w:hAnsi="Times New Roman"/>
          <w:sz w:val="21"/>
          <w:szCs w:val="21"/>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84" w:lineRule="exact"/>
        <w:rPr>
          <w:rFonts w:ascii="Times New Roman" w:cs="Times New Roman" w:eastAsia="Times New Roman" w:hAnsi="Times New Roman"/>
          <w:sz w:val="21"/>
          <w:szCs w:val="21"/>
          <w:color w:val="auto"/>
        </w:rPr>
      </w:pPr>
    </w:p>
    <w:p>
      <w:pPr>
        <w:ind w:left="2243" w:right="240" w:hanging="746"/>
        <w:spacing w:after="0" w:line="258" w:lineRule="auto"/>
        <w:tabs>
          <w:tab w:leader="none" w:pos="192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your unpaid bonus, if any, attributable to any complete fiscal year of the Consolidated ManpowerGroup ended before the Date of Termination;</w:t>
      </w:r>
    </w:p>
    <w:p>
      <w:pPr>
        <w:spacing w:after="0" w:line="158" w:lineRule="exact"/>
        <w:rPr>
          <w:rFonts w:ascii="Times New Roman" w:cs="Times New Roman" w:eastAsia="Times New Roman" w:hAnsi="Times New Roman"/>
          <w:sz w:val="22"/>
          <w:szCs w:val="22"/>
          <w:color w:val="auto"/>
        </w:rPr>
      </w:pPr>
    </w:p>
    <w:p>
      <w:pPr>
        <w:ind w:left="2243" w:right="220" w:hanging="746"/>
        <w:spacing w:after="0" w:line="235" w:lineRule="auto"/>
        <w:tabs>
          <w:tab w:leader="none" w:pos="192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3" w:lineRule="exact"/>
        <w:rPr>
          <w:rFonts w:ascii="Times New Roman" w:cs="Times New Roman" w:eastAsia="Times New Roman" w:hAnsi="Times New Roman"/>
          <w:sz w:val="22"/>
          <w:szCs w:val="22"/>
          <w:color w:val="auto"/>
        </w:rPr>
      </w:pPr>
    </w:p>
    <w:p>
      <w:pPr>
        <w:ind w:left="2243" w:right="260" w:hanging="746"/>
        <w:spacing w:after="0" w:line="244" w:lineRule="auto"/>
        <w:tabs>
          <w:tab w:leader="none" w:pos="192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65" w:lineRule="exact"/>
        <w:rPr>
          <w:rFonts w:ascii="Times New Roman" w:cs="Times New Roman" w:eastAsia="Times New Roman" w:hAnsi="Times New Roman"/>
          <w:sz w:val="22"/>
          <w:szCs w:val="22"/>
          <w:color w:val="auto"/>
        </w:rPr>
      </w:pPr>
    </w:p>
    <w:p>
      <w:pPr>
        <w:ind w:left="2243" w:right="60" w:hanging="746"/>
        <w:spacing w:after="0" w:line="253" w:lineRule="exact"/>
        <w:tabs>
          <w:tab w:leader="none" w:pos="192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up to a twelve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5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615315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976" w:right="359" w:bottom="1440" w:gutter="0" w:footer="0" w:header="0"/>
        </w:sectPr>
      </w:pPr>
    </w:p>
    <w:bookmarkStart w:id="38" w:name="page39"/>
    <w:bookmarkEnd w:id="38"/>
    <w:p>
      <w:pPr>
        <w:ind w:left="1880"/>
        <w:spacing w:after="0" w:line="232" w:lineRule="auto"/>
        <w:rPr>
          <w:sz w:val="20"/>
          <w:szCs w:val="20"/>
          <w:color w:val="auto"/>
        </w:rPr>
      </w:pPr>
      <w:r>
        <w:rPr>
          <w:rFonts w:ascii="Times New Roman" w:cs="Times New Roman" w:eastAsia="Times New Roman" w:hAnsi="Times New Roman"/>
          <w:sz w:val="22"/>
          <w:szCs w:val="22"/>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9" w:lineRule="exact"/>
        <w:rPr>
          <w:sz w:val="20"/>
          <w:szCs w:val="20"/>
          <w:color w:val="auto"/>
        </w:rPr>
      </w:pPr>
    </w:p>
    <w:p>
      <w:pPr>
        <w:ind w:left="1880" w:hanging="746"/>
        <w:spacing w:after="0" w:line="234" w:lineRule="auto"/>
        <w:tabs>
          <w:tab w:leader="none" w:pos="156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210" w:lineRule="exact"/>
        <w:rPr>
          <w:sz w:val="20"/>
          <w:szCs w:val="20"/>
          <w:color w:val="auto"/>
        </w:rPr>
      </w:pPr>
    </w:p>
    <w:p>
      <w:pPr>
        <w:ind w:left="380" w:right="100"/>
        <w:spacing w:after="0" w:line="258" w:lineRule="auto"/>
        <w:rPr>
          <w:sz w:val="20"/>
          <w:szCs w:val="20"/>
          <w:color w:val="auto"/>
        </w:rPr>
      </w:pPr>
      <w:r>
        <w:rPr>
          <w:rFonts w:ascii="Times New Roman" w:cs="Times New Roman" w:eastAsia="Times New Roman" w:hAnsi="Times New Roman"/>
          <w:sz w:val="22"/>
          <w:szCs w:val="22"/>
          <w:color w:val="auto"/>
        </w:rPr>
        <w:t>In the event of a termination under this Subsection 2(c), the Consolidated ManpowerGroup will have no further obligations to you.</w:t>
      </w:r>
    </w:p>
    <w:p>
      <w:pPr>
        <w:spacing w:after="0" w:line="1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9" w:right="339" w:bottom="1440" w:gutter="0" w:footer="0" w:header="0"/>
        </w:sectPr>
      </w:pPr>
    </w:p>
    <w:bookmarkStart w:id="39" w:name="page40"/>
    <w:bookmarkEnd w:id="39"/>
    <w:p>
      <w:pPr>
        <w:ind w:left="743" w:hanging="743"/>
        <w:spacing w:after="0" w:line="239" w:lineRule="auto"/>
        <w:tabs>
          <w:tab w:leader="none" w:pos="74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Any Other Reason – Change of Control</w:t>
      </w:r>
      <w:r>
        <w:rPr>
          <w:rFonts w:ascii="Times New Roman" w:cs="Times New Roman" w:eastAsia="Times New Roman" w:hAnsi="Times New Roman"/>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07" w:lineRule="exact"/>
        <w:rPr>
          <w:rFonts w:ascii="Times New Roman" w:cs="Times New Roman" w:eastAsia="Times New Roman" w:hAnsi="Times New Roman"/>
          <w:sz w:val="22"/>
          <w:szCs w:val="22"/>
          <w:color w:val="auto"/>
        </w:rPr>
      </w:pPr>
    </w:p>
    <w:p>
      <w:pPr>
        <w:ind w:left="2243" w:right="220" w:hanging="746"/>
        <w:spacing w:after="0" w:line="258" w:lineRule="auto"/>
        <w:tabs>
          <w:tab w:leader="none" w:pos="192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your unpaid bonus, if any, attributable to any complete fiscal year of the Consolidated ManpowerGroup ended before the Date of Termination;</w:t>
      </w:r>
    </w:p>
    <w:p>
      <w:pPr>
        <w:spacing w:after="0" w:line="158" w:lineRule="exact"/>
        <w:rPr>
          <w:rFonts w:ascii="Times New Roman" w:cs="Times New Roman" w:eastAsia="Times New Roman" w:hAnsi="Times New Roman"/>
          <w:sz w:val="22"/>
          <w:szCs w:val="22"/>
          <w:color w:val="auto"/>
        </w:rPr>
      </w:pPr>
    </w:p>
    <w:p>
      <w:pPr>
        <w:ind w:left="2243" w:right="260" w:hanging="746"/>
        <w:spacing w:after="0" w:line="238" w:lineRule="auto"/>
        <w:tabs>
          <w:tab w:leader="none" w:pos="192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76" w:lineRule="exact"/>
        <w:rPr>
          <w:rFonts w:ascii="Times New Roman" w:cs="Times New Roman" w:eastAsia="Times New Roman" w:hAnsi="Times New Roman"/>
          <w:sz w:val="22"/>
          <w:szCs w:val="22"/>
          <w:color w:val="auto"/>
        </w:rPr>
      </w:pPr>
    </w:p>
    <w:p>
      <w:pPr>
        <w:ind w:left="2243" w:right="220" w:hanging="746"/>
        <w:spacing w:after="0" w:line="261" w:lineRule="auto"/>
        <w:tabs>
          <w:tab w:leader="none" w:pos="192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57" w:lineRule="exact"/>
        <w:rPr>
          <w:rFonts w:ascii="Times New Roman" w:cs="Times New Roman" w:eastAsia="Times New Roman" w:hAnsi="Times New Roman"/>
          <w:sz w:val="21"/>
          <w:szCs w:val="21"/>
          <w:color w:val="auto"/>
        </w:rPr>
      </w:pPr>
    </w:p>
    <w:p>
      <w:pPr>
        <w:ind w:left="1923" w:hanging="426"/>
        <w:spacing w:after="0"/>
        <w:tabs>
          <w:tab w:leader="none" w:pos="192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up to an eighteen-month period after the Date of Termination, the Corporation will arrange</w:t>
      </w:r>
    </w:p>
    <w:p>
      <w:pPr>
        <w:spacing w:after="0" w:line="14" w:lineRule="exact"/>
        <w:rPr>
          <w:sz w:val="20"/>
          <w:szCs w:val="20"/>
          <w:color w:val="auto"/>
        </w:rPr>
      </w:pPr>
    </w:p>
    <w:p>
      <w:pPr>
        <w:ind w:left="2243" w:right="240"/>
        <w:spacing w:after="0" w:line="231" w:lineRule="auto"/>
        <w:rPr>
          <w:sz w:val="20"/>
          <w:szCs w:val="20"/>
          <w:color w:val="auto"/>
        </w:rPr>
      </w:pPr>
      <w:r>
        <w:rPr>
          <w:rFonts w:ascii="Times New Roman" w:cs="Times New Roman" w:eastAsia="Times New Roman" w:hAnsi="Times New Roman"/>
          <w:sz w:val="22"/>
          <w:szCs w:val="22"/>
          <w:color w:val="auto"/>
        </w:rPr>
        <w:t>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 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7" w:lineRule="exact"/>
        <w:rPr>
          <w:sz w:val="20"/>
          <w:szCs w:val="20"/>
          <w:color w:val="auto"/>
        </w:rPr>
      </w:pPr>
    </w:p>
    <w:p>
      <w:pPr>
        <w:ind w:left="2243" w:right="180"/>
        <w:spacing w:after="0" w:line="255" w:lineRule="auto"/>
        <w:rPr>
          <w:sz w:val="20"/>
          <w:szCs w:val="20"/>
          <w:color w:val="auto"/>
        </w:rPr>
      </w:pPr>
      <w:r>
        <w:rPr>
          <w:rFonts w:ascii="Times New Roman" w:cs="Times New Roman" w:eastAsia="Times New Roman" w:hAnsi="Times New Roman"/>
          <w:sz w:val="21"/>
          <w:szCs w:val="21"/>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w:t>
      </w:r>
    </w:p>
    <w:p>
      <w:pPr>
        <w:spacing w:after="0" w:line="35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615315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219" w:right="379" w:bottom="1440" w:gutter="0" w:footer="0" w:header="0"/>
        </w:sectPr>
      </w:pPr>
    </w:p>
    <w:bookmarkStart w:id="40" w:name="page41"/>
    <w:bookmarkEnd w:id="40"/>
    <w:p>
      <w:pPr>
        <w:ind w:left="2187" w:right="140"/>
        <w:spacing w:after="0" w:line="232" w:lineRule="auto"/>
        <w:rPr>
          <w:sz w:val="20"/>
          <w:szCs w:val="20"/>
          <w:color w:val="auto"/>
        </w:rPr>
      </w:pPr>
      <w:r>
        <w:rPr>
          <w:rFonts w:ascii="Times New Roman" w:cs="Times New Roman" w:eastAsia="Times New Roman" w:hAnsi="Times New Roman"/>
          <w:sz w:val="22"/>
          <w:szCs w:val="22"/>
          <w:color w:val="auto"/>
        </w:rPr>
        <w:t>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88" w:lineRule="exact"/>
        <w:rPr>
          <w:sz w:val="20"/>
          <w:szCs w:val="20"/>
          <w:color w:val="auto"/>
        </w:rPr>
      </w:pPr>
    </w:p>
    <w:p>
      <w:pPr>
        <w:ind w:left="2187" w:right="120" w:hanging="746"/>
        <w:spacing w:after="0" w:line="234" w:lineRule="auto"/>
        <w:tabs>
          <w:tab w:leader="none" w:pos="18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83" w:lineRule="exact"/>
        <w:rPr>
          <w:sz w:val="20"/>
          <w:szCs w:val="20"/>
          <w:color w:val="auto"/>
        </w:rPr>
      </w:pPr>
    </w:p>
    <w:p>
      <w:pPr>
        <w:ind w:left="687"/>
        <w:spacing w:after="0" w:line="258" w:lineRule="auto"/>
        <w:rPr>
          <w:sz w:val="20"/>
          <w:szCs w:val="20"/>
          <w:color w:val="auto"/>
        </w:rPr>
      </w:pPr>
      <w:r>
        <w:rPr>
          <w:rFonts w:ascii="Times New Roman" w:cs="Times New Roman" w:eastAsia="Times New Roman" w:hAnsi="Times New Roman"/>
          <w:sz w:val="22"/>
          <w:szCs w:val="22"/>
          <w:color w:val="auto"/>
        </w:rPr>
        <w:t>In the event of a termination under this Subsection 2(d), the Consolidated ManpowerGroup will have no further obligations to you.</w:t>
      </w:r>
    </w:p>
    <w:p>
      <w:pPr>
        <w:spacing w:after="0" w:line="185" w:lineRule="exact"/>
        <w:rPr>
          <w:sz w:val="20"/>
          <w:szCs w:val="20"/>
          <w:color w:val="auto"/>
        </w:rPr>
      </w:pPr>
    </w:p>
    <w:p>
      <w:pPr>
        <w:ind w:left="687" w:right="380" w:hanging="687"/>
        <w:spacing w:after="0" w:line="239" w:lineRule="auto"/>
        <w:tabs>
          <w:tab w:leader="none" w:pos="4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Benefits</w:t>
      </w:r>
      <w:r>
        <w:rPr>
          <w:rFonts w:ascii="Times New Roman" w:cs="Times New Roman" w:eastAsia="Times New Roman" w:hAnsi="Times New Roman"/>
          <w:sz w:val="22"/>
          <w:szCs w:val="22"/>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w:t>
      </w:r>
    </w:p>
    <w:p>
      <w:pPr>
        <w:spacing w:after="0" w:line="369" w:lineRule="exact"/>
        <w:rPr>
          <w:sz w:val="20"/>
          <w:szCs w:val="20"/>
          <w:color w:val="auto"/>
        </w:rPr>
      </w:pPr>
    </w:p>
    <w:p>
      <w:pPr>
        <w:ind w:left="4767"/>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615315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7"/>
          </w:cols>
          <w:pgMar w:left="1133" w:top="976" w:right="419" w:bottom="1440" w:gutter="0" w:footer="0" w:header="0"/>
        </w:sectPr>
      </w:pPr>
    </w:p>
    <w:bookmarkStart w:id="41" w:name="page42"/>
    <w:bookmarkEnd w:id="41"/>
    <w:p>
      <w:pPr>
        <w:ind w:left="690" w:right="340"/>
        <w:spacing w:after="0" w:line="244" w:lineRule="auto"/>
        <w:rPr>
          <w:sz w:val="20"/>
          <w:szCs w:val="20"/>
          <w:color w:val="auto"/>
        </w:rPr>
      </w:pPr>
      <w:r>
        <w:rPr>
          <w:rFonts w:ascii="Times New Roman" w:cs="Times New Roman" w:eastAsia="Times New Roman" w:hAnsi="Times New Roman"/>
          <w:sz w:val="21"/>
          <w:szCs w:val="21"/>
          <w:color w:val="auto"/>
        </w:rPr>
        <w:t>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81" w:lineRule="exact"/>
        <w:rPr>
          <w:sz w:val="20"/>
          <w:szCs w:val="20"/>
          <w:color w:val="auto"/>
        </w:rPr>
      </w:pPr>
    </w:p>
    <w:p>
      <w:pPr>
        <w:ind w:left="690" w:hanging="690"/>
        <w:spacing w:after="0" w:line="229" w:lineRule="auto"/>
        <w:tabs>
          <w:tab w:leader="none" w:pos="4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Payments</w:t>
      </w:r>
      <w:r>
        <w:rPr>
          <w:rFonts w:ascii="Times New Roman" w:cs="Times New Roman" w:eastAsia="Times New Roman" w:hAnsi="Times New Roman"/>
          <w:sz w:val="22"/>
          <w:szCs w:val="22"/>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Times New Roman" w:cs="Times New Roman" w:eastAsia="Times New Roman" w:hAnsi="Times New Roman"/>
          <w:sz w:val="22"/>
          <w:szCs w:val="22"/>
          <w:i w:val="1"/>
          <w:iCs w:val="1"/>
          <w:color w:val="auto"/>
        </w:rPr>
        <w:t>The Wall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Street Journal</w:t>
      </w:r>
      <w:r>
        <w:rPr>
          <w:rFonts w:ascii="Times New Roman" w:cs="Times New Roman" w:eastAsia="Times New Roman" w:hAnsi="Times New Roman"/>
          <w:sz w:val="22"/>
          <w:szCs w:val="22"/>
          <w:color w:val="auto"/>
        </w:rPr>
        <w:t>, Midwest edition (or, if not so reported, as reported in such other similar source(s)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shall select).</w:t>
      </w:r>
    </w:p>
    <w:p>
      <w:pPr>
        <w:spacing w:after="0" w:line="219" w:lineRule="exact"/>
        <w:rPr>
          <w:rFonts w:ascii="Times New Roman" w:cs="Times New Roman" w:eastAsia="Times New Roman" w:hAnsi="Times New Roman"/>
          <w:sz w:val="22"/>
          <w:szCs w:val="22"/>
          <w:color w:val="auto"/>
        </w:rPr>
      </w:pPr>
    </w:p>
    <w:p>
      <w:pPr>
        <w:ind w:left="690" w:right="600" w:hanging="690"/>
        <w:spacing w:after="0" w:line="258" w:lineRule="auto"/>
        <w:tabs>
          <w:tab w:leader="none" w:pos="4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Notwithstanding the foregoing, you will have no right to receive any payment or benefit described in Subsections 2(c)(ii)-(v) or</w:t>
      </w:r>
    </w:p>
    <w:p>
      <w:pPr>
        <w:spacing w:after="0" w:line="131" w:lineRule="exact"/>
        <w:rPr>
          <w:sz w:val="20"/>
          <w:szCs w:val="20"/>
          <w:color w:val="auto"/>
        </w:rPr>
      </w:pPr>
    </w:p>
    <w:p>
      <w:pPr>
        <w:ind w:left="471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615315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30" w:top="976" w:right="379" w:bottom="1440" w:gutter="0" w:footer="0" w:header="0"/>
        </w:sectPr>
      </w:pPr>
    </w:p>
    <w:bookmarkStart w:id="42" w:name="page43"/>
    <w:bookmarkEnd w:id="42"/>
    <w:p>
      <w:pPr>
        <w:ind w:left="1492"/>
        <w:spacing w:after="0" w:line="229" w:lineRule="auto"/>
        <w:rPr>
          <w:sz w:val="20"/>
          <w:szCs w:val="20"/>
          <w:color w:val="auto"/>
        </w:rPr>
      </w:pPr>
      <w:r>
        <w:rPr>
          <w:rFonts w:ascii="Times New Roman" w:cs="Times New Roman" w:eastAsia="Times New Roman" w:hAnsi="Times New Roman"/>
          <w:sz w:val="22"/>
          <w:szCs w:val="22"/>
          <w:color w:val="auto"/>
        </w:rPr>
        <w:t>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Date of Termination.</w:t>
      </w:r>
    </w:p>
    <w:p>
      <w:pPr>
        <w:spacing w:after="0" w:line="208" w:lineRule="exact"/>
        <w:rPr>
          <w:sz w:val="20"/>
          <w:szCs w:val="20"/>
          <w:color w:val="auto"/>
        </w:rPr>
      </w:pPr>
    </w:p>
    <w:p>
      <w:pPr>
        <w:ind w:left="1492" w:right="40" w:hanging="690"/>
        <w:spacing w:after="0" w:line="238" w:lineRule="auto"/>
        <w:tabs>
          <w:tab w:leader="none" w:pos="122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03"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492" w:hanging="743"/>
        <w:spacing w:after="0" w:line="244" w:lineRule="auto"/>
        <w:tabs>
          <w:tab w:leader="none" w:pos="149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6" w:right="339" w:bottom="1440" w:gutter="0" w:footer="0" w:header="0"/>
        </w:sectPr>
      </w:pPr>
    </w:p>
    <w:bookmarkStart w:id="43" w:name="page44"/>
    <w:bookmarkEnd w:id="43"/>
    <w:p>
      <w:pPr>
        <w:ind w:left="1492" w:hanging="743"/>
        <w:spacing w:after="0" w:line="232" w:lineRule="auto"/>
        <w:tabs>
          <w:tab w:leader="none" w:pos="149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91" w:lineRule="exact"/>
        <w:rPr>
          <w:rFonts w:ascii="Times New Roman" w:cs="Times New Roman" w:eastAsia="Times New Roman" w:hAnsi="Times New Roman"/>
          <w:sz w:val="22"/>
          <w:szCs w:val="22"/>
          <w:color w:val="auto"/>
        </w:rPr>
      </w:pPr>
    </w:p>
    <w:p>
      <w:pPr>
        <w:ind w:left="1492" w:right="140" w:hanging="743"/>
        <w:spacing w:after="0" w:line="238" w:lineRule="auto"/>
        <w:tabs>
          <w:tab w:leader="none" w:pos="149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76" w:lineRule="exact"/>
        <w:rPr>
          <w:rFonts w:ascii="Times New Roman" w:cs="Times New Roman" w:eastAsia="Times New Roman" w:hAnsi="Times New Roman"/>
          <w:sz w:val="22"/>
          <w:szCs w:val="22"/>
          <w:color w:val="auto"/>
        </w:rPr>
      </w:pPr>
    </w:p>
    <w:p>
      <w:pPr>
        <w:ind w:left="752" w:right="180" w:hanging="752"/>
        <w:spacing w:after="0" w:line="234" w:lineRule="auto"/>
        <w:tabs>
          <w:tab w:leader="none" w:pos="7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two-year period preceding the Date of Termination.</w:t>
      </w:r>
    </w:p>
    <w:p>
      <w:pPr>
        <w:spacing w:after="0" w:line="206" w:lineRule="exact"/>
        <w:rPr>
          <w:rFonts w:ascii="Times New Roman" w:cs="Times New Roman" w:eastAsia="Times New Roman" w:hAnsi="Times New Roman"/>
          <w:sz w:val="22"/>
          <w:szCs w:val="22"/>
          <w:color w:val="auto"/>
        </w:rPr>
      </w:pPr>
    </w:p>
    <w:p>
      <w:pPr>
        <w:ind w:left="752" w:right="320" w:hanging="752"/>
        <w:spacing w:after="0" w:line="258" w:lineRule="auto"/>
        <w:tabs>
          <w:tab w:leader="none" w:pos="7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During Employment</w:t>
      </w:r>
      <w:r>
        <w:rPr>
          <w:rFonts w:ascii="Times New Roman" w:cs="Times New Roman" w:eastAsia="Times New Roman" w:hAnsi="Times New Roman"/>
          <w:sz w:val="22"/>
          <w:szCs w:val="22"/>
          <w:color w:val="auto"/>
        </w:rPr>
        <w:t>. During the term of your employment with the Consolidated ManpowerGroup, you will not directly or indirectly compete against the</w:t>
      </w:r>
    </w:p>
    <w:p>
      <w:pPr>
        <w:spacing w:after="0" w:line="1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44" w:name="page45"/>
    <w:bookmarkEnd w:id="44"/>
    <w:p>
      <w:pPr>
        <w:ind w:left="752" w:right="540"/>
        <w:spacing w:after="0" w:line="282" w:lineRule="auto"/>
        <w:rPr>
          <w:sz w:val="20"/>
          <w:szCs w:val="20"/>
          <w:color w:val="auto"/>
        </w:rPr>
      </w:pPr>
      <w:r>
        <w:rPr>
          <w:rFonts w:ascii="Times New Roman" w:cs="Times New Roman" w:eastAsia="Times New Roman" w:hAnsi="Times New Roman"/>
          <w:sz w:val="21"/>
          <w:szCs w:val="21"/>
          <w:color w:val="auto"/>
        </w:rPr>
        <w:t>Consolidated ManpowerGroup, or directly or indirectly divert or attempt to divert customers’ business from the Consolidated ManpowerGroup anywhere the Consolidated ManpowerGroup does or is taking steps to do business.</w:t>
      </w:r>
    </w:p>
    <w:p>
      <w:pPr>
        <w:spacing w:after="0" w:line="162" w:lineRule="exact"/>
        <w:rPr>
          <w:sz w:val="20"/>
          <w:szCs w:val="20"/>
          <w:color w:val="auto"/>
        </w:rPr>
      </w:pPr>
    </w:p>
    <w:p>
      <w:pPr>
        <w:ind w:left="752" w:right="540" w:hanging="752"/>
        <w:spacing w:after="0" w:line="258" w:lineRule="auto"/>
        <w:tabs>
          <w:tab w:leader="none" w:pos="7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Agreement</w:t>
      </w:r>
      <w:r>
        <w:rPr>
          <w:rFonts w:ascii="Times New Roman" w:cs="Times New Roman" w:eastAsia="Times New Roman" w:hAnsi="Times New Roman"/>
          <w:sz w:val="22"/>
          <w:szCs w:val="22"/>
          <w:color w:val="auto"/>
        </w:rPr>
        <w:t>. During the one-year period which immediately follows the termination, for whatever reason, of your employment with the Consolidated ManpowerGroup:</w:t>
      </w:r>
    </w:p>
    <w:p>
      <w:pPr>
        <w:spacing w:after="0" w:line="185" w:lineRule="exact"/>
        <w:rPr>
          <w:rFonts w:ascii="Times New Roman" w:cs="Times New Roman" w:eastAsia="Times New Roman" w:hAnsi="Times New Roman"/>
          <w:sz w:val="22"/>
          <w:szCs w:val="22"/>
          <w:color w:val="auto"/>
        </w:rPr>
      </w:pPr>
    </w:p>
    <w:p>
      <w:pPr>
        <w:ind w:left="1492" w:right="60" w:hanging="743"/>
        <w:spacing w:after="0" w:line="252" w:lineRule="exact"/>
        <w:tabs>
          <w:tab w:leader="none" w:pos="149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7" w:lineRule="exact"/>
        <w:rPr>
          <w:rFonts w:ascii="Times New Roman" w:cs="Times New Roman" w:eastAsia="Times New Roman" w:hAnsi="Times New Roman"/>
          <w:sz w:val="22"/>
          <w:szCs w:val="22"/>
          <w:color w:val="auto"/>
        </w:rPr>
      </w:pPr>
    </w:p>
    <w:p>
      <w:pPr>
        <w:ind w:left="1492" w:hanging="743"/>
        <w:spacing w:after="0" w:line="246" w:lineRule="exact"/>
        <w:tabs>
          <w:tab w:leader="none" w:pos="149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17" w:lineRule="exact"/>
        <w:rPr>
          <w:rFonts w:ascii="Times New Roman" w:cs="Times New Roman" w:eastAsia="Times New Roman" w:hAnsi="Times New Roman"/>
          <w:sz w:val="22"/>
          <w:szCs w:val="22"/>
          <w:color w:val="auto"/>
        </w:rPr>
      </w:pPr>
    </w:p>
    <w:p>
      <w:pPr>
        <w:ind w:left="752" w:hanging="752"/>
        <w:spacing w:after="0"/>
        <w:tabs>
          <w:tab w:leader="none" w:pos="7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and Other Interim Measures</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492" w:right="60" w:hanging="690"/>
        <w:spacing w:after="0" w:line="232" w:lineRule="auto"/>
        <w:tabs>
          <w:tab w:leader="none" w:pos="1229"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Injunction</w:t>
      </w:r>
      <w:r>
        <w:rPr>
          <w:rFonts w:ascii="Times New Roman" w:cs="Times New Roman" w:eastAsia="Times New Roman" w:hAnsi="Times New Roman"/>
          <w:sz w:val="22"/>
          <w:szCs w:val="22"/>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w:t>
      </w:r>
    </w:p>
    <w:p>
      <w:pPr>
        <w:spacing w:after="0" w:line="3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45" w:name="page46"/>
    <w:bookmarkEnd w:id="45"/>
    <w:p>
      <w:pPr>
        <w:ind w:left="1492" w:right="80"/>
        <w:spacing w:after="0" w:line="244" w:lineRule="auto"/>
        <w:rPr>
          <w:sz w:val="20"/>
          <w:szCs w:val="20"/>
          <w:color w:val="auto"/>
        </w:rPr>
      </w:pPr>
      <w:r>
        <w:rPr>
          <w:rFonts w:ascii="Times New Roman" w:cs="Times New Roman" w:eastAsia="Times New Roman" w:hAnsi="Times New Roman"/>
          <w:sz w:val="22"/>
          <w:szCs w:val="22"/>
          <w:color w:val="auto"/>
        </w:rPr>
        <w:t>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73" w:lineRule="exact"/>
        <w:rPr>
          <w:sz w:val="20"/>
          <w:szCs w:val="20"/>
          <w:color w:val="auto"/>
        </w:rPr>
      </w:pPr>
    </w:p>
    <w:p>
      <w:pPr>
        <w:ind w:left="1492" w:right="160" w:hanging="690"/>
        <w:spacing w:after="0" w:line="244" w:lineRule="auto"/>
        <w:tabs>
          <w:tab w:leader="none" w:pos="122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Nonapplication</w:t>
      </w:r>
      <w:r>
        <w:rPr>
          <w:rFonts w:ascii="Times New Roman" w:cs="Times New Roman" w:eastAsia="Times New Roman" w:hAnsi="Times New Roman"/>
          <w:sz w:val="22"/>
          <w:szCs w:val="22"/>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752" w:right="100" w:hanging="752"/>
        <w:spacing w:after="0" w:line="257" w:lineRule="exact"/>
        <w:tabs>
          <w:tab w:leader="none" w:pos="7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Unemployment Compensation</w:t>
      </w:r>
      <w:r>
        <w:rPr>
          <w:rFonts w:ascii="Times New Roman" w:cs="Times New Roman" w:eastAsia="Times New Roman" w:hAnsi="Times New Roman"/>
          <w:sz w:val="22"/>
          <w:szCs w:val="22"/>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following the Date of Termination, and you will be ineligible to receive, and you agree not to apply for, unemployment compensation during such periods.</w:t>
      </w:r>
    </w:p>
    <w:p>
      <w:pPr>
        <w:spacing w:after="0" w:line="204" w:lineRule="exact"/>
        <w:rPr>
          <w:rFonts w:ascii="Times New Roman" w:cs="Times New Roman" w:eastAsia="Times New Roman" w:hAnsi="Times New Roman"/>
          <w:sz w:val="22"/>
          <w:szCs w:val="22"/>
          <w:color w:val="auto"/>
        </w:rPr>
      </w:pPr>
    </w:p>
    <w:p>
      <w:pPr>
        <w:ind w:left="752" w:hanging="752"/>
        <w:spacing w:after="0" w:line="246" w:lineRule="auto"/>
        <w:tabs>
          <w:tab w:leader="none" w:pos="75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7" w:lineRule="exact"/>
        <w:rPr>
          <w:rFonts w:ascii="Times New Roman" w:cs="Times New Roman" w:eastAsia="Times New Roman" w:hAnsi="Times New Roman"/>
          <w:sz w:val="21"/>
          <w:szCs w:val="21"/>
          <w:color w:val="auto"/>
        </w:rPr>
      </w:pPr>
    </w:p>
    <w:p>
      <w:pPr>
        <w:ind w:left="752" w:right="300" w:hanging="752"/>
        <w:spacing w:after="0" w:line="258" w:lineRule="auto"/>
        <w:tabs>
          <w:tab w:leader="none" w:pos="7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 This letter agreement will be binding on the Corporation and its successors and will inure to the benefit of and be enforceable by your personal or legal representatives, heirs and successors.</w:t>
      </w:r>
    </w:p>
    <w:p>
      <w:pPr>
        <w:spacing w:after="0" w:line="185" w:lineRule="exact"/>
        <w:rPr>
          <w:rFonts w:ascii="Times New Roman" w:cs="Times New Roman" w:eastAsia="Times New Roman" w:hAnsi="Times New Roman"/>
          <w:sz w:val="22"/>
          <w:szCs w:val="22"/>
          <w:color w:val="auto"/>
        </w:rPr>
      </w:pPr>
    </w:p>
    <w:p>
      <w:pPr>
        <w:jc w:val="both"/>
        <w:ind w:left="752" w:hanging="752"/>
        <w:spacing w:after="0" w:line="244" w:lineRule="auto"/>
        <w:tabs>
          <w:tab w:leader="none" w:pos="7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0" w:lineRule="exact"/>
        <w:rPr>
          <w:rFonts w:ascii="Times New Roman" w:cs="Times New Roman" w:eastAsia="Times New Roman" w:hAnsi="Times New Roman"/>
          <w:sz w:val="22"/>
          <w:szCs w:val="22"/>
          <w:color w:val="auto"/>
        </w:rPr>
      </w:pPr>
    </w:p>
    <w:p>
      <w:pPr>
        <w:ind w:left="752" w:right="20" w:hanging="752"/>
        <w:spacing w:after="0" w:line="239" w:lineRule="auto"/>
        <w:tabs>
          <w:tab w:leader="none" w:pos="7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Remain Employed</w:t>
      </w:r>
      <w:r>
        <w:rPr>
          <w:rFonts w:ascii="Times New Roman" w:cs="Times New Roman" w:eastAsia="Times New Roman" w:hAnsi="Times New Roman"/>
          <w:sz w:val="22"/>
          <w:szCs w:val="22"/>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w:t>
      </w:r>
    </w:p>
    <w:p>
      <w:pPr>
        <w:spacing w:after="0" w:line="15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46" w:name="page47"/>
    <w:bookmarkEnd w:id="46"/>
    <w:p>
      <w:pPr>
        <w:ind w:left="752"/>
        <w:spacing w:after="0"/>
        <w:rPr>
          <w:sz w:val="20"/>
          <w:szCs w:val="20"/>
          <w:color w:val="auto"/>
        </w:rPr>
      </w:pPr>
      <w:r>
        <w:rPr>
          <w:rFonts w:ascii="Times New Roman" w:cs="Times New Roman" w:eastAsia="Times New Roman" w:hAnsi="Times New Roman"/>
          <w:sz w:val="22"/>
          <w:szCs w:val="22"/>
          <w:color w:val="auto"/>
        </w:rPr>
        <w:t>the Corporation as set forth herein.</w:t>
      </w:r>
    </w:p>
    <w:p>
      <w:pPr>
        <w:spacing w:after="0" w:line="233" w:lineRule="exact"/>
        <w:rPr>
          <w:sz w:val="20"/>
          <w:szCs w:val="20"/>
          <w:color w:val="auto"/>
        </w:rPr>
      </w:pPr>
    </w:p>
    <w:p>
      <w:pPr>
        <w:ind w:left="752" w:right="760" w:hanging="752"/>
        <w:spacing w:after="0" w:line="258" w:lineRule="auto"/>
        <w:tabs>
          <w:tab w:leader="none" w:pos="7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provision of this letter agreement may be modified, waived or discharged unless such waiver, modification or discharge is agreed to in writing by you and the Corporation.</w:t>
      </w:r>
    </w:p>
    <w:p>
      <w:pPr>
        <w:spacing w:after="0" w:line="185" w:lineRule="exact"/>
        <w:rPr>
          <w:rFonts w:ascii="Times New Roman" w:cs="Times New Roman" w:eastAsia="Times New Roman" w:hAnsi="Times New Roman"/>
          <w:sz w:val="22"/>
          <w:szCs w:val="22"/>
          <w:color w:val="auto"/>
        </w:rPr>
      </w:pPr>
    </w:p>
    <w:p>
      <w:pPr>
        <w:ind w:left="752" w:right="20" w:hanging="752"/>
        <w:spacing w:after="0" w:line="282" w:lineRule="auto"/>
        <w:tabs>
          <w:tab w:leader="none" w:pos="75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61" w:lineRule="exact"/>
        <w:rPr>
          <w:rFonts w:ascii="Times New Roman" w:cs="Times New Roman" w:eastAsia="Times New Roman" w:hAnsi="Times New Roman"/>
          <w:sz w:val="21"/>
          <w:szCs w:val="21"/>
          <w:color w:val="auto"/>
        </w:rPr>
      </w:pPr>
    </w:p>
    <w:p>
      <w:pPr>
        <w:ind w:left="752" w:right="140" w:hanging="752"/>
        <w:spacing w:after="0" w:line="258" w:lineRule="auto"/>
        <w:tabs>
          <w:tab w:leader="none" w:pos="7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letter agreement shall be governed by and interpreted in accordance with the laws of the State of New York, United States of America, without regard to its conflict of law provisions.</w:t>
      </w:r>
    </w:p>
    <w:p>
      <w:pPr>
        <w:spacing w:after="0" w:line="181" w:lineRule="exact"/>
        <w:rPr>
          <w:rFonts w:ascii="Times New Roman" w:cs="Times New Roman" w:eastAsia="Times New Roman" w:hAnsi="Times New Roman"/>
          <w:sz w:val="22"/>
          <w:szCs w:val="22"/>
          <w:color w:val="auto"/>
        </w:rPr>
      </w:pPr>
    </w:p>
    <w:p>
      <w:pPr>
        <w:ind w:left="752" w:hanging="752"/>
        <w:spacing w:after="0" w:line="250" w:lineRule="auto"/>
        <w:tabs>
          <w:tab w:leader="none" w:pos="75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Reduction of Amounts Due Under Law</w:t>
      </w:r>
      <w:r>
        <w:rPr>
          <w:rFonts w:ascii="Times New Roman" w:cs="Times New Roman" w:eastAsia="Times New Roman" w:hAnsi="Times New Roman"/>
          <w:sz w:val="21"/>
          <w:szCs w:val="21"/>
          <w:color w:val="auto"/>
        </w:rPr>
        <w:t>. You agree that any severance payment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5" w:lineRule="exact"/>
        <w:rPr>
          <w:rFonts w:ascii="Times New Roman" w:cs="Times New Roman" w:eastAsia="Times New Roman" w:hAnsi="Times New Roman"/>
          <w:sz w:val="21"/>
          <w:szCs w:val="21"/>
          <w:color w:val="auto"/>
        </w:rPr>
      </w:pPr>
    </w:p>
    <w:p>
      <w:pPr>
        <w:ind w:left="752" w:right="140" w:hanging="752"/>
        <w:spacing w:after="0" w:line="238" w:lineRule="auto"/>
        <w:tabs>
          <w:tab w:leader="none" w:pos="7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Previous Agreements</w:t>
      </w:r>
      <w:r>
        <w:rPr>
          <w:rFonts w:ascii="Times New Roman" w:cs="Times New Roman" w:eastAsia="Times New Roman" w:hAnsi="Times New Roman"/>
          <w:sz w:val="22"/>
          <w:szCs w:val="22"/>
          <w:color w:val="auto"/>
        </w:rPr>
        <w:t>. This letter agreement, upon acceptance by you, expressly supersedes any and all previous agreements or understandings relating to your employment by the Corporation or the Consolidated ManpowerGroup or the termination of such employment, including but not limited to any prior offer letters or restrictive covenant agreements between you and the Corporation, and any such agreements or understandings shall, as of the date of your acceptance, have no further force or effect.</w:t>
      </w:r>
    </w:p>
    <w:p>
      <w:pPr>
        <w:spacing w:after="0" w:line="203" w:lineRule="exact"/>
        <w:rPr>
          <w:rFonts w:ascii="Times New Roman" w:cs="Times New Roman" w:eastAsia="Times New Roman" w:hAnsi="Times New Roman"/>
          <w:sz w:val="22"/>
          <w:szCs w:val="22"/>
          <w:color w:val="auto"/>
        </w:rPr>
      </w:pPr>
    </w:p>
    <w:p>
      <w:pPr>
        <w:ind w:left="752" w:right="60" w:hanging="752"/>
        <w:spacing w:after="0" w:line="236" w:lineRule="auto"/>
        <w:tabs>
          <w:tab w:leader="none" w:pos="7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08" w:lineRule="exact"/>
        <w:rPr>
          <w:rFonts w:ascii="Times New Roman" w:cs="Times New Roman" w:eastAsia="Times New Roman" w:hAnsi="Times New Roman"/>
          <w:sz w:val="22"/>
          <w:szCs w:val="22"/>
          <w:color w:val="auto"/>
        </w:rPr>
      </w:pPr>
    </w:p>
    <w:p>
      <w:pPr>
        <w:ind w:left="1492" w:right="80" w:hanging="690"/>
        <w:spacing w:after="0" w:line="235" w:lineRule="auto"/>
        <w:tabs>
          <w:tab w:leader="none" w:pos="122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w:t>
      </w:r>
    </w:p>
    <w:p>
      <w:pPr>
        <w:spacing w:after="0" w:line="15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76" w:right="379" w:bottom="1440" w:gutter="0" w:footer="0" w:header="0"/>
        </w:sectPr>
      </w:pPr>
    </w:p>
    <w:bookmarkStart w:id="47" w:name="page48"/>
    <w:bookmarkEnd w:id="47"/>
    <w:p>
      <w:pPr>
        <w:ind w:left="1492" w:right="20"/>
        <w:spacing w:after="0" w:line="234" w:lineRule="auto"/>
        <w:rPr>
          <w:sz w:val="20"/>
          <w:szCs w:val="20"/>
          <w:color w:val="auto"/>
        </w:rPr>
      </w:pPr>
      <w:r>
        <w:rPr>
          <w:rFonts w:ascii="Times New Roman" w:cs="Times New Roman" w:eastAsia="Times New Roman" w:hAnsi="Times New Roman"/>
          <w:sz w:val="22"/>
          <w:szCs w:val="22"/>
          <w:color w:val="auto"/>
        </w:rPr>
        <w:t>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0" w:lineRule="exact"/>
        <w:rPr>
          <w:sz w:val="20"/>
          <w:szCs w:val="20"/>
          <w:color w:val="auto"/>
        </w:rPr>
      </w:pPr>
    </w:p>
    <w:p>
      <w:pPr>
        <w:ind w:left="1492" w:right="20" w:hanging="743"/>
        <w:spacing w:after="0" w:line="233" w:lineRule="auto"/>
        <w:tabs>
          <w:tab w:leader="none" w:pos="14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4" w:lineRule="exact"/>
        <w:rPr>
          <w:rFonts w:ascii="Times New Roman" w:cs="Times New Roman" w:eastAsia="Times New Roman" w:hAnsi="Times New Roman"/>
          <w:sz w:val="22"/>
          <w:szCs w:val="22"/>
          <w:color w:val="auto"/>
        </w:rPr>
      </w:pPr>
    </w:p>
    <w:p>
      <w:pPr>
        <w:jc w:val="both"/>
        <w:ind w:left="752" w:hanging="752"/>
        <w:spacing w:after="0" w:line="244" w:lineRule="auto"/>
        <w:tabs>
          <w:tab w:leader="none" w:pos="7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00" w:lineRule="exact"/>
        <w:rPr>
          <w:rFonts w:ascii="Times New Roman" w:cs="Times New Roman" w:eastAsia="Times New Roman" w:hAnsi="Times New Roman"/>
          <w:sz w:val="22"/>
          <w:szCs w:val="22"/>
          <w:color w:val="auto"/>
        </w:rPr>
      </w:pPr>
    </w:p>
    <w:p>
      <w:pPr>
        <w:jc w:val="both"/>
        <w:ind w:left="752" w:hanging="752"/>
        <w:spacing w:after="0" w:line="235" w:lineRule="auto"/>
        <w:tabs>
          <w:tab w:leader="none" w:pos="7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Consistency with Applicable Law</w:t>
      </w:r>
      <w:r>
        <w:rPr>
          <w:rFonts w:ascii="Times New Roman" w:cs="Times New Roman" w:eastAsia="Times New Roman" w:hAnsi="Times New Roman"/>
          <w:sz w:val="22"/>
          <w:szCs w:val="22"/>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ManpowerGroup or any of its agents that you have made such reports or disclosures; however, we encourage you to do so. Nothing in this letter agreement shall have the</w:t>
      </w:r>
    </w:p>
    <w:p>
      <w:pPr>
        <w:spacing w:after="0" w:line="1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615315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6" w:right="3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1"/>
          <w:szCs w:val="21"/>
          <w:color w:val="auto"/>
        </w:rPr>
        <w:t>purpose or effect of limiting your rights to reveal factual information related to any future claim of discrimination to law enforcement, the Equal Employment Opportunity Commission, the state division of human rights, the attorney general, a local commission on human rights, or an attorney retained by you. Further, nothing in this letter agreement shall have the purpose or effect of limiting your right to reveal factual information related to claims of sexual assault or sexual harassment. Finally, your good faith report or disclosure shall not trigger the forfeiture rights under Subsection 2(h) of this Agreement or otherwise limit your right to receive an award for information provided to any government agency.</w:t>
      </w:r>
    </w:p>
    <w:p>
      <w:pPr>
        <w:spacing w:after="0" w:line="1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615315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76" w:right="339" w:bottom="1440" w:gutter="0" w:footer="0" w:header="0"/>
        </w:sectPr>
      </w:pPr>
    </w:p>
    <w:bookmarkStart w:id="49" w:name="page50"/>
    <w:bookmarkEnd w:id="49"/>
    <w:p>
      <w:pPr>
        <w:ind w:firstLine="749"/>
        <w:spacing w:after="0" w:line="258" w:lineRule="auto"/>
        <w:rPr>
          <w:sz w:val="20"/>
          <w:szCs w:val="20"/>
          <w:color w:val="auto"/>
        </w:rPr>
      </w:pPr>
      <w:r>
        <w:rPr>
          <w:rFonts w:ascii="Times New Roman" w:cs="Times New Roman" w:eastAsia="Times New Roman" w:hAnsi="Times New Roman"/>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-13970</wp:posOffset>
            </wp:positionV>
            <wp:extent cx="11049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as of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February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/s/Becky Frankiewicz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Becky Frankiewicz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9" w:right="3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220" w:hanging="378"/>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2025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22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2025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May 2,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Letter"/>
      <w:start w:val="1"/>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decimal"/>
      <w:start w:val="5"/>
    </w:lvl>
  </w:abstractNum>
  <w:abstractNum w:abstractNumId="9">
    <w:nsid w:val="5577F8E1"/>
    <w:multiLevelType w:val="hybridMultilevel"/>
    <w:lvl w:ilvl="0">
      <w:lvlJc w:val="left"/>
      <w:lvlText w:val="(%1)"/>
      <w:numFmt w:val="decimal"/>
      <w:start w:val="6"/>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decimal"/>
      <w:start w:val="7"/>
    </w:lvl>
  </w:abstractNum>
  <w:abstractNum w:abstractNumId="12">
    <w:nsid w:val="3804823E"/>
    <w:multiLevelType w:val="hybridMultilevel"/>
    <w:lvl w:ilvl="0">
      <w:lvlJc w:val="left"/>
      <w:lvlText w:val="(%1)"/>
      <w:numFmt w:val="decimal"/>
      <w:start w:val="8"/>
    </w:lvl>
  </w:abstractNum>
  <w:abstractNum w:abstractNumId="13">
    <w:nsid w:val="77465F01"/>
    <w:multiLevelType w:val="hybridMultilevel"/>
    <w:lvl w:ilvl="0">
      <w:lvlJc w:val="left"/>
      <w:lvlText w:val="(%1)"/>
      <w:numFmt w:val="decimal"/>
      <w:start w:val="9"/>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decimal"/>
      <w:start w:val="10"/>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decimal"/>
      <w:start w:val="15"/>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endash "/>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decimal"/>
      <w:start w:val="104"/>
    </w:lvl>
  </w:abstractNum>
  <w:abstractNum w:abstractNumId="30">
    <w:nsid w:val="7A6D8D3C"/>
    <w:multiLevelType w:val="hybridMultilevel"/>
    <w:lvl w:ilvl="0">
      <w:lvlJc w:val="left"/>
      <w:lvlText w:val="%1."/>
      <w:numFmt w:val="decimal"/>
      <w:start w:val="1"/>
    </w:lvl>
    <w:lvl w:ilvl="1">
      <w:lvlJc w:val="left"/>
      <w:lvlText w:val="(%2)"/>
      <w:numFmt w:val="lowerLetter"/>
      <w:start w:val="1"/>
    </w:lvl>
  </w:abstractNum>
  <w:abstractNum w:abstractNumId="31">
    <w:nsid w:val="4B588F54"/>
    <w:multiLevelType w:val="hybridMultilevel"/>
    <w:lvl w:ilvl="0">
      <w:lvlJc w:val="left"/>
      <w:lvlText w:val="(%1)"/>
      <w:numFmt w:val="lowerLetter"/>
      <w:start w:val="3"/>
    </w:lvl>
    <w:lvl w:ilvl="1">
      <w:lvlJc w:val="left"/>
      <w:lvlText w:val="(%2)"/>
      <w:numFmt w:val="lowerRoman"/>
      <w:start w:val="1"/>
    </w:lvl>
  </w:abstractNum>
  <w:abstractNum w:abstractNumId="32">
    <w:nsid w:val="542289EC"/>
    <w:multiLevelType w:val="hybridMultilevel"/>
    <w:lvl w:ilvl="0">
      <w:lvlJc w:val="left"/>
      <w:lvlText w:val="(%1)"/>
      <w:numFmt w:val="lowerRoman"/>
      <w:start w:val="3"/>
    </w:lvl>
  </w:abstractNum>
  <w:abstractNum w:abstractNumId="33">
    <w:nsid w:val="6DE91B18"/>
    <w:multiLevelType w:val="hybridMultilevel"/>
    <w:lvl w:ilvl="0">
      <w:lvlJc w:val="left"/>
      <w:lvlText w:val="(%1)"/>
      <w:numFmt w:val="lowerLetter"/>
      <w:start w:val="4"/>
    </w:lvl>
    <w:lvl w:ilvl="1">
      <w:lvlJc w:val="left"/>
      <w:lvlText w:val="(%2)"/>
      <w:numFmt w:val="lowerRoman"/>
      <w:start w:val="1"/>
    </w:lvl>
  </w:abstractNum>
  <w:abstractNum w:abstractNumId="34">
    <w:nsid w:val="38437FDB"/>
    <w:multiLevelType w:val="hybridMultilevel"/>
    <w:lvl w:ilvl="0">
      <w:lvlJc w:val="left"/>
      <w:lvlText w:val="(%1)"/>
      <w:numFmt w:val="lowerRoman"/>
      <w:start w:val="5"/>
    </w:lvl>
  </w:abstractNum>
  <w:abstractNum w:abstractNumId="35">
    <w:nsid w:val="7644A45C"/>
    <w:multiLevelType w:val="hybridMultilevel"/>
    <w:lvl w:ilvl="0">
      <w:lvlJc w:val="left"/>
      <w:lvlText w:val="(%1)"/>
      <w:numFmt w:val="lowerLetter"/>
      <w:start w:val="61"/>
    </w:lvl>
    <w:lvl w:ilvl="1">
      <w:lvlJc w:val="left"/>
      <w:lvlText w:val="(%2)"/>
      <w:numFmt w:val="lowerLetter"/>
      <w:start w:val="5"/>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8">
    <w:nsid w:val="579478F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9">
    <w:nsid w:val="749ABB4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3DC240FB"/>
    <w:multiLevelType w:val="hybridMultilevel"/>
    <w:lvl w:ilvl="0">
      <w:lvlJc w:val="left"/>
      <w:lvlText w:val="(%1)"/>
      <w:numFmt w:val="lowerLetter"/>
      <w:start w:val="3"/>
    </w:lvl>
    <w:lvl w:ilvl="1">
      <w:lvlJc w:val="left"/>
      <w:lvlText w:val="(%2)"/>
      <w:numFmt w:val="lowerRoman"/>
      <w:start w:val="1"/>
    </w:lvl>
  </w:abstractNum>
  <w:abstractNum w:abstractNumId="41">
    <w:nsid w:val="1BA026FA"/>
    <w:multiLevelType w:val="hybridMultilevel"/>
    <w:lvl w:ilvl="0">
      <w:lvlJc w:val="left"/>
      <w:lvlText w:val="(%1)"/>
      <w:numFmt w:val="lowerRoman"/>
      <w:start w:val="5"/>
    </w:lvl>
  </w:abstractNum>
  <w:abstractNum w:abstractNumId="42">
    <w:nsid w:val="79A1DEAA"/>
    <w:multiLevelType w:val="hybridMultilevel"/>
    <w:lvl w:ilvl="0">
      <w:lvlJc w:val="left"/>
      <w:lvlText w:val="(%1)"/>
      <w:numFmt w:val="lowerLetter"/>
      <w:start w:val="4"/>
    </w:lvl>
    <w:lvl w:ilvl="1">
      <w:lvlJc w:val="left"/>
      <w:lvlText w:val="(%2)"/>
      <w:numFmt w:val="lowerRoman"/>
      <w:start w:val="1"/>
    </w:lvl>
  </w:abstractNum>
  <w:abstractNum w:abstractNumId="43">
    <w:nsid w:val="75C6C33A"/>
    <w:multiLevelType w:val="hybridMultilevel"/>
    <w:lvl w:ilvl="0">
      <w:lvlJc w:val="left"/>
      <w:lvlText w:val="(%1)"/>
      <w:numFmt w:val="lowerRoman"/>
      <w:start w:val="5"/>
    </w:lvl>
  </w:abstractNum>
  <w:abstractNum w:abstractNumId="44">
    <w:nsid w:val="12E685FB"/>
    <w:multiLevelType w:val="hybridMultilevel"/>
    <w:lvl w:ilvl="0">
      <w:lvlJc w:val="left"/>
      <w:lvlText w:val="(%1)"/>
      <w:numFmt w:val="lowerLetter"/>
      <w:start w:val="5"/>
    </w:lvl>
  </w:abstractNum>
  <w:abstractNum w:abstractNumId="45">
    <w:nsid w:val="70C6A529"/>
    <w:multiLevelType w:val="hybridMultilevel"/>
    <w:lvl w:ilvl="0">
      <w:lvlJc w:val="left"/>
      <w:lvlText w:val="(%1)"/>
      <w:numFmt w:val="lowerLetter"/>
      <w:start w:val="6"/>
    </w:lvl>
  </w:abstractNum>
  <w:abstractNum w:abstractNumId="46">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47">
    <w:nsid w:val="374A3FE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2"/>
    </w:lvl>
  </w:abstractNum>
  <w:abstractNum w:abstractNumId="49">
    <w:nsid w:val="23F9C13C"/>
    <w:multiLevelType w:val="hybridMultilevel"/>
    <w:lvl w:ilvl="0">
      <w:lvlJc w:val="left"/>
      <w:lvlText w:val="%1."/>
      <w:numFmt w:val="decimal"/>
      <w:start w:val="4"/>
    </w:lvl>
    <w:lvl w:ilvl="1">
      <w:lvlJc w:val="left"/>
      <w:lvlText w:val="%2"/>
      <w:numFmt w:val="lowerLetter"/>
      <w:start w:val="1"/>
    </w:lvl>
  </w:abstractNum>
  <w:abstractNum w:abstractNumId="50">
    <w:nsid w:val="649BB77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1">
    <w:nsid w:val="275AC794"/>
    <w:multiLevelType w:val="hybridMultilevel"/>
    <w:lvl w:ilvl="0">
      <w:lvlJc w:val="left"/>
      <w:lvlText w:val="%1"/>
      <w:numFmt w:val="decimal"/>
      <w:start w:val="1"/>
    </w:lvl>
    <w:lvl w:ilvl="1">
      <w:lvlJc w:val="left"/>
      <w:lvlText w:val="(%2)"/>
      <w:numFmt w:val="lowerLetter"/>
      <w:start w:val="2"/>
    </w:lvl>
  </w:abstractNum>
  <w:abstractNum w:abstractNumId="52">
    <w:nsid w:val="39386575"/>
    <w:multiLevelType w:val="hybridMultilevel"/>
    <w:lvl w:ilvl="0">
      <w:lvlJc w:val="left"/>
      <w:lvlText w:val="%1."/>
      <w:numFmt w:val="decimal"/>
      <w:start w:val="8"/>
    </w:lvl>
    <w:lvl w:ilvl="1">
      <w:lvlJc w:val="left"/>
      <w:lvlText w:val="%2"/>
      <w:numFmt w:val="lowerLetter"/>
      <w:start w:val="1"/>
    </w:lvl>
  </w:abstractNum>
  <w:abstractNum w:abstractNumId="53">
    <w:nsid w:val="1CF10FD8"/>
    <w:multiLevelType w:val="hybridMultilevel"/>
    <w:lvl w:ilvl="0">
      <w:lvlJc w:val="left"/>
      <w:lvlText w:val="%1."/>
      <w:numFmt w:val="decimal"/>
      <w:start w:val="13"/>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2"/>
    </w:lvl>
  </w:abstractNum>
  <w:abstractNum w:abstractNumId="55">
    <w:nsid w:val="235BA861"/>
    <w:multiLevelType w:val="hybridMultilevel"/>
    <w:lvl w:ilvl="0">
      <w:lvlJc w:val="left"/>
      <w:lvlText w:val="%1."/>
      <w:numFmt w:val="decimal"/>
      <w:start w:val="19"/>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2025-05-02T15:41:54Z</dcterms:created>
  <dcterms:modified xsi:type="dcterms:W3CDTF">2025-05-02T15:41:54Z</dcterms:modified>
</cp:coreProperties>
</file>