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2" w:lineRule="exact"/>
        <w:rPr>
          <w:sz w:val="24"/>
          <w:szCs w:val="24"/>
          <w:color w:val="auto"/>
        </w:rPr>
      </w:pPr>
    </w:p>
    <w:p>
      <w:pPr>
        <w:jc w:val="center"/>
        <w:ind w:right="-1125"/>
        <w:spacing w:after="0"/>
        <w:rPr>
          <w:sz w:val="20"/>
          <w:szCs w:val="20"/>
          <w:color w:val="auto"/>
        </w:rPr>
      </w:pPr>
      <w:r>
        <w:rPr>
          <w:rFonts w:ascii="Arial" w:cs="Arial" w:eastAsia="Arial" w:hAnsi="Arial"/>
          <w:sz w:val="15"/>
          <w:szCs w:val="15"/>
          <w:color w:val="auto"/>
        </w:rPr>
        <w:t>Date of Report (Date of earliest event reported): July 19, 2007</w:t>
      </w:r>
    </w:p>
    <w:p>
      <w:pPr>
        <w:spacing w:after="0" w:line="126"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6" w:lineRule="exact"/>
        <w:rPr>
          <w:sz w:val="24"/>
          <w:szCs w:val="24"/>
          <w:color w:val="auto"/>
        </w:rPr>
      </w:pPr>
    </w:p>
    <w:tbl>
      <w:tblPr>
        <w:tblLayout w:type="fixed"/>
        <w:tblInd w:w="1266" w:type="dxa"/>
        <w:tblCellMar>
          <w:top w:w="0" w:type="dxa"/>
          <w:left w:w="0" w:type="dxa"/>
          <w:bottom w:w="0" w:type="dxa"/>
          <w:right w:w="0" w:type="dxa"/>
        </w:tblCellMar>
      </w:tblPr>
      <w:tr>
        <w:trPr>
          <w:trHeight w:val="188"/>
        </w:trPr>
        <w:tc>
          <w:tcPr>
            <w:tcW w:w="3400" w:type="dxa"/>
            <w:vAlign w:val="bottom"/>
          </w:tcPr>
          <w:p>
            <w:pPr>
              <w:jc w:val="center"/>
              <w:ind w:right="1972"/>
              <w:spacing w:after="0"/>
              <w:rPr>
                <w:sz w:val="20"/>
                <w:szCs w:val="20"/>
                <w:color w:val="auto"/>
              </w:rPr>
            </w:pPr>
            <w:r>
              <w:rPr>
                <w:rFonts w:ascii="Arial" w:cs="Arial" w:eastAsia="Arial" w:hAnsi="Arial"/>
                <w:sz w:val="15"/>
                <w:szCs w:val="15"/>
                <w:b w:val="1"/>
                <w:bCs w:val="1"/>
                <w:color w:val="auto"/>
                <w:w w:val="90"/>
              </w:rPr>
              <w:t>Wisconsin</w:t>
            </w:r>
          </w:p>
        </w:tc>
        <w:tc>
          <w:tcPr>
            <w:tcW w:w="2640" w:type="dxa"/>
            <w:vAlign w:val="bottom"/>
          </w:tcPr>
          <w:p>
            <w:pPr>
              <w:jc w:val="center"/>
              <w:ind w:right="215"/>
              <w:spacing w:after="0"/>
              <w:rPr>
                <w:sz w:val="20"/>
                <w:szCs w:val="20"/>
                <w:color w:val="auto"/>
              </w:rPr>
            </w:pPr>
            <w:r>
              <w:rPr>
                <w:rFonts w:ascii="Arial" w:cs="Arial" w:eastAsia="Arial" w:hAnsi="Arial"/>
                <w:sz w:val="15"/>
                <w:szCs w:val="15"/>
                <w:b w:val="1"/>
                <w:bCs w:val="1"/>
                <w:color w:val="auto"/>
                <w:w w:val="94"/>
              </w:rPr>
              <w:t>1-10686</w:t>
            </w:r>
          </w:p>
        </w:tc>
        <w:tc>
          <w:tcPr>
            <w:tcW w:w="2760" w:type="dxa"/>
            <w:vAlign w:val="bottom"/>
          </w:tcPr>
          <w:p>
            <w:pPr>
              <w:jc w:val="center"/>
              <w:ind w:left="1794"/>
              <w:spacing w:after="0"/>
              <w:rPr>
                <w:sz w:val="20"/>
                <w:szCs w:val="20"/>
                <w:color w:val="auto"/>
              </w:rPr>
            </w:pPr>
            <w:r>
              <w:rPr>
                <w:rFonts w:ascii="Arial" w:cs="Arial" w:eastAsia="Arial" w:hAnsi="Arial"/>
                <w:sz w:val="15"/>
                <w:szCs w:val="15"/>
                <w:b w:val="1"/>
                <w:bCs w:val="1"/>
                <w:color w:val="auto"/>
                <w:w w:val="92"/>
              </w:rPr>
              <w:t>39-1672779</w:t>
            </w:r>
          </w:p>
        </w:tc>
      </w:tr>
      <w:tr>
        <w:trPr>
          <w:trHeight w:val="129"/>
        </w:trPr>
        <w:tc>
          <w:tcPr>
            <w:tcW w:w="3400" w:type="dxa"/>
            <w:vAlign w:val="bottom"/>
          </w:tcPr>
          <w:p>
            <w:pPr>
              <w:jc w:val="center"/>
              <w:ind w:right="1972"/>
              <w:spacing w:after="0" w:line="129" w:lineRule="exact"/>
              <w:rPr>
                <w:sz w:val="20"/>
                <w:szCs w:val="20"/>
                <w:color w:val="auto"/>
              </w:rPr>
            </w:pPr>
            <w:r>
              <w:rPr>
                <w:rFonts w:ascii="Arial" w:cs="Arial" w:eastAsia="Arial" w:hAnsi="Arial"/>
                <w:sz w:val="12"/>
                <w:szCs w:val="12"/>
                <w:b w:val="1"/>
                <w:bCs w:val="1"/>
                <w:color w:val="auto"/>
                <w:w w:val="90"/>
              </w:rPr>
              <w:t>(State or other jurisdiction</w:t>
            </w:r>
          </w:p>
        </w:tc>
        <w:tc>
          <w:tcPr>
            <w:tcW w:w="2640" w:type="dxa"/>
            <w:vAlign w:val="bottom"/>
          </w:tcPr>
          <w:p>
            <w:pPr>
              <w:jc w:val="center"/>
              <w:ind w:right="235"/>
              <w:spacing w:after="0" w:line="129" w:lineRule="exact"/>
              <w:rPr>
                <w:sz w:val="20"/>
                <w:szCs w:val="20"/>
                <w:color w:val="auto"/>
              </w:rPr>
            </w:pPr>
            <w:r>
              <w:rPr>
                <w:rFonts w:ascii="Arial" w:cs="Arial" w:eastAsia="Arial" w:hAnsi="Arial"/>
                <w:sz w:val="12"/>
                <w:szCs w:val="12"/>
                <w:b w:val="1"/>
                <w:bCs w:val="1"/>
                <w:color w:val="auto"/>
                <w:w w:val="86"/>
              </w:rPr>
              <w:t>(Commission</w:t>
            </w:r>
          </w:p>
        </w:tc>
        <w:tc>
          <w:tcPr>
            <w:tcW w:w="2760" w:type="dxa"/>
            <w:vAlign w:val="bottom"/>
          </w:tcPr>
          <w:p>
            <w:pPr>
              <w:jc w:val="center"/>
              <w:ind w:left="1774"/>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3400" w:type="dxa"/>
            <w:vAlign w:val="bottom"/>
          </w:tcPr>
          <w:p>
            <w:pPr>
              <w:jc w:val="center"/>
              <w:ind w:right="1972"/>
              <w:spacing w:after="0"/>
              <w:rPr>
                <w:sz w:val="20"/>
                <w:szCs w:val="20"/>
                <w:color w:val="auto"/>
              </w:rPr>
            </w:pPr>
            <w:r>
              <w:rPr>
                <w:rFonts w:ascii="Arial" w:cs="Arial" w:eastAsia="Arial" w:hAnsi="Arial"/>
                <w:sz w:val="12"/>
                <w:szCs w:val="12"/>
                <w:b w:val="1"/>
                <w:bCs w:val="1"/>
                <w:color w:val="auto"/>
                <w:w w:val="87"/>
              </w:rPr>
              <w:t>of incorporation)</w:t>
            </w:r>
          </w:p>
        </w:tc>
        <w:tc>
          <w:tcPr>
            <w:tcW w:w="2640" w:type="dxa"/>
            <w:vAlign w:val="bottom"/>
          </w:tcPr>
          <w:p>
            <w:pPr>
              <w:jc w:val="center"/>
              <w:ind w:right="215"/>
              <w:spacing w:after="0"/>
              <w:rPr>
                <w:sz w:val="20"/>
                <w:szCs w:val="20"/>
                <w:color w:val="auto"/>
              </w:rPr>
            </w:pPr>
            <w:r>
              <w:rPr>
                <w:rFonts w:ascii="Arial" w:cs="Arial" w:eastAsia="Arial" w:hAnsi="Arial"/>
                <w:sz w:val="12"/>
                <w:szCs w:val="12"/>
                <w:b w:val="1"/>
                <w:bCs w:val="1"/>
                <w:color w:val="auto"/>
                <w:w w:val="92"/>
              </w:rPr>
              <w:t>File Number)</w:t>
            </w:r>
          </w:p>
        </w:tc>
        <w:tc>
          <w:tcPr>
            <w:tcW w:w="2760" w:type="dxa"/>
            <w:vAlign w:val="bottom"/>
          </w:tcPr>
          <w:p>
            <w:pPr>
              <w:jc w:val="center"/>
              <w:ind w:left="1774"/>
              <w:spacing w:after="0"/>
              <w:rPr>
                <w:sz w:val="20"/>
                <w:szCs w:val="20"/>
                <w:color w:val="auto"/>
              </w:rPr>
            </w:pPr>
            <w:r>
              <w:rPr>
                <w:rFonts w:ascii="Arial" w:cs="Arial" w:eastAsia="Arial" w:hAnsi="Arial"/>
                <w:sz w:val="12"/>
                <w:szCs w:val="12"/>
                <w:b w:val="1"/>
                <w:bCs w:val="1"/>
                <w:color w:val="auto"/>
                <w:w w:val="90"/>
              </w:rPr>
              <w:t>Identification No.)</w:t>
            </w:r>
          </w:p>
        </w:tc>
      </w:tr>
      <w:tr>
        <w:trPr>
          <w:trHeight w:val="355"/>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4"/>
              </w:rPr>
              <w:t>5301 North Ironwood Road</w:t>
            </w:r>
          </w:p>
        </w:tc>
        <w:tc>
          <w:tcPr>
            <w:tcW w:w="26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3"/>
              </w:rPr>
              <w:t>Milwaukee, Wisconsin</w:t>
            </w:r>
          </w:p>
        </w:tc>
        <w:tc>
          <w:tcPr>
            <w:tcW w:w="2640" w:type="dxa"/>
            <w:vAlign w:val="bottom"/>
          </w:tcPr>
          <w:p>
            <w:pPr>
              <w:spacing w:after="0"/>
              <w:rPr>
                <w:sz w:val="17"/>
                <w:szCs w:val="17"/>
                <w:color w:val="auto"/>
              </w:rPr>
            </w:pPr>
          </w:p>
        </w:tc>
        <w:tc>
          <w:tcPr>
            <w:tcW w:w="2760" w:type="dxa"/>
            <w:vAlign w:val="bottom"/>
          </w:tcPr>
          <w:p>
            <w:pPr>
              <w:jc w:val="right"/>
              <w:ind w:right="1114"/>
              <w:spacing w:after="0"/>
              <w:rPr>
                <w:sz w:val="20"/>
                <w:szCs w:val="20"/>
                <w:color w:val="auto"/>
              </w:rPr>
            </w:pPr>
            <w:r>
              <w:rPr>
                <w:rFonts w:ascii="Arial" w:cs="Arial" w:eastAsia="Arial" w:hAnsi="Arial"/>
                <w:sz w:val="15"/>
                <w:szCs w:val="15"/>
                <w:b w:val="1"/>
                <w:bCs w:val="1"/>
                <w:color w:val="auto"/>
              </w:rPr>
              <w:t>53217</w:t>
            </w:r>
          </w:p>
        </w:tc>
      </w:tr>
      <w:tr>
        <w:trPr>
          <w:trHeight w:val="151"/>
        </w:trPr>
        <w:tc>
          <w:tcPr>
            <w:tcW w:w="3400" w:type="dxa"/>
            <w:vAlign w:val="bottom"/>
          </w:tcPr>
          <w:p>
            <w:pPr>
              <w:jc w:val="center"/>
              <w:ind w:right="152"/>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64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Arial" w:cs="Arial" w:eastAsia="Arial" w:hAnsi="Arial"/>
                <w:sz w:val="12"/>
                <w:szCs w:val="12"/>
                <w:b w:val="1"/>
                <w:bCs w:val="1"/>
                <w:color w:val="auto"/>
                <w:w w:val="90"/>
              </w:rPr>
              <w:t>(Zip Code)</w:t>
            </w:r>
          </w:p>
        </w:tc>
      </w:tr>
    </w:tbl>
    <w:p>
      <w:pPr>
        <w:spacing w:after="0" w:line="124" w:lineRule="exact"/>
        <w:rPr>
          <w:sz w:val="24"/>
          <w:szCs w:val="24"/>
          <w:color w:val="auto"/>
        </w:rPr>
      </w:pPr>
    </w:p>
    <w:p>
      <w:pPr>
        <w:ind w:left="3626"/>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57"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269480"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0306"/>
          </w:cols>
          <w:pgMar w:left="234" w:top="527" w:right="135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90"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On July 19, 2007, we issued a press release announcing our results of operations for the three- and six- month periods ended June 30, 2007. A copy of the press release is attached hereto as Exhibit 99.1 and is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10600" w:type="dxa"/>
            <w:vAlign w:val="bottom"/>
            <w:gridSpan w:val="2"/>
          </w:tcPr>
          <w:p>
            <w:pPr>
              <w:ind w:left="180"/>
              <w:spacing w:after="0"/>
              <w:rPr>
                <w:sz w:val="20"/>
                <w:szCs w:val="20"/>
                <w:color w:val="auto"/>
              </w:rPr>
            </w:pPr>
            <w:r>
              <w:rPr>
                <w:rFonts w:ascii="Arial" w:cs="Arial" w:eastAsia="Arial" w:hAnsi="Arial"/>
                <w:sz w:val="15"/>
                <w:szCs w:val="15"/>
                <w:b w:val="1"/>
                <w:bCs w:val="1"/>
                <w:color w:val="auto"/>
              </w:rPr>
              <w:t>Exhibits.</w:t>
            </w:r>
          </w:p>
        </w:tc>
      </w:tr>
      <w:tr>
        <w:trPr>
          <w:trHeight w:val="318"/>
        </w:trPr>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Exhibit No.</w:t>
            </w:r>
          </w:p>
        </w:tc>
        <w:tc>
          <w:tcPr>
            <w:tcW w:w="50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99.1</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Press Release dated July 19, 2007</w:t>
            </w:r>
          </w:p>
        </w:tc>
      </w:tr>
      <w:tr>
        <w:trPr>
          <w:trHeight w:val="282"/>
        </w:trPr>
        <w:tc>
          <w:tcPr>
            <w:tcW w:w="58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5"/>
                <w:szCs w:val="15"/>
                <w:color w:val="auto"/>
              </w:rPr>
              <w:t>Presentation materials for July 19, 2007 conference call</w:t>
            </w:r>
          </w:p>
        </w:tc>
      </w:tr>
    </w:tbl>
    <w:p>
      <w:pPr>
        <w:sectPr>
          <w:pgSz w:w="11900" w:h="16838" w:orient="portrait"/>
          <w:cols w:equalWidth="0" w:num="1">
            <w:col w:w="11440"/>
          </w:cols>
          <w:pgMar w:left="240" w:top="25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1"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20" w:type="dxa"/>
            <w:vAlign w:val="bottom"/>
          </w:tcPr>
          <w:p>
            <w:pPr>
              <w:spacing w:after="0"/>
              <w:rPr>
                <w:sz w:val="16"/>
                <w:szCs w:val="16"/>
                <w:color w:val="auto"/>
              </w:rPr>
            </w:pPr>
          </w:p>
        </w:tc>
        <w:tc>
          <w:tcPr>
            <w:tcW w:w="7720" w:type="dxa"/>
            <w:vAlign w:val="bottom"/>
            <w:gridSpan w:val="2"/>
          </w:tcPr>
          <w:p>
            <w:pPr>
              <w:ind w:left="2400"/>
              <w:spacing w:after="0"/>
              <w:rPr>
                <w:sz w:val="20"/>
                <w:szCs w:val="20"/>
                <w:color w:val="auto"/>
              </w:rPr>
            </w:pPr>
            <w:r>
              <w:rPr>
                <w:rFonts w:ascii="Arial" w:cs="Arial" w:eastAsia="Arial" w:hAnsi="Arial"/>
                <w:sz w:val="15"/>
                <w:szCs w:val="15"/>
                <w:color w:val="auto"/>
              </w:rPr>
              <w:t>MANPOWER INC.</w:t>
            </w:r>
          </w:p>
        </w:tc>
      </w:tr>
      <w:tr>
        <w:trPr>
          <w:trHeight w:val="377"/>
        </w:trPr>
        <w:tc>
          <w:tcPr>
            <w:tcW w:w="3720" w:type="dxa"/>
            <w:vAlign w:val="bottom"/>
          </w:tcPr>
          <w:p>
            <w:pPr>
              <w:spacing w:after="0"/>
              <w:rPr>
                <w:sz w:val="20"/>
                <w:szCs w:val="20"/>
                <w:color w:val="auto"/>
              </w:rPr>
            </w:pPr>
            <w:r>
              <w:rPr>
                <w:rFonts w:ascii="Arial" w:cs="Arial" w:eastAsia="Arial" w:hAnsi="Arial"/>
                <w:sz w:val="15"/>
                <w:szCs w:val="15"/>
                <w:color w:val="auto"/>
              </w:rPr>
              <w:t>Dated: July 19, 2007</w:t>
            </w:r>
          </w:p>
        </w:tc>
        <w:tc>
          <w:tcPr>
            <w:tcW w:w="7720" w:type="dxa"/>
            <w:vAlign w:val="bottom"/>
            <w:gridSpan w:val="2"/>
          </w:tcPr>
          <w:p>
            <w:pPr>
              <w:ind w:left="2400"/>
              <w:spacing w:after="0"/>
              <w:rPr>
                <w:sz w:val="20"/>
                <w:szCs w:val="20"/>
                <w:color w:val="auto"/>
              </w:rPr>
            </w:pPr>
            <w:r>
              <w:rPr>
                <w:rFonts w:ascii="Arial" w:cs="Arial" w:eastAsia="Arial" w:hAnsi="Arial"/>
                <w:sz w:val="15"/>
                <w:szCs w:val="15"/>
                <w:color w:val="auto"/>
              </w:rPr>
              <w:t>By:  /s/ Michael J. Van Handel</w:t>
            </w:r>
          </w:p>
        </w:tc>
      </w:tr>
      <w:tr>
        <w:trPr>
          <w:trHeight w:val="173"/>
        </w:trPr>
        <w:tc>
          <w:tcPr>
            <w:tcW w:w="37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10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Michael J. Van Handel</w:t>
            </w:r>
          </w:p>
        </w:tc>
      </w:tr>
      <w:tr>
        <w:trPr>
          <w:trHeight w:val="188"/>
        </w:trPr>
        <w:tc>
          <w:tcPr>
            <w:tcW w:w="3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Arial" w:cs="Arial" w:eastAsia="Arial" w:hAnsi="Arial"/>
                <w:sz w:val="15"/>
                <w:szCs w:val="15"/>
                <w:color w:val="auto"/>
              </w:rPr>
              <w:t>Executive Vice President,</w:t>
            </w:r>
          </w:p>
        </w:tc>
      </w:tr>
      <w:tr>
        <w:trPr>
          <w:trHeight w:val="194"/>
        </w:trPr>
        <w:tc>
          <w:tcPr>
            <w:tcW w:w="3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Arial" w:cs="Arial" w:eastAsia="Arial" w:hAnsi="Arial"/>
                <w:sz w:val="15"/>
                <w:szCs w:val="15"/>
                <w:color w:val="auto"/>
              </w:rPr>
              <w:t>Chief Financial Officer and Secretary</w:t>
            </w:r>
          </w:p>
        </w:tc>
      </w:tr>
    </w:tbl>
    <w:p>
      <w:pPr>
        <w:sectPr>
          <w:pgSz w:w="11900" w:h="16838" w:orient="portrait"/>
          <w:cols w:equalWidth="0" w:num="1">
            <w:col w:w="11440"/>
          </w:cols>
          <w:pgMar w:left="240" w:top="258"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EXHIBIT INDEX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60" w:type="dxa"/>
            <w:vAlign w:val="bottom"/>
          </w:tcPr>
          <w:p>
            <w:pPr>
              <w:spacing w:after="0"/>
              <w:rPr>
                <w:sz w:val="13"/>
                <w:szCs w:val="13"/>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58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760" w:type="dxa"/>
            <w:vAlign w:val="bottom"/>
          </w:tcPr>
          <w:p>
            <w:pPr>
              <w:spacing w:after="0"/>
              <w:rPr>
                <w:sz w:val="23"/>
                <w:szCs w:val="23"/>
                <w:color w:val="auto"/>
              </w:rPr>
            </w:pPr>
          </w:p>
        </w:tc>
        <w:tc>
          <w:tcPr>
            <w:tcW w:w="10100" w:type="dxa"/>
            <w:vAlign w:val="bottom"/>
          </w:tcPr>
          <w:p>
            <w:pPr>
              <w:spacing w:after="0"/>
              <w:rPr>
                <w:sz w:val="20"/>
                <w:szCs w:val="20"/>
                <w:color w:val="auto"/>
              </w:rPr>
            </w:pPr>
            <w:r>
              <w:rPr>
                <w:rFonts w:ascii="Arial" w:cs="Arial" w:eastAsia="Arial" w:hAnsi="Arial"/>
                <w:sz w:val="15"/>
                <w:szCs w:val="15"/>
                <w:color w:val="auto"/>
              </w:rPr>
              <w:t>Press Release dated July 19, 2007</w:t>
            </w:r>
          </w:p>
        </w:tc>
      </w:tr>
      <w:tr>
        <w:trPr>
          <w:trHeight w:val="282"/>
        </w:trPr>
        <w:tc>
          <w:tcPr>
            <w:tcW w:w="58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76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5"/>
                <w:szCs w:val="15"/>
                <w:color w:val="auto"/>
              </w:rPr>
              <w:t>Presentation materials for July 19, 2007 conference call</w:t>
            </w:r>
          </w:p>
        </w:tc>
      </w:tr>
    </w:tbl>
    <w:p>
      <w:pPr>
        <w:sectPr>
          <w:pgSz w:w="11900" w:h="16838" w:orient="portrait"/>
          <w:cols w:equalWidth="0" w:num="1">
            <w:col w:w="11440"/>
          </w:cols>
          <w:pgMar w:left="240" w:top="25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color w:val="auto"/>
        </w:rPr>
        <w:t>Exhibit 99.1</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[MANPOWER logo]</w:t>
      </w:r>
    </w:p>
    <w:p>
      <w:pPr>
        <w:sectPr>
          <w:pgSz w:w="11900" w:h="16838" w:orient="portrait"/>
          <w:cols w:equalWidth="0" w:num="1">
            <w:col w:w="11440"/>
          </w:cols>
          <w:pgMar w:left="240" w:top="132" w:right="2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Mike Van Handel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michael.vanhandel@manpower.com</w:t>
      </w:r>
    </w:p>
    <w:p>
      <w:pPr>
        <w:spacing w:after="0" w:line="200" w:lineRule="exact"/>
        <w:rPr>
          <w:sz w:val="20"/>
          <w:szCs w:val="20"/>
          <w:color w:val="auto"/>
        </w:rPr>
      </w:pPr>
    </w:p>
    <w:p>
      <w:pPr>
        <w:sectPr>
          <w:pgSz w:w="11900" w:h="16838" w:orient="portrait"/>
          <w:cols w:equalWidth="0" w:num="2">
            <w:col w:w="6720" w:space="720"/>
            <w:col w:w="4000"/>
          </w:cols>
          <w:pgMar w:left="240" w:top="132" w:right="21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Manpower Reports 2</w:t>
      </w:r>
      <w:r>
        <w:rPr>
          <w:rFonts w:ascii="Arial" w:cs="Arial" w:eastAsia="Arial" w:hAnsi="Arial"/>
          <w:sz w:val="8"/>
          <w:szCs w:val="8"/>
          <w:b w:val="1"/>
          <w:bCs w:val="1"/>
          <w:color w:val="auto"/>
        </w:rPr>
        <w:t>ND</w:t>
      </w:r>
      <w:r>
        <w:rPr>
          <w:rFonts w:ascii="Arial" w:cs="Arial" w:eastAsia="Arial" w:hAnsi="Arial"/>
          <w:sz w:val="14"/>
          <w:szCs w:val="14"/>
          <w:b w:val="1"/>
          <w:bCs w:val="1"/>
          <w:color w:val="auto"/>
        </w:rPr>
        <w:t xml:space="preserve"> Quarter and First Half 2007 Results</w:t>
      </w:r>
    </w:p>
    <w:p>
      <w:pPr>
        <w:sectPr>
          <w:pgSz w:w="11900" w:h="16838" w:orient="portrait"/>
          <w:cols w:equalWidth="0" w:num="1">
            <w:col w:w="11440"/>
          </w:cols>
          <w:pgMar w:left="240" w:top="132" w:right="21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MILWAUKEE, WI, USA, July 19, 2007 – Manpower Inc. (NYSE: MAN) today reported that earnings per diluted share for the three months ended June 30, 2007 increased 104% to</w:t>
      </w:r>
    </w:p>
    <w:p>
      <w:pPr>
        <w:spacing w:after="0" w:line="33"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$1.86 from 91 cents in the prior year period. Net earnings in the quarter increased to $160.4 million from $80.4 million a year earlier. Revenues for the second quarter were $5.0 billion, an increase of 15 percent from the year earlier period.</w:t>
      </w:r>
    </w:p>
    <w:p>
      <w:pPr>
        <w:spacing w:after="0" w:line="104" w:lineRule="exact"/>
        <w:rPr>
          <w:sz w:val="20"/>
          <w:szCs w:val="20"/>
          <w:color w:val="auto"/>
        </w:rPr>
      </w:pPr>
    </w:p>
    <w:p>
      <w:pPr>
        <w:ind w:right="60" w:firstLine="457"/>
        <w:spacing w:after="0" w:line="271" w:lineRule="auto"/>
        <w:rPr>
          <w:sz w:val="20"/>
          <w:szCs w:val="20"/>
          <w:color w:val="auto"/>
        </w:rPr>
      </w:pPr>
      <w:r>
        <w:rPr>
          <w:rFonts w:ascii="Arial" w:cs="Arial" w:eastAsia="Arial" w:hAnsi="Arial"/>
          <w:sz w:val="15"/>
          <w:szCs w:val="15"/>
          <w:color w:val="auto"/>
        </w:rPr>
        <w:t>Second quarter results were favorably impacted 66 cents per diluted share as a result of a change in the calculation of French payroll taxes retroactive to January 1, 2006. Of this amount, 45 cents relates to reduced payroll taxes for 2006, 10 cents for the first quarter of 2007 and 11 cents the second quarter of 2007. Second quarter results were also favorably impacted by 5 cents per diluted share as foreign currencies were relatively stronger compared to the second quarter of 2006. On a constant currency basis, revenues increased 9% over the prior year period.</w:t>
      </w:r>
    </w:p>
    <w:p>
      <w:pPr>
        <w:spacing w:after="0" w:line="115"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“We continue to experience positive trends throughout the major geographies and segments of our business, with the European geography driving a substantial portion of our growth in both revenue and profit,” said Jeffrey A. Joerres, Chairman and CEO.</w:t>
      </w:r>
    </w:p>
    <w:p>
      <w:pPr>
        <w:spacing w:after="0" w:line="99" w:lineRule="exact"/>
        <w:rPr>
          <w:sz w:val="20"/>
          <w:szCs w:val="20"/>
          <w:color w:val="auto"/>
        </w:rPr>
      </w:pPr>
    </w:p>
    <w:p>
      <w:pPr>
        <w:ind w:right="440" w:firstLine="457"/>
        <w:spacing w:after="0" w:line="291" w:lineRule="auto"/>
        <w:rPr>
          <w:sz w:val="20"/>
          <w:szCs w:val="20"/>
          <w:color w:val="auto"/>
        </w:rPr>
      </w:pPr>
      <w:r>
        <w:rPr>
          <w:rFonts w:ascii="Arial" w:cs="Arial" w:eastAsia="Arial" w:hAnsi="Arial"/>
          <w:sz w:val="15"/>
          <w:szCs w:val="15"/>
          <w:color w:val="auto"/>
        </w:rPr>
        <w:t>“Throughout the world our organization continues to make great strides in securing growth at profitable levels, expanding our offering in permanent recruitment and driving efficiencies. The Manpower team is doing an impressive job of helping our clients win, while at the same time, improving our operational excellence.</w:t>
      </w:r>
    </w:p>
    <w:p>
      <w:pPr>
        <w:spacing w:after="0" w:line="99"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“We are anticipating the third quarter of 2007 diluted earnings per share to be in the range of $1.39 to $1.43, which includes an estimated favorable currency impact of 8 cents,” Joerres stated.</w:t>
      </w:r>
    </w:p>
    <w:p>
      <w:pPr>
        <w:spacing w:after="0" w:line="99" w:lineRule="exact"/>
        <w:rPr>
          <w:sz w:val="20"/>
          <w:szCs w:val="20"/>
          <w:color w:val="auto"/>
        </w:rPr>
      </w:pPr>
    </w:p>
    <w:p>
      <w:pPr>
        <w:jc w:val="both"/>
        <w:ind w:right="100" w:firstLine="457"/>
        <w:spacing w:after="0" w:line="276" w:lineRule="auto"/>
        <w:rPr>
          <w:sz w:val="20"/>
          <w:szCs w:val="20"/>
          <w:color w:val="auto"/>
        </w:rPr>
      </w:pPr>
      <w:r>
        <w:rPr>
          <w:rFonts w:ascii="Arial" w:cs="Arial" w:eastAsia="Arial" w:hAnsi="Arial"/>
          <w:sz w:val="15"/>
          <w:szCs w:val="15"/>
          <w:color w:val="auto"/>
        </w:rPr>
        <w:t>Earnings per diluted share for the six months ended June 30, 2007 were $2.54 compared to $1.50 per diluted share in 2006. Net earnings were $219.9 million compared to $133.0 million in the prior year. Revenues for the six-month period were $9.6 billion, an increase of 16 percent from the prior year or 9 percent in constant currency. Foreign currency exchange rates had a favorable impact of 10 cents for the six-month period.</w:t>
      </w:r>
    </w:p>
    <w:p>
      <w:pPr>
        <w:spacing w:after="0" w:line="110"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Included in net earnings in the first half of 2006 is a 16 cent per diluted share charge related to reorganization costs and a global cost reduction initiative. Also included in the prior year period are earnings per diluted share from discontinued operations of 27 cents.</w:t>
      </w:r>
    </w:p>
    <w:p>
      <w:pPr>
        <w:sectPr>
          <w:pgSz w:w="11900" w:h="16838" w:orient="portrait"/>
          <w:cols w:equalWidth="0" w:num="1">
            <w:col w:w="11440"/>
          </w:cols>
          <w:pgMar w:left="240" w:top="132" w:right="219" w:bottom="1440" w:gutter="0" w:footer="0" w:header="0"/>
          <w:type w:val="continuous"/>
        </w:sectPr>
      </w:pPr>
    </w:p>
    <w:bookmarkStart w:id="5" w:name="page6"/>
    <w:bookmarkEnd w:id="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 conjunction with its second quarter earnings release, Manpower will broadcast its conference call live over the Internet on July 19, 2007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and view the presentation by logging on to http://investor.manpower.com.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Manpower Inc. (NYSE: MAN) is a world leader in the employment services industry; creating and delivering services that enable its clients to win in the changing world of work. The $18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73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2006, which information is incorporated herein by reference.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 ### -</w:t>
      </w:r>
    </w:p>
    <w:p>
      <w:pPr>
        <w:sectPr>
          <w:pgSz w:w="11900" w:h="16838" w:orient="portrait"/>
          <w:cols w:equalWidth="0" w:num="1">
            <w:col w:w="11380"/>
          </w:cols>
          <w:pgMar w:left="240" w:top="262" w:right="27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5,034.4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4,384.6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Cost of services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4,010.3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3,601.8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11.3%</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1,024.1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782.8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747.1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644.7</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15.9%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138.1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12.5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-38.1%</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125.6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103.7%</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108.9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46.0</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137.0%</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79.6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0.8</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80.4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0.91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108.8%</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Discontinued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0.01</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0.92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106.5%</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Net earnings per share - diluted:</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0.90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Discontinued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0.01</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0.91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-3.3%</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84.4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87.3</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88.7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-2.8%</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80" w:hanging="446"/>
        <w:spacing w:after="0" w:line="276"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$9.0 million and $8.8 million for the three months ended June 30, 2007 and 2006, respectively. These fees are primarily based on revenues generated by the franchise offices, which were $361.8 million and $388.8 million for the three months ended June 30, 2007 and 2006, respectively.</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2"/>
                <w:szCs w:val="12"/>
                <w:b w:val="1"/>
                <w:bCs w:val="1"/>
                <w:color w:val="auto"/>
                <w:w w:val="97"/>
              </w:rPr>
              <w:t>Three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2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488.6</w:t>
            </w: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534.6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-8.6%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1,784.9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1,535.6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Other EMEA (b)</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1,582.0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1,257.5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25.8%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Italy (b)</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291.7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Jefferson Wells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83.8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98.8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-15.1%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102.6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Other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635.5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563.8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12.7%</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5,034.4</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4,384.6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Operating Unit Profit:</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22.5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France</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163.7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49.7</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229.1%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209.3%</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EMEA (b)</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29.5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Italy (b)</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29.1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21.2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37.4%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-89.0%</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11.0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11.1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0.1%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14.8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301.7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158.8</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17.4</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3.3</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138.1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12.5</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125.6</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80" w:hanging="446"/>
        <w:spacing w:after="0" w:line="276"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$6.5 million and $6.0 million for the three months ended June 30, 2007 and 2006, respectively. These fees are primarily based on revenues generated by the franchise offices, which were $278.5 million and $291.9 million for the three months ended June 30, 2007 and 2006,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Italy and Other EMEA were combined as the EMEA segment in previous years. All previous years have been revised to conform to the current year presentation.</w:t>
      </w:r>
    </w:p>
    <w:p>
      <w:pPr>
        <w:spacing w:after="0" w:line="86"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99" w:lineRule="exact"/>
        <w:rPr>
          <w:sz w:val="20"/>
          <w:szCs w:val="20"/>
          <w:color w:val="auto"/>
        </w:rPr>
      </w:pPr>
    </w:p>
    <w:tbl>
      <w:tblPr>
        <w:tblLayout w:type="fixed"/>
        <w:tblInd w:w="466" w:type="dxa"/>
        <w:tblCellMar>
          <w:top w:w="0" w:type="dxa"/>
          <w:left w:w="0" w:type="dxa"/>
          <w:bottom w:w="0" w:type="dxa"/>
          <w:right w:w="0" w:type="dxa"/>
        </w:tblCellMar>
      </w:tblPr>
      <w:tr>
        <w:trPr>
          <w:trHeight w:val="188"/>
        </w:trPr>
        <w:tc>
          <w:tcPr>
            <w:tcW w:w="92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$ 13.1</w:t>
            </w:r>
          </w:p>
        </w:tc>
        <w:tc>
          <w:tcPr>
            <w:tcW w:w="60" w:type="dxa"/>
            <w:vAlign w:val="bottom"/>
            <w:shd w:val="clear" w:color="auto" w:fill="CCEEFF"/>
          </w:tcPr>
          <w:p>
            <w:pPr>
              <w:spacing w:after="0"/>
              <w:rPr>
                <w:sz w:val="16"/>
                <w:szCs w:val="16"/>
                <w:color w:val="auto"/>
              </w:rPr>
            </w:pPr>
          </w:p>
        </w:tc>
      </w:tr>
      <w:tr>
        <w:trPr>
          <w:trHeight w:val="188"/>
        </w:trPr>
        <w:tc>
          <w:tcPr>
            <w:tcW w:w="9220" w:type="dxa"/>
            <w:vAlign w:val="bottom"/>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(8.4)</w:t>
            </w:r>
          </w:p>
        </w:tc>
        <w:tc>
          <w:tcPr>
            <w:tcW w:w="660" w:type="dxa"/>
            <w:vAlign w:val="bottom"/>
            <w:gridSpan w:val="3"/>
          </w:tcPr>
          <w:p>
            <w:pPr>
              <w:jc w:val="right"/>
              <w:ind w:right="20"/>
              <w:spacing w:after="0"/>
              <w:rPr>
                <w:sz w:val="20"/>
                <w:szCs w:val="20"/>
                <w:color w:val="auto"/>
              </w:rPr>
            </w:pPr>
            <w:r>
              <w:rPr>
                <w:rFonts w:ascii="Arial" w:cs="Arial" w:eastAsia="Arial" w:hAnsi="Arial"/>
                <w:sz w:val="15"/>
                <w:szCs w:val="15"/>
                <w:color w:val="auto"/>
              </w:rPr>
              <w:t>(3.8)</w:t>
            </w:r>
          </w:p>
        </w:tc>
      </w:tr>
      <w:tr>
        <w:trPr>
          <w:trHeight w:val="188"/>
        </w:trPr>
        <w:tc>
          <w:tcPr>
            <w:tcW w:w="922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60" w:type="dxa"/>
            <w:vAlign w:val="bottom"/>
            <w:shd w:val="clear" w:color="auto" w:fill="CCEEFF"/>
          </w:tcPr>
          <w:p>
            <w:pPr>
              <w:spacing w:after="0"/>
              <w:rPr>
                <w:sz w:val="16"/>
                <w:szCs w:val="16"/>
                <w:color w:val="auto"/>
              </w:rPr>
            </w:pPr>
          </w:p>
        </w:tc>
      </w:tr>
      <w:tr>
        <w:trPr>
          <w:trHeight w:val="192"/>
        </w:trPr>
        <w:tc>
          <w:tcPr>
            <w:tcW w:w="922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60" w:type="dxa"/>
            <w:vAlign w:val="bottom"/>
          </w:tcPr>
          <w:p>
            <w:pPr>
              <w:spacing w:after="0"/>
              <w:rPr>
                <w:sz w:val="16"/>
                <w:szCs w:val="16"/>
                <w:color w:val="auto"/>
              </w:rPr>
            </w:pPr>
          </w:p>
        </w:tc>
      </w:tr>
      <w:tr>
        <w:trPr>
          <w:trHeight w:val="188"/>
        </w:trPr>
        <w:tc>
          <w:tcPr>
            <w:tcW w:w="9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$ 12.5</w:t>
            </w:r>
          </w:p>
        </w:tc>
        <w:tc>
          <w:tcPr>
            <w:tcW w:w="60" w:type="dxa"/>
            <w:vAlign w:val="bottom"/>
            <w:shd w:val="clear" w:color="auto" w:fill="CCEEFF"/>
          </w:tcPr>
          <w:p>
            <w:pPr>
              <w:spacing w:after="0"/>
              <w:rPr>
                <w:sz w:val="16"/>
                <w:szCs w:val="16"/>
                <w:color w:val="auto"/>
              </w:rPr>
            </w:pPr>
          </w:p>
        </w:tc>
      </w:tr>
      <w:tr>
        <w:trPr>
          <w:trHeight w:val="20"/>
        </w:trPr>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2"/>
                <w:szCs w:val="12"/>
                <w:b w:val="1"/>
                <w:bCs w:val="1"/>
                <w:color w:val="auto"/>
                <w:w w:val="89"/>
              </w:rPr>
              <w:t>Six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9,570.0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8,261.8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Cost of services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7,745.9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6,785.8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14.1%</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1,824.1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1,476.0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1,443.8</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1,277.6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13.0%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198.4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79.6%</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25.5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-32.0%</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172.9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143.1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63.8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124.3%</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109.1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23.9</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133.0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1.25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108.0%</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Discontinued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0.27</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1.52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71.1%</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Net earnings per share - diluted:</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1.23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95.1%</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Discontinued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0.27</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1.50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-3.1%</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84.6</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87.3</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88.8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-2.6%</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40" w:hanging="446"/>
        <w:spacing w:after="0" w:line="276" w:lineRule="auto"/>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$17.4 million and $16.8 million for the six months ended June 30, 2007 and 2006, respectively. These fees are primarily based on revenues generated by the franchise offices, which were $724.2 million and $751.6 million for the six months ended June 30, 2007 and 2006, respectively.</w:t>
      </w:r>
    </w:p>
    <w:p>
      <w:pPr>
        <w:sectPr>
          <w:pgSz w:w="11900" w:h="16838" w:orient="portrait"/>
          <w:cols w:equalWidth="0" w:num="1">
            <w:col w:w="11446"/>
          </w:cols>
          <w:pgMar w:left="234" w:top="262" w:right="219" w:bottom="1440" w:gutter="0" w:footer="0" w:header="0"/>
        </w:sectPr>
      </w:pPr>
    </w:p>
    <w:bookmarkStart w:id="9" w:name="page10"/>
    <w:bookmarkEnd w:id="9"/>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2"/>
                <w:szCs w:val="12"/>
                <w:b w:val="1"/>
                <w:bCs w:val="1"/>
                <w:color w:val="auto"/>
                <w:w w:val="89"/>
              </w:rPr>
              <w:t>Six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2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972.2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1,044.9</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-7.0%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3,277.9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2,776.1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Other EMEA (b)</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3,058.4</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2,407.3</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27.0%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Italy (b)</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658.6</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534.1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Jefferson Wells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165.1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194.3</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-15.0%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197.9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Other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1,238.1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1,107.2</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11.8%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9,570.0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8,261.8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5"/>
                <w:szCs w:val="15"/>
                <w:color w:val="auto"/>
              </w:rPr>
              <w:t>Operating Unit Profit:</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32.0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France</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207.6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80.1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159.0%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142.2%</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EMEA (b)</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43.1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98.9%</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Italy (b)</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45.5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30.6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49.0%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15.7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188"/>
        </w:trPr>
        <w:tc>
          <w:tcPr>
            <w:tcW w:w="60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15.7</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9.5%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32.4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430.1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249.6</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44.7</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6.5</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198.4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79.6%</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25.5</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172.9</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left="446" w:right="60" w:hanging="446"/>
        <w:spacing w:after="0" w:line="276"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$11.8 million and $11.3 million for the six months ended June 30, 2007 and 2006, respectively. These fees are primarily based on revenues generated by the franchise offices, which were $547.6 million and $574.2 million for the six months ended June 30, 2007 and 2006,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Arial" w:cs="Arial" w:eastAsia="Arial" w:hAnsi="Arial"/>
          <w:sz w:val="14"/>
          <w:szCs w:val="14"/>
          <w:color w:val="auto"/>
        </w:rPr>
      </w:pPr>
      <w:r>
        <w:rPr>
          <w:rFonts w:ascii="Arial" w:cs="Arial" w:eastAsia="Arial" w:hAnsi="Arial"/>
          <w:sz w:val="14"/>
          <w:szCs w:val="14"/>
          <w:color w:val="auto"/>
        </w:rPr>
        <w:t>Italy and Other EMEA were combined as the EMEA segment in previous years. All previous years’ results have been revised to conform to the current year presentation.</w:t>
      </w:r>
    </w:p>
    <w:p>
      <w:pPr>
        <w:spacing w:after="0" w:line="97" w:lineRule="exact"/>
        <w:rPr>
          <w:rFonts w:ascii="Arial" w:cs="Arial" w:eastAsia="Arial" w:hAnsi="Arial"/>
          <w:sz w:val="14"/>
          <w:szCs w:val="14"/>
          <w:color w:val="auto"/>
        </w:rPr>
      </w:pPr>
    </w:p>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99" w:lineRule="exact"/>
        <w:rPr>
          <w:sz w:val="20"/>
          <w:szCs w:val="20"/>
          <w:color w:val="auto"/>
        </w:rPr>
      </w:pPr>
    </w:p>
    <w:tbl>
      <w:tblPr>
        <w:tblLayout w:type="fixed"/>
        <w:tblInd w:w="466" w:type="dxa"/>
        <w:tblCellMar>
          <w:top w:w="0" w:type="dxa"/>
          <w:left w:w="0" w:type="dxa"/>
          <w:bottom w:w="0" w:type="dxa"/>
          <w:right w:w="0" w:type="dxa"/>
        </w:tblCellMar>
      </w:tblPr>
      <w:tr>
        <w:trPr>
          <w:trHeight w:val="188"/>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29.5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$ 24.7</w:t>
            </w:r>
          </w:p>
        </w:tc>
        <w:tc>
          <w:tcPr>
            <w:tcW w:w="60" w:type="dxa"/>
            <w:vAlign w:val="bottom"/>
            <w:shd w:val="clear" w:color="auto" w:fill="CCEEFF"/>
          </w:tcPr>
          <w:p>
            <w:pPr>
              <w:spacing w:after="0"/>
              <w:rPr>
                <w:sz w:val="16"/>
                <w:szCs w:val="16"/>
                <w:color w:val="auto"/>
              </w:rPr>
            </w:pPr>
          </w:p>
        </w:tc>
      </w:tr>
      <w:tr>
        <w:trPr>
          <w:trHeight w:val="188"/>
        </w:trPr>
        <w:tc>
          <w:tcPr>
            <w:tcW w:w="5460" w:type="dxa"/>
            <w:vAlign w:val="bottom"/>
          </w:tcPr>
          <w:p>
            <w:pPr>
              <w:spacing w:after="0"/>
              <w:rPr>
                <w:sz w:val="20"/>
                <w:szCs w:val="20"/>
                <w:color w:val="auto"/>
              </w:rPr>
            </w:pPr>
            <w:r>
              <w:rPr>
                <w:rFonts w:ascii="Arial" w:cs="Arial" w:eastAsia="Arial" w:hAnsi="Arial"/>
                <w:sz w:val="15"/>
                <w:szCs w:val="15"/>
                <w:color w:val="auto"/>
              </w:rPr>
              <w:t>Interest income</w:t>
            </w: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w w:val="86"/>
              </w:rPr>
              <w:t>(15.6)</w:t>
            </w:r>
          </w:p>
        </w:tc>
        <w:tc>
          <w:tcPr>
            <w:tcW w:w="660" w:type="dxa"/>
            <w:vAlign w:val="bottom"/>
            <w:gridSpan w:val="3"/>
          </w:tcPr>
          <w:p>
            <w:pPr>
              <w:jc w:val="right"/>
              <w:ind w:right="20"/>
              <w:spacing w:after="0"/>
              <w:rPr>
                <w:sz w:val="20"/>
                <w:szCs w:val="20"/>
                <w:color w:val="auto"/>
              </w:rPr>
            </w:pPr>
            <w:r>
              <w:rPr>
                <w:rFonts w:ascii="Arial" w:cs="Arial" w:eastAsia="Arial" w:hAnsi="Arial"/>
                <w:sz w:val="15"/>
                <w:szCs w:val="15"/>
                <w:color w:val="auto"/>
              </w:rPr>
              <w:t>(7.1)</w:t>
            </w:r>
          </w:p>
        </w:tc>
      </w:tr>
      <w:tr>
        <w:trPr>
          <w:trHeight w:val="188"/>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3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60" w:type="dxa"/>
            <w:vAlign w:val="bottom"/>
            <w:shd w:val="clear" w:color="auto" w:fill="CCEEFF"/>
          </w:tcPr>
          <w:p>
            <w:pPr>
              <w:spacing w:after="0"/>
              <w:rPr>
                <w:sz w:val="16"/>
                <w:szCs w:val="16"/>
                <w:color w:val="auto"/>
              </w:rPr>
            </w:pPr>
          </w:p>
        </w:tc>
      </w:tr>
      <w:tr>
        <w:trPr>
          <w:trHeight w:val="192"/>
        </w:trPr>
        <w:tc>
          <w:tcPr>
            <w:tcW w:w="546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3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60" w:type="dxa"/>
            <w:vAlign w:val="bottom"/>
          </w:tcPr>
          <w:p>
            <w:pPr>
              <w:spacing w:after="0"/>
              <w:rPr>
                <w:sz w:val="16"/>
                <w:szCs w:val="16"/>
                <w:color w:val="auto"/>
              </w:rPr>
            </w:pPr>
          </w:p>
        </w:tc>
      </w:tr>
      <w:tr>
        <w:trPr>
          <w:trHeight w:val="188"/>
        </w:trPr>
        <w:tc>
          <w:tcPr>
            <w:tcW w:w="546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$ 25.5</w:t>
            </w:r>
          </w:p>
        </w:tc>
        <w:tc>
          <w:tcPr>
            <w:tcW w:w="60" w:type="dxa"/>
            <w:vAlign w:val="bottom"/>
            <w:shd w:val="clear" w:color="auto" w:fill="CCEEFF"/>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4"/>
              </w:rPr>
              <w:t>June 30</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Dec. 31</w:t>
            </w:r>
          </w:p>
        </w:tc>
      </w:tr>
      <w:tr>
        <w:trPr>
          <w:trHeight w:val="140"/>
        </w:trPr>
        <w:tc>
          <w:tcPr>
            <w:tcW w:w="100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2007</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r>
      <w:tr>
        <w:trPr>
          <w:trHeight w:val="121"/>
        </w:trPr>
        <w:tc>
          <w:tcPr>
            <w:tcW w:w="10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right"/>
              <w:ind w:right="440"/>
              <w:spacing w:after="0" w:line="121" w:lineRule="exact"/>
              <w:rPr>
                <w:sz w:val="20"/>
                <w:szCs w:val="20"/>
                <w:color w:val="auto"/>
              </w:rPr>
            </w:pPr>
            <w:r>
              <w:rPr>
                <w:rFonts w:ascii="Arial" w:cs="Arial" w:eastAsia="Arial" w:hAnsi="Arial"/>
                <w:sz w:val="12"/>
                <w:szCs w:val="12"/>
                <w:b w:val="1"/>
                <w:bCs w:val="1"/>
                <w:color w:val="auto"/>
              </w:rPr>
              <w:t>(Unaudited)</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710.8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687.9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4,214.9</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3,837.2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134.9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5,137.0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4,682.0</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1,323.1</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1,293.6</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329.9</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336.4</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1,653.0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1,630.0</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738.2</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693.2</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531.7</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206.5</w:t>
            </w: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60" w:type="dxa"/>
            <w:vAlign w:val="bottom"/>
            <w:shd w:val="clear" w:color="auto" w:fill="CCEEFF"/>
          </w:tcPr>
          <w:p>
            <w:pPr>
              <w:spacing w:after="0"/>
              <w:rPr>
                <w:sz w:val="16"/>
                <w:szCs w:val="16"/>
                <w:color w:val="auto"/>
              </w:rPr>
            </w:pPr>
          </w:p>
        </w:tc>
      </w:tr>
      <w:tr>
        <w:trPr>
          <w:trHeight w:val="191"/>
        </w:trPr>
        <w:tc>
          <w:tcPr>
            <w:tcW w:w="10020" w:type="dxa"/>
            <w:vAlign w:val="bottom"/>
          </w:tcPr>
          <w:p>
            <w:pPr>
              <w:ind w:left="1120"/>
              <w:spacing w:after="0"/>
              <w:rPr>
                <w:sz w:val="20"/>
                <w:szCs w:val="20"/>
                <w:color w:val="auto"/>
              </w:rPr>
            </w:pPr>
            <w:r>
              <w:rPr>
                <w:rFonts w:ascii="Arial" w:cs="Arial" w:eastAsia="Arial" w:hAnsi="Arial"/>
                <w:sz w:val="15"/>
                <w:szCs w:val="15"/>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6,996.5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6,514.1</w:t>
            </w:r>
          </w:p>
        </w:tc>
      </w:tr>
      <w:tr>
        <w:trPr>
          <w:trHeight w:val="20"/>
        </w:trPr>
        <w:tc>
          <w:tcPr>
            <w:tcW w:w="10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1,005.6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889.9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192.9</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180.7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655.0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562.1</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616.6</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699.9</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573.9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517.0</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3,079.8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2,881.6</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811.9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791.2</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439.2</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1,251.1</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1,158.3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2,464.6</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2,420.7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805.5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617.0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Accumulated other comprehensive income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164.4</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120.6</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(769.9)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(685.1)</w:t>
            </w:r>
          </w:p>
        </w:tc>
      </w:tr>
      <w:tr>
        <w:trPr>
          <w:trHeight w:val="195"/>
        </w:trPr>
        <w:tc>
          <w:tcPr>
            <w:tcW w:w="10020" w:type="dxa"/>
            <w:vAlign w:val="bottom"/>
          </w:tcPr>
          <w:p>
            <w:pPr>
              <w:ind w:left="740"/>
              <w:spacing w:after="0"/>
              <w:rPr>
                <w:sz w:val="20"/>
                <w:szCs w:val="20"/>
                <w:color w:val="auto"/>
              </w:rPr>
            </w:pPr>
            <w:r>
              <w:rPr>
                <w:rFonts w:ascii="Arial" w:cs="Arial" w:eastAsia="Arial" w:hAnsi="Arial"/>
                <w:sz w:val="15"/>
                <w:szCs w:val="15"/>
                <w:color w:val="auto"/>
              </w:rPr>
              <w:t>Total shareholders’ equity</w:t>
            </w:r>
          </w:p>
        </w:tc>
        <w:tc>
          <w:tcPr>
            <w:tcW w:w="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2,665.6</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2,474.2</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liabilities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6,996.5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6,514.1</w:t>
            </w:r>
          </w:p>
        </w:tc>
      </w:tr>
      <w:tr>
        <w:trPr>
          <w:trHeight w:val="20"/>
        </w:trPr>
        <w:tc>
          <w:tcPr>
            <w:tcW w:w="10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June 30</w:t>
            </w: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bottom w:val="single" w:sz="8" w:color="auto"/>
            </w:tcBorders>
          </w:tcPr>
          <w:p>
            <w:pPr>
              <w:jc w:val="right"/>
              <w:ind w:right="44"/>
              <w:spacing w:after="0" w:line="121" w:lineRule="exact"/>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2"/>
          </w:tcPr>
          <w:p>
            <w:pPr>
              <w:jc w:val="center"/>
              <w:spacing w:after="0"/>
              <w:rPr>
                <w:sz w:val="20"/>
                <w:szCs w:val="20"/>
                <w:color w:val="auto"/>
              </w:rPr>
            </w:pPr>
            <w:r>
              <w:rPr>
                <w:rFonts w:ascii="Arial" w:cs="Arial" w:eastAsia="Arial" w:hAnsi="Arial"/>
                <w:sz w:val="9"/>
                <w:szCs w:val="9"/>
                <w:b w:val="1"/>
                <w:bCs w:val="1"/>
                <w:color w:val="auto"/>
                <w:w w:val="79"/>
              </w:rPr>
              <w:t>(Unaudited)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$ 219.9</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$ 133.0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Gain on sale of business</w:t>
            </w:r>
          </w:p>
        </w:tc>
        <w:tc>
          <w:tcPr>
            <w:tcW w:w="880" w:type="dxa"/>
            <w:vAlign w:val="bottom"/>
            <w:gridSpan w:val="3"/>
          </w:tcPr>
          <w:p>
            <w:pPr>
              <w:jc w:val="right"/>
              <w:ind w:right="421"/>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Depreciation and amortization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41.8</w:t>
            </w:r>
          </w:p>
        </w:tc>
        <w:tc>
          <w:tcPr>
            <w:tcW w:w="3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Provision for doubtful accounts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Share-based compensation</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11.8</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receivable</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(296.2)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Other assets</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(42.9)</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liabilities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159.4</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Cash provided by operating activities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141.3</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135.6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Capital expenditures</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(41.8)</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(18.1)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sale of business</w:t>
            </w:r>
          </w:p>
        </w:tc>
        <w:tc>
          <w:tcPr>
            <w:tcW w:w="880" w:type="dxa"/>
            <w:vAlign w:val="bottom"/>
            <w:gridSpan w:val="3"/>
          </w:tcPr>
          <w:p>
            <w:pPr>
              <w:jc w:val="right"/>
              <w:ind w:right="421"/>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sale of an equity interest</w:t>
            </w:r>
          </w:p>
        </w:tc>
        <w:tc>
          <w:tcPr>
            <w:tcW w:w="880" w:type="dxa"/>
            <w:vAlign w:val="bottom"/>
            <w:gridSpan w:val="3"/>
            <w:shd w:val="clear" w:color="auto" w:fill="CCEEFF"/>
          </w:tcPr>
          <w:p>
            <w:pPr>
              <w:jc w:val="right"/>
              <w:ind w:right="421"/>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Cash used by investing activities</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(54.9)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31.7</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Excess tax benefit on exercise of stock options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Repurchases of common stock</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(89.0)</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(119.1)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Dividends paid</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(27.1)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vMerge w:val="restart"/>
          </w:tcPr>
          <w:p>
            <w:pPr>
              <w:ind w:left="1100"/>
              <w:spacing w:after="0"/>
              <w:rPr>
                <w:sz w:val="20"/>
                <w:szCs w:val="20"/>
                <w:color w:val="auto"/>
              </w:rPr>
            </w:pPr>
            <w:r>
              <w:rPr>
                <w:rFonts w:ascii="Arial" w:cs="Arial" w:eastAsia="Arial" w:hAnsi="Arial"/>
                <w:sz w:val="15"/>
                <w:szCs w:val="15"/>
                <w:color w:val="auto"/>
              </w:rPr>
              <w:t>Cash (used) provided by financing activities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000" w:type="dxa"/>
            <w:vAlign w:val="bottom"/>
            <w:vMerge w:val="continue"/>
          </w:tcPr>
          <w:p>
            <w:pPr>
              <w:spacing w:after="0"/>
              <w:rPr>
                <w:sz w:val="16"/>
                <w:szCs w:val="16"/>
                <w:color w:val="auto"/>
              </w:rPr>
            </w:pP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(76.0)</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150.2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color w:val="auto"/>
              </w:rPr>
              <w:t>Change in cash and cash equivalents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22.9</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313.2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687.9</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color w:val="auto"/>
              </w:rPr>
              <w:t>Cash and cash equivalents, end of period</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$ 710.8</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2" w:name="page13"/>
    <w:bookmarkEnd w:id="12"/>
    <w:p>
      <w:pPr>
        <w:ind w:left="8840"/>
        <w:spacing w:after="0"/>
        <w:rPr>
          <w:sz w:val="20"/>
          <w:szCs w:val="20"/>
          <w:color w:val="auto"/>
        </w:rPr>
      </w:pPr>
      <w:r>
        <w:rPr>
          <w:rFonts w:ascii="Arial" w:cs="Arial" w:eastAsia="Arial" w:hAnsi="Arial"/>
          <w:sz w:val="20"/>
          <w:szCs w:val="20"/>
          <w:b w:val="1"/>
          <w:bCs w:val="1"/>
          <w:color w:val="auto"/>
        </w:rPr>
        <w:t>Exhibit 99.2</w:t>
      </w:r>
    </w:p>
    <w:p>
      <w:pPr>
        <w:spacing w:after="0" w:line="190" w:lineRule="auto"/>
        <w:rPr>
          <w:sz w:val="20"/>
          <w:szCs w:val="20"/>
          <w:color w:val="auto"/>
        </w:rPr>
      </w:pPr>
      <w:r>
        <w:rPr>
          <w:rFonts w:ascii="Arial" w:cs="Arial" w:eastAsia="Arial" w:hAnsi="Arial"/>
          <w:sz w:val="28"/>
          <w:szCs w:val="28"/>
          <w:b w:val="1"/>
          <w:bCs w:val="1"/>
          <w:color w:val="6698C2"/>
        </w:rPr>
        <w:t>Manpower Inc.</w:t>
      </w:r>
    </w:p>
    <w:p>
      <w:pPr>
        <w:spacing w:after="0"/>
        <w:rPr>
          <w:sz w:val="20"/>
          <w:szCs w:val="20"/>
          <w:color w:val="auto"/>
        </w:rPr>
      </w:pPr>
      <w:r>
        <w:rPr>
          <w:rFonts w:ascii="Arial" w:cs="Arial" w:eastAsia="Arial" w:hAnsi="Arial"/>
          <w:sz w:val="28"/>
          <w:szCs w:val="28"/>
          <w:b w:val="1"/>
          <w:bCs w:val="1"/>
          <w:color w:val="6698C2"/>
        </w:rPr>
        <w:t>2007 2</w:t>
      </w:r>
      <w:r>
        <w:rPr>
          <w:rFonts w:ascii="Arial" w:cs="Arial" w:eastAsia="Arial" w:hAnsi="Arial"/>
          <w:sz w:val="37"/>
          <w:szCs w:val="37"/>
          <w:b w:val="1"/>
          <w:bCs w:val="1"/>
          <w:color w:val="6698C2"/>
          <w:vertAlign w:val="superscript"/>
        </w:rPr>
        <w:t>nd</w:t>
      </w:r>
      <w:r>
        <w:rPr>
          <w:rFonts w:ascii="Arial" w:cs="Arial" w:eastAsia="Arial" w:hAnsi="Arial"/>
          <w:sz w:val="28"/>
          <w:szCs w:val="28"/>
          <w:b w:val="1"/>
          <w:bCs w:val="1"/>
          <w:color w:val="6698C2"/>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-22860</wp:posOffset>
            </wp:positionV>
            <wp:extent cx="4128770" cy="431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5"/>
          <w:szCs w:val="25"/>
          <w:color w:val="auto"/>
        </w:rPr>
        <w:t>July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75"/>
          <w:szCs w:val="75"/>
          <w:color w:val="auto"/>
        </w:rPr>
        <w:t>New Face</w:t>
      </w:r>
    </w:p>
    <w:p>
      <w:pPr>
        <w:jc w:val="right"/>
        <w:spacing w:after="0"/>
        <w:rPr>
          <w:sz w:val="20"/>
          <w:szCs w:val="20"/>
          <w:color w:val="auto"/>
        </w:rPr>
      </w:pPr>
      <w:r>
        <w:rPr>
          <w:rFonts w:ascii="Arial" w:cs="Arial" w:eastAsia="Arial" w:hAnsi="Arial"/>
          <w:sz w:val="103"/>
          <w:szCs w:val="103"/>
          <w:color w:val="auto"/>
        </w:rPr>
        <w:t>New Place</w:t>
      </w:r>
    </w:p>
    <w:p>
      <w:pPr>
        <w:sectPr>
          <w:pgSz w:w="11900" w:h="16838" w:orient="portrait"/>
          <w:cols w:equalWidth="0" w:num="1">
            <w:col w:w="10100"/>
          </w:cols>
          <w:pgMar w:left="360" w:top="183" w:right="14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2006, which information is incorporated herein by reference, and such other factors as may be described from time to time in the Company’s SEC filings.</w:t>
      </w:r>
    </w:p>
    <w:p>
      <w:pPr>
        <w:sectPr>
          <w:pgSz w:w="11900" w:h="16838" w:orient="portrait"/>
          <w:cols w:equalWidth="0" w:num="1">
            <w:col w:w="9880"/>
          </w:cols>
          <w:pgMar w:left="1200" w:top="459" w:right="8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7"/>
          <w:szCs w:val="47"/>
          <w:color w:val="6698C2"/>
        </w:rPr>
        <w:t>Consolidated Financial Highlights</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0"/>
        <w:spacing w:after="0"/>
        <w:rPr>
          <w:sz w:val="20"/>
          <w:szCs w:val="20"/>
          <w:color w:val="auto"/>
        </w:rPr>
      </w:pPr>
      <w:r>
        <w:rPr>
          <w:rFonts w:ascii="Arial" w:cs="Arial" w:eastAsia="Arial" w:hAnsi="Arial"/>
          <w:sz w:val="38"/>
          <w:szCs w:val="38"/>
          <w:color w:val="auto"/>
        </w:rPr>
        <w:t>15%</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38"/>
          <w:szCs w:val="38"/>
          <w:color w:val="auto"/>
        </w:rPr>
        <w:t>9% CC</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38"/>
          <w:szCs w:val="38"/>
          <w:color w:val="auto"/>
        </w:rPr>
        <w:t>249 bps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38"/>
          <w:szCs w:val="38"/>
          <w:color w:val="auto"/>
        </w:rPr>
        <w:t>101%</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37"/>
          <w:szCs w:val="37"/>
          <w:color w:val="auto"/>
        </w:rPr>
        <w:t>89% CC</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38"/>
          <w:szCs w:val="38"/>
          <w:color w:val="auto"/>
        </w:rPr>
        <w:t>240 bps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38"/>
          <w:szCs w:val="38"/>
          <w:color w:val="auto"/>
        </w:rPr>
        <w:t>107%</w:t>
      </w:r>
    </w:p>
    <w:p>
      <w:pPr>
        <w:spacing w:after="0" w:line="22" w:lineRule="exact"/>
        <w:rPr>
          <w:sz w:val="20"/>
          <w:szCs w:val="20"/>
          <w:color w:val="auto"/>
        </w:rPr>
      </w:pPr>
    </w:p>
    <w:p>
      <w:pPr>
        <w:jc w:val="center"/>
        <w:ind w:left="220"/>
        <w:spacing w:after="0"/>
        <w:rPr>
          <w:sz w:val="20"/>
          <w:szCs w:val="20"/>
          <w:color w:val="auto"/>
        </w:rPr>
      </w:pPr>
      <w:r>
        <w:rPr>
          <w:rFonts w:ascii="Arial" w:cs="Arial" w:eastAsia="Arial" w:hAnsi="Arial"/>
          <w:sz w:val="38"/>
          <w:szCs w:val="38"/>
          <w:color w:val="auto"/>
        </w:rPr>
        <w:t>97% CC</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20" w:right="3440" w:firstLine="1811"/>
        <w:spacing w:after="0" w:line="414" w:lineRule="auto"/>
        <w:rPr>
          <w:sz w:val="20"/>
          <w:szCs w:val="20"/>
          <w:color w:val="auto"/>
        </w:rPr>
      </w:pPr>
      <w:r>
        <w:rPr>
          <w:rFonts w:ascii="Arial" w:cs="Arial" w:eastAsia="Arial" w:hAnsi="Arial"/>
          <w:sz w:val="41"/>
          <w:szCs w:val="41"/>
          <w:b w:val="1"/>
          <w:bCs w:val="1"/>
          <w:color w:val="auto"/>
        </w:rPr>
        <w:t xml:space="preserve">Q2 Highlights Revenue </w:t>
      </w:r>
      <w:r>
        <w:rPr>
          <w:rFonts w:ascii="Arial" w:cs="Arial" w:eastAsia="Arial" w:hAnsi="Arial"/>
          <w:sz w:val="43"/>
          <w:szCs w:val="43"/>
          <w:b w:val="1"/>
          <w:bCs w:val="1"/>
          <w:color w:val="6698C2"/>
        </w:rPr>
        <w:t>$5.0B</w:t>
      </w:r>
    </w:p>
    <w:p>
      <w:pPr>
        <w:spacing w:after="0" w:line="4"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3"/>
          <w:szCs w:val="43"/>
          <w:b w:val="1"/>
          <w:bCs w:val="1"/>
          <w:color w:val="6698C2"/>
        </w:rPr>
        <w:t>20.3%</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Operating Profit </w:t>
      </w:r>
      <w:r>
        <w:rPr>
          <w:rFonts w:ascii="Arial" w:cs="Arial" w:eastAsia="Arial" w:hAnsi="Arial"/>
          <w:sz w:val="43"/>
          <w:szCs w:val="43"/>
          <w:b w:val="1"/>
          <w:bCs w:val="1"/>
          <w:color w:val="6698C2"/>
        </w:rPr>
        <w:t>$277M</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OP Margin </w:t>
      </w:r>
      <w:r>
        <w:rPr>
          <w:rFonts w:ascii="Arial" w:cs="Arial" w:eastAsia="Arial" w:hAnsi="Arial"/>
          <w:sz w:val="43"/>
          <w:szCs w:val="43"/>
          <w:b w:val="1"/>
          <w:bCs w:val="1"/>
          <w:color w:val="6698C2"/>
        </w:rPr>
        <w:t>5.5%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 xml:space="preserve">EPS from Continuing Operations </w:t>
      </w:r>
      <w:r>
        <w:rPr>
          <w:rFonts w:ascii="Arial" w:cs="Arial" w:eastAsia="Arial" w:hAnsi="Arial"/>
          <w:sz w:val="42"/>
          <w:szCs w:val="42"/>
          <w:b w:val="1"/>
          <w:bCs w:val="1"/>
          <w:color w:val="6698C2"/>
        </w:rPr>
        <w:t>$1.86</w:t>
      </w:r>
    </w:p>
    <w:p>
      <w:pPr>
        <w:spacing w:after="0" w:line="511" w:lineRule="exact"/>
        <w:rPr>
          <w:sz w:val="20"/>
          <w:szCs w:val="20"/>
          <w:color w:val="auto"/>
        </w:rPr>
      </w:pPr>
    </w:p>
    <w:p>
      <w:pPr>
        <w:sectPr>
          <w:pgSz w:w="11900" w:h="16838" w:orient="portrait"/>
          <w:cols w:equalWidth="0" w:num="2">
            <w:col w:w="1680" w:space="240"/>
            <w:col w:w="7940"/>
          </w:cols>
          <w:pgMar w:left="1220" w:top="459" w:right="819" w:bottom="1440" w:gutter="0" w:footer="0" w:header="0"/>
          <w:type w:val="continuous"/>
        </w:sectPr>
      </w:pPr>
    </w:p>
    <w:p>
      <w:pPr>
        <w:ind w:left="20" w:right="1320"/>
        <w:spacing w:after="0" w:line="254" w:lineRule="auto"/>
        <w:rPr>
          <w:sz w:val="20"/>
          <w:szCs w:val="20"/>
          <w:color w:val="auto"/>
        </w:rPr>
      </w:pPr>
      <w:r>
        <w:rPr>
          <w:rFonts w:ascii="Arial" w:cs="Arial" w:eastAsia="Arial" w:hAnsi="Arial"/>
          <w:sz w:val="18"/>
          <w:szCs w:val="18"/>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ectPr>
          <w:pgSz w:w="11900" w:h="16838" w:orient="portrait"/>
          <w:cols w:equalWidth="0" w:num="1">
            <w:col w:w="9860"/>
          </w:cols>
          <w:pgMar w:left="1220" w:top="459" w:right="819" w:bottom="1440" w:gutter="0" w:footer="0" w:header="0"/>
          <w:type w:val="continuous"/>
        </w:sectPr>
      </w:pPr>
    </w:p>
    <w:bookmarkStart w:id="15" w:name="page16"/>
    <w:bookmarkEnd w:id="15"/>
    <w:tbl>
      <w:tblPr>
        <w:tblLayout w:type="fixed"/>
        <w:tblInd w:w="30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3440" w:type="dxa"/>
            <w:vAlign w:val="bottom"/>
          </w:tcPr>
          <w:p>
            <w:pPr>
              <w:jc w:val="right"/>
              <w:ind w:right="2817"/>
              <w:spacing w:after="0"/>
              <w:rPr>
                <w:sz w:val="20"/>
                <w:szCs w:val="20"/>
                <w:color w:val="auto"/>
              </w:rPr>
            </w:pPr>
            <w:r>
              <w:rPr>
                <w:rFonts w:ascii="Arial" w:cs="Arial" w:eastAsia="Arial" w:hAnsi="Arial"/>
                <w:sz w:val="25"/>
                <w:szCs w:val="25"/>
                <w:b w:val="1"/>
                <w:bCs w:val="1"/>
                <w:color w:val="auto"/>
                <w:w w:val="95"/>
              </w:rPr>
              <w:t>21%</w:t>
            </w:r>
          </w:p>
        </w:tc>
        <w:tc>
          <w:tcPr>
            <w:tcW w:w="1360" w:type="dxa"/>
            <w:vAlign w:val="bottom"/>
            <w:vMerge w:val="restart"/>
          </w:tcPr>
          <w:p>
            <w:pPr>
              <w:jc w:val="right"/>
              <w:ind w:right="117"/>
              <w:spacing w:after="0"/>
              <w:rPr>
                <w:sz w:val="20"/>
                <w:szCs w:val="20"/>
                <w:color w:val="auto"/>
              </w:rPr>
            </w:pPr>
            <w:r>
              <w:rPr>
                <w:rFonts w:ascii="Arial" w:cs="Arial" w:eastAsia="Arial" w:hAnsi="Arial"/>
                <w:sz w:val="25"/>
                <w:szCs w:val="25"/>
                <w:b w:val="1"/>
                <w:bCs w:val="1"/>
                <w:color w:val="auto"/>
              </w:rPr>
              <w:t>+ 0.40%</w:t>
            </w:r>
          </w:p>
        </w:tc>
        <w:tc>
          <w:tcPr>
            <w:tcW w:w="140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rPr>
              <w:t>+ 0.24%</w:t>
            </w:r>
          </w:p>
        </w:tc>
        <w:tc>
          <w:tcPr>
            <w:tcW w:w="3880" w:type="dxa"/>
            <w:vAlign w:val="bottom"/>
          </w:tcPr>
          <w:p>
            <w:pPr>
              <w:jc w:val="right"/>
              <w:ind w:right="1257"/>
              <w:spacing w:after="0"/>
              <w:rPr>
                <w:sz w:val="20"/>
                <w:szCs w:val="20"/>
                <w:color w:val="auto"/>
              </w:rPr>
            </w:pPr>
            <w:r>
              <w:rPr>
                <w:rFonts w:ascii="Arial" w:cs="Arial" w:eastAsia="Arial" w:hAnsi="Arial"/>
                <w:sz w:val="25"/>
                <w:szCs w:val="25"/>
                <w:b w:val="1"/>
                <w:bCs w:val="1"/>
                <w:color w:val="auto"/>
              </w:rPr>
              <w:t>+ 0.37%    - 0.32%</w:t>
            </w:r>
          </w:p>
        </w:tc>
        <w:tc>
          <w:tcPr>
            <w:tcW w:w="0" w:type="dxa"/>
            <w:vAlign w:val="bottom"/>
          </w:tcPr>
          <w:p>
            <w:pPr>
              <w:spacing w:after="0"/>
              <w:rPr>
                <w:sz w:val="1"/>
                <w:szCs w:val="1"/>
                <w:color w:val="auto"/>
              </w:rPr>
            </w:pPr>
          </w:p>
        </w:tc>
      </w:tr>
      <w:tr>
        <w:trPr>
          <w:trHeight w:val="165"/>
        </w:trPr>
        <w:tc>
          <w:tcPr>
            <w:tcW w:w="3440" w:type="dxa"/>
            <w:vAlign w:val="bottom"/>
            <w:vMerge w:val="restart"/>
          </w:tcPr>
          <w:p>
            <w:pPr>
              <w:jc w:val="right"/>
              <w:ind w:right="97"/>
              <w:spacing w:after="0"/>
              <w:rPr>
                <w:sz w:val="20"/>
                <w:szCs w:val="20"/>
                <w:color w:val="auto"/>
              </w:rPr>
            </w:pPr>
            <w:r>
              <w:rPr>
                <w:rFonts w:ascii="Arial" w:cs="Arial" w:eastAsia="Arial" w:hAnsi="Arial"/>
                <w:sz w:val="25"/>
                <w:szCs w:val="25"/>
                <w:b w:val="1"/>
                <w:bCs w:val="1"/>
                <w:color w:val="auto"/>
              </w:rPr>
              <w:t>+ 1.80%</w:t>
            </w:r>
          </w:p>
        </w:tc>
        <w:tc>
          <w:tcPr>
            <w:tcW w:w="1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3880" w:type="dxa"/>
            <w:vAlign w:val="bottom"/>
            <w:vMerge w:val="restart"/>
          </w:tcPr>
          <w:p>
            <w:pPr>
              <w:jc w:val="right"/>
              <w:spacing w:after="0"/>
              <w:rPr>
                <w:sz w:val="20"/>
                <w:szCs w:val="20"/>
                <w:color w:val="auto"/>
              </w:rPr>
            </w:pPr>
            <w:r>
              <w:rPr>
                <w:rFonts w:ascii="Arial" w:cs="Arial" w:eastAsia="Arial" w:hAnsi="Arial"/>
                <w:sz w:val="25"/>
                <w:szCs w:val="25"/>
                <w:b w:val="1"/>
                <w:bCs w:val="1"/>
                <w:color w:val="FFFFFF"/>
              </w:rPr>
              <w:t>20.34%</w:t>
            </w:r>
          </w:p>
        </w:tc>
        <w:tc>
          <w:tcPr>
            <w:tcW w:w="0" w:type="dxa"/>
            <w:vAlign w:val="bottom"/>
          </w:tcPr>
          <w:p>
            <w:pPr>
              <w:spacing w:after="0"/>
              <w:rPr>
                <w:sz w:val="1"/>
                <w:szCs w:val="1"/>
                <w:color w:val="auto"/>
              </w:rPr>
            </w:pPr>
          </w:p>
        </w:tc>
      </w:tr>
      <w:tr>
        <w:trPr>
          <w:trHeight w:val="212"/>
        </w:trPr>
        <w:tc>
          <w:tcPr>
            <w:tcW w:w="34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4"/>
        </w:trPr>
        <w:tc>
          <w:tcPr>
            <w:tcW w:w="3440" w:type="dxa"/>
            <w:vAlign w:val="bottom"/>
          </w:tcPr>
          <w:p>
            <w:pPr>
              <w:jc w:val="right"/>
              <w:ind w:right="2817"/>
              <w:spacing w:after="0"/>
              <w:rPr>
                <w:sz w:val="20"/>
                <w:szCs w:val="20"/>
                <w:color w:val="auto"/>
              </w:rPr>
            </w:pPr>
            <w:r>
              <w:rPr>
                <w:rFonts w:ascii="Arial" w:cs="Arial" w:eastAsia="Arial" w:hAnsi="Arial"/>
                <w:sz w:val="25"/>
                <w:szCs w:val="25"/>
                <w:b w:val="1"/>
                <w:bCs w:val="1"/>
                <w:color w:val="auto"/>
                <w:w w:val="95"/>
              </w:rPr>
              <w:t>19%</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720" w:type="dxa"/>
            <w:vAlign w:val="bottom"/>
            <w:vMerge w:val="restart"/>
          </w:tcPr>
          <w:p>
            <w:pPr>
              <w:jc w:val="right"/>
              <w:ind w:right="97"/>
              <w:spacing w:after="0"/>
              <w:rPr>
                <w:sz w:val="20"/>
                <w:szCs w:val="20"/>
                <w:color w:val="auto"/>
              </w:rPr>
            </w:pPr>
            <w:r>
              <w:rPr>
                <w:rFonts w:ascii="Arial" w:cs="Arial" w:eastAsia="Arial" w:hAnsi="Arial"/>
                <w:sz w:val="25"/>
                <w:szCs w:val="25"/>
                <w:b w:val="1"/>
                <w:bCs w:val="1"/>
                <w:color w:val="auto"/>
                <w:w w:val="95"/>
              </w:rPr>
              <w:t>17%</w:t>
            </w:r>
          </w:p>
        </w:tc>
        <w:tc>
          <w:tcPr>
            <w:tcW w:w="1060" w:type="dxa"/>
            <w:vAlign w:val="bottom"/>
          </w:tcPr>
          <w:p>
            <w:pPr>
              <w:jc w:val="right"/>
              <w:spacing w:after="0"/>
              <w:rPr>
                <w:sz w:val="20"/>
                <w:szCs w:val="20"/>
                <w:color w:val="auto"/>
              </w:rPr>
            </w:pPr>
            <w:r>
              <w:rPr>
                <w:rFonts w:ascii="Arial" w:cs="Arial" w:eastAsia="Arial" w:hAnsi="Arial"/>
                <w:sz w:val="25"/>
                <w:szCs w:val="25"/>
                <w:b w:val="1"/>
                <w:bCs w:val="1"/>
                <w:color w:val="FFFFFF"/>
              </w:rPr>
              <w:t>17.85%</w:t>
            </w:r>
          </w:p>
        </w:tc>
        <w:tc>
          <w:tcPr>
            <w:tcW w:w="0" w:type="dxa"/>
            <w:vAlign w:val="bottom"/>
          </w:tcPr>
          <w:p>
            <w:pPr>
              <w:spacing w:after="0"/>
              <w:rPr>
                <w:sz w:val="1"/>
                <w:szCs w:val="1"/>
                <w:color w:val="auto"/>
              </w:rPr>
            </w:pPr>
          </w:p>
        </w:tc>
      </w:tr>
      <w:tr>
        <w:trPr>
          <w:trHeight w:val="200"/>
        </w:trPr>
        <w:tc>
          <w:tcPr>
            <w:tcW w:w="7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15%</w:t>
      </w:r>
    </w:p>
    <w:p>
      <w:pPr>
        <w:spacing w:after="0" w:line="43" w:lineRule="exact"/>
        <w:rPr>
          <w:sz w:val="20"/>
          <w:szCs w:val="20"/>
          <w:color w:val="auto"/>
        </w:rPr>
      </w:pPr>
    </w:p>
    <w:tbl>
      <w:tblPr>
        <w:tblLayout w:type="fixed"/>
        <w:tblInd w:w="98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0"/>
                <w:szCs w:val="20"/>
                <w:b w:val="1"/>
                <w:bCs w:val="1"/>
                <w:color w:val="auto"/>
              </w:rPr>
              <w:t>Q2 2006</w:t>
            </w:r>
          </w:p>
        </w:tc>
        <w:tc>
          <w:tcPr>
            <w:tcW w:w="1420" w:type="dxa"/>
            <w:vAlign w:val="bottom"/>
          </w:tcPr>
          <w:p>
            <w:pPr>
              <w:jc w:val="center"/>
              <w:ind w:left="20"/>
              <w:spacing w:after="0"/>
              <w:rPr>
                <w:sz w:val="20"/>
                <w:szCs w:val="20"/>
                <w:color w:val="auto"/>
              </w:rPr>
            </w:pPr>
            <w:r>
              <w:rPr>
                <w:rFonts w:ascii="Arial" w:cs="Arial" w:eastAsia="Arial" w:hAnsi="Arial"/>
                <w:sz w:val="20"/>
                <w:szCs w:val="20"/>
                <w:b w:val="1"/>
                <w:bCs w:val="1"/>
                <w:color w:val="auto"/>
              </w:rPr>
              <w:t>France -</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rPr>
              <w:t>France - Q2</w:t>
            </w:r>
          </w:p>
        </w:tc>
        <w:tc>
          <w:tcPr>
            <w:tcW w:w="1400" w:type="dxa"/>
            <w:vAlign w:val="bottom"/>
          </w:tcPr>
          <w:p>
            <w:pPr>
              <w:jc w:val="center"/>
              <w:spacing w:after="0"/>
              <w:rPr>
                <w:sz w:val="20"/>
                <w:szCs w:val="20"/>
                <w:color w:val="auto"/>
              </w:rPr>
            </w:pPr>
            <w:r>
              <w:rPr>
                <w:rFonts w:ascii="Arial" w:cs="Arial" w:eastAsia="Arial" w:hAnsi="Arial"/>
                <w:sz w:val="20"/>
                <w:szCs w:val="20"/>
                <w:b w:val="1"/>
                <w:bCs w:val="1"/>
                <w:color w:val="auto"/>
                <w:w w:val="98"/>
              </w:rPr>
              <w:t>Temporary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98"/>
              </w:rPr>
              <w:t>Permanent</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rPr>
              <w:t>Mix -</w:t>
            </w:r>
          </w:p>
        </w:tc>
        <w:tc>
          <w:tcPr>
            <w:tcW w:w="1040" w:type="dxa"/>
            <w:vAlign w:val="bottom"/>
          </w:tcPr>
          <w:p>
            <w:pPr>
              <w:ind w:left="280"/>
              <w:spacing w:after="0"/>
              <w:rPr>
                <w:sz w:val="20"/>
                <w:szCs w:val="20"/>
                <w:color w:val="auto"/>
              </w:rPr>
            </w:pPr>
            <w:r>
              <w:rPr>
                <w:rFonts w:ascii="Arial" w:cs="Arial" w:eastAsia="Arial" w:hAnsi="Arial"/>
                <w:sz w:val="20"/>
                <w:szCs w:val="20"/>
                <w:b w:val="1"/>
                <w:bCs w:val="1"/>
                <w:color w:val="auto"/>
                <w:w w:val="96"/>
              </w:rPr>
              <w:t>Q2 2007</w:t>
            </w:r>
          </w:p>
        </w:tc>
      </w:tr>
      <w:tr>
        <w:trPr>
          <w:trHeight w:val="264"/>
        </w:trPr>
        <w:tc>
          <w:tcPr>
            <w:tcW w:w="10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9"/>
              </w:rPr>
              <w:t>Retroactive</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8"/>
              </w:rPr>
              <w:t>Impact of</w:t>
            </w:r>
          </w:p>
        </w:tc>
        <w:tc>
          <w:tcPr>
            <w:tcW w:w="1400" w:type="dxa"/>
            <w:vAlign w:val="bottom"/>
          </w:tcPr>
          <w:p>
            <w:pPr>
              <w:jc w:val="center"/>
              <w:spacing w:after="0"/>
              <w:rPr>
                <w:sz w:val="20"/>
                <w:szCs w:val="20"/>
                <w:color w:val="auto"/>
              </w:rPr>
            </w:pPr>
            <w:r>
              <w:rPr>
                <w:rFonts w:ascii="Arial" w:cs="Arial" w:eastAsia="Arial" w:hAnsi="Arial"/>
                <w:sz w:val="20"/>
                <w:szCs w:val="20"/>
                <w:b w:val="1"/>
                <w:bCs w:val="1"/>
                <w:color w:val="auto"/>
                <w:w w:val="99"/>
              </w:rPr>
              <w:t>Recruitment</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99"/>
              </w:rPr>
              <w:t>Recruitment</w:t>
            </w:r>
          </w:p>
        </w:tc>
        <w:tc>
          <w:tcPr>
            <w:tcW w:w="1360" w:type="dxa"/>
            <w:vAlign w:val="bottom"/>
          </w:tcPr>
          <w:p>
            <w:pPr>
              <w:jc w:val="center"/>
              <w:ind w:right="20"/>
              <w:spacing w:after="0"/>
              <w:rPr>
                <w:sz w:val="20"/>
                <w:szCs w:val="20"/>
                <w:color w:val="auto"/>
              </w:rPr>
            </w:pPr>
            <w:r>
              <w:rPr>
                <w:rFonts w:ascii="Arial" w:cs="Arial" w:eastAsia="Arial" w:hAnsi="Arial"/>
                <w:sz w:val="20"/>
                <w:szCs w:val="20"/>
                <w:b w:val="1"/>
                <w:bCs w:val="1"/>
                <w:color w:val="auto"/>
              </w:rPr>
              <w:t>Specialty</w:t>
            </w:r>
          </w:p>
        </w:tc>
        <w:tc>
          <w:tcPr>
            <w:tcW w:w="1040" w:type="dxa"/>
            <w:vAlign w:val="bottom"/>
          </w:tcPr>
          <w:p>
            <w:pPr>
              <w:spacing w:after="0"/>
              <w:rPr>
                <w:sz w:val="22"/>
                <w:szCs w:val="22"/>
                <w:color w:val="auto"/>
              </w:rPr>
            </w:pPr>
          </w:p>
        </w:tc>
      </w:tr>
      <w:tr>
        <w:trPr>
          <w:trHeight w:val="265"/>
        </w:trPr>
        <w:tc>
          <w:tcPr>
            <w:tcW w:w="1000" w:type="dxa"/>
            <w:vAlign w:val="bottom"/>
          </w:tcPr>
          <w:p>
            <w:pPr>
              <w:spacing w:after="0"/>
              <w:rPr>
                <w:sz w:val="23"/>
                <w:szCs w:val="23"/>
                <w:color w:val="auto"/>
              </w:rPr>
            </w:pPr>
          </w:p>
        </w:tc>
        <w:tc>
          <w:tcPr>
            <w:tcW w:w="1420" w:type="dxa"/>
            <w:vAlign w:val="bottom"/>
          </w:tcPr>
          <w:p>
            <w:pPr>
              <w:jc w:val="center"/>
              <w:ind w:left="40"/>
              <w:spacing w:after="0"/>
              <w:rPr>
                <w:sz w:val="20"/>
                <w:szCs w:val="20"/>
                <w:color w:val="auto"/>
              </w:rPr>
            </w:pPr>
            <w:r>
              <w:rPr>
                <w:rFonts w:ascii="Arial" w:cs="Arial" w:eastAsia="Arial" w:hAnsi="Arial"/>
                <w:sz w:val="20"/>
                <w:szCs w:val="20"/>
                <w:b w:val="1"/>
                <w:bCs w:val="1"/>
                <w:color w:val="auto"/>
                <w:w w:val="98"/>
              </w:rPr>
              <w:t>Impact of</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9"/>
              </w:rPr>
              <w:t>Payroll Tax</w:t>
            </w:r>
          </w:p>
        </w:tc>
        <w:tc>
          <w:tcPr>
            <w:tcW w:w="1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7"/>
              </w:rPr>
              <w:t>Payroll Tax</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8"/>
              </w:rPr>
              <w:t>Change</w:t>
            </w:r>
          </w:p>
        </w:tc>
        <w:tc>
          <w:tcPr>
            <w:tcW w:w="1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1420" w:type="dxa"/>
            <w:vAlign w:val="bottom"/>
          </w:tcPr>
          <w:p>
            <w:pPr>
              <w:jc w:val="center"/>
              <w:ind w:left="20"/>
              <w:spacing w:after="0"/>
              <w:rPr>
                <w:sz w:val="20"/>
                <w:szCs w:val="20"/>
                <w:color w:val="auto"/>
              </w:rPr>
            </w:pPr>
            <w:r>
              <w:rPr>
                <w:rFonts w:ascii="Arial" w:cs="Arial" w:eastAsia="Arial" w:hAnsi="Arial"/>
                <w:sz w:val="20"/>
                <w:szCs w:val="20"/>
                <w:b w:val="1"/>
                <w:bCs w:val="1"/>
                <w:color w:val="auto"/>
              </w:rPr>
              <w:t>Change</w:t>
            </w:r>
          </w:p>
        </w:tc>
        <w:tc>
          <w:tcPr>
            <w:tcW w:w="1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ectPr>
          <w:pgSz w:w="11900" w:h="16838" w:orient="portrait"/>
          <w:cols w:equalWidth="0" w:num="1">
            <w:col w:w="10160"/>
          </w:cols>
          <w:pgMar w:left="920" w:top="459" w:right="8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rPr>
          <w:sz w:val="20"/>
          <w:szCs w:val="20"/>
          <w:color w:val="auto"/>
        </w:rPr>
      </w:pPr>
      <w:r>
        <w:rPr>
          <w:rFonts w:ascii="Arial" w:cs="Arial" w:eastAsia="Arial" w:hAnsi="Arial"/>
          <w:sz w:val="32"/>
          <w:szCs w:val="32"/>
          <w:color w:val="C8504F"/>
        </w:rPr>
        <w:t>(10%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9%</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$489M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16%</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$26M</w:t>
      </w:r>
    </w:p>
    <w:p>
      <w:pPr>
        <w:spacing w:after="0" w:line="200" w:lineRule="exact"/>
        <w:rPr>
          <w:sz w:val="20"/>
          <w:szCs w:val="20"/>
          <w:color w:val="auto"/>
        </w:rPr>
      </w:pPr>
    </w:p>
    <w:p>
      <w:pPr>
        <w:spacing w:after="0" w:line="399"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110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1200"/>
        <w:spacing w:after="0" w:line="265"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 operating costs.</w:t>
      </w:r>
    </w:p>
    <w:p>
      <w:pPr>
        <w:sectPr>
          <w:pgSz w:w="11900" w:h="16838" w:orient="portrait"/>
          <w:cols w:equalWidth="0" w:num="1">
            <w:col w:w="9860"/>
          </w:cols>
          <w:pgMar w:left="1220" w:top="459" w:right="8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rPr>
          <w:sz w:val="20"/>
          <w:szCs w:val="20"/>
          <w:color w:val="auto"/>
        </w:rPr>
      </w:pPr>
      <w:r>
        <w:rPr>
          <w:rFonts w:ascii="Arial" w:cs="Arial" w:eastAsia="Arial" w:hAnsi="Arial"/>
          <w:sz w:val="32"/>
          <w:szCs w:val="32"/>
          <w:color w:val="D47C18"/>
        </w:rPr>
        <w:t>(35% of Revenue)</w:t>
      </w:r>
    </w:p>
    <w:p>
      <w:pPr>
        <w:spacing w:after="0" w:line="283"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306" w:lineRule="exact"/>
        <w:rPr>
          <w:sz w:val="20"/>
          <w:szCs w:val="20"/>
          <w:color w:val="auto"/>
        </w:rPr>
      </w:pPr>
    </w:p>
    <w:tbl>
      <w:tblPr>
        <w:tblLayout w:type="fixed"/>
        <w:tblInd w:w="1520" w:type="dxa"/>
        <w:tblCellMar>
          <w:top w:w="0" w:type="dxa"/>
          <w:left w:w="0" w:type="dxa"/>
          <w:bottom w:w="0" w:type="dxa"/>
          <w:right w:w="0" w:type="dxa"/>
        </w:tblCellMar>
      </w:tblPr>
      <w:tr>
        <w:trPr>
          <w:trHeight w:val="452"/>
        </w:trPr>
        <w:tc>
          <w:tcPr>
            <w:tcW w:w="1760" w:type="dxa"/>
            <w:vAlign w:val="bottom"/>
          </w:tcPr>
          <w:p>
            <w:pPr>
              <w:jc w:val="center"/>
              <w:spacing w:after="0"/>
              <w:rPr>
                <w:sz w:val="20"/>
                <w:szCs w:val="20"/>
                <w:color w:val="auto"/>
              </w:rPr>
            </w:pPr>
            <w:r>
              <w:rPr>
                <w:rFonts w:ascii="Arial" w:cs="Arial" w:eastAsia="Arial" w:hAnsi="Arial"/>
                <w:sz w:val="38"/>
                <w:szCs w:val="38"/>
                <w:color w:val="auto"/>
                <w:w w:val="99"/>
              </w:rPr>
              <w:t>16%</w:t>
            </w:r>
          </w:p>
        </w:tc>
        <w:tc>
          <w:tcPr>
            <w:tcW w:w="3960" w:type="dxa"/>
            <w:vAlign w:val="bottom"/>
            <w:gridSpan w:val="2"/>
            <w:vMerge w:val="restart"/>
          </w:tcPr>
          <w:p>
            <w:pPr>
              <w:ind w:left="14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$1.8B</w:t>
            </w:r>
          </w:p>
        </w:tc>
        <w:tc>
          <w:tcPr>
            <w:tcW w:w="0" w:type="dxa"/>
            <w:vAlign w:val="bottom"/>
          </w:tcPr>
          <w:p>
            <w:pPr>
              <w:spacing w:after="0"/>
              <w:rPr>
                <w:sz w:val="1"/>
                <w:szCs w:val="1"/>
                <w:color w:val="auto"/>
              </w:rPr>
            </w:pPr>
          </w:p>
        </w:tc>
      </w:tr>
      <w:tr>
        <w:trPr>
          <w:trHeight w:val="247"/>
        </w:trPr>
        <w:tc>
          <w:tcPr>
            <w:tcW w:w="1760" w:type="dxa"/>
            <w:vAlign w:val="bottom"/>
            <w:vMerge w:val="restart"/>
          </w:tcPr>
          <w:p>
            <w:pPr>
              <w:jc w:val="center"/>
              <w:spacing w:after="0"/>
              <w:rPr>
                <w:sz w:val="20"/>
                <w:szCs w:val="20"/>
                <w:color w:val="auto"/>
              </w:rPr>
            </w:pPr>
            <w:r>
              <w:rPr>
                <w:rFonts w:ascii="Arial" w:cs="Arial" w:eastAsia="Arial" w:hAnsi="Arial"/>
                <w:sz w:val="38"/>
                <w:szCs w:val="38"/>
                <w:color w:val="auto"/>
                <w:w w:val="98"/>
              </w:rPr>
              <w:t>8% CC</w:t>
            </w:r>
          </w:p>
        </w:tc>
        <w:tc>
          <w:tcPr>
            <w:tcW w:w="3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6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760" w:type="dxa"/>
            <w:vAlign w:val="bottom"/>
          </w:tcPr>
          <w:p>
            <w:pPr>
              <w:jc w:val="center"/>
              <w:spacing w:after="0"/>
              <w:rPr>
                <w:sz w:val="20"/>
                <w:szCs w:val="20"/>
                <w:color w:val="auto"/>
              </w:rPr>
            </w:pPr>
            <w:r>
              <w:rPr>
                <w:rFonts w:ascii="Arial" w:cs="Arial" w:eastAsia="Arial" w:hAnsi="Arial"/>
                <w:sz w:val="38"/>
                <w:szCs w:val="38"/>
                <w:color w:val="auto"/>
                <w:w w:val="98"/>
              </w:rPr>
              <w:t>229%</w:t>
            </w:r>
          </w:p>
        </w:tc>
        <w:tc>
          <w:tcPr>
            <w:tcW w:w="2520" w:type="dxa"/>
            <w:vAlign w:val="bottom"/>
            <w:vMerge w:val="restart"/>
          </w:tcPr>
          <w:p>
            <w:pPr>
              <w:ind w:left="18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$164M</w:t>
            </w:r>
          </w:p>
        </w:tc>
        <w:tc>
          <w:tcPr>
            <w:tcW w:w="1440" w:type="dxa"/>
            <w:vAlign w:val="bottom"/>
          </w:tcPr>
          <w:p>
            <w:pPr>
              <w:jc w:val="right"/>
              <w:ind w:right="1008"/>
              <w:spacing w:after="0"/>
              <w:rPr>
                <w:sz w:val="20"/>
                <w:szCs w:val="20"/>
                <w:color w:val="auto"/>
              </w:rPr>
            </w:pPr>
            <w:r>
              <w:rPr>
                <w:rFonts w:ascii="Arial" w:cs="Arial" w:eastAsia="Arial" w:hAnsi="Arial"/>
                <w:sz w:val="22"/>
                <w:szCs w:val="22"/>
                <w:b w:val="1"/>
                <w:bCs w:val="1"/>
                <w:color w:val="D47C18"/>
              </w:rPr>
              <w:t>(1)</w:t>
            </w:r>
          </w:p>
        </w:tc>
        <w:tc>
          <w:tcPr>
            <w:tcW w:w="0" w:type="dxa"/>
            <w:vAlign w:val="bottom"/>
          </w:tcPr>
          <w:p>
            <w:pPr>
              <w:spacing w:after="0"/>
              <w:rPr>
                <w:sz w:val="1"/>
                <w:szCs w:val="1"/>
                <w:color w:val="auto"/>
              </w:rPr>
            </w:pPr>
          </w:p>
        </w:tc>
      </w:tr>
      <w:tr>
        <w:trPr>
          <w:trHeight w:val="459"/>
        </w:trPr>
        <w:tc>
          <w:tcPr>
            <w:tcW w:w="1760" w:type="dxa"/>
            <w:vAlign w:val="bottom"/>
          </w:tcPr>
          <w:p>
            <w:pPr>
              <w:jc w:val="center"/>
              <w:spacing w:after="0"/>
              <w:rPr>
                <w:sz w:val="20"/>
                <w:szCs w:val="20"/>
                <w:color w:val="auto"/>
              </w:rPr>
            </w:pPr>
            <w:r>
              <w:rPr>
                <w:rFonts w:ascii="Arial" w:cs="Arial" w:eastAsia="Arial" w:hAnsi="Arial"/>
                <w:sz w:val="38"/>
                <w:szCs w:val="38"/>
                <w:color w:val="auto"/>
                <w:w w:val="98"/>
              </w:rPr>
              <w:t>209% CC</w:t>
            </w:r>
          </w:p>
        </w:tc>
        <w:tc>
          <w:tcPr>
            <w:tcW w:w="25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6"/>
        </w:trPr>
        <w:tc>
          <w:tcPr>
            <w:tcW w:w="1760" w:type="dxa"/>
            <w:vAlign w:val="bottom"/>
          </w:tcPr>
          <w:p>
            <w:pPr>
              <w:jc w:val="center"/>
              <w:spacing w:after="0"/>
              <w:rPr>
                <w:sz w:val="20"/>
                <w:szCs w:val="20"/>
                <w:color w:val="auto"/>
              </w:rPr>
            </w:pPr>
            <w:r>
              <w:rPr>
                <w:rFonts w:ascii="Arial" w:cs="Arial" w:eastAsia="Arial" w:hAnsi="Arial"/>
                <w:sz w:val="38"/>
                <w:szCs w:val="38"/>
                <w:color w:val="auto"/>
                <w:w w:val="99"/>
              </w:rPr>
              <w:t>600 bps</w:t>
            </w:r>
          </w:p>
        </w:tc>
        <w:tc>
          <w:tcPr>
            <w:tcW w:w="3960" w:type="dxa"/>
            <w:vAlign w:val="bottom"/>
            <w:gridSpan w:val="2"/>
          </w:tcPr>
          <w:p>
            <w:pPr>
              <w:ind w:left="16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9.2%</w:t>
            </w:r>
            <w:r>
              <w:rPr>
                <w:rFonts w:ascii="Arial" w:cs="Arial" w:eastAsia="Arial" w:hAnsi="Arial"/>
                <w:sz w:val="41"/>
                <w:szCs w:val="41"/>
                <w:b w:val="1"/>
                <w:bCs w:val="1"/>
                <w:color w:val="D47C18"/>
                <w:vertAlign w:val="superscript"/>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0" w:right="1060" w:hanging="227"/>
        <w:spacing w:after="0" w:line="223" w:lineRule="auto"/>
        <w:tabs>
          <w:tab w:leader="none" w:pos="228" w:val="left"/>
        </w:tabs>
        <w:numPr>
          <w:ilvl w:val="0"/>
          <w:numId w:val="6"/>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cumulative impact of the change in the French payroll tax calculation is included above. The cumulative change has a $99M positive impact on OUP and a positive 560 bps impact on OUP margin.</w:t>
      </w:r>
    </w:p>
    <w:p>
      <w:pPr>
        <w:sectPr>
          <w:pgSz w:w="11900" w:h="16838" w:orient="portrait"/>
          <w:cols w:equalWidth="0" w:num="1">
            <w:col w:w="9860"/>
          </w:cols>
          <w:pgMar w:left="1220" w:top="459" w:right="8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7"/>
          <w:szCs w:val="47"/>
          <w:color w:val="5F81AA"/>
        </w:rPr>
        <w:t>Other EMEA Segment</w:t>
      </w:r>
    </w:p>
    <w:p>
      <w:pPr>
        <w:spacing w:after="0"/>
        <w:rPr>
          <w:sz w:val="20"/>
          <w:szCs w:val="20"/>
          <w:color w:val="auto"/>
        </w:rPr>
      </w:pPr>
      <w:r>
        <w:rPr>
          <w:rFonts w:ascii="Arial" w:cs="Arial" w:eastAsia="Arial" w:hAnsi="Arial"/>
          <w:sz w:val="32"/>
          <w:szCs w:val="32"/>
          <w:color w:val="5F81AA"/>
        </w:rPr>
        <w:t>(31% of Revenue)</w:t>
      </w:r>
    </w:p>
    <w:p>
      <w:pPr>
        <w:spacing w:after="0" w:line="259" w:lineRule="exact"/>
        <w:rPr>
          <w:sz w:val="20"/>
          <w:szCs w:val="20"/>
          <w:color w:val="auto"/>
        </w:rPr>
      </w:pPr>
    </w:p>
    <w:p>
      <w:pPr>
        <w:ind w:left="3540"/>
        <w:spacing w:after="0"/>
        <w:rPr>
          <w:sz w:val="20"/>
          <w:szCs w:val="20"/>
          <w:color w:val="auto"/>
        </w:rPr>
      </w:pPr>
      <w:r>
        <w:rPr>
          <w:rFonts w:ascii="Arial" w:cs="Arial" w:eastAsia="Arial" w:hAnsi="Arial"/>
          <w:sz w:val="41"/>
          <w:szCs w:val="41"/>
          <w:b w:val="1"/>
          <w:bCs w:val="1"/>
          <w:color w:val="auto"/>
        </w:rPr>
        <w:t>Q2 Financial Highlights</w:t>
      </w:r>
    </w:p>
    <w:p>
      <w:pPr>
        <w:ind w:left="2080"/>
        <w:spacing w:after="0" w:line="212" w:lineRule="auto"/>
        <w:tabs>
          <w:tab w:leader="none" w:pos="3480" w:val="left"/>
        </w:tabs>
        <w:rPr>
          <w:sz w:val="20"/>
          <w:szCs w:val="20"/>
          <w:color w:val="auto"/>
        </w:rPr>
      </w:pPr>
      <w:r>
        <w:rPr>
          <w:rFonts w:ascii="Arial" w:cs="Arial" w:eastAsia="Arial" w:hAnsi="Arial"/>
          <w:sz w:val="75"/>
          <w:szCs w:val="75"/>
          <w:color w:val="auto"/>
          <w:vertAlign w:val="superscript"/>
        </w:rPr>
        <w:t>26%</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$1.6B</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17% CC</w:t>
      </w:r>
    </w:p>
    <w:p>
      <w:pPr>
        <w:ind w:left="2120"/>
        <w:spacing w:after="0" w:line="182" w:lineRule="auto"/>
        <w:tabs>
          <w:tab w:leader="none" w:pos="3500" w:val="left"/>
        </w:tabs>
        <w:rPr>
          <w:sz w:val="20"/>
          <w:szCs w:val="20"/>
          <w:color w:val="auto"/>
        </w:rPr>
      </w:pPr>
      <w:r>
        <w:rPr>
          <w:rFonts w:ascii="Arial" w:cs="Arial" w:eastAsia="Arial" w:hAnsi="Arial"/>
          <w:sz w:val="66"/>
          <w:szCs w:val="66"/>
          <w:color w:val="auto"/>
          <w:vertAlign w:val="superscript"/>
        </w:rPr>
        <w:t>89%</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$56M</w:t>
      </w:r>
    </w:p>
    <w:p>
      <w:pPr>
        <w:spacing w:after="0" w:line="140" w:lineRule="exact"/>
        <w:rPr>
          <w:sz w:val="20"/>
          <w:szCs w:val="20"/>
          <w:color w:val="auto"/>
        </w:rPr>
      </w:pPr>
    </w:p>
    <w:p>
      <w:pPr>
        <w:ind w:left="1760"/>
        <w:spacing w:after="0"/>
        <w:rPr>
          <w:sz w:val="20"/>
          <w:szCs w:val="20"/>
          <w:color w:val="auto"/>
        </w:rPr>
      </w:pPr>
      <w:r>
        <w:rPr>
          <w:rFonts w:ascii="Arial" w:cs="Arial" w:eastAsia="Arial" w:hAnsi="Arial"/>
          <w:sz w:val="38"/>
          <w:szCs w:val="38"/>
          <w:color w:val="auto"/>
        </w:rPr>
        <w:t>78% CC</w:t>
      </w:r>
    </w:p>
    <w:p>
      <w:pPr>
        <w:spacing w:after="0" w:line="314" w:lineRule="exact"/>
        <w:rPr>
          <w:sz w:val="20"/>
          <w:szCs w:val="20"/>
          <w:color w:val="auto"/>
        </w:rPr>
      </w:pPr>
    </w:p>
    <w:p>
      <w:pPr>
        <w:ind w:left="1720"/>
        <w:spacing w:after="0"/>
        <w:tabs>
          <w:tab w:leader="none" w:pos="3500" w:val="left"/>
        </w:tabs>
        <w:rPr>
          <w:sz w:val="20"/>
          <w:szCs w:val="20"/>
          <w:color w:val="auto"/>
        </w:rPr>
      </w:pPr>
      <w:r>
        <w:rPr>
          <w:rFonts w:ascii="Arial" w:cs="Arial" w:eastAsia="Arial" w:hAnsi="Arial"/>
          <w:sz w:val="38"/>
          <w:szCs w:val="38"/>
          <w:color w:val="auto"/>
        </w:rPr>
        <w:t>120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3.5%</w:t>
      </w:r>
    </w:p>
    <w:p>
      <w:pPr>
        <w:sectPr>
          <w:pgSz w:w="11900" w:h="16838" w:orient="portrait"/>
          <w:cols w:equalWidth="0" w:num="1">
            <w:col w:w="9860"/>
          </w:cols>
          <w:pgMar w:left="1220" w:top="459" w:right="8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7"/>
          <w:szCs w:val="47"/>
          <w:color w:val="6698C2"/>
        </w:rPr>
        <w:t>Other EMEA – Q2 Revenue Growth YoY</w:t>
      </w:r>
    </w:p>
    <w:p>
      <w:pPr>
        <w:spacing w:after="0" w:line="29" w:lineRule="exact"/>
        <w:rPr>
          <w:sz w:val="20"/>
          <w:szCs w:val="20"/>
          <w:color w:val="auto"/>
        </w:rPr>
      </w:pPr>
    </w:p>
    <w:p>
      <w:pPr>
        <w:ind w:left="60" w:right="8240"/>
        <w:spacing w:after="0" w:line="271" w:lineRule="auto"/>
        <w:tabs>
          <w:tab w:leader="none" w:pos="33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ectPr>
          <w:pgSz w:w="11900" w:h="16838" w:orient="portrait"/>
          <w:cols w:equalWidth="0" w:num="1">
            <w:col w:w="9860"/>
          </w:cols>
          <w:pgMar w:left="1220" w:top="459" w:right="819" w:bottom="1440" w:gutter="0" w:footer="0" w:header="0"/>
        </w:sectPr>
      </w:pPr>
    </w:p>
    <w:p>
      <w:pPr>
        <w:spacing w:after="0" w:line="101"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D47C18"/>
        </w:rPr>
        <w:t>21%</w:t>
      </w:r>
    </w:p>
    <w:p>
      <w:pPr>
        <w:spacing w:after="0" w:line="348"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D47C18"/>
        </w:rPr>
        <w:t>16%</w:t>
      </w:r>
    </w:p>
    <w:p>
      <w:pPr>
        <w:spacing w:after="0" w:line="348"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D47C18"/>
        </w:rPr>
        <w:t>15%</w:t>
      </w:r>
    </w:p>
    <w:p>
      <w:pPr>
        <w:spacing w:after="0" w:line="348"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D47C18"/>
        </w:rPr>
        <w:t>10%</w:t>
      </w: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28"/>
          <w:szCs w:val="28"/>
          <w:b w:val="1"/>
          <w:bCs w:val="1"/>
          <w:color w:val="D47C18"/>
        </w:rPr>
        <w:t>9%</w:t>
      </w:r>
    </w:p>
    <w:p>
      <w:pPr>
        <w:spacing w:after="0" w:line="336" w:lineRule="exact"/>
        <w:rPr>
          <w:sz w:val="20"/>
          <w:szCs w:val="20"/>
          <w:color w:val="auto"/>
        </w:rPr>
      </w:pPr>
    </w:p>
    <w:p>
      <w:pPr>
        <w:jc w:val="center"/>
        <w:ind w:left="320"/>
        <w:spacing w:after="0"/>
        <w:rPr>
          <w:sz w:val="20"/>
          <w:szCs w:val="20"/>
          <w:color w:val="auto"/>
        </w:rPr>
      </w:pPr>
      <w:r>
        <w:rPr>
          <w:rFonts w:ascii="Arial" w:cs="Arial" w:eastAsia="Arial" w:hAnsi="Arial"/>
          <w:sz w:val="28"/>
          <w:szCs w:val="28"/>
          <w:b w:val="1"/>
          <w:bCs w:val="1"/>
          <w:color w:val="D47C18"/>
        </w:rPr>
        <w:t>8%</w:t>
      </w:r>
    </w:p>
    <w:p>
      <w:pPr>
        <w:spacing w:after="0" w:line="360" w:lineRule="exact"/>
        <w:rPr>
          <w:sz w:val="20"/>
          <w:szCs w:val="20"/>
          <w:color w:val="auto"/>
        </w:rPr>
      </w:pPr>
    </w:p>
    <w:p>
      <w:pPr>
        <w:jc w:val="center"/>
        <w:ind w:left="340"/>
        <w:spacing w:after="0"/>
        <w:rPr>
          <w:sz w:val="20"/>
          <w:szCs w:val="20"/>
          <w:color w:val="auto"/>
        </w:rPr>
      </w:pPr>
      <w:r>
        <w:rPr>
          <w:rFonts w:ascii="Arial" w:cs="Arial" w:eastAsia="Arial" w:hAnsi="Arial"/>
          <w:sz w:val="27"/>
          <w:szCs w:val="27"/>
          <w:b w:val="1"/>
          <w:bCs w:val="1"/>
          <w:color w:val="D47C18"/>
        </w:rPr>
        <w:t>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2040" w:type="dxa"/>
            <w:vAlign w:val="bottom"/>
            <w:vMerge w:val="restart"/>
          </w:tcPr>
          <w:p>
            <w:pPr>
              <w:jc w:val="right"/>
              <w:ind w:right="117"/>
              <w:spacing w:after="0"/>
              <w:rPr>
                <w:sz w:val="20"/>
                <w:szCs w:val="20"/>
                <w:color w:val="auto"/>
              </w:rPr>
            </w:pPr>
            <w:r>
              <w:rPr>
                <w:rFonts w:ascii="Arial" w:cs="Arial" w:eastAsia="Arial" w:hAnsi="Arial"/>
                <w:sz w:val="25"/>
                <w:szCs w:val="25"/>
                <w:b w:val="1"/>
                <w:bCs w:val="1"/>
                <w:color w:val="auto"/>
              </w:rPr>
              <w:t>Nordics</w:t>
            </w:r>
          </w:p>
        </w:tc>
        <w:tc>
          <w:tcPr>
            <w:tcW w:w="5080" w:type="dxa"/>
            <w:vAlign w:val="bottom"/>
          </w:tcPr>
          <w:p>
            <w:pPr>
              <w:jc w:val="right"/>
              <w:spacing w:after="0"/>
              <w:rPr>
                <w:sz w:val="20"/>
                <w:szCs w:val="20"/>
                <w:color w:val="auto"/>
              </w:rPr>
            </w:pPr>
            <w:r>
              <w:rPr>
                <w:rFonts w:ascii="Arial" w:cs="Arial" w:eastAsia="Arial" w:hAnsi="Arial"/>
                <w:sz w:val="21"/>
                <w:szCs w:val="21"/>
                <w:b w:val="1"/>
                <w:bCs w:val="1"/>
                <w:color w:val="FFFFFF"/>
              </w:rPr>
              <w:t>39%</w:t>
            </w:r>
          </w:p>
        </w:tc>
        <w:tc>
          <w:tcPr>
            <w:tcW w:w="0" w:type="dxa"/>
            <w:vAlign w:val="bottom"/>
          </w:tcPr>
          <w:p>
            <w:pPr>
              <w:spacing w:after="0"/>
              <w:rPr>
                <w:sz w:val="1"/>
                <w:szCs w:val="1"/>
                <w:color w:val="auto"/>
              </w:rPr>
            </w:pPr>
          </w:p>
        </w:tc>
      </w:tr>
      <w:tr>
        <w:trPr>
          <w:trHeight w:val="174"/>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914"/>
              <w:spacing w:after="0"/>
              <w:rPr>
                <w:sz w:val="20"/>
                <w:szCs w:val="20"/>
                <w:color w:val="auto"/>
              </w:rPr>
            </w:pPr>
            <w:r>
              <w:rPr>
                <w:rFonts w:ascii="Arial" w:cs="Arial" w:eastAsia="Arial" w:hAnsi="Arial"/>
                <w:sz w:val="21"/>
                <w:szCs w:val="21"/>
                <w:b w:val="1"/>
                <w:bCs w:val="1"/>
                <w:color w:val="FFFFFF"/>
              </w:rPr>
              <w:t>31%</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204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w w:val="96"/>
              </w:rPr>
              <w:t>UK - Manpower</w:t>
            </w:r>
          </w:p>
        </w:tc>
        <w:tc>
          <w:tcPr>
            <w:tcW w:w="5080" w:type="dxa"/>
            <w:vAlign w:val="bottom"/>
          </w:tcPr>
          <w:p>
            <w:pPr>
              <w:jc w:val="right"/>
              <w:ind w:right="3334"/>
              <w:spacing w:after="0"/>
              <w:rPr>
                <w:sz w:val="20"/>
                <w:szCs w:val="20"/>
                <w:color w:val="auto"/>
              </w:rPr>
            </w:pPr>
            <w:r>
              <w:rPr>
                <w:rFonts w:ascii="Arial" w:cs="Arial" w:eastAsia="Arial" w:hAnsi="Arial"/>
                <w:sz w:val="21"/>
                <w:szCs w:val="21"/>
                <w:b w:val="1"/>
                <w:bCs w:val="1"/>
                <w:color w:val="FFFFFF"/>
              </w:rPr>
              <w:t>12%</w:t>
            </w:r>
          </w:p>
        </w:tc>
        <w:tc>
          <w:tcPr>
            <w:tcW w:w="0" w:type="dxa"/>
            <w:vAlign w:val="bottom"/>
          </w:tcPr>
          <w:p>
            <w:pPr>
              <w:spacing w:after="0"/>
              <w:rPr>
                <w:sz w:val="1"/>
                <w:szCs w:val="1"/>
                <w:color w:val="auto"/>
              </w:rPr>
            </w:pPr>
          </w:p>
        </w:tc>
      </w:tr>
      <w:tr>
        <w:trPr>
          <w:trHeight w:val="174"/>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4434"/>
              <w:spacing w:after="0"/>
              <w:rPr>
                <w:sz w:val="20"/>
                <w:szCs w:val="20"/>
                <w:color w:val="auto"/>
              </w:rPr>
            </w:pPr>
            <w:r>
              <w:rPr>
                <w:rFonts w:ascii="Arial" w:cs="Arial" w:eastAsia="Arial" w:hAnsi="Arial"/>
                <w:sz w:val="21"/>
                <w:szCs w:val="21"/>
                <w:b w:val="1"/>
                <w:bCs w:val="1"/>
                <w:color w:val="FFFFFF"/>
              </w:rPr>
              <w:t>3%</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204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rPr>
              <w:t>Elan</w:t>
            </w:r>
          </w:p>
        </w:tc>
        <w:tc>
          <w:tcPr>
            <w:tcW w:w="5080" w:type="dxa"/>
            <w:vAlign w:val="bottom"/>
          </w:tcPr>
          <w:p>
            <w:pPr>
              <w:jc w:val="right"/>
              <w:ind w:right="1914"/>
              <w:spacing w:after="0"/>
              <w:rPr>
                <w:sz w:val="20"/>
                <w:szCs w:val="20"/>
                <w:color w:val="auto"/>
              </w:rPr>
            </w:pPr>
            <w:r>
              <w:rPr>
                <w:rFonts w:ascii="Arial" w:cs="Arial" w:eastAsia="Arial" w:hAnsi="Arial"/>
                <w:sz w:val="21"/>
                <w:szCs w:val="21"/>
                <w:b w:val="1"/>
                <w:bCs w:val="1"/>
                <w:color w:val="FFFFFF"/>
              </w:rPr>
              <w:t>23%</w:t>
            </w:r>
          </w:p>
        </w:tc>
        <w:tc>
          <w:tcPr>
            <w:tcW w:w="0" w:type="dxa"/>
            <w:vAlign w:val="bottom"/>
          </w:tcPr>
          <w:p>
            <w:pPr>
              <w:spacing w:after="0"/>
              <w:rPr>
                <w:sz w:val="1"/>
                <w:szCs w:val="1"/>
                <w:color w:val="auto"/>
              </w:rPr>
            </w:pPr>
          </w:p>
        </w:tc>
      </w:tr>
      <w:tr>
        <w:trPr>
          <w:trHeight w:val="177"/>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3054"/>
              <w:spacing w:after="0"/>
              <w:rPr>
                <w:sz w:val="20"/>
                <w:szCs w:val="20"/>
                <w:color w:val="auto"/>
              </w:rPr>
            </w:pPr>
            <w:r>
              <w:rPr>
                <w:rFonts w:ascii="Arial" w:cs="Arial" w:eastAsia="Arial" w:hAnsi="Arial"/>
                <w:sz w:val="21"/>
                <w:szCs w:val="21"/>
                <w:b w:val="1"/>
                <w:bCs w:val="1"/>
                <w:color w:val="FFFFFF"/>
              </w:rPr>
              <w:t>14%</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204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rPr>
              <w:t>Germany</w:t>
            </w:r>
          </w:p>
        </w:tc>
        <w:tc>
          <w:tcPr>
            <w:tcW w:w="5080" w:type="dxa"/>
            <w:vAlign w:val="bottom"/>
          </w:tcPr>
          <w:p>
            <w:pPr>
              <w:jc w:val="right"/>
              <w:ind w:right="274"/>
              <w:spacing w:after="0"/>
              <w:rPr>
                <w:sz w:val="20"/>
                <w:szCs w:val="20"/>
                <w:color w:val="auto"/>
              </w:rPr>
            </w:pPr>
            <w:r>
              <w:rPr>
                <w:rFonts w:ascii="Arial" w:cs="Arial" w:eastAsia="Arial" w:hAnsi="Arial"/>
                <w:sz w:val="21"/>
                <w:szCs w:val="21"/>
                <w:b w:val="1"/>
                <w:bCs w:val="1"/>
                <w:color w:val="FFFFFF"/>
              </w:rPr>
              <w:t>36%</w:t>
            </w:r>
          </w:p>
        </w:tc>
        <w:tc>
          <w:tcPr>
            <w:tcW w:w="0" w:type="dxa"/>
            <w:vAlign w:val="bottom"/>
          </w:tcPr>
          <w:p>
            <w:pPr>
              <w:spacing w:after="0"/>
              <w:rPr>
                <w:sz w:val="1"/>
                <w:szCs w:val="1"/>
                <w:color w:val="auto"/>
              </w:rPr>
            </w:pPr>
          </w:p>
        </w:tc>
      </w:tr>
      <w:tr>
        <w:trPr>
          <w:trHeight w:val="174"/>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1414"/>
              <w:spacing w:after="0"/>
              <w:rPr>
                <w:sz w:val="20"/>
                <w:szCs w:val="20"/>
                <w:color w:val="auto"/>
              </w:rPr>
            </w:pPr>
            <w:r>
              <w:rPr>
                <w:rFonts w:ascii="Arial" w:cs="Arial" w:eastAsia="Arial" w:hAnsi="Arial"/>
                <w:sz w:val="21"/>
                <w:szCs w:val="21"/>
                <w:b w:val="1"/>
                <w:bCs w:val="1"/>
                <w:color w:val="FFFFFF"/>
              </w:rPr>
              <w:t>27%</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204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rPr>
              <w:t>Netherlands</w:t>
            </w:r>
          </w:p>
        </w:tc>
        <w:tc>
          <w:tcPr>
            <w:tcW w:w="5080" w:type="dxa"/>
            <w:vAlign w:val="bottom"/>
          </w:tcPr>
          <w:p>
            <w:pPr>
              <w:jc w:val="right"/>
              <w:ind w:right="774"/>
              <w:spacing w:after="0"/>
              <w:rPr>
                <w:sz w:val="20"/>
                <w:szCs w:val="20"/>
                <w:color w:val="auto"/>
              </w:rPr>
            </w:pPr>
            <w:r>
              <w:rPr>
                <w:rFonts w:ascii="Arial" w:cs="Arial" w:eastAsia="Arial" w:hAnsi="Arial"/>
                <w:sz w:val="21"/>
                <w:szCs w:val="21"/>
                <w:b w:val="1"/>
                <w:bCs w:val="1"/>
                <w:color w:val="FFFFFF"/>
              </w:rPr>
              <w:t>32%</w:t>
            </w:r>
          </w:p>
        </w:tc>
        <w:tc>
          <w:tcPr>
            <w:tcW w:w="0" w:type="dxa"/>
            <w:vAlign w:val="bottom"/>
          </w:tcPr>
          <w:p>
            <w:pPr>
              <w:spacing w:after="0"/>
              <w:rPr>
                <w:sz w:val="1"/>
                <w:szCs w:val="1"/>
                <w:color w:val="auto"/>
              </w:rPr>
            </w:pPr>
          </w:p>
        </w:tc>
      </w:tr>
      <w:tr>
        <w:trPr>
          <w:trHeight w:val="177"/>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1914"/>
              <w:spacing w:after="0"/>
              <w:rPr>
                <w:sz w:val="20"/>
                <w:szCs w:val="20"/>
                <w:color w:val="auto"/>
              </w:rPr>
            </w:pPr>
            <w:r>
              <w:rPr>
                <w:rFonts w:ascii="Arial" w:cs="Arial" w:eastAsia="Arial" w:hAnsi="Arial"/>
                <w:sz w:val="21"/>
                <w:szCs w:val="21"/>
                <w:b w:val="1"/>
                <w:bCs w:val="1"/>
                <w:color w:val="FFFFFF"/>
              </w:rPr>
              <w:t>23%</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204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rPr>
              <w:t>Spain</w:t>
            </w:r>
          </w:p>
        </w:tc>
        <w:tc>
          <w:tcPr>
            <w:tcW w:w="5080" w:type="dxa"/>
            <w:vAlign w:val="bottom"/>
          </w:tcPr>
          <w:p>
            <w:pPr>
              <w:jc w:val="right"/>
              <w:ind w:right="2934"/>
              <w:spacing w:after="0"/>
              <w:rPr>
                <w:sz w:val="20"/>
                <w:szCs w:val="20"/>
                <w:color w:val="auto"/>
              </w:rPr>
            </w:pPr>
            <w:r>
              <w:rPr>
                <w:rFonts w:ascii="Arial" w:cs="Arial" w:eastAsia="Arial" w:hAnsi="Arial"/>
                <w:sz w:val="21"/>
                <w:szCs w:val="21"/>
                <w:b w:val="1"/>
                <w:bCs w:val="1"/>
                <w:color w:val="FFFFFF"/>
              </w:rPr>
              <w:t>15%</w:t>
            </w:r>
          </w:p>
        </w:tc>
        <w:tc>
          <w:tcPr>
            <w:tcW w:w="0" w:type="dxa"/>
            <w:vAlign w:val="bottom"/>
          </w:tcPr>
          <w:p>
            <w:pPr>
              <w:spacing w:after="0"/>
              <w:rPr>
                <w:sz w:val="1"/>
                <w:szCs w:val="1"/>
                <w:color w:val="auto"/>
              </w:rPr>
            </w:pPr>
          </w:p>
        </w:tc>
      </w:tr>
      <w:tr>
        <w:trPr>
          <w:trHeight w:val="177"/>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3834"/>
              <w:spacing w:after="0"/>
              <w:rPr>
                <w:sz w:val="20"/>
                <w:szCs w:val="20"/>
                <w:color w:val="auto"/>
              </w:rPr>
            </w:pPr>
            <w:r>
              <w:rPr>
                <w:rFonts w:ascii="Arial" w:cs="Arial" w:eastAsia="Arial" w:hAnsi="Arial"/>
                <w:sz w:val="21"/>
                <w:szCs w:val="21"/>
                <w:b w:val="1"/>
                <w:bCs w:val="1"/>
                <w:color w:val="FFFFFF"/>
              </w:rPr>
              <w:t>8%</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2040" w:type="dxa"/>
            <w:vAlign w:val="bottom"/>
            <w:vMerge w:val="restart"/>
          </w:tcPr>
          <w:p>
            <w:pPr>
              <w:jc w:val="right"/>
              <w:ind w:right="137"/>
              <w:spacing w:after="0"/>
              <w:rPr>
                <w:sz w:val="20"/>
                <w:szCs w:val="20"/>
                <w:color w:val="auto"/>
              </w:rPr>
            </w:pPr>
            <w:r>
              <w:rPr>
                <w:rFonts w:ascii="Arial" w:cs="Arial" w:eastAsia="Arial" w:hAnsi="Arial"/>
                <w:sz w:val="25"/>
                <w:szCs w:val="25"/>
                <w:b w:val="1"/>
                <w:bCs w:val="1"/>
                <w:color w:val="auto"/>
              </w:rPr>
              <w:t>Other</w:t>
            </w:r>
          </w:p>
        </w:tc>
        <w:tc>
          <w:tcPr>
            <w:tcW w:w="5080" w:type="dxa"/>
            <w:vAlign w:val="bottom"/>
          </w:tcPr>
          <w:p>
            <w:pPr>
              <w:jc w:val="right"/>
              <w:ind w:right="1674"/>
              <w:spacing w:after="0"/>
              <w:rPr>
                <w:sz w:val="20"/>
                <w:szCs w:val="20"/>
                <w:color w:val="auto"/>
              </w:rPr>
            </w:pPr>
            <w:r>
              <w:rPr>
                <w:rFonts w:ascii="Arial" w:cs="Arial" w:eastAsia="Arial" w:hAnsi="Arial"/>
                <w:sz w:val="21"/>
                <w:szCs w:val="21"/>
                <w:b w:val="1"/>
                <w:bCs w:val="1"/>
                <w:color w:val="FFFFFF"/>
              </w:rPr>
              <w:t>25%</w:t>
            </w:r>
          </w:p>
        </w:tc>
        <w:tc>
          <w:tcPr>
            <w:tcW w:w="0" w:type="dxa"/>
            <w:vAlign w:val="bottom"/>
          </w:tcPr>
          <w:p>
            <w:pPr>
              <w:spacing w:after="0"/>
              <w:rPr>
                <w:sz w:val="1"/>
                <w:szCs w:val="1"/>
                <w:color w:val="auto"/>
              </w:rPr>
            </w:pPr>
          </w:p>
        </w:tc>
      </w:tr>
      <w:tr>
        <w:trPr>
          <w:trHeight w:val="177"/>
        </w:trPr>
        <w:tc>
          <w:tcPr>
            <w:tcW w:w="2040" w:type="dxa"/>
            <w:vAlign w:val="bottom"/>
            <w:vMerge w:val="continue"/>
          </w:tcPr>
          <w:p>
            <w:pPr>
              <w:spacing w:after="0"/>
              <w:rPr>
                <w:sz w:val="15"/>
                <w:szCs w:val="15"/>
                <w:color w:val="auto"/>
              </w:rPr>
            </w:pPr>
          </w:p>
        </w:tc>
        <w:tc>
          <w:tcPr>
            <w:tcW w:w="5080" w:type="dxa"/>
            <w:vAlign w:val="bottom"/>
            <w:vMerge w:val="restart"/>
          </w:tcPr>
          <w:p>
            <w:pPr>
              <w:jc w:val="right"/>
              <w:ind w:right="2814"/>
              <w:spacing w:after="0"/>
              <w:rPr>
                <w:sz w:val="20"/>
                <w:szCs w:val="20"/>
                <w:color w:val="auto"/>
              </w:rPr>
            </w:pPr>
            <w:r>
              <w:rPr>
                <w:rFonts w:ascii="Arial" w:cs="Arial" w:eastAsia="Arial" w:hAnsi="Arial"/>
                <w:sz w:val="21"/>
                <w:szCs w:val="21"/>
                <w:b w:val="1"/>
                <w:bCs w:val="1"/>
                <w:color w:val="FFFFFF"/>
              </w:rPr>
              <w:t>16%</w:t>
            </w:r>
          </w:p>
        </w:tc>
        <w:tc>
          <w:tcPr>
            <w:tcW w:w="0" w:type="dxa"/>
            <w:vAlign w:val="bottom"/>
          </w:tcPr>
          <w:p>
            <w:pPr>
              <w:spacing w:after="0"/>
              <w:rPr>
                <w:sz w:val="1"/>
                <w:szCs w:val="1"/>
                <w:color w:val="auto"/>
              </w:rPr>
            </w:pPr>
          </w:p>
        </w:tc>
      </w:tr>
      <w:tr>
        <w:trPr>
          <w:trHeight w:val="106"/>
        </w:trPr>
        <w:tc>
          <w:tcPr>
            <w:tcW w:w="20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00" w:space="320"/>
            <w:col w:w="8640"/>
          </w:cols>
          <w:pgMar w:left="1220" w:top="459" w:right="819" w:bottom="1440" w:gutter="0" w:footer="0" w:header="0"/>
          <w:type w:val="continuous"/>
        </w:sectPr>
      </w:pPr>
    </w:p>
    <w:p>
      <w:pPr>
        <w:spacing w:after="0" w:line="178" w:lineRule="exact"/>
        <w:rPr>
          <w:sz w:val="20"/>
          <w:szCs w:val="20"/>
          <w:color w:val="auto"/>
        </w:rPr>
      </w:pPr>
    </w:p>
    <w:p>
      <w:pPr>
        <w:ind w:left="3280"/>
        <w:spacing w:after="0"/>
        <w:tabs>
          <w:tab w:leader="none" w:pos="552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60"/>
          </w:cols>
          <w:pgMar w:left="1220" w:top="459" w:right="8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7"/>
          <w:szCs w:val="47"/>
          <w:color w:val="7EA190"/>
        </w:rPr>
        <w:t>Italy Segment</w:t>
      </w:r>
    </w:p>
    <w:p>
      <w:pPr>
        <w:spacing w:after="0"/>
        <w:rPr>
          <w:sz w:val="20"/>
          <w:szCs w:val="20"/>
          <w:color w:val="auto"/>
        </w:rPr>
      </w:pPr>
      <w:r>
        <w:rPr>
          <w:rFonts w:ascii="Arial" w:cs="Arial" w:eastAsia="Arial" w:hAnsi="Arial"/>
          <w:sz w:val="32"/>
          <w:szCs w:val="32"/>
          <w:color w:val="7EA190"/>
        </w:rPr>
        <w:t>(7%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ind w:left="208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21%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7EA190"/>
        </w:rPr>
        <w:t>$354M</w:t>
      </w:r>
    </w:p>
    <w:p>
      <w:pPr>
        <w:ind w:left="1700"/>
        <w:spacing w:after="0"/>
        <w:rPr>
          <w:sz w:val="20"/>
          <w:szCs w:val="20"/>
          <w:color w:val="auto"/>
        </w:rPr>
      </w:pPr>
      <w:r>
        <w:rPr>
          <w:rFonts w:ascii="Arial" w:cs="Arial" w:eastAsia="Arial" w:hAnsi="Arial"/>
          <w:sz w:val="38"/>
          <w:szCs w:val="38"/>
          <w:color w:val="auto"/>
        </w:rPr>
        <w:t>13% CC</w:t>
      </w:r>
    </w:p>
    <w:p>
      <w:pPr>
        <w:ind w:left="21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37%</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7EA190"/>
        </w:rPr>
        <w:t>$29M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28% CC</w:t>
      </w:r>
    </w:p>
    <w:p>
      <w:pPr>
        <w:spacing w:after="0" w:line="326"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90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8.2%</w:t>
      </w:r>
    </w:p>
    <w:p>
      <w:pPr>
        <w:sectPr>
          <w:pgSz w:w="11900" w:h="16838" w:orient="portrait"/>
          <w:cols w:equalWidth="0" w:num="1">
            <w:col w:w="9860"/>
          </w:cols>
          <w:pgMar w:left="1220" w:top="459" w:right="819" w:bottom="1440" w:gutter="0" w:footer="0" w:header="0"/>
        </w:sectPr>
      </w:pPr>
    </w:p>
    <w:bookmarkStart w:id="21" w:name="page22"/>
    <w:bookmarkEnd w:id="21"/>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47"/>
          <w:szCs w:val="47"/>
          <w:color w:val="C8504F"/>
        </w:rPr>
        <w:t>Jefferson Wells Segment</w:t>
      </w:r>
    </w:p>
    <w:p>
      <w:pPr>
        <w:ind w:left="20"/>
        <w:spacing w:after="0"/>
        <w:rPr>
          <w:sz w:val="20"/>
          <w:szCs w:val="20"/>
          <w:color w:val="auto"/>
        </w:rPr>
      </w:pPr>
      <w:r>
        <w:rPr>
          <w:rFonts w:ascii="Arial" w:cs="Arial" w:eastAsia="Arial" w:hAnsi="Arial"/>
          <w:sz w:val="32"/>
          <w:szCs w:val="32"/>
          <w:color w:val="C8504F"/>
        </w:rPr>
        <w:t>(2%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200" w:lineRule="exact"/>
        <w:rPr>
          <w:sz w:val="20"/>
          <w:szCs w:val="20"/>
          <w:color w:val="auto"/>
        </w:rPr>
      </w:pPr>
    </w:p>
    <w:p>
      <w:pPr>
        <w:spacing w:after="0" w:line="255" w:lineRule="exact"/>
        <w:rPr>
          <w:sz w:val="20"/>
          <w:szCs w:val="20"/>
          <w:color w:val="auto"/>
        </w:rPr>
      </w:pPr>
    </w:p>
    <w:p>
      <w:pPr>
        <w:ind w:left="2080"/>
        <w:spacing w:after="0"/>
        <w:tabs>
          <w:tab w:leader="none" w:pos="3400" w:val="left"/>
        </w:tabs>
        <w:rPr>
          <w:sz w:val="20"/>
          <w:szCs w:val="20"/>
          <w:color w:val="auto"/>
        </w:rPr>
      </w:pPr>
      <w:r>
        <w:rPr>
          <w:rFonts w:ascii="Arial" w:cs="Arial" w:eastAsia="Arial" w:hAnsi="Arial"/>
          <w:sz w:val="38"/>
          <w:szCs w:val="38"/>
          <w:color w:val="auto"/>
        </w:rPr>
        <w:t>15%</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$84M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00"/>
        <w:spacing w:after="0"/>
        <w:tabs>
          <w:tab w:leader="none" w:pos="3440" w:val="left"/>
          <w:tab w:leader="none" w:pos="4740" w:val="left"/>
        </w:tabs>
        <w:rPr>
          <w:sz w:val="20"/>
          <w:szCs w:val="20"/>
          <w:color w:val="auto"/>
        </w:rPr>
      </w:pPr>
      <w:r>
        <w:rPr>
          <w:rFonts w:ascii="Arial" w:cs="Arial" w:eastAsia="Arial" w:hAnsi="Arial"/>
          <w:sz w:val="38"/>
          <w:szCs w:val="38"/>
          <w:color w:val="auto"/>
        </w:rPr>
        <w:t>89%</w:t>
      </w:r>
      <w:r>
        <w:rPr>
          <w:sz w:val="20"/>
          <w:szCs w:val="20"/>
          <w:color w:val="auto"/>
        </w:rPr>
        <w:tab/>
      </w:r>
      <w:r>
        <w:rPr>
          <w:rFonts w:ascii="Arial" w:cs="Arial" w:eastAsia="Arial" w:hAnsi="Arial"/>
          <w:sz w:val="41"/>
          <w:szCs w:val="41"/>
          <w:b w:val="1"/>
          <w:bCs w:val="1"/>
          <w:color w:val="auto"/>
        </w:rPr>
        <w:t>OUP</w:t>
      </w:r>
      <w:r>
        <w:rPr>
          <w:sz w:val="20"/>
          <w:szCs w:val="20"/>
          <w:color w:val="auto"/>
        </w:rPr>
        <w:tab/>
      </w:r>
      <w:r>
        <w:rPr>
          <w:rFonts w:ascii="Arial" w:cs="Arial" w:eastAsia="Arial" w:hAnsi="Arial"/>
          <w:sz w:val="42"/>
          <w:szCs w:val="42"/>
          <w:b w:val="1"/>
          <w:bCs w:val="1"/>
          <w:color w:val="C8504F"/>
        </w:rPr>
        <w:t>$1M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890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1.3%</w:t>
      </w:r>
    </w:p>
    <w:p>
      <w:pPr>
        <w:sectPr>
          <w:pgSz w:w="11900" w:h="16838" w:orient="portrait"/>
          <w:cols w:equalWidth="0" w:num="1">
            <w:col w:w="9860"/>
          </w:cols>
          <w:pgMar w:left="1220" w:top="459" w:right="819" w:bottom="1440" w:gutter="0" w:footer="0" w:header="0"/>
          <w:type w:val="continuous"/>
        </w:sectPr>
      </w:pPr>
    </w:p>
    <w:bookmarkStart w:id="22" w:name="page23"/>
    <w:bookmarkEnd w:id="22"/>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11</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47"/>
          <w:szCs w:val="47"/>
          <w:color w:val="D47C18"/>
        </w:rPr>
        <w:t>Right Management Segment</w:t>
      </w:r>
    </w:p>
    <w:p>
      <w:pPr>
        <w:spacing w:after="0"/>
        <w:rPr>
          <w:sz w:val="20"/>
          <w:szCs w:val="20"/>
          <w:color w:val="auto"/>
        </w:rPr>
      </w:pPr>
      <w:r>
        <w:rPr>
          <w:rFonts w:ascii="Arial" w:cs="Arial" w:eastAsia="Arial" w:hAnsi="Arial"/>
          <w:sz w:val="32"/>
          <w:szCs w:val="32"/>
          <w:color w:val="D47C18"/>
        </w:rPr>
        <w:t>(2% of Revenue)</w:t>
      </w:r>
    </w:p>
    <w:p>
      <w:pPr>
        <w:spacing w:after="0" w:line="271" w:lineRule="exact"/>
        <w:rPr>
          <w:sz w:val="20"/>
          <w:szCs w:val="20"/>
          <w:color w:val="auto"/>
        </w:rPr>
      </w:pPr>
    </w:p>
    <w:tbl>
      <w:tblPr>
        <w:tblLayout w:type="fixed"/>
        <w:tblInd w:w="1800" w:type="dxa"/>
        <w:tblCellMar>
          <w:top w:w="0" w:type="dxa"/>
          <w:left w:w="0" w:type="dxa"/>
          <w:bottom w:w="0" w:type="dxa"/>
          <w:right w:w="0" w:type="dxa"/>
        </w:tblCellMar>
      </w:tblPr>
      <w:tr>
        <w:trPr>
          <w:trHeight w:val="548"/>
        </w:trPr>
        <w:tc>
          <w:tcPr>
            <w:tcW w:w="1400" w:type="dxa"/>
            <w:vAlign w:val="bottom"/>
          </w:tcPr>
          <w:p>
            <w:pPr>
              <w:spacing w:after="0"/>
              <w:rPr>
                <w:sz w:val="24"/>
                <w:szCs w:val="24"/>
                <w:color w:val="auto"/>
              </w:rPr>
            </w:pPr>
          </w:p>
        </w:tc>
        <w:tc>
          <w:tcPr>
            <w:tcW w:w="4840" w:type="dxa"/>
            <w:vAlign w:val="bottom"/>
          </w:tcPr>
          <w:p>
            <w:pPr>
              <w:ind w:left="26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693"/>
        </w:trPr>
        <w:tc>
          <w:tcPr>
            <w:tcW w:w="1400" w:type="dxa"/>
            <w:vAlign w:val="bottom"/>
          </w:tcPr>
          <w:p>
            <w:pPr>
              <w:ind w:left="440"/>
              <w:spacing w:after="0"/>
              <w:rPr>
                <w:sz w:val="20"/>
                <w:szCs w:val="20"/>
                <w:color w:val="auto"/>
              </w:rPr>
            </w:pPr>
            <w:r>
              <w:rPr>
                <w:rFonts w:ascii="Arial" w:cs="Arial" w:eastAsia="Arial" w:hAnsi="Arial"/>
                <w:sz w:val="38"/>
                <w:szCs w:val="38"/>
                <w:color w:val="auto"/>
              </w:rPr>
              <w:t>3%</w:t>
            </w:r>
          </w:p>
        </w:tc>
        <w:tc>
          <w:tcPr>
            <w:tcW w:w="4840" w:type="dxa"/>
            <w:vAlign w:val="bottom"/>
            <w:vMerge w:val="restart"/>
          </w:tcPr>
          <w:p>
            <w:pPr>
              <w:ind w:left="22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$106M</w:t>
            </w:r>
          </w:p>
        </w:tc>
        <w:tc>
          <w:tcPr>
            <w:tcW w:w="0" w:type="dxa"/>
            <w:vAlign w:val="bottom"/>
          </w:tcPr>
          <w:p>
            <w:pPr>
              <w:spacing w:after="0"/>
              <w:rPr>
                <w:sz w:val="1"/>
                <w:szCs w:val="1"/>
                <w:color w:val="auto"/>
              </w:rPr>
            </w:pPr>
          </w:p>
        </w:tc>
      </w:tr>
      <w:tr>
        <w:trPr>
          <w:trHeight w:val="482"/>
        </w:trPr>
        <w:tc>
          <w:tcPr>
            <w:tcW w:w="1400" w:type="dxa"/>
            <w:vAlign w:val="bottom"/>
          </w:tcPr>
          <w:p>
            <w:pPr>
              <w:spacing w:after="0"/>
              <w:rPr>
                <w:sz w:val="20"/>
                <w:szCs w:val="20"/>
                <w:color w:val="auto"/>
              </w:rPr>
            </w:pPr>
            <w:r>
              <w:rPr>
                <w:rFonts w:ascii="Arial" w:cs="Arial" w:eastAsia="Arial" w:hAnsi="Arial"/>
                <w:sz w:val="38"/>
                <w:szCs w:val="38"/>
                <w:color w:val="auto"/>
              </w:rPr>
              <w:t>0% CC</w:t>
            </w:r>
          </w:p>
        </w:tc>
        <w:tc>
          <w:tcPr>
            <w:tcW w:w="4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7"/>
        </w:trPr>
        <w:tc>
          <w:tcPr>
            <w:tcW w:w="1400" w:type="dxa"/>
            <w:vAlign w:val="bottom"/>
          </w:tcPr>
          <w:p>
            <w:pPr>
              <w:ind w:left="420"/>
              <w:spacing w:after="0"/>
              <w:rPr>
                <w:sz w:val="20"/>
                <w:szCs w:val="20"/>
                <w:color w:val="auto"/>
              </w:rPr>
            </w:pPr>
            <w:r>
              <w:rPr>
                <w:rFonts w:ascii="Arial" w:cs="Arial" w:eastAsia="Arial" w:hAnsi="Arial"/>
                <w:sz w:val="38"/>
                <w:szCs w:val="38"/>
                <w:color w:val="auto"/>
              </w:rPr>
              <w:t>0%</w:t>
            </w:r>
          </w:p>
        </w:tc>
        <w:tc>
          <w:tcPr>
            <w:tcW w:w="4840" w:type="dxa"/>
            <w:vAlign w:val="bottom"/>
            <w:vMerge w:val="restart"/>
          </w:tcPr>
          <w:p>
            <w:pPr>
              <w:ind w:left="26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$11M</w:t>
            </w:r>
          </w:p>
        </w:tc>
        <w:tc>
          <w:tcPr>
            <w:tcW w:w="0" w:type="dxa"/>
            <w:vAlign w:val="bottom"/>
          </w:tcPr>
          <w:p>
            <w:pPr>
              <w:spacing w:after="0"/>
              <w:rPr>
                <w:sz w:val="1"/>
                <w:szCs w:val="1"/>
                <w:color w:val="auto"/>
              </w:rPr>
            </w:pPr>
          </w:p>
        </w:tc>
      </w:tr>
      <w:tr>
        <w:trPr>
          <w:trHeight w:val="494"/>
        </w:trPr>
        <w:tc>
          <w:tcPr>
            <w:tcW w:w="1400" w:type="dxa"/>
            <w:vAlign w:val="bottom"/>
          </w:tcPr>
          <w:p>
            <w:pPr>
              <w:spacing w:after="0"/>
              <w:rPr>
                <w:sz w:val="20"/>
                <w:szCs w:val="20"/>
                <w:color w:val="auto"/>
              </w:rPr>
            </w:pPr>
            <w:r>
              <w:rPr>
                <w:rFonts w:ascii="Arial" w:cs="Arial" w:eastAsia="Arial" w:hAnsi="Arial"/>
                <w:sz w:val="38"/>
                <w:szCs w:val="38"/>
                <w:color w:val="auto"/>
              </w:rPr>
              <w:t>4% CC</w:t>
            </w:r>
          </w:p>
        </w:tc>
        <w:tc>
          <w:tcPr>
            <w:tcW w:w="4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2"/>
        </w:trPr>
        <w:tc>
          <w:tcPr>
            <w:tcW w:w="1400" w:type="dxa"/>
            <w:vAlign w:val="bottom"/>
          </w:tcPr>
          <w:p>
            <w:pPr>
              <w:ind w:left="40"/>
              <w:spacing w:after="0"/>
              <w:rPr>
                <w:sz w:val="20"/>
                <w:szCs w:val="20"/>
                <w:color w:val="auto"/>
              </w:rPr>
            </w:pPr>
            <w:r>
              <w:rPr>
                <w:rFonts w:ascii="Arial" w:cs="Arial" w:eastAsia="Arial" w:hAnsi="Arial"/>
                <w:sz w:val="38"/>
                <w:szCs w:val="38"/>
                <w:color w:val="auto"/>
              </w:rPr>
              <w:t>30 bps</w:t>
            </w:r>
          </w:p>
        </w:tc>
        <w:tc>
          <w:tcPr>
            <w:tcW w:w="4840" w:type="dxa"/>
            <w:vAlign w:val="bottom"/>
          </w:tcPr>
          <w:p>
            <w:pPr>
              <w:ind w:left="24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10.4%</w:t>
            </w:r>
          </w:p>
        </w:tc>
        <w:tc>
          <w:tcPr>
            <w:tcW w:w="0" w:type="dxa"/>
            <w:vAlign w:val="bottom"/>
          </w:tcPr>
          <w:p>
            <w:pPr>
              <w:spacing w:after="0"/>
              <w:rPr>
                <w:sz w:val="1"/>
                <w:szCs w:val="1"/>
                <w:color w:val="auto"/>
              </w:rPr>
            </w:pPr>
          </w:p>
        </w:tc>
      </w:tr>
    </w:tbl>
    <w:p>
      <w:pPr>
        <w:sectPr>
          <w:pgSz w:w="11900" w:h="16838" w:orient="portrait"/>
          <w:cols w:equalWidth="0" w:num="1">
            <w:col w:w="9860"/>
          </w:cols>
          <w:pgMar w:left="1220" w:top="459" w:right="81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47"/>
          <w:szCs w:val="47"/>
          <w:color w:val="5F81AA"/>
        </w:rPr>
        <w:t>Other Operations Segment</w:t>
      </w:r>
    </w:p>
    <w:p>
      <w:pPr>
        <w:spacing w:after="0"/>
        <w:rPr>
          <w:sz w:val="20"/>
          <w:szCs w:val="20"/>
          <w:color w:val="auto"/>
        </w:rPr>
      </w:pPr>
      <w:r>
        <w:rPr>
          <w:rFonts w:ascii="Arial" w:cs="Arial" w:eastAsia="Arial" w:hAnsi="Arial"/>
          <w:sz w:val="32"/>
          <w:szCs w:val="32"/>
          <w:color w:val="5F81AA"/>
        </w:rPr>
        <w:t>(13%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ind w:left="214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13%</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$635M</w:t>
      </w:r>
    </w:p>
    <w:p>
      <w:pPr>
        <w:ind w:left="1700"/>
        <w:spacing w:after="0"/>
        <w:rPr>
          <w:sz w:val="20"/>
          <w:szCs w:val="20"/>
          <w:color w:val="auto"/>
        </w:rPr>
      </w:pPr>
      <w:r>
        <w:rPr>
          <w:rFonts w:ascii="Arial" w:cs="Arial" w:eastAsia="Arial" w:hAnsi="Arial"/>
          <w:sz w:val="38"/>
          <w:szCs w:val="38"/>
          <w:color w:val="auto"/>
        </w:rPr>
        <w:t>11% CC</w:t>
      </w:r>
    </w:p>
    <w:p>
      <w:pPr>
        <w:ind w:left="22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2%</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$15M</w:t>
      </w:r>
    </w:p>
    <w:p>
      <w:pPr>
        <w:spacing w:after="0" w:line="128" w:lineRule="exact"/>
        <w:rPr>
          <w:sz w:val="20"/>
          <w:szCs w:val="20"/>
          <w:color w:val="auto"/>
        </w:rPr>
      </w:pPr>
    </w:p>
    <w:p>
      <w:pPr>
        <w:ind w:left="1800"/>
        <w:spacing w:after="0"/>
        <w:rPr>
          <w:sz w:val="20"/>
          <w:szCs w:val="20"/>
          <w:color w:val="auto"/>
        </w:rPr>
      </w:pPr>
      <w:r>
        <w:rPr>
          <w:rFonts w:ascii="Arial" w:cs="Arial" w:eastAsia="Arial" w:hAnsi="Arial"/>
          <w:sz w:val="38"/>
          <w:szCs w:val="38"/>
          <w:color w:val="auto"/>
        </w:rPr>
        <w:t>2% CC</w:t>
      </w:r>
    </w:p>
    <w:p>
      <w:pPr>
        <w:spacing w:after="0" w:line="326"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20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2.4%</w:t>
      </w:r>
    </w:p>
    <w:p>
      <w:pPr>
        <w:sectPr>
          <w:pgSz w:w="11900" w:h="16838" w:orient="portrait"/>
          <w:cols w:equalWidth="0" w:num="1">
            <w:col w:w="9860"/>
          </w:cols>
          <w:pgMar w:left="1220" w:top="459" w:right="819" w:bottom="1440" w:gutter="0" w:footer="0" w:header="0"/>
        </w:sectPr>
      </w:pPr>
    </w:p>
    <w:bookmarkStart w:id="24" w:name="page25"/>
    <w:bookmarkEnd w:id="24"/>
    <w:tbl>
      <w:tblPr>
        <w:tblLayout w:type="fixed"/>
        <w:tblInd w:w="22"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2"/>
        <w:spacing w:after="0"/>
        <w:rPr>
          <w:sz w:val="20"/>
          <w:szCs w:val="20"/>
          <w:color w:val="auto"/>
        </w:rPr>
      </w:pPr>
      <w:r>
        <w:rPr>
          <w:rFonts w:ascii="Arial" w:cs="Arial" w:eastAsia="Arial" w:hAnsi="Arial"/>
          <w:sz w:val="47"/>
          <w:szCs w:val="47"/>
          <w:color w:val="6698C2"/>
        </w:rPr>
        <w:t>Other Operations – Q2 Revenue Growth YoY</w:t>
      </w:r>
    </w:p>
    <w:p>
      <w:pPr>
        <w:spacing w:after="0" w:line="200" w:lineRule="exact"/>
        <w:rPr>
          <w:sz w:val="20"/>
          <w:szCs w:val="20"/>
          <w:color w:val="auto"/>
        </w:rPr>
      </w:pPr>
    </w:p>
    <w:p>
      <w:pPr>
        <w:spacing w:after="0" w:line="244" w:lineRule="exact"/>
        <w:rPr>
          <w:sz w:val="20"/>
          <w:szCs w:val="20"/>
          <w:color w:val="auto"/>
        </w:rPr>
      </w:pPr>
    </w:p>
    <w:p>
      <w:pPr>
        <w:ind w:left="2" w:right="8320" w:hanging="2"/>
        <w:spacing w:after="0" w:line="284" w:lineRule="auto"/>
        <w:tabs>
          <w:tab w:leader="none" w:pos="276"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306"/>
        </w:trPr>
        <w:tc>
          <w:tcPr>
            <w:tcW w:w="840" w:type="dxa"/>
            <w:vAlign w:val="bottom"/>
            <w:vMerge w:val="restart"/>
          </w:tcPr>
          <w:p>
            <w:pPr>
              <w:spacing w:after="0"/>
              <w:rPr>
                <w:sz w:val="20"/>
                <w:szCs w:val="20"/>
                <w:color w:val="auto"/>
              </w:rPr>
            </w:pPr>
            <w:r>
              <w:rPr>
                <w:rFonts w:ascii="Arial" w:cs="Arial" w:eastAsia="Arial" w:hAnsi="Arial"/>
                <w:sz w:val="28"/>
                <w:szCs w:val="28"/>
                <w:b w:val="1"/>
                <w:bCs w:val="1"/>
                <w:color w:val="D47C18"/>
              </w:rPr>
              <w:t>34%</w:t>
            </w:r>
          </w:p>
        </w:tc>
        <w:tc>
          <w:tcPr>
            <w:tcW w:w="1920" w:type="dxa"/>
            <w:vAlign w:val="bottom"/>
            <w:vMerge w:val="restart"/>
          </w:tcPr>
          <w:p>
            <w:pPr>
              <w:jc w:val="center"/>
              <w:ind w:left="631"/>
              <w:spacing w:after="0"/>
              <w:rPr>
                <w:sz w:val="20"/>
                <w:szCs w:val="20"/>
                <w:color w:val="auto"/>
              </w:rPr>
            </w:pPr>
            <w:r>
              <w:rPr>
                <w:rFonts w:ascii="Arial" w:cs="Arial" w:eastAsia="Arial" w:hAnsi="Arial"/>
                <w:sz w:val="26"/>
                <w:szCs w:val="26"/>
                <w:b w:val="1"/>
                <w:bCs w:val="1"/>
                <w:color w:val="auto"/>
              </w:rPr>
              <w:t>Japan</w:t>
            </w:r>
          </w:p>
        </w:tc>
        <w:tc>
          <w:tcPr>
            <w:tcW w:w="5920" w:type="dxa"/>
            <w:vAlign w:val="bottom"/>
          </w:tcPr>
          <w:p>
            <w:pPr>
              <w:jc w:val="right"/>
              <w:ind w:right="5102"/>
              <w:spacing w:after="0"/>
              <w:rPr>
                <w:sz w:val="20"/>
                <w:szCs w:val="20"/>
                <w:color w:val="auto"/>
              </w:rPr>
            </w:pPr>
            <w:r>
              <w:rPr>
                <w:rFonts w:ascii="Arial" w:cs="Arial" w:eastAsia="Arial" w:hAnsi="Arial"/>
                <w:sz w:val="24"/>
                <w:szCs w:val="24"/>
                <w:b w:val="1"/>
                <w:bCs w:val="1"/>
                <w:color w:val="FFFFFF"/>
              </w:rPr>
              <w:t>3%</w:t>
            </w:r>
          </w:p>
        </w:tc>
        <w:tc>
          <w:tcPr>
            <w:tcW w:w="0" w:type="dxa"/>
            <w:vAlign w:val="bottom"/>
          </w:tcPr>
          <w:p>
            <w:pPr>
              <w:spacing w:after="0"/>
              <w:rPr>
                <w:sz w:val="1"/>
                <w:szCs w:val="1"/>
                <w:color w:val="auto"/>
              </w:rPr>
            </w:pPr>
          </w:p>
        </w:tc>
      </w:tr>
      <w:tr>
        <w:trPr>
          <w:trHeight w:val="180"/>
        </w:trPr>
        <w:tc>
          <w:tcPr>
            <w:tcW w:w="8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5920" w:type="dxa"/>
            <w:vAlign w:val="bottom"/>
            <w:vMerge w:val="restart"/>
          </w:tcPr>
          <w:p>
            <w:pPr>
              <w:jc w:val="right"/>
              <w:ind w:right="3742"/>
              <w:spacing w:after="0"/>
              <w:rPr>
                <w:sz w:val="20"/>
                <w:szCs w:val="20"/>
                <w:color w:val="auto"/>
              </w:rPr>
            </w:pPr>
            <w:r>
              <w:rPr>
                <w:rFonts w:ascii="Arial" w:cs="Arial" w:eastAsia="Arial" w:hAnsi="Arial"/>
                <w:sz w:val="24"/>
                <w:szCs w:val="24"/>
                <w:b w:val="1"/>
                <w:bCs w:val="1"/>
                <w:color w:val="FFFFFF"/>
              </w:rPr>
              <w:t>9%</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7"/>
        </w:trPr>
        <w:tc>
          <w:tcPr>
            <w:tcW w:w="840" w:type="dxa"/>
            <w:vAlign w:val="bottom"/>
            <w:vMerge w:val="restart"/>
          </w:tcPr>
          <w:p>
            <w:pPr>
              <w:spacing w:after="0"/>
              <w:rPr>
                <w:sz w:val="20"/>
                <w:szCs w:val="20"/>
                <w:color w:val="auto"/>
              </w:rPr>
            </w:pPr>
            <w:r>
              <w:rPr>
                <w:rFonts w:ascii="Arial" w:cs="Arial" w:eastAsia="Arial" w:hAnsi="Arial"/>
                <w:sz w:val="28"/>
                <w:szCs w:val="28"/>
                <w:b w:val="1"/>
                <w:bCs w:val="1"/>
                <w:color w:val="D47C18"/>
              </w:rPr>
              <w:t>16%</w:t>
            </w:r>
          </w:p>
        </w:tc>
        <w:tc>
          <w:tcPr>
            <w:tcW w:w="1920" w:type="dxa"/>
            <w:vAlign w:val="bottom"/>
            <w:vMerge w:val="restart"/>
          </w:tcPr>
          <w:p>
            <w:pPr>
              <w:ind w:left="260"/>
              <w:spacing w:after="0"/>
              <w:rPr>
                <w:sz w:val="20"/>
                <w:szCs w:val="20"/>
                <w:color w:val="auto"/>
              </w:rPr>
            </w:pPr>
            <w:r>
              <w:rPr>
                <w:rFonts w:ascii="Arial" w:cs="Arial" w:eastAsia="Arial" w:hAnsi="Arial"/>
                <w:sz w:val="26"/>
                <w:szCs w:val="26"/>
                <w:b w:val="1"/>
                <w:bCs w:val="1"/>
                <w:color w:val="auto"/>
              </w:rPr>
              <w:t>Australia/NZ</w:t>
            </w:r>
          </w:p>
        </w:tc>
        <w:tc>
          <w:tcPr>
            <w:tcW w:w="5920" w:type="dxa"/>
            <w:vAlign w:val="bottom"/>
          </w:tcPr>
          <w:p>
            <w:pPr>
              <w:jc w:val="right"/>
              <w:ind w:right="2602"/>
              <w:spacing w:after="0"/>
              <w:rPr>
                <w:sz w:val="20"/>
                <w:szCs w:val="20"/>
                <w:color w:val="auto"/>
              </w:rPr>
            </w:pPr>
            <w:r>
              <w:rPr>
                <w:rFonts w:ascii="Arial" w:cs="Arial" w:eastAsia="Arial" w:hAnsi="Arial"/>
                <w:sz w:val="24"/>
                <w:szCs w:val="24"/>
                <w:b w:val="1"/>
                <w:bCs w:val="1"/>
                <w:color w:val="FFFFFF"/>
              </w:rPr>
              <w:t>14%</w:t>
            </w:r>
          </w:p>
        </w:tc>
        <w:tc>
          <w:tcPr>
            <w:tcW w:w="0" w:type="dxa"/>
            <w:vAlign w:val="bottom"/>
          </w:tcPr>
          <w:p>
            <w:pPr>
              <w:spacing w:after="0"/>
              <w:rPr>
                <w:sz w:val="1"/>
                <w:szCs w:val="1"/>
                <w:color w:val="auto"/>
              </w:rPr>
            </w:pPr>
          </w:p>
        </w:tc>
      </w:tr>
      <w:tr>
        <w:trPr>
          <w:trHeight w:val="313"/>
        </w:trPr>
        <w:tc>
          <w:tcPr>
            <w:tcW w:w="84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5920" w:type="dxa"/>
            <w:vAlign w:val="bottom"/>
          </w:tcPr>
          <w:p>
            <w:pPr>
              <w:jc w:val="right"/>
              <w:ind w:right="5322"/>
              <w:spacing w:after="0"/>
              <w:rPr>
                <w:sz w:val="20"/>
                <w:szCs w:val="20"/>
                <w:color w:val="auto"/>
              </w:rPr>
            </w:pPr>
            <w:r>
              <w:rPr>
                <w:rFonts w:ascii="Arial" w:cs="Arial" w:eastAsia="Arial" w:hAnsi="Arial"/>
                <w:sz w:val="24"/>
                <w:szCs w:val="24"/>
                <w:b w:val="1"/>
                <w:bCs w:val="1"/>
                <w:color w:val="FFFFFF"/>
              </w:rPr>
              <w:t>2%</w:t>
            </w:r>
          </w:p>
        </w:tc>
        <w:tc>
          <w:tcPr>
            <w:tcW w:w="0" w:type="dxa"/>
            <w:vAlign w:val="bottom"/>
          </w:tcPr>
          <w:p>
            <w:pPr>
              <w:spacing w:after="0"/>
              <w:rPr>
                <w:sz w:val="1"/>
                <w:szCs w:val="1"/>
                <w:color w:val="auto"/>
              </w:rPr>
            </w:pPr>
          </w:p>
        </w:tc>
      </w:tr>
      <w:tr>
        <w:trPr>
          <w:trHeight w:val="745"/>
        </w:trPr>
        <w:tc>
          <w:tcPr>
            <w:tcW w:w="84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20" w:type="dxa"/>
            <w:vAlign w:val="bottom"/>
            <w:vMerge w:val="restart"/>
          </w:tcPr>
          <w:p>
            <w:pPr>
              <w:jc w:val="center"/>
              <w:ind w:left="551"/>
              <w:spacing w:after="0"/>
              <w:rPr>
                <w:sz w:val="20"/>
                <w:szCs w:val="20"/>
                <w:color w:val="auto"/>
              </w:rPr>
            </w:pPr>
            <w:r>
              <w:rPr>
                <w:rFonts w:ascii="Arial" w:cs="Arial" w:eastAsia="Arial" w:hAnsi="Arial"/>
                <w:sz w:val="26"/>
                <w:szCs w:val="26"/>
                <w:b w:val="1"/>
                <w:bCs w:val="1"/>
                <w:color w:val="auto"/>
                <w:w w:val="99"/>
              </w:rPr>
              <w:t>Mexico</w:t>
            </w:r>
          </w:p>
        </w:tc>
        <w:tc>
          <w:tcPr>
            <w:tcW w:w="5920" w:type="dxa"/>
            <w:vAlign w:val="bottom"/>
          </w:tcPr>
          <w:p>
            <w:pPr>
              <w:jc w:val="right"/>
              <w:ind w:right="3962"/>
              <w:spacing w:after="0"/>
              <w:rPr>
                <w:sz w:val="20"/>
                <w:szCs w:val="20"/>
                <w:color w:val="auto"/>
              </w:rPr>
            </w:pPr>
            <w:r>
              <w:rPr>
                <w:rFonts w:ascii="Arial" w:cs="Arial" w:eastAsia="Arial" w:hAnsi="Arial"/>
                <w:sz w:val="24"/>
                <w:szCs w:val="24"/>
                <w:b w:val="1"/>
                <w:bCs w:val="1"/>
                <w:color w:val="FFFFFF"/>
              </w:rPr>
              <w:t>8%</w:t>
            </w:r>
          </w:p>
        </w:tc>
        <w:tc>
          <w:tcPr>
            <w:tcW w:w="0" w:type="dxa"/>
            <w:vAlign w:val="bottom"/>
          </w:tcPr>
          <w:p>
            <w:pPr>
              <w:spacing w:after="0"/>
              <w:rPr>
                <w:sz w:val="1"/>
                <w:szCs w:val="1"/>
                <w:color w:val="auto"/>
              </w:rPr>
            </w:pPr>
          </w:p>
        </w:tc>
      </w:tr>
      <w:tr>
        <w:trPr>
          <w:trHeight w:val="180"/>
        </w:trPr>
        <w:tc>
          <w:tcPr>
            <w:tcW w:w="8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5920" w:type="dxa"/>
            <w:vAlign w:val="bottom"/>
            <w:vMerge w:val="restart"/>
          </w:tcPr>
          <w:p>
            <w:pPr>
              <w:jc w:val="right"/>
              <w:ind w:right="4642"/>
              <w:spacing w:after="0"/>
              <w:rPr>
                <w:sz w:val="20"/>
                <w:szCs w:val="20"/>
                <w:color w:val="auto"/>
              </w:rPr>
            </w:pPr>
            <w:r>
              <w:rPr>
                <w:rFonts w:ascii="Arial" w:cs="Arial" w:eastAsia="Arial" w:hAnsi="Arial"/>
                <w:sz w:val="24"/>
                <w:szCs w:val="24"/>
                <w:b w:val="1"/>
                <w:bCs w:val="1"/>
                <w:color w:val="FFFFFF"/>
              </w:rPr>
              <w:t>5%</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9"/>
        </w:trPr>
        <w:tc>
          <w:tcPr>
            <w:tcW w:w="84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35%</w:t>
            </w:r>
          </w:p>
        </w:tc>
        <w:tc>
          <w:tcPr>
            <w:tcW w:w="1920" w:type="dxa"/>
            <w:vAlign w:val="bottom"/>
            <w:vMerge w:val="restart"/>
          </w:tcPr>
          <w:p>
            <w:pPr>
              <w:jc w:val="center"/>
              <w:ind w:left="691"/>
              <w:spacing w:after="0"/>
              <w:rPr>
                <w:sz w:val="20"/>
                <w:szCs w:val="20"/>
                <w:color w:val="auto"/>
              </w:rPr>
            </w:pPr>
            <w:r>
              <w:rPr>
                <w:rFonts w:ascii="Arial" w:cs="Arial" w:eastAsia="Arial" w:hAnsi="Arial"/>
                <w:sz w:val="26"/>
                <w:szCs w:val="26"/>
                <w:b w:val="1"/>
                <w:bCs w:val="1"/>
                <w:color w:val="auto"/>
              </w:rPr>
              <w:t>Other</w:t>
            </w:r>
          </w:p>
        </w:tc>
        <w:tc>
          <w:tcPr>
            <w:tcW w:w="5920" w:type="dxa"/>
            <w:vAlign w:val="bottom"/>
          </w:tcPr>
          <w:p>
            <w:pPr>
              <w:jc w:val="right"/>
              <w:spacing w:after="0"/>
              <w:rPr>
                <w:sz w:val="20"/>
                <w:szCs w:val="20"/>
                <w:color w:val="auto"/>
              </w:rPr>
            </w:pPr>
            <w:r>
              <w:rPr>
                <w:rFonts w:ascii="Arial" w:cs="Arial" w:eastAsia="Arial" w:hAnsi="Arial"/>
                <w:sz w:val="24"/>
                <w:szCs w:val="24"/>
                <w:b w:val="1"/>
                <w:bCs w:val="1"/>
                <w:color w:val="FFFFFF"/>
              </w:rPr>
              <w:t>26%</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5920" w:type="dxa"/>
            <w:vAlign w:val="bottom"/>
            <w:vMerge w:val="restart"/>
          </w:tcPr>
          <w:p>
            <w:pPr>
              <w:jc w:val="right"/>
              <w:ind w:right="1022"/>
              <w:spacing w:after="0"/>
              <w:rPr>
                <w:sz w:val="20"/>
                <w:szCs w:val="20"/>
                <w:color w:val="auto"/>
              </w:rPr>
            </w:pPr>
            <w:r>
              <w:rPr>
                <w:rFonts w:ascii="Arial" w:cs="Arial" w:eastAsia="Arial" w:hAnsi="Arial"/>
                <w:sz w:val="24"/>
                <w:szCs w:val="24"/>
                <w:b w:val="1"/>
                <w:bCs w:val="1"/>
                <w:color w:val="FFFFFF"/>
              </w:rPr>
              <w:t>21%</w:t>
            </w:r>
          </w:p>
        </w:tc>
        <w:tc>
          <w:tcPr>
            <w:tcW w:w="0" w:type="dxa"/>
            <w:vAlign w:val="bottom"/>
          </w:tcPr>
          <w:p>
            <w:pPr>
              <w:spacing w:after="0"/>
              <w:rPr>
                <w:sz w:val="1"/>
                <w:szCs w:val="1"/>
                <w:color w:val="auto"/>
              </w:rPr>
            </w:pPr>
          </w:p>
        </w:tc>
      </w:tr>
      <w:tr>
        <w:trPr>
          <w:trHeight w:val="145"/>
        </w:trPr>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3302"/>
        <w:spacing w:after="0"/>
        <w:tabs>
          <w:tab w:leader="none" w:pos="5541"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82"/>
          </w:cols>
          <w:pgMar w:left="1198" w:top="459" w:right="819" w:bottom="1440" w:gutter="0" w:footer="0" w:header="0"/>
        </w:sectPr>
      </w:pPr>
    </w:p>
    <w:bookmarkStart w:id="25" w:name="page26"/>
    <w:bookmarkEnd w:id="25"/>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14</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80"/>
        <w:spacing w:after="0"/>
        <w:rPr>
          <w:sz w:val="20"/>
          <w:szCs w:val="20"/>
          <w:color w:val="auto"/>
        </w:rPr>
      </w:pPr>
      <w:r>
        <w:rPr>
          <w:rFonts w:ascii="Arial" w:cs="Arial" w:eastAsia="Arial" w:hAnsi="Arial"/>
          <w:sz w:val="85"/>
          <w:szCs w:val="85"/>
          <w:color w:val="7EA190"/>
        </w:rPr>
        <w:t>Financial Highlights</w:t>
      </w:r>
    </w:p>
    <w:p>
      <w:pPr>
        <w:sectPr>
          <w:pgSz w:w="11900" w:h="16838" w:orient="portrait"/>
          <w:cols w:equalWidth="0" w:num="1">
            <w:col w:w="9860"/>
          </w:cols>
          <w:pgMar w:left="1220" w:top="459" w:right="819" w:bottom="1440" w:gutter="0" w:footer="0" w:header="0"/>
          <w:type w:val="continuous"/>
        </w:sectPr>
      </w:pPr>
    </w:p>
    <w:bookmarkStart w:id="26" w:name="page27"/>
    <w:bookmarkEnd w:id="26"/>
    <w:tbl>
      <w:tblPr>
        <w:tblLayout w:type="fixed"/>
        <w:tblInd w:w="5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47"/>
          <w:szCs w:val="47"/>
          <w:color w:val="C8504F"/>
        </w:rPr>
        <w:t>Reconciliation of Reported EPS to Q2 Guidance</w:t>
      </w:r>
    </w:p>
    <w:p>
      <w:pPr>
        <w:sectPr>
          <w:pgSz w:w="11900" w:h="16838" w:orient="portrait"/>
          <w:cols w:equalWidth="0" w:num="1">
            <w:col w:w="10620"/>
          </w:cols>
          <w:pgMar w:left="68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60" w:type="dxa"/>
            <w:vAlign w:val="bottom"/>
          </w:tcPr>
          <w:p>
            <w:pPr>
              <w:jc w:val="right"/>
              <w:ind w:right="488"/>
              <w:spacing w:after="0"/>
              <w:rPr>
                <w:sz w:val="20"/>
                <w:szCs w:val="20"/>
                <w:color w:val="auto"/>
              </w:rPr>
            </w:pPr>
            <w:r>
              <w:rPr>
                <w:rFonts w:ascii="Arial" w:cs="Arial" w:eastAsia="Arial" w:hAnsi="Arial"/>
                <w:sz w:val="22"/>
                <w:szCs w:val="22"/>
                <w:b w:val="1"/>
                <w:bCs w:val="1"/>
                <w:color w:val="auto"/>
                <w:w w:val="98"/>
              </w:rPr>
              <w:t>$1.90</w:t>
            </w: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9"/>
        </w:trPr>
        <w:tc>
          <w:tcPr>
            <w:tcW w:w="1160" w:type="dxa"/>
            <w:vAlign w:val="bottom"/>
          </w:tcPr>
          <w:p>
            <w:pPr>
              <w:jc w:val="right"/>
              <w:ind w:right="488"/>
              <w:spacing w:after="0"/>
              <w:rPr>
                <w:sz w:val="20"/>
                <w:szCs w:val="20"/>
                <w:color w:val="auto"/>
              </w:rPr>
            </w:pPr>
            <w:r>
              <w:rPr>
                <w:rFonts w:ascii="Arial" w:cs="Arial" w:eastAsia="Arial" w:hAnsi="Arial"/>
                <w:sz w:val="22"/>
                <w:szCs w:val="22"/>
                <w:b w:val="1"/>
                <w:bCs w:val="1"/>
                <w:color w:val="auto"/>
                <w:w w:val="98"/>
              </w:rPr>
              <w:t>$1.60</w:t>
            </w: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1160" w:type="dxa"/>
            <w:vAlign w:val="bottom"/>
          </w:tcPr>
          <w:p>
            <w:pPr>
              <w:jc w:val="right"/>
              <w:ind w:right="488"/>
              <w:spacing w:after="0"/>
              <w:rPr>
                <w:sz w:val="20"/>
                <w:szCs w:val="20"/>
                <w:color w:val="auto"/>
              </w:rPr>
            </w:pPr>
            <w:r>
              <w:rPr>
                <w:rFonts w:ascii="Arial" w:cs="Arial" w:eastAsia="Arial" w:hAnsi="Arial"/>
                <w:sz w:val="22"/>
                <w:szCs w:val="22"/>
                <w:b w:val="1"/>
                <w:bCs w:val="1"/>
                <w:color w:val="auto"/>
                <w:w w:val="98"/>
              </w:rPr>
              <w:t>$1.30</w:t>
            </w:r>
          </w:p>
        </w:tc>
        <w:tc>
          <w:tcPr>
            <w:tcW w:w="1480" w:type="dxa"/>
            <w:vAlign w:val="bottom"/>
          </w:tcPr>
          <w:p>
            <w:pPr>
              <w:jc w:val="right"/>
              <w:ind w:right="8"/>
              <w:spacing w:after="0"/>
              <w:rPr>
                <w:sz w:val="20"/>
                <w:szCs w:val="20"/>
                <w:color w:val="auto"/>
              </w:rPr>
            </w:pPr>
            <w:r>
              <w:rPr>
                <w:rFonts w:ascii="Arial" w:cs="Arial" w:eastAsia="Arial" w:hAnsi="Arial"/>
                <w:sz w:val="22"/>
                <w:szCs w:val="22"/>
                <w:b w:val="1"/>
                <w:bCs w:val="1"/>
                <w:color w:val="auto"/>
              </w:rPr>
              <w:t>+ $0.10</w:t>
            </w:r>
          </w:p>
        </w:tc>
        <w:tc>
          <w:tcPr>
            <w:tcW w:w="2020" w:type="dxa"/>
            <w:vAlign w:val="bottom"/>
          </w:tcPr>
          <w:p>
            <w:pPr>
              <w:jc w:val="right"/>
              <w:ind w:right="48"/>
              <w:spacing w:after="0"/>
              <w:rPr>
                <w:sz w:val="20"/>
                <w:szCs w:val="20"/>
                <w:color w:val="auto"/>
              </w:rPr>
            </w:pPr>
            <w:r>
              <w:rPr>
                <w:rFonts w:ascii="Arial" w:cs="Arial" w:eastAsia="Arial" w:hAnsi="Arial"/>
                <w:sz w:val="22"/>
                <w:szCs w:val="22"/>
                <w:b w:val="1"/>
                <w:bCs w:val="1"/>
                <w:color w:val="auto"/>
              </w:rPr>
              <w:t>+ $0.02   - $0.05</w:t>
            </w:r>
          </w:p>
        </w:tc>
        <w:tc>
          <w:tcPr>
            <w:tcW w:w="8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 $0.01</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5920"/>
        <w:spacing w:after="0" w:line="225" w:lineRule="auto"/>
        <w:rPr>
          <w:sz w:val="20"/>
          <w:szCs w:val="20"/>
          <w:color w:val="auto"/>
        </w:rPr>
      </w:pPr>
      <w:r>
        <w:rPr>
          <w:rFonts w:ascii="Arial" w:cs="Arial" w:eastAsia="Arial" w:hAnsi="Arial"/>
          <w:sz w:val="22"/>
          <w:szCs w:val="22"/>
          <w:b w:val="1"/>
          <w:bCs w:val="1"/>
          <w:color w:val="FFFFFF"/>
        </w:rPr>
        <w:t>$1.20</w:t>
      </w:r>
    </w:p>
    <w:p>
      <w:pPr>
        <w:ind w:left="880"/>
        <w:spacing w:after="0"/>
        <w:rPr>
          <w:sz w:val="20"/>
          <w:szCs w:val="20"/>
          <w:color w:val="auto"/>
        </w:rPr>
      </w:pPr>
      <w:r>
        <w:rPr>
          <w:rFonts w:ascii="Arial" w:cs="Arial" w:eastAsia="Arial" w:hAnsi="Arial"/>
          <w:sz w:val="22"/>
          <w:szCs w:val="22"/>
          <w:b w:val="1"/>
          <w:bCs w:val="1"/>
          <w:color w:val="FFFFFF"/>
        </w:rPr>
        <w:t>$1.14</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$0.70</w:t>
      </w:r>
    </w:p>
    <w:p>
      <w:pPr>
        <w:spacing w:after="0" w:line="1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940" w:type="dxa"/>
            <w:vAlign w:val="bottom"/>
          </w:tcPr>
          <w:p>
            <w:pPr>
              <w:ind w:left="300"/>
              <w:spacing w:after="0"/>
              <w:rPr>
                <w:sz w:val="20"/>
                <w:szCs w:val="20"/>
                <w:color w:val="auto"/>
              </w:rPr>
            </w:pPr>
            <w:r>
              <w:rPr>
                <w:rFonts w:ascii="Arial" w:cs="Arial" w:eastAsia="Arial" w:hAnsi="Arial"/>
                <w:sz w:val="18"/>
                <w:szCs w:val="18"/>
                <w:b w:val="1"/>
                <w:bCs w:val="1"/>
                <w:color w:val="auto"/>
              </w:rPr>
              <w:t>Q2</w:t>
            </w: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Operational</w:t>
            </w:r>
          </w:p>
        </w:tc>
        <w:tc>
          <w:tcPr>
            <w:tcW w:w="1000" w:type="dxa"/>
            <w:vAlign w:val="bottom"/>
          </w:tcPr>
          <w:p>
            <w:pPr>
              <w:jc w:val="center"/>
              <w:ind w:right="112"/>
              <w:spacing w:after="0"/>
              <w:rPr>
                <w:sz w:val="20"/>
                <w:szCs w:val="20"/>
                <w:color w:val="auto"/>
              </w:rPr>
            </w:pPr>
            <w:r>
              <w:rPr>
                <w:rFonts w:ascii="Arial" w:cs="Arial" w:eastAsia="Arial" w:hAnsi="Arial"/>
                <w:sz w:val="18"/>
                <w:szCs w:val="18"/>
                <w:b w:val="1"/>
                <w:bCs w:val="1"/>
                <w:color w:val="auto"/>
                <w:w w:val="98"/>
              </w:rPr>
              <w:t>Interest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Tax</w:t>
            </w: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Currency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7"/>
              </w:rPr>
              <w:t>Q2 Before</w:t>
            </w:r>
          </w:p>
        </w:tc>
      </w:tr>
      <w:tr>
        <w:trPr>
          <w:trHeight w:val="205"/>
        </w:trPr>
        <w:tc>
          <w:tcPr>
            <w:tcW w:w="20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Guidance Performance</w:t>
            </w:r>
          </w:p>
        </w:tc>
        <w:tc>
          <w:tcPr>
            <w:tcW w:w="1000" w:type="dxa"/>
            <w:vAlign w:val="bottom"/>
          </w:tcPr>
          <w:p>
            <w:pPr>
              <w:jc w:val="center"/>
              <w:ind w:right="152"/>
              <w:spacing w:after="0" w:line="205" w:lineRule="exact"/>
              <w:rPr>
                <w:sz w:val="20"/>
                <w:szCs w:val="20"/>
                <w:color w:val="auto"/>
              </w:rPr>
            </w:pPr>
            <w:r>
              <w:rPr>
                <w:rFonts w:ascii="Arial" w:cs="Arial" w:eastAsia="Arial" w:hAnsi="Arial"/>
                <w:sz w:val="18"/>
                <w:szCs w:val="18"/>
                <w:b w:val="1"/>
                <w:bCs w:val="1"/>
                <w:color w:val="auto"/>
                <w:w w:val="99"/>
              </w:rPr>
              <w:t>and</w:t>
            </w:r>
          </w:p>
        </w:tc>
        <w:tc>
          <w:tcPr>
            <w:tcW w:w="8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7"/>
              </w:rPr>
              <w:t>Rate</w:t>
            </w:r>
          </w:p>
        </w:tc>
        <w:tc>
          <w:tcPr>
            <w:tcW w:w="1120" w:type="dxa"/>
            <w:vAlign w:val="bottom"/>
          </w:tcPr>
          <w:p>
            <w:pPr>
              <w:ind w:left="220"/>
              <w:spacing w:after="0" w:line="205" w:lineRule="exact"/>
              <w:rPr>
                <w:sz w:val="20"/>
                <w:szCs w:val="20"/>
                <w:color w:val="auto"/>
              </w:rPr>
            </w:pPr>
            <w:r>
              <w:rPr>
                <w:rFonts w:ascii="Arial" w:cs="Arial" w:eastAsia="Arial" w:hAnsi="Arial"/>
                <w:sz w:val="18"/>
                <w:szCs w:val="18"/>
                <w:b w:val="1"/>
                <w:bCs w:val="1"/>
                <w:color w:val="auto"/>
              </w:rPr>
              <w:t>(5¢ vs. 6¢)</w:t>
            </w:r>
          </w:p>
        </w:tc>
        <w:tc>
          <w:tcPr>
            <w:tcW w:w="980" w:type="dxa"/>
            <w:vAlign w:val="bottom"/>
          </w:tcPr>
          <w:p>
            <w:pPr>
              <w:ind w:left="220"/>
              <w:spacing w:after="0" w:line="205" w:lineRule="exact"/>
              <w:rPr>
                <w:sz w:val="20"/>
                <w:szCs w:val="20"/>
                <w:color w:val="auto"/>
              </w:rPr>
            </w:pPr>
            <w:r>
              <w:rPr>
                <w:rFonts w:ascii="Arial" w:cs="Arial" w:eastAsia="Arial" w:hAnsi="Arial"/>
                <w:sz w:val="18"/>
                <w:szCs w:val="18"/>
                <w:b w:val="1"/>
                <w:bCs w:val="1"/>
                <w:color w:val="auto"/>
              </w:rPr>
              <w:t>Impact</w:t>
            </w:r>
          </w:p>
        </w:tc>
      </w:tr>
      <w:tr>
        <w:trPr>
          <w:trHeight w:val="188"/>
        </w:trPr>
        <w:tc>
          <w:tcPr>
            <w:tcW w:w="940" w:type="dxa"/>
            <w:vAlign w:val="bottom"/>
          </w:tcPr>
          <w:p>
            <w:pPr>
              <w:spacing w:after="0" w:line="189" w:lineRule="exact"/>
              <w:rPr>
                <w:sz w:val="20"/>
                <w:szCs w:val="20"/>
                <w:color w:val="auto"/>
              </w:rPr>
            </w:pPr>
            <w:r>
              <w:rPr>
                <w:rFonts w:ascii="Arial" w:cs="Arial" w:eastAsia="Arial" w:hAnsi="Arial"/>
                <w:sz w:val="18"/>
                <w:szCs w:val="18"/>
                <w:b w:val="1"/>
                <w:bCs w:val="1"/>
                <w:color w:val="auto"/>
                <w:w w:val="97"/>
              </w:rPr>
              <w:t>(mid-point)</w:t>
            </w:r>
          </w:p>
        </w:tc>
        <w:tc>
          <w:tcPr>
            <w:tcW w:w="1100" w:type="dxa"/>
            <w:vAlign w:val="bottom"/>
          </w:tcPr>
          <w:p>
            <w:pPr>
              <w:spacing w:after="0"/>
              <w:rPr>
                <w:sz w:val="16"/>
                <w:szCs w:val="16"/>
                <w:color w:val="auto"/>
              </w:rPr>
            </w:pPr>
          </w:p>
        </w:tc>
        <w:tc>
          <w:tcPr>
            <w:tcW w:w="1000" w:type="dxa"/>
            <w:vAlign w:val="bottom"/>
          </w:tcPr>
          <w:p>
            <w:pPr>
              <w:jc w:val="center"/>
              <w:ind w:right="132"/>
              <w:spacing w:after="0" w:line="189" w:lineRule="exact"/>
              <w:rPr>
                <w:sz w:val="20"/>
                <w:szCs w:val="20"/>
                <w:color w:val="auto"/>
              </w:rPr>
            </w:pPr>
            <w:r>
              <w:rPr>
                <w:rFonts w:ascii="Arial" w:cs="Arial" w:eastAsia="Arial" w:hAnsi="Arial"/>
                <w:sz w:val="18"/>
                <w:szCs w:val="18"/>
                <w:b w:val="1"/>
                <w:bCs w:val="1"/>
                <w:color w:val="auto"/>
                <w:w w:val="95"/>
              </w:rPr>
              <w:t>Other</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7"/>
              </w:rPr>
              <w:t>of French</w:t>
            </w:r>
          </w:p>
        </w:tc>
      </w:tr>
      <w:tr>
        <w:trPr>
          <w:trHeight w:val="188"/>
        </w:trPr>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jc w:val="center"/>
              <w:ind w:right="112"/>
              <w:spacing w:after="0" w:line="189" w:lineRule="exact"/>
              <w:rPr>
                <w:sz w:val="20"/>
                <w:szCs w:val="20"/>
                <w:color w:val="auto"/>
              </w:rPr>
            </w:pPr>
            <w:r>
              <w:rPr>
                <w:rFonts w:ascii="Arial" w:cs="Arial" w:eastAsia="Arial" w:hAnsi="Arial"/>
                <w:sz w:val="18"/>
                <w:szCs w:val="18"/>
                <w:b w:val="1"/>
                <w:bCs w:val="1"/>
                <w:color w:val="auto"/>
                <w:w w:val="97"/>
              </w:rPr>
              <w:t>Expense</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Payroll Tax</w:t>
            </w:r>
          </w:p>
        </w:tc>
      </w:tr>
      <w:tr>
        <w:trPr>
          <w:trHeight w:val="234"/>
        </w:trPr>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Change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20"/>
        <w:spacing w:after="0"/>
        <w:rPr>
          <w:sz w:val="20"/>
          <w:szCs w:val="20"/>
          <w:color w:val="auto"/>
        </w:rPr>
      </w:pPr>
      <w:r>
        <w:rPr>
          <w:rFonts w:ascii="Arial" w:cs="Arial" w:eastAsia="Arial" w:hAnsi="Arial"/>
          <w:sz w:val="22"/>
          <w:szCs w:val="22"/>
          <w:b w:val="1"/>
          <w:bCs w:val="1"/>
          <w:color w:val="auto"/>
        </w:rPr>
        <w:t>+ $0.11</w:t>
      </w:r>
    </w:p>
    <w:p>
      <w:pPr>
        <w:spacing w:after="0" w:line="42" w:lineRule="exact"/>
        <w:rPr>
          <w:sz w:val="20"/>
          <w:szCs w:val="20"/>
          <w:color w:val="auto"/>
        </w:rPr>
      </w:pPr>
    </w:p>
    <w:p>
      <w:pPr>
        <w:ind w:left="1000"/>
        <w:spacing w:after="0"/>
        <w:tabs>
          <w:tab w:leader="none" w:pos="3080" w:val="left"/>
        </w:tabs>
        <w:rPr>
          <w:sz w:val="20"/>
          <w:szCs w:val="20"/>
          <w:color w:val="auto"/>
        </w:rPr>
      </w:pPr>
      <w:r>
        <w:rPr>
          <w:rFonts w:ascii="Arial" w:cs="Arial" w:eastAsia="Arial" w:hAnsi="Arial"/>
          <w:sz w:val="22"/>
          <w:szCs w:val="22"/>
          <w:b w:val="1"/>
          <w:bCs w:val="1"/>
          <w:color w:val="auto"/>
        </w:rPr>
        <w:t>+ $0.10</w:t>
      </w:r>
      <w:r>
        <w:rPr>
          <w:sz w:val="20"/>
          <w:szCs w:val="20"/>
          <w:color w:val="auto"/>
        </w:rPr>
        <w:tab/>
      </w:r>
      <w:r>
        <w:rPr>
          <w:rFonts w:ascii="Arial" w:cs="Arial" w:eastAsia="Arial" w:hAnsi="Arial"/>
          <w:sz w:val="32"/>
          <w:szCs w:val="32"/>
          <w:b w:val="1"/>
          <w:bCs w:val="1"/>
          <w:color w:val="FFFFFF"/>
          <w:vertAlign w:val="superscript"/>
        </w:rPr>
        <w:t>$1.86</w:t>
      </w:r>
    </w:p>
    <w:p>
      <w:pPr>
        <w:spacing w:after="0"/>
        <w:rPr>
          <w:sz w:val="20"/>
          <w:szCs w:val="20"/>
          <w:color w:val="auto"/>
        </w:rPr>
      </w:pPr>
      <w:r>
        <w:rPr>
          <w:rFonts w:ascii="Arial" w:cs="Arial" w:eastAsia="Arial" w:hAnsi="Arial"/>
          <w:sz w:val="22"/>
          <w:szCs w:val="22"/>
          <w:b w:val="1"/>
          <w:bCs w:val="1"/>
          <w:color w:val="auto"/>
        </w:rPr>
        <w:t>+ $0.45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OUP in millions:</w:t>
      </w:r>
    </w:p>
    <w:p>
      <w:pPr>
        <w:spacing w:after="0" w:line="32" w:lineRule="exact"/>
        <w:rPr>
          <w:sz w:val="20"/>
          <w:szCs w:val="20"/>
          <w:color w:val="auto"/>
        </w:rPr>
      </w:pPr>
    </w:p>
    <w:p>
      <w:pPr>
        <w:ind w:left="100"/>
        <w:spacing w:after="0"/>
        <w:tabs>
          <w:tab w:leader="none" w:pos="1080" w:val="left"/>
          <w:tab w:leader="none" w:pos="2120" w:val="left"/>
        </w:tabs>
        <w:rPr>
          <w:sz w:val="20"/>
          <w:szCs w:val="20"/>
          <w:color w:val="auto"/>
        </w:rPr>
      </w:pPr>
      <w:r>
        <w:rPr>
          <w:rFonts w:ascii="Arial" w:cs="Arial" w:eastAsia="Arial" w:hAnsi="Arial"/>
          <w:sz w:val="19"/>
          <w:szCs w:val="19"/>
          <w:b w:val="1"/>
          <w:bCs w:val="1"/>
          <w:color w:val="auto"/>
        </w:rPr>
        <w:t>$66.7</w:t>
      </w:r>
      <w:r>
        <w:rPr>
          <w:sz w:val="20"/>
          <w:szCs w:val="20"/>
          <w:color w:val="auto"/>
        </w:rPr>
        <w:tab/>
      </w:r>
      <w:r>
        <w:rPr>
          <w:rFonts w:ascii="Arial" w:cs="Arial" w:eastAsia="Arial" w:hAnsi="Arial"/>
          <w:sz w:val="19"/>
          <w:szCs w:val="19"/>
          <w:b w:val="1"/>
          <w:bCs w:val="1"/>
          <w:color w:val="auto"/>
        </w:rPr>
        <w:t>$15.5</w:t>
      </w:r>
      <w:r>
        <w:rPr>
          <w:sz w:val="20"/>
          <w:szCs w:val="20"/>
          <w:color w:val="auto"/>
        </w:rPr>
        <w:tab/>
      </w:r>
      <w:r>
        <w:rPr>
          <w:rFonts w:ascii="Arial" w:cs="Arial" w:eastAsia="Arial" w:hAnsi="Arial"/>
          <w:sz w:val="19"/>
          <w:szCs w:val="19"/>
          <w:b w:val="1"/>
          <w:bCs w:val="1"/>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tabs>
          <w:tab w:leader="none" w:pos="1160" w:val="left"/>
          <w:tab w:leader="none" w:pos="2160" w:val="left"/>
          <w:tab w:leader="none" w:pos="310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Q1-07</w:t>
      </w:r>
      <w:r>
        <w:rPr>
          <w:sz w:val="20"/>
          <w:szCs w:val="20"/>
          <w:color w:val="auto"/>
        </w:rPr>
        <w:tab/>
      </w:r>
      <w:r>
        <w:rPr>
          <w:rFonts w:ascii="Arial" w:cs="Arial" w:eastAsia="Arial" w:hAnsi="Arial"/>
          <w:sz w:val="18"/>
          <w:szCs w:val="18"/>
          <w:b w:val="1"/>
          <w:bCs w:val="1"/>
          <w:color w:val="auto"/>
        </w:rPr>
        <w:t>Q2-07</w:t>
      </w:r>
      <w:r>
        <w:rPr>
          <w:sz w:val="20"/>
          <w:szCs w:val="20"/>
          <w:color w:val="auto"/>
        </w:rPr>
        <w:tab/>
      </w:r>
      <w:r>
        <w:rPr>
          <w:rFonts w:ascii="Arial" w:cs="Arial" w:eastAsia="Arial" w:hAnsi="Arial"/>
          <w:sz w:val="17"/>
          <w:szCs w:val="17"/>
          <w:b w:val="1"/>
          <w:bCs w:val="1"/>
          <w:color w:val="auto"/>
        </w:rPr>
        <w:t>Q2 2007</w:t>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Impact of French Payroll</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Tax Change</w:t>
      </w:r>
    </w:p>
    <w:p>
      <w:pPr>
        <w:sectPr>
          <w:pgSz w:w="11900" w:h="16838" w:orient="portrait"/>
          <w:cols w:equalWidth="0" w:num="2">
            <w:col w:w="6720" w:space="100"/>
            <w:col w:w="3800"/>
          </w:cols>
          <w:pgMar w:left="680" w:top="459" w:right="599" w:bottom="1440" w:gutter="0" w:footer="0" w:header="0"/>
          <w:type w:val="continuous"/>
        </w:sectPr>
      </w:pPr>
    </w:p>
    <w:bookmarkStart w:id="27" w:name="page28"/>
    <w:bookmarkEnd w:id="27"/>
    <w:tbl>
      <w:tblPr>
        <w:tblLayout w:type="fixed"/>
        <w:tblInd w:w="6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47"/>
          <w:szCs w:val="47"/>
          <w:color w:val="D47C18"/>
        </w:rPr>
        <w:t>Balance Sheet Highlights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1380" w:type="dxa"/>
            <w:vAlign w:val="bottom"/>
          </w:tcPr>
          <w:p>
            <w:pPr>
              <w:spacing w:after="0"/>
              <w:rPr>
                <w:sz w:val="20"/>
                <w:szCs w:val="20"/>
                <w:color w:val="auto"/>
              </w:rPr>
            </w:pPr>
            <w:r>
              <w:rPr>
                <w:rFonts w:ascii="Arial" w:cs="Arial" w:eastAsia="Arial" w:hAnsi="Arial"/>
                <w:sz w:val="22"/>
                <w:szCs w:val="22"/>
                <w:b w:val="1"/>
                <w:bCs w:val="1"/>
                <w:color w:val="auto"/>
              </w:rPr>
              <w:t>Total Debt</w:t>
            </w:r>
          </w:p>
        </w:tc>
        <w:tc>
          <w:tcPr>
            <w:tcW w:w="800" w:type="dxa"/>
            <w:vAlign w:val="bottom"/>
          </w:tcPr>
          <w:p>
            <w:pPr>
              <w:jc w:val="right"/>
              <w:spacing w:after="0"/>
              <w:rPr>
                <w:sz w:val="20"/>
                <w:szCs w:val="20"/>
                <w:color w:val="auto"/>
              </w:rPr>
            </w:pPr>
            <w:r>
              <w:rPr>
                <w:rFonts w:ascii="Arial" w:cs="Arial" w:eastAsia="Arial" w:hAnsi="Arial"/>
                <w:sz w:val="20"/>
                <w:szCs w:val="20"/>
                <w:color w:val="auto"/>
              </w:rPr>
              <w:t>1,000</w:t>
            </w:r>
          </w:p>
        </w:tc>
      </w:tr>
    </w:tbl>
    <w:p>
      <w:pPr>
        <w:spacing w:after="0" w:line="1" w:lineRule="exact"/>
        <w:rPr>
          <w:sz w:val="20"/>
          <w:szCs w:val="20"/>
          <w:color w:val="auto"/>
        </w:rPr>
      </w:pPr>
    </w:p>
    <w:p>
      <w:pPr>
        <w:sectPr>
          <w:pgSz w:w="11900" w:h="16838" w:orient="portrait"/>
          <w:cols w:equalWidth="0" w:num="1">
            <w:col w:w="10520"/>
          </w:cols>
          <w:pgMar w:left="580" w:top="459" w:right="799" w:bottom="1440" w:gutter="0" w:footer="0" w:header="0"/>
        </w:sectPr>
      </w:pPr>
    </w:p>
    <w:p>
      <w:pPr>
        <w:ind w:left="440"/>
        <w:spacing w:after="0"/>
        <w:rPr>
          <w:sz w:val="20"/>
          <w:szCs w:val="20"/>
          <w:color w:val="auto"/>
        </w:rPr>
      </w:pPr>
      <w:r>
        <w:rPr>
          <w:rFonts w:ascii="Arial" w:cs="Arial" w:eastAsia="Arial" w:hAnsi="Arial"/>
          <w:sz w:val="19"/>
          <w:szCs w:val="19"/>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Total Debt to</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9"/>
          <w:szCs w:val="19"/>
          <w:color w:val="auto"/>
        </w:rPr>
        <w:t>750</w:t>
      </w:r>
    </w:p>
    <w:p>
      <w:pPr>
        <w:spacing w:after="0" w:line="31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500</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250</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0%</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65"/>
        </w:trPr>
        <w:tc>
          <w:tcPr>
            <w:tcW w:w="740" w:type="dxa"/>
            <w:vAlign w:val="bottom"/>
            <w:vMerge w:val="restart"/>
          </w:tcPr>
          <w:p>
            <w:pPr>
              <w:jc w:val="center"/>
              <w:ind w:right="178"/>
              <w:spacing w:after="0"/>
              <w:rPr>
                <w:sz w:val="20"/>
                <w:szCs w:val="20"/>
                <w:color w:val="auto"/>
              </w:rPr>
            </w:pPr>
            <w:r>
              <w:rPr>
                <w:rFonts w:ascii="Arial" w:cs="Arial" w:eastAsia="Arial" w:hAnsi="Arial"/>
                <w:sz w:val="20"/>
                <w:szCs w:val="20"/>
                <w:b w:val="1"/>
                <w:bCs w:val="1"/>
                <w:color w:val="FFFFFF"/>
              </w:rPr>
              <w:t>842</w:t>
            </w:r>
          </w:p>
        </w:tc>
        <w:tc>
          <w:tcPr>
            <w:tcW w:w="1040" w:type="dxa"/>
            <w:vAlign w:val="bottom"/>
          </w:tcPr>
          <w:p>
            <w:pPr>
              <w:jc w:val="center"/>
              <w:spacing w:after="0"/>
              <w:rPr>
                <w:sz w:val="20"/>
                <w:szCs w:val="20"/>
                <w:color w:val="auto"/>
              </w:rPr>
            </w:pPr>
            <w:r>
              <w:rPr>
                <w:rFonts w:ascii="Arial" w:cs="Arial" w:eastAsia="Arial" w:hAnsi="Arial"/>
                <w:sz w:val="20"/>
                <w:szCs w:val="20"/>
                <w:b w:val="1"/>
                <w:bCs w:val="1"/>
                <w:color w:val="FFFFFF"/>
              </w:rPr>
              <w:t>902</w:t>
            </w:r>
          </w:p>
        </w:tc>
        <w:tc>
          <w:tcPr>
            <w:tcW w:w="1020" w:type="dxa"/>
            <w:vAlign w:val="bottom"/>
          </w:tcPr>
          <w:p>
            <w:pPr>
              <w:spacing w:after="0"/>
              <w:rPr>
                <w:sz w:val="23"/>
                <w:szCs w:val="23"/>
                <w:color w:val="auto"/>
              </w:rPr>
            </w:pPr>
          </w:p>
        </w:tc>
        <w:tc>
          <w:tcPr>
            <w:tcW w:w="960" w:type="dxa"/>
            <w:vAlign w:val="bottom"/>
            <w:vMerge w:val="restart"/>
          </w:tcPr>
          <w:p>
            <w:pPr>
              <w:jc w:val="center"/>
              <w:spacing w:after="0"/>
              <w:rPr>
                <w:sz w:val="20"/>
                <w:szCs w:val="20"/>
                <w:color w:val="auto"/>
              </w:rPr>
            </w:pPr>
            <w:r>
              <w:rPr>
                <w:rFonts w:ascii="Arial" w:cs="Arial" w:eastAsia="Arial" w:hAnsi="Arial"/>
                <w:sz w:val="20"/>
                <w:szCs w:val="20"/>
                <w:b w:val="1"/>
                <w:bCs w:val="1"/>
                <w:color w:val="FFFFFF"/>
              </w:rPr>
              <w:t>823</w:t>
            </w:r>
          </w:p>
        </w:tc>
        <w:tc>
          <w:tcPr>
            <w:tcW w:w="1100" w:type="dxa"/>
            <w:vAlign w:val="bottom"/>
            <w:vMerge w:val="restart"/>
          </w:tcPr>
          <w:p>
            <w:pPr>
              <w:jc w:val="center"/>
              <w:spacing w:after="0"/>
              <w:rPr>
                <w:sz w:val="20"/>
                <w:szCs w:val="20"/>
                <w:color w:val="auto"/>
              </w:rPr>
            </w:pPr>
            <w:r>
              <w:rPr>
                <w:rFonts w:ascii="Arial" w:cs="Arial" w:eastAsia="Arial" w:hAnsi="Arial"/>
                <w:sz w:val="20"/>
                <w:szCs w:val="20"/>
                <w:b w:val="1"/>
                <w:bCs w:val="1"/>
                <w:color w:val="FFFFFF"/>
                <w:w w:val="95"/>
              </w:rPr>
              <w:t>837</w:t>
            </w:r>
          </w:p>
        </w:tc>
        <w:tc>
          <w:tcPr>
            <w:tcW w:w="2580" w:type="dxa"/>
            <w:vAlign w:val="bottom"/>
            <w:vMerge w:val="restart"/>
          </w:tcPr>
          <w:p>
            <w:pPr>
              <w:jc w:val="center"/>
              <w:ind w:right="1419"/>
              <w:spacing w:after="0"/>
              <w:rPr>
                <w:sz w:val="20"/>
                <w:szCs w:val="20"/>
                <w:color w:val="auto"/>
              </w:rPr>
            </w:pPr>
            <w:r>
              <w:rPr>
                <w:rFonts w:ascii="Arial" w:cs="Arial" w:eastAsia="Arial" w:hAnsi="Arial"/>
                <w:sz w:val="20"/>
                <w:szCs w:val="20"/>
                <w:b w:val="1"/>
                <w:bCs w:val="1"/>
                <w:color w:val="FFFFFF"/>
              </w:rPr>
              <w:t>848</w:t>
            </w:r>
          </w:p>
        </w:tc>
        <w:tc>
          <w:tcPr>
            <w:tcW w:w="0" w:type="dxa"/>
            <w:vAlign w:val="bottom"/>
          </w:tcPr>
          <w:p>
            <w:pPr>
              <w:spacing w:after="0"/>
              <w:rPr>
                <w:sz w:val="1"/>
                <w:szCs w:val="1"/>
                <w:color w:val="auto"/>
              </w:rPr>
            </w:pPr>
          </w:p>
        </w:tc>
      </w:tr>
      <w:tr>
        <w:trPr>
          <w:trHeight w:val="165"/>
        </w:trPr>
        <w:tc>
          <w:tcPr>
            <w:tcW w:w="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b w:val="1"/>
                <w:bCs w:val="1"/>
                <w:color w:val="FFFFFF"/>
                <w:w w:val="95"/>
              </w:rPr>
              <w:t>735</w:t>
            </w: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w w:val="95"/>
              </w:rPr>
              <w:t>Total Debt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3"/>
        </w:trPr>
        <w:tc>
          <w:tcPr>
            <w:tcW w:w="740" w:type="dxa"/>
            <w:vAlign w:val="bottom"/>
            <w:vMerge w:val="restart"/>
          </w:tcPr>
          <w:p>
            <w:pPr>
              <w:jc w:val="center"/>
              <w:ind w:right="178"/>
              <w:spacing w:after="0"/>
              <w:rPr>
                <w:sz w:val="20"/>
                <w:szCs w:val="20"/>
                <w:color w:val="auto"/>
              </w:rPr>
            </w:pPr>
            <w:r>
              <w:rPr>
                <w:rFonts w:ascii="Arial" w:cs="Arial" w:eastAsia="Arial" w:hAnsi="Arial"/>
                <w:sz w:val="20"/>
                <w:szCs w:val="20"/>
                <w:b w:val="1"/>
                <w:bCs w:val="1"/>
                <w:color w:val="FFFFFF"/>
              </w:rPr>
              <w:t>416</w:t>
            </w:r>
          </w:p>
        </w:tc>
        <w:tc>
          <w:tcPr>
            <w:tcW w:w="1040" w:type="dxa"/>
            <w:vAlign w:val="bottom"/>
            <w:vMerge w:val="restart"/>
          </w:tcPr>
          <w:p>
            <w:pPr>
              <w:jc w:val="center"/>
              <w:spacing w:after="0"/>
              <w:rPr>
                <w:sz w:val="20"/>
                <w:szCs w:val="20"/>
                <w:color w:val="auto"/>
              </w:rPr>
            </w:pPr>
            <w:r>
              <w:rPr>
                <w:rFonts w:ascii="Arial" w:cs="Arial" w:eastAsia="Arial" w:hAnsi="Arial"/>
                <w:sz w:val="20"/>
                <w:szCs w:val="20"/>
                <w:b w:val="1"/>
                <w:bCs w:val="1"/>
                <w:color w:val="FFFFFF"/>
              </w:rPr>
              <w:t>370</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tcPr>
          <w:p>
            <w:pPr>
              <w:ind w:left="1680"/>
              <w:spacing w:after="0"/>
              <w:rPr>
                <w:sz w:val="20"/>
                <w:szCs w:val="20"/>
                <w:color w:val="auto"/>
              </w:rPr>
            </w:pPr>
            <w:r>
              <w:rPr>
                <w:rFonts w:ascii="Arial" w:cs="Arial" w:eastAsia="Arial" w:hAnsi="Arial"/>
                <w:sz w:val="20"/>
                <w:szCs w:val="20"/>
                <w:color w:val="auto"/>
              </w:rPr>
              <w:t>Net Debt</w:t>
            </w:r>
          </w:p>
        </w:tc>
        <w:tc>
          <w:tcPr>
            <w:tcW w:w="0" w:type="dxa"/>
            <w:vAlign w:val="bottom"/>
          </w:tcPr>
          <w:p>
            <w:pPr>
              <w:spacing w:after="0"/>
              <w:rPr>
                <w:sz w:val="1"/>
                <w:szCs w:val="1"/>
                <w:color w:val="auto"/>
              </w:rPr>
            </w:pPr>
          </w:p>
        </w:tc>
      </w:tr>
      <w:tr>
        <w:trPr>
          <w:trHeight w:val="94"/>
        </w:trPr>
        <w:tc>
          <w:tcPr>
            <w:tcW w:w="7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b w:val="1"/>
                <w:bCs w:val="1"/>
                <w:color w:val="FFFFFF"/>
                <w:w w:val="95"/>
              </w:rPr>
              <w:t>280</w:t>
            </w: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0"/>
                <w:szCs w:val="20"/>
                <w:b w:val="1"/>
                <w:bCs w:val="1"/>
                <w:color w:val="FFFFFF"/>
              </w:rPr>
              <w:t>135</w:t>
            </w:r>
          </w:p>
        </w:tc>
        <w:tc>
          <w:tcPr>
            <w:tcW w:w="1100" w:type="dxa"/>
            <w:vAlign w:val="bottom"/>
          </w:tcPr>
          <w:p>
            <w:pPr>
              <w:jc w:val="center"/>
              <w:spacing w:after="0"/>
              <w:rPr>
                <w:sz w:val="20"/>
                <w:szCs w:val="20"/>
                <w:color w:val="auto"/>
              </w:rPr>
            </w:pPr>
            <w:r>
              <w:rPr>
                <w:rFonts w:ascii="Arial" w:cs="Arial" w:eastAsia="Arial" w:hAnsi="Arial"/>
                <w:sz w:val="20"/>
                <w:szCs w:val="20"/>
                <w:b w:val="1"/>
                <w:bCs w:val="1"/>
                <w:color w:val="FFFFFF"/>
                <w:w w:val="95"/>
              </w:rPr>
              <w:t>109</w:t>
            </w:r>
          </w:p>
        </w:tc>
        <w:tc>
          <w:tcPr>
            <w:tcW w:w="2580" w:type="dxa"/>
            <w:vAlign w:val="bottom"/>
          </w:tcPr>
          <w:p>
            <w:pPr>
              <w:jc w:val="center"/>
              <w:ind w:right="1419"/>
              <w:spacing w:after="0"/>
              <w:rPr>
                <w:sz w:val="20"/>
                <w:szCs w:val="20"/>
                <w:color w:val="auto"/>
              </w:rPr>
            </w:pPr>
            <w:r>
              <w:rPr>
                <w:rFonts w:ascii="Arial" w:cs="Arial" w:eastAsia="Arial" w:hAnsi="Arial"/>
                <w:sz w:val="20"/>
                <w:szCs w:val="20"/>
                <w:b w:val="1"/>
                <w:bCs w:val="1"/>
                <w:color w:val="FFFFFF"/>
              </w:rPr>
              <w:t>137</w:t>
            </w:r>
          </w:p>
        </w:tc>
        <w:tc>
          <w:tcPr>
            <w:tcW w:w="0" w:type="dxa"/>
            <w:vAlign w:val="bottom"/>
          </w:tcPr>
          <w:p>
            <w:pPr>
              <w:spacing w:after="0"/>
              <w:rPr>
                <w:sz w:val="1"/>
                <w:szCs w:val="1"/>
                <w:color w:val="auto"/>
              </w:rPr>
            </w:pPr>
          </w:p>
        </w:tc>
      </w:tr>
      <w:tr>
        <w:trPr>
          <w:trHeight w:val="402"/>
        </w:trPr>
        <w:tc>
          <w:tcPr>
            <w:tcW w:w="740" w:type="dxa"/>
            <w:vAlign w:val="bottom"/>
          </w:tcPr>
          <w:p>
            <w:pPr>
              <w:jc w:val="center"/>
              <w:ind w:right="178"/>
              <w:spacing w:after="0"/>
              <w:rPr>
                <w:sz w:val="20"/>
                <w:szCs w:val="20"/>
                <w:color w:val="auto"/>
              </w:rPr>
            </w:pPr>
            <w:r>
              <w:rPr>
                <w:rFonts w:ascii="Arial" w:cs="Arial" w:eastAsia="Arial" w:hAnsi="Arial"/>
                <w:sz w:val="21"/>
                <w:szCs w:val="21"/>
                <w:color w:val="auto"/>
                <w:w w:val="98"/>
              </w:rPr>
              <w:t>2003</w:t>
            </w:r>
          </w:p>
        </w:tc>
        <w:tc>
          <w:tcPr>
            <w:tcW w:w="1040" w:type="dxa"/>
            <w:vAlign w:val="bottom"/>
          </w:tcPr>
          <w:p>
            <w:pPr>
              <w:jc w:val="center"/>
              <w:spacing w:after="0"/>
              <w:rPr>
                <w:sz w:val="20"/>
                <w:szCs w:val="20"/>
                <w:color w:val="auto"/>
              </w:rPr>
            </w:pPr>
            <w:r>
              <w:rPr>
                <w:rFonts w:ascii="Arial" w:cs="Arial" w:eastAsia="Arial" w:hAnsi="Arial"/>
                <w:sz w:val="21"/>
                <w:szCs w:val="21"/>
                <w:color w:val="auto"/>
                <w:w w:val="98"/>
              </w:rPr>
              <w:t>2004</w:t>
            </w:r>
          </w:p>
        </w:tc>
        <w:tc>
          <w:tcPr>
            <w:tcW w:w="1020" w:type="dxa"/>
            <w:vAlign w:val="bottom"/>
          </w:tcPr>
          <w:p>
            <w:pPr>
              <w:jc w:val="center"/>
              <w:spacing w:after="0"/>
              <w:rPr>
                <w:sz w:val="20"/>
                <w:szCs w:val="20"/>
                <w:color w:val="auto"/>
              </w:rPr>
            </w:pPr>
            <w:r>
              <w:rPr>
                <w:rFonts w:ascii="Arial" w:cs="Arial" w:eastAsia="Arial" w:hAnsi="Arial"/>
                <w:sz w:val="21"/>
                <w:szCs w:val="21"/>
                <w:color w:val="auto"/>
                <w:w w:val="98"/>
              </w:rPr>
              <w:t>2005</w:t>
            </w:r>
          </w:p>
        </w:tc>
        <w:tc>
          <w:tcPr>
            <w:tcW w:w="960" w:type="dxa"/>
            <w:vAlign w:val="bottom"/>
          </w:tcPr>
          <w:p>
            <w:pPr>
              <w:jc w:val="center"/>
              <w:spacing w:after="0"/>
              <w:rPr>
                <w:sz w:val="20"/>
                <w:szCs w:val="20"/>
                <w:color w:val="auto"/>
              </w:rPr>
            </w:pPr>
            <w:r>
              <w:rPr>
                <w:rFonts w:ascii="Arial" w:cs="Arial" w:eastAsia="Arial" w:hAnsi="Arial"/>
                <w:sz w:val="21"/>
                <w:szCs w:val="21"/>
                <w:color w:val="auto"/>
              </w:rPr>
              <w:t>2006</w:t>
            </w:r>
          </w:p>
        </w:tc>
        <w:tc>
          <w:tcPr>
            <w:tcW w:w="1100" w:type="dxa"/>
            <w:vAlign w:val="bottom"/>
          </w:tcPr>
          <w:p>
            <w:pPr>
              <w:jc w:val="center"/>
              <w:spacing w:after="0"/>
              <w:rPr>
                <w:sz w:val="20"/>
                <w:szCs w:val="20"/>
                <w:color w:val="auto"/>
              </w:rPr>
            </w:pPr>
            <w:r>
              <w:rPr>
                <w:rFonts w:ascii="Arial" w:cs="Arial" w:eastAsia="Arial" w:hAnsi="Arial"/>
                <w:sz w:val="21"/>
                <w:szCs w:val="21"/>
                <w:color w:val="auto"/>
              </w:rPr>
              <w:t>Q1 2007</w:t>
            </w:r>
          </w:p>
        </w:tc>
        <w:tc>
          <w:tcPr>
            <w:tcW w:w="2580" w:type="dxa"/>
            <w:vAlign w:val="bottom"/>
          </w:tcPr>
          <w:p>
            <w:pPr>
              <w:jc w:val="center"/>
              <w:ind w:right="1419"/>
              <w:spacing w:after="0"/>
              <w:rPr>
                <w:sz w:val="20"/>
                <w:szCs w:val="20"/>
                <w:color w:val="auto"/>
              </w:rPr>
            </w:pPr>
            <w:r>
              <w:rPr>
                <w:rFonts w:ascii="Arial" w:cs="Arial" w:eastAsia="Arial" w:hAnsi="Arial"/>
                <w:sz w:val="21"/>
                <w:szCs w:val="21"/>
                <w:color w:val="auto"/>
              </w:rPr>
              <w:t>Q2 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60" w:type="dxa"/>
            <w:vAlign w:val="bottom"/>
          </w:tcPr>
          <w:p>
            <w:pPr>
              <w:ind w:left="40"/>
              <w:spacing w:after="0"/>
              <w:rPr>
                <w:sz w:val="20"/>
                <w:szCs w:val="20"/>
                <w:color w:val="auto"/>
              </w:rPr>
            </w:pPr>
            <w:r>
              <w:rPr>
                <w:rFonts w:ascii="Arial" w:cs="Arial" w:eastAsia="Arial" w:hAnsi="Arial"/>
                <w:sz w:val="22"/>
                <w:szCs w:val="22"/>
                <w:b w:val="1"/>
                <w:bCs w:val="1"/>
                <w:color w:val="FFFFFF"/>
              </w:rPr>
              <w:t>39%</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Arial" w:cs="Arial" w:eastAsia="Arial" w:hAnsi="Arial"/>
                <w:sz w:val="22"/>
                <w:szCs w:val="22"/>
                <w:b w:val="1"/>
                <w:bCs w:val="1"/>
                <w:color w:val="FFFFFF"/>
              </w:rPr>
              <w:t>29%</w:t>
            </w:r>
          </w:p>
        </w:tc>
        <w:tc>
          <w:tcPr>
            <w:tcW w:w="1020" w:type="dxa"/>
            <w:vAlign w:val="bottom"/>
            <w:vMerge w:val="restart"/>
          </w:tcPr>
          <w:p>
            <w:pPr>
              <w:jc w:val="right"/>
              <w:ind w:right="168"/>
              <w:spacing w:after="0"/>
              <w:rPr>
                <w:sz w:val="20"/>
                <w:szCs w:val="20"/>
                <w:color w:val="auto"/>
              </w:rPr>
            </w:pPr>
            <w:r>
              <w:rPr>
                <w:rFonts w:ascii="Arial" w:cs="Arial" w:eastAsia="Arial" w:hAnsi="Arial"/>
                <w:sz w:val="22"/>
                <w:szCs w:val="22"/>
                <w:b w:val="1"/>
                <w:bCs w:val="1"/>
                <w:color w:val="FFFFFF"/>
              </w:rPr>
              <w:t>26%</w:t>
            </w:r>
          </w:p>
        </w:tc>
        <w:tc>
          <w:tcPr>
            <w:tcW w:w="940" w:type="dxa"/>
            <w:vAlign w:val="bottom"/>
            <w:vMerge w:val="restart"/>
          </w:tcPr>
          <w:p>
            <w:pPr>
              <w:jc w:val="right"/>
              <w:ind w:right="68"/>
              <w:spacing w:after="0"/>
              <w:rPr>
                <w:sz w:val="20"/>
                <w:szCs w:val="20"/>
                <w:color w:val="auto"/>
              </w:rPr>
            </w:pPr>
            <w:r>
              <w:rPr>
                <w:rFonts w:ascii="Arial" w:cs="Arial" w:eastAsia="Arial" w:hAnsi="Arial"/>
                <w:sz w:val="22"/>
                <w:szCs w:val="22"/>
                <w:b w:val="1"/>
                <w:bCs w:val="1"/>
                <w:color w:val="FFFFFF"/>
              </w:rPr>
              <w:t>25%</w:t>
            </w:r>
          </w:p>
        </w:tc>
        <w:tc>
          <w:tcPr>
            <w:tcW w:w="1120" w:type="dxa"/>
            <w:vAlign w:val="bottom"/>
            <w:vMerge w:val="restart"/>
          </w:tcPr>
          <w:p>
            <w:pPr>
              <w:jc w:val="right"/>
              <w:ind w:right="148"/>
              <w:spacing w:after="0"/>
              <w:rPr>
                <w:sz w:val="20"/>
                <w:szCs w:val="20"/>
                <w:color w:val="auto"/>
              </w:rPr>
            </w:pPr>
            <w:r>
              <w:rPr>
                <w:rFonts w:ascii="Arial" w:cs="Arial" w:eastAsia="Arial" w:hAnsi="Arial"/>
                <w:sz w:val="22"/>
                <w:szCs w:val="22"/>
                <w:b w:val="1"/>
                <w:bCs w:val="1"/>
                <w:color w:val="FFFFFF"/>
              </w:rPr>
              <w:t>25%</w:t>
            </w:r>
          </w:p>
        </w:tc>
        <w:tc>
          <w:tcPr>
            <w:tcW w:w="960" w:type="dxa"/>
            <w:vAlign w:val="bottom"/>
            <w:vMerge w:val="restart"/>
          </w:tcPr>
          <w:p>
            <w:pPr>
              <w:jc w:val="right"/>
              <w:ind w:right="88"/>
              <w:spacing w:after="0"/>
              <w:rPr>
                <w:sz w:val="20"/>
                <w:szCs w:val="20"/>
                <w:color w:val="auto"/>
              </w:rPr>
            </w:pPr>
            <w:r>
              <w:rPr>
                <w:rFonts w:ascii="Arial" w:cs="Arial" w:eastAsia="Arial" w:hAnsi="Arial"/>
                <w:sz w:val="22"/>
                <w:szCs w:val="22"/>
                <w:b w:val="1"/>
                <w:bCs w:val="1"/>
                <w:color w:val="FFFFFF"/>
              </w:rPr>
              <w:t>24%</w:t>
            </w:r>
          </w:p>
        </w:tc>
        <w:tc>
          <w:tcPr>
            <w:tcW w:w="0" w:type="dxa"/>
            <w:vAlign w:val="bottom"/>
          </w:tcPr>
          <w:p>
            <w:pPr>
              <w:spacing w:after="0"/>
              <w:rPr>
                <w:sz w:val="1"/>
                <w:szCs w:val="1"/>
                <w:color w:val="auto"/>
              </w:rPr>
            </w:pPr>
          </w:p>
        </w:tc>
      </w:tr>
      <w:tr>
        <w:trPr>
          <w:trHeight w:val="235"/>
        </w:trPr>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87"/>
        </w:trPr>
        <w:tc>
          <w:tcPr>
            <w:tcW w:w="760" w:type="dxa"/>
            <w:vAlign w:val="bottom"/>
          </w:tcPr>
          <w:p>
            <w:pPr>
              <w:spacing w:after="0"/>
              <w:rPr>
                <w:sz w:val="20"/>
                <w:szCs w:val="20"/>
                <w:color w:val="auto"/>
              </w:rPr>
            </w:pPr>
            <w:r>
              <w:rPr>
                <w:rFonts w:ascii="Arial" w:cs="Arial" w:eastAsia="Arial" w:hAnsi="Arial"/>
                <w:sz w:val="22"/>
                <w:szCs w:val="22"/>
                <w:color w:val="auto"/>
              </w:rPr>
              <w:t>2003</w:t>
            </w:r>
          </w:p>
        </w:tc>
        <w:tc>
          <w:tcPr>
            <w:tcW w:w="1040" w:type="dxa"/>
            <w:vAlign w:val="bottom"/>
          </w:tcPr>
          <w:p>
            <w:pPr>
              <w:jc w:val="right"/>
              <w:ind w:right="148"/>
              <w:spacing w:after="0"/>
              <w:rPr>
                <w:sz w:val="20"/>
                <w:szCs w:val="20"/>
                <w:color w:val="auto"/>
              </w:rPr>
            </w:pPr>
            <w:r>
              <w:rPr>
                <w:rFonts w:ascii="Arial" w:cs="Arial" w:eastAsia="Arial" w:hAnsi="Arial"/>
                <w:sz w:val="22"/>
                <w:szCs w:val="22"/>
                <w:color w:val="auto"/>
              </w:rPr>
              <w:t>2004</w:t>
            </w:r>
          </w:p>
        </w:tc>
        <w:tc>
          <w:tcPr>
            <w:tcW w:w="1020" w:type="dxa"/>
            <w:vAlign w:val="bottom"/>
          </w:tcPr>
          <w:p>
            <w:pPr>
              <w:jc w:val="right"/>
              <w:ind w:right="148"/>
              <w:spacing w:after="0"/>
              <w:rPr>
                <w:sz w:val="20"/>
                <w:szCs w:val="20"/>
                <w:color w:val="auto"/>
              </w:rPr>
            </w:pPr>
            <w:r>
              <w:rPr>
                <w:rFonts w:ascii="Arial" w:cs="Arial" w:eastAsia="Arial" w:hAnsi="Arial"/>
                <w:sz w:val="22"/>
                <w:szCs w:val="22"/>
                <w:color w:val="auto"/>
              </w:rPr>
              <w:t>2005</w:t>
            </w:r>
          </w:p>
        </w:tc>
        <w:tc>
          <w:tcPr>
            <w:tcW w:w="940" w:type="dxa"/>
            <w:vAlign w:val="bottom"/>
          </w:tcPr>
          <w:p>
            <w:pPr>
              <w:jc w:val="right"/>
              <w:ind w:right="48"/>
              <w:spacing w:after="0"/>
              <w:rPr>
                <w:sz w:val="20"/>
                <w:szCs w:val="20"/>
                <w:color w:val="auto"/>
              </w:rPr>
            </w:pPr>
            <w:r>
              <w:rPr>
                <w:rFonts w:ascii="Arial" w:cs="Arial" w:eastAsia="Arial" w:hAnsi="Arial"/>
                <w:sz w:val="22"/>
                <w:szCs w:val="22"/>
                <w:color w:val="auto"/>
              </w:rPr>
              <w:t>2006</w:t>
            </w:r>
          </w:p>
        </w:tc>
        <w:tc>
          <w:tcPr>
            <w:tcW w:w="1120" w:type="dxa"/>
            <w:vAlign w:val="bottom"/>
          </w:tcPr>
          <w:p>
            <w:pPr>
              <w:jc w:val="center"/>
              <w:spacing w:after="0"/>
              <w:rPr>
                <w:sz w:val="20"/>
                <w:szCs w:val="20"/>
                <w:color w:val="auto"/>
              </w:rPr>
            </w:pPr>
            <w:r>
              <w:rPr>
                <w:rFonts w:ascii="Arial" w:cs="Arial" w:eastAsia="Arial" w:hAnsi="Arial"/>
                <w:sz w:val="22"/>
                <w:szCs w:val="22"/>
                <w:color w:val="auto"/>
              </w:rPr>
              <w:t>Q1 2007</w:t>
            </w:r>
          </w:p>
        </w:tc>
        <w:tc>
          <w:tcPr>
            <w:tcW w:w="960" w:type="dxa"/>
            <w:vAlign w:val="bottom"/>
          </w:tcPr>
          <w:p>
            <w:pPr>
              <w:jc w:val="center"/>
              <w:spacing w:after="0"/>
              <w:rPr>
                <w:sz w:val="20"/>
                <w:szCs w:val="20"/>
                <w:color w:val="auto"/>
              </w:rPr>
            </w:pPr>
            <w:r>
              <w:rPr>
                <w:rFonts w:ascii="Arial" w:cs="Arial" w:eastAsia="Arial" w:hAnsi="Arial"/>
                <w:sz w:val="22"/>
                <w:szCs w:val="22"/>
                <w:color w:val="auto"/>
              </w:rPr>
              <w:t>Q2 2007</w:t>
            </w:r>
          </w:p>
        </w:tc>
        <w:tc>
          <w:tcPr>
            <w:tcW w:w="0" w:type="dxa"/>
            <w:vAlign w:val="bottom"/>
          </w:tcPr>
          <w:p>
            <w:pPr>
              <w:spacing w:after="0"/>
              <w:rPr>
                <w:sz w:val="1"/>
                <w:szCs w:val="1"/>
                <w:color w:val="auto"/>
              </w:rPr>
            </w:pPr>
          </w:p>
        </w:tc>
      </w:tr>
    </w:tbl>
    <w:p>
      <w:pPr>
        <w:sectPr>
          <w:pgSz w:w="11900" w:h="16838" w:orient="portrait"/>
          <w:cols w:equalWidth="0" w:num="3">
            <w:col w:w="2020" w:space="200"/>
            <w:col w:w="420" w:space="420"/>
            <w:col w:w="7460"/>
          </w:cols>
          <w:pgMar w:left="580" w:top="459" w:right="799" w:bottom="1440" w:gutter="0" w:footer="0" w:header="0"/>
          <w:type w:val="continuous"/>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17</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47"/>
          <w:szCs w:val="47"/>
          <w:color w:val="5F81AA"/>
        </w:rPr>
        <w:t>Cash Flow Summary – First Half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5460" w:type="dxa"/>
            <w:vAlign w:val="bottom"/>
          </w:tcPr>
          <w:p>
            <w:pPr>
              <w:ind w:left="20"/>
              <w:spacing w:after="0"/>
              <w:rPr>
                <w:sz w:val="20"/>
                <w:szCs w:val="20"/>
                <w:color w:val="auto"/>
              </w:rPr>
            </w:pPr>
            <w:r>
              <w:rPr>
                <w:rFonts w:ascii="Arial" w:cs="Arial" w:eastAsia="Arial" w:hAnsi="Arial"/>
                <w:sz w:val="28"/>
                <w:szCs w:val="28"/>
                <w:color w:val="5F81AA"/>
              </w:rPr>
              <w:t>($ in millions)</w:t>
            </w:r>
          </w:p>
        </w:tc>
        <w:tc>
          <w:tcPr>
            <w:tcW w:w="1900" w:type="dxa"/>
            <w:vAlign w:val="bottom"/>
          </w:tcPr>
          <w:p>
            <w:pPr>
              <w:jc w:val="right"/>
              <w:ind w:right="431"/>
              <w:spacing w:after="0"/>
              <w:rPr>
                <w:sz w:val="20"/>
                <w:szCs w:val="20"/>
                <w:color w:val="auto"/>
              </w:rPr>
            </w:pPr>
            <w:r>
              <w:rPr>
                <w:rFonts w:ascii="Arial" w:cs="Arial" w:eastAsia="Arial" w:hAnsi="Arial"/>
                <w:sz w:val="32"/>
                <w:szCs w:val="32"/>
                <w:b w:val="1"/>
                <w:bCs w:val="1"/>
                <w:color w:val="5F81AA"/>
              </w:rPr>
              <w:t>2007</w:t>
            </w:r>
          </w:p>
        </w:tc>
        <w:tc>
          <w:tcPr>
            <w:tcW w:w="1360" w:type="dxa"/>
            <w:vAlign w:val="bottom"/>
          </w:tcPr>
          <w:p>
            <w:pPr>
              <w:jc w:val="right"/>
              <w:spacing w:after="0"/>
              <w:rPr>
                <w:sz w:val="20"/>
                <w:szCs w:val="20"/>
                <w:color w:val="auto"/>
              </w:rPr>
            </w:pPr>
            <w:r>
              <w:rPr>
                <w:rFonts w:ascii="Arial" w:cs="Arial" w:eastAsia="Arial" w:hAnsi="Arial"/>
                <w:sz w:val="32"/>
                <w:szCs w:val="32"/>
                <w:b w:val="1"/>
                <w:bCs w:val="1"/>
                <w:color w:val="5F81AA"/>
              </w:rPr>
              <w:t>2006</w:t>
            </w:r>
          </w:p>
        </w:tc>
      </w:tr>
      <w:tr>
        <w:trPr>
          <w:trHeight w:val="594"/>
        </w:trPr>
        <w:tc>
          <w:tcPr>
            <w:tcW w:w="5460" w:type="dxa"/>
            <w:vAlign w:val="bottom"/>
          </w:tcPr>
          <w:p>
            <w:pPr>
              <w:spacing w:after="0"/>
              <w:rPr>
                <w:sz w:val="20"/>
                <w:szCs w:val="20"/>
                <w:color w:val="auto"/>
              </w:rPr>
            </w:pPr>
            <w:r>
              <w:rPr>
                <w:rFonts w:ascii="Arial" w:cs="Arial" w:eastAsia="Arial" w:hAnsi="Arial"/>
                <w:sz w:val="32"/>
                <w:szCs w:val="32"/>
                <w:b w:val="1"/>
                <w:bCs w:val="1"/>
                <w:color w:val="auto"/>
              </w:rPr>
              <w:t>Cash from Operations</w:t>
            </w:r>
          </w:p>
        </w:tc>
        <w:tc>
          <w:tcPr>
            <w:tcW w:w="1900" w:type="dxa"/>
            <w:vAlign w:val="bottom"/>
          </w:tcPr>
          <w:p>
            <w:pPr>
              <w:jc w:val="right"/>
              <w:ind w:right="451"/>
              <w:spacing w:after="0"/>
              <w:rPr>
                <w:sz w:val="20"/>
                <w:szCs w:val="20"/>
                <w:color w:val="auto"/>
              </w:rPr>
            </w:pPr>
            <w:r>
              <w:rPr>
                <w:rFonts w:ascii="Arial" w:cs="Arial" w:eastAsia="Arial" w:hAnsi="Arial"/>
                <w:sz w:val="34"/>
                <w:szCs w:val="34"/>
                <w:b w:val="1"/>
                <w:bCs w:val="1"/>
                <w:color w:val="auto"/>
              </w:rPr>
              <w:t>141</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136</w:t>
            </w:r>
          </w:p>
        </w:tc>
      </w:tr>
      <w:tr>
        <w:trPr>
          <w:trHeight w:val="453"/>
        </w:trPr>
        <w:tc>
          <w:tcPr>
            <w:tcW w:w="5460" w:type="dxa"/>
            <w:vAlign w:val="bottom"/>
          </w:tcPr>
          <w:p>
            <w:pPr>
              <w:ind w:left="20"/>
              <w:spacing w:after="0"/>
              <w:rPr>
                <w:sz w:val="20"/>
                <w:szCs w:val="20"/>
                <w:color w:val="auto"/>
              </w:rPr>
            </w:pPr>
            <w:r>
              <w:rPr>
                <w:rFonts w:ascii="Arial" w:cs="Arial" w:eastAsia="Arial" w:hAnsi="Arial"/>
                <w:sz w:val="32"/>
                <w:szCs w:val="32"/>
                <w:b w:val="1"/>
                <w:bCs w:val="1"/>
                <w:color w:val="auto"/>
              </w:rPr>
              <w:t>Capital Expenditures</w:t>
            </w:r>
          </w:p>
        </w:tc>
        <w:tc>
          <w:tcPr>
            <w:tcW w:w="1900" w:type="dxa"/>
            <w:vAlign w:val="bottom"/>
          </w:tcPr>
          <w:p>
            <w:pPr>
              <w:jc w:val="right"/>
              <w:ind w:right="391"/>
              <w:spacing w:after="0"/>
              <w:rPr>
                <w:sz w:val="20"/>
                <w:szCs w:val="20"/>
                <w:color w:val="auto"/>
              </w:rPr>
            </w:pPr>
            <w:r>
              <w:rPr>
                <w:rFonts w:ascii="Arial" w:cs="Arial" w:eastAsia="Arial" w:hAnsi="Arial"/>
                <w:sz w:val="34"/>
                <w:szCs w:val="34"/>
                <w:b w:val="1"/>
                <w:bCs w:val="1"/>
                <w:color w:val="auto"/>
              </w:rPr>
              <w:t>(41)</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(35)</w:t>
            </w:r>
          </w:p>
        </w:tc>
      </w:tr>
      <w:tr>
        <w:trPr>
          <w:trHeight w:val="453"/>
        </w:trPr>
        <w:tc>
          <w:tcPr>
            <w:tcW w:w="5460" w:type="dxa"/>
            <w:vAlign w:val="bottom"/>
          </w:tcPr>
          <w:p>
            <w:pPr>
              <w:ind w:left="440"/>
              <w:spacing w:after="0"/>
              <w:rPr>
                <w:sz w:val="20"/>
                <w:szCs w:val="20"/>
                <w:color w:val="auto"/>
              </w:rPr>
            </w:pPr>
            <w:r>
              <w:rPr>
                <w:rFonts w:ascii="Arial" w:cs="Arial" w:eastAsia="Arial" w:hAnsi="Arial"/>
                <w:sz w:val="32"/>
                <w:szCs w:val="32"/>
                <w:b w:val="1"/>
                <w:bCs w:val="1"/>
                <w:color w:val="auto"/>
              </w:rPr>
              <w:t>Free Cash Flow</w:t>
            </w:r>
          </w:p>
        </w:tc>
        <w:tc>
          <w:tcPr>
            <w:tcW w:w="1900" w:type="dxa"/>
            <w:vAlign w:val="bottom"/>
          </w:tcPr>
          <w:p>
            <w:pPr>
              <w:jc w:val="right"/>
              <w:ind w:right="491"/>
              <w:spacing w:after="0"/>
              <w:rPr>
                <w:sz w:val="20"/>
                <w:szCs w:val="20"/>
                <w:color w:val="auto"/>
              </w:rPr>
            </w:pPr>
            <w:r>
              <w:rPr>
                <w:rFonts w:ascii="Arial" w:cs="Arial" w:eastAsia="Arial" w:hAnsi="Arial"/>
                <w:sz w:val="34"/>
                <w:szCs w:val="34"/>
                <w:b w:val="1"/>
                <w:bCs w:val="1"/>
                <w:color w:val="auto"/>
              </w:rPr>
              <w:t>100</w:t>
            </w:r>
          </w:p>
        </w:tc>
        <w:tc>
          <w:tcPr>
            <w:tcW w:w="1360" w:type="dxa"/>
            <w:vAlign w:val="bottom"/>
          </w:tcPr>
          <w:p>
            <w:pPr>
              <w:jc w:val="center"/>
              <w:ind w:left="451"/>
              <w:spacing w:after="0"/>
              <w:rPr>
                <w:sz w:val="20"/>
                <w:szCs w:val="20"/>
                <w:color w:val="auto"/>
              </w:rPr>
            </w:pPr>
            <w:r>
              <w:rPr>
                <w:rFonts w:ascii="Arial" w:cs="Arial" w:eastAsia="Arial" w:hAnsi="Arial"/>
                <w:sz w:val="34"/>
                <w:szCs w:val="34"/>
                <w:b w:val="1"/>
                <w:bCs w:val="1"/>
                <w:color w:val="auto"/>
              </w:rPr>
              <w:t>101</w:t>
            </w:r>
          </w:p>
        </w:tc>
      </w:tr>
      <w:tr>
        <w:trPr>
          <w:trHeight w:val="553"/>
        </w:trPr>
        <w:tc>
          <w:tcPr>
            <w:tcW w:w="5460" w:type="dxa"/>
            <w:vAlign w:val="bottom"/>
          </w:tcPr>
          <w:p>
            <w:pPr>
              <w:ind w:left="20"/>
              <w:spacing w:after="0"/>
              <w:rPr>
                <w:sz w:val="20"/>
                <w:szCs w:val="20"/>
                <w:color w:val="auto"/>
              </w:rPr>
            </w:pPr>
            <w:r>
              <w:rPr>
                <w:rFonts w:ascii="Arial" w:cs="Arial" w:eastAsia="Arial" w:hAnsi="Arial"/>
                <w:sz w:val="32"/>
                <w:szCs w:val="32"/>
                <w:b w:val="1"/>
                <w:bCs w:val="1"/>
                <w:color w:val="auto"/>
              </w:rPr>
              <w:t>Share Repurchases *</w:t>
            </w:r>
          </w:p>
        </w:tc>
        <w:tc>
          <w:tcPr>
            <w:tcW w:w="1900" w:type="dxa"/>
            <w:vAlign w:val="bottom"/>
          </w:tcPr>
          <w:p>
            <w:pPr>
              <w:jc w:val="right"/>
              <w:ind w:right="371"/>
              <w:spacing w:after="0"/>
              <w:rPr>
                <w:sz w:val="20"/>
                <w:szCs w:val="20"/>
                <w:color w:val="auto"/>
              </w:rPr>
            </w:pPr>
            <w:r>
              <w:rPr>
                <w:rFonts w:ascii="Arial" w:cs="Arial" w:eastAsia="Arial" w:hAnsi="Arial"/>
                <w:sz w:val="34"/>
                <w:szCs w:val="34"/>
                <w:b w:val="1"/>
                <w:bCs w:val="1"/>
                <w:color w:val="auto"/>
              </w:rPr>
              <w:t>(89)</w:t>
            </w:r>
          </w:p>
        </w:tc>
        <w:tc>
          <w:tcPr>
            <w:tcW w:w="1360" w:type="dxa"/>
            <w:vAlign w:val="bottom"/>
          </w:tcPr>
          <w:p>
            <w:pPr>
              <w:jc w:val="center"/>
              <w:ind w:left="391"/>
              <w:spacing w:after="0"/>
              <w:rPr>
                <w:sz w:val="20"/>
                <w:szCs w:val="20"/>
                <w:color w:val="auto"/>
              </w:rPr>
            </w:pPr>
            <w:r>
              <w:rPr>
                <w:rFonts w:ascii="Arial" w:cs="Arial" w:eastAsia="Arial" w:hAnsi="Arial"/>
                <w:sz w:val="34"/>
                <w:szCs w:val="34"/>
                <w:b w:val="1"/>
                <w:bCs w:val="1"/>
                <w:color w:val="auto"/>
              </w:rPr>
              <w:t>(119)</w:t>
            </w:r>
          </w:p>
        </w:tc>
      </w:tr>
      <w:tr>
        <w:trPr>
          <w:trHeight w:val="441"/>
        </w:trPr>
        <w:tc>
          <w:tcPr>
            <w:tcW w:w="5460" w:type="dxa"/>
            <w:vAlign w:val="bottom"/>
          </w:tcPr>
          <w:p>
            <w:pPr>
              <w:ind w:left="20"/>
              <w:spacing w:after="0"/>
              <w:rPr>
                <w:sz w:val="20"/>
                <w:szCs w:val="20"/>
                <w:color w:val="auto"/>
              </w:rPr>
            </w:pPr>
            <w:r>
              <w:rPr>
                <w:rFonts w:ascii="Arial" w:cs="Arial" w:eastAsia="Arial" w:hAnsi="Arial"/>
                <w:sz w:val="32"/>
                <w:szCs w:val="32"/>
                <w:b w:val="1"/>
                <w:bCs w:val="1"/>
                <w:color w:val="auto"/>
              </w:rPr>
              <w:t>Proceeds from Equity Plans</w:t>
            </w:r>
          </w:p>
        </w:tc>
        <w:tc>
          <w:tcPr>
            <w:tcW w:w="1900" w:type="dxa"/>
            <w:vAlign w:val="bottom"/>
          </w:tcPr>
          <w:p>
            <w:pPr>
              <w:jc w:val="right"/>
              <w:ind w:right="491"/>
              <w:spacing w:after="0"/>
              <w:rPr>
                <w:sz w:val="20"/>
                <w:szCs w:val="20"/>
                <w:color w:val="auto"/>
              </w:rPr>
            </w:pPr>
            <w:r>
              <w:rPr>
                <w:rFonts w:ascii="Arial" w:cs="Arial" w:eastAsia="Arial" w:hAnsi="Arial"/>
                <w:sz w:val="34"/>
                <w:szCs w:val="34"/>
                <w:b w:val="1"/>
                <w:bCs w:val="1"/>
                <w:color w:val="auto"/>
              </w:rPr>
              <w:t>37</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42</w:t>
            </w:r>
          </w:p>
        </w:tc>
      </w:tr>
      <w:tr>
        <w:trPr>
          <w:trHeight w:val="456"/>
        </w:trPr>
        <w:tc>
          <w:tcPr>
            <w:tcW w:w="5460" w:type="dxa"/>
            <w:vAlign w:val="bottom"/>
          </w:tcPr>
          <w:p>
            <w:pPr>
              <w:spacing w:after="0"/>
              <w:rPr>
                <w:sz w:val="20"/>
                <w:szCs w:val="20"/>
                <w:color w:val="auto"/>
              </w:rPr>
            </w:pPr>
            <w:r>
              <w:rPr>
                <w:rFonts w:ascii="Arial" w:cs="Arial" w:eastAsia="Arial" w:hAnsi="Arial"/>
                <w:sz w:val="32"/>
                <w:szCs w:val="32"/>
                <w:b w:val="1"/>
                <w:bCs w:val="1"/>
                <w:color w:val="auto"/>
              </w:rPr>
              <w:t>Change in Debt</w:t>
            </w:r>
          </w:p>
        </w:tc>
        <w:tc>
          <w:tcPr>
            <w:tcW w:w="1900" w:type="dxa"/>
            <w:vAlign w:val="bottom"/>
          </w:tcPr>
          <w:p>
            <w:pPr>
              <w:jc w:val="right"/>
              <w:ind w:right="491"/>
              <w:spacing w:after="0"/>
              <w:rPr>
                <w:sz w:val="20"/>
                <w:szCs w:val="20"/>
                <w:color w:val="auto"/>
              </w:rPr>
            </w:pPr>
            <w:r>
              <w:rPr>
                <w:rFonts w:ascii="Arial" w:cs="Arial" w:eastAsia="Arial" w:hAnsi="Arial"/>
                <w:sz w:val="34"/>
                <w:szCs w:val="34"/>
                <w:b w:val="1"/>
                <w:bCs w:val="1"/>
                <w:color w:val="auto"/>
              </w:rPr>
              <w:t>3</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251</w:t>
            </w:r>
          </w:p>
        </w:tc>
      </w:tr>
      <w:tr>
        <w:trPr>
          <w:trHeight w:val="508"/>
        </w:trPr>
        <w:tc>
          <w:tcPr>
            <w:tcW w:w="5460" w:type="dxa"/>
            <w:vAlign w:val="bottom"/>
          </w:tcPr>
          <w:p>
            <w:pPr>
              <w:spacing w:after="0"/>
              <w:rPr>
                <w:sz w:val="20"/>
                <w:szCs w:val="20"/>
                <w:color w:val="auto"/>
              </w:rPr>
            </w:pPr>
            <w:r>
              <w:rPr>
                <w:rFonts w:ascii="Arial" w:cs="Arial" w:eastAsia="Arial" w:hAnsi="Arial"/>
                <w:sz w:val="32"/>
                <w:szCs w:val="32"/>
                <w:b w:val="1"/>
                <w:bCs w:val="1"/>
                <w:color w:val="auto"/>
              </w:rPr>
              <w:t>Proceeds from Sale of Business</w:t>
            </w:r>
          </w:p>
        </w:tc>
        <w:tc>
          <w:tcPr>
            <w:tcW w:w="1900" w:type="dxa"/>
            <w:vAlign w:val="bottom"/>
          </w:tcPr>
          <w:p>
            <w:pPr>
              <w:jc w:val="right"/>
              <w:ind w:right="551"/>
              <w:spacing w:after="0"/>
              <w:rPr>
                <w:sz w:val="20"/>
                <w:szCs w:val="20"/>
                <w:color w:val="auto"/>
              </w:rPr>
            </w:pPr>
            <w:r>
              <w:rPr>
                <w:rFonts w:ascii="Arial" w:cs="Arial" w:eastAsia="Arial" w:hAnsi="Arial"/>
                <w:sz w:val="34"/>
                <w:szCs w:val="34"/>
                <w:b w:val="1"/>
                <w:bCs w:val="1"/>
                <w:color w:val="auto"/>
              </w:rPr>
              <w:t>-</w:t>
            </w:r>
          </w:p>
        </w:tc>
        <w:tc>
          <w:tcPr>
            <w:tcW w:w="1360" w:type="dxa"/>
            <w:vAlign w:val="bottom"/>
          </w:tcPr>
          <w:p>
            <w:pPr>
              <w:jc w:val="center"/>
              <w:ind w:left="531"/>
              <w:spacing w:after="0"/>
              <w:rPr>
                <w:sz w:val="20"/>
                <w:szCs w:val="20"/>
                <w:color w:val="auto"/>
              </w:rPr>
            </w:pPr>
            <w:r>
              <w:rPr>
                <w:rFonts w:ascii="Arial" w:cs="Arial" w:eastAsia="Arial" w:hAnsi="Arial"/>
                <w:sz w:val="34"/>
                <w:szCs w:val="34"/>
                <w:b w:val="1"/>
                <w:bCs w:val="1"/>
                <w:color w:val="auto"/>
              </w:rPr>
              <w:t>30</w:t>
            </w:r>
          </w:p>
        </w:tc>
      </w:tr>
      <w:tr>
        <w:trPr>
          <w:trHeight w:val="453"/>
        </w:trPr>
        <w:tc>
          <w:tcPr>
            <w:tcW w:w="5460" w:type="dxa"/>
            <w:vAlign w:val="bottom"/>
          </w:tcPr>
          <w:p>
            <w:pPr>
              <w:spacing w:after="0"/>
              <w:rPr>
                <w:sz w:val="20"/>
                <w:szCs w:val="20"/>
                <w:color w:val="auto"/>
              </w:rPr>
            </w:pPr>
            <w:r>
              <w:rPr>
                <w:rFonts w:ascii="Arial" w:cs="Arial" w:eastAsia="Arial" w:hAnsi="Arial"/>
                <w:sz w:val="32"/>
                <w:szCs w:val="32"/>
                <w:b w:val="1"/>
                <w:bCs w:val="1"/>
                <w:color w:val="auto"/>
              </w:rPr>
              <w:t>Other</w:t>
            </w:r>
          </w:p>
        </w:tc>
        <w:tc>
          <w:tcPr>
            <w:tcW w:w="1900" w:type="dxa"/>
            <w:vAlign w:val="bottom"/>
          </w:tcPr>
          <w:p>
            <w:pPr>
              <w:jc w:val="right"/>
              <w:ind w:right="331"/>
              <w:spacing w:after="0"/>
              <w:rPr>
                <w:sz w:val="20"/>
                <w:szCs w:val="20"/>
                <w:color w:val="auto"/>
              </w:rPr>
            </w:pPr>
            <w:r>
              <w:rPr>
                <w:rFonts w:ascii="Arial" w:cs="Arial" w:eastAsia="Arial" w:hAnsi="Arial"/>
                <w:sz w:val="34"/>
                <w:szCs w:val="34"/>
                <w:b w:val="1"/>
                <w:bCs w:val="1"/>
                <w:color w:val="auto"/>
              </w:rPr>
              <w:t>(28)</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8</w:t>
            </w:r>
          </w:p>
        </w:tc>
      </w:tr>
      <w:tr>
        <w:trPr>
          <w:trHeight w:val="533"/>
        </w:trPr>
        <w:tc>
          <w:tcPr>
            <w:tcW w:w="5460" w:type="dxa"/>
            <w:vAlign w:val="bottom"/>
          </w:tcPr>
          <w:p>
            <w:pPr>
              <w:ind w:left="500"/>
              <w:spacing w:after="0"/>
              <w:rPr>
                <w:sz w:val="20"/>
                <w:szCs w:val="20"/>
                <w:color w:val="auto"/>
              </w:rPr>
            </w:pPr>
            <w:r>
              <w:rPr>
                <w:rFonts w:ascii="Arial" w:cs="Arial" w:eastAsia="Arial" w:hAnsi="Arial"/>
                <w:sz w:val="32"/>
                <w:szCs w:val="32"/>
                <w:b w:val="1"/>
                <w:bCs w:val="1"/>
                <w:color w:val="auto"/>
              </w:rPr>
              <w:t>Change in Cash</w:t>
            </w:r>
          </w:p>
        </w:tc>
        <w:tc>
          <w:tcPr>
            <w:tcW w:w="1900" w:type="dxa"/>
            <w:vAlign w:val="bottom"/>
          </w:tcPr>
          <w:p>
            <w:pPr>
              <w:jc w:val="right"/>
              <w:ind w:right="451"/>
              <w:spacing w:after="0"/>
              <w:rPr>
                <w:sz w:val="20"/>
                <w:szCs w:val="20"/>
                <w:color w:val="auto"/>
              </w:rPr>
            </w:pPr>
            <w:r>
              <w:rPr>
                <w:rFonts w:ascii="Arial" w:cs="Arial" w:eastAsia="Arial" w:hAnsi="Arial"/>
                <w:sz w:val="34"/>
                <w:szCs w:val="34"/>
                <w:b w:val="1"/>
                <w:bCs w:val="1"/>
                <w:color w:val="auto"/>
              </w:rPr>
              <w:t>23</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313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8"/>
          <w:szCs w:val="28"/>
          <w:color w:val="auto"/>
        </w:rPr>
        <w:t>* 1,214,800 shares in 2007 and 1,970,300 shares in 2006.</w:t>
      </w:r>
    </w:p>
    <w:p>
      <w:pPr>
        <w:sectPr>
          <w:pgSz w:w="11900" w:h="16838" w:orient="portrait"/>
          <w:cols w:equalWidth="0" w:num="1">
            <w:col w:w="9920"/>
          </w:cols>
          <w:pgMar w:left="1160" w:top="459" w:right="819" w:bottom="1440" w:gutter="0" w:footer="0" w:header="0"/>
        </w:sectPr>
      </w:pPr>
    </w:p>
    <w:bookmarkStart w:id="29" w:name="page30"/>
    <w:bookmarkEnd w:id="29"/>
    <w:tbl>
      <w:tblPr>
        <w:tblLayout w:type="fixed"/>
        <w:tblInd w:w="2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2007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7"/>
          <w:szCs w:val="47"/>
          <w:color w:val="6698C2"/>
        </w:rPr>
        <w:t>Third Quarter Outlook</w:t>
      </w:r>
    </w:p>
    <w:p>
      <w:pPr>
        <w:sectPr>
          <w:pgSz w:w="11900" w:h="16838" w:orient="portrait"/>
          <w:cols w:equalWidth="0" w:num="1">
            <w:col w:w="10100"/>
          </w:cols>
          <w:pgMar w:left="980" w:top="459"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280" w:val="left"/>
        </w:tabs>
        <w:rPr>
          <w:sz w:val="20"/>
          <w:szCs w:val="20"/>
          <w:color w:val="auto"/>
        </w:rPr>
      </w:pPr>
      <w:r>
        <w:rPr>
          <w:rFonts w:ascii="Arial" w:cs="Arial" w:eastAsia="Arial" w:hAnsi="Arial"/>
          <w:sz w:val="34"/>
          <w:szCs w:val="34"/>
          <w:b w:val="1"/>
          <w:bCs w:val="1"/>
          <w:color w:val="6698C2"/>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France</w:t>
      </w:r>
    </w:p>
    <w:p>
      <w:pPr>
        <w:spacing w:after="0" w:line="79"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Other EMEA</w:t>
      </w:r>
    </w:p>
    <w:p>
      <w:pPr>
        <w:spacing w:after="0" w:line="79"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Italy</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32"/>
          <w:szCs w:val="32"/>
          <w:b w:val="1"/>
          <w:bCs w:val="1"/>
          <w:color w:val="auto"/>
        </w:rPr>
        <w:t>Right Management</w:t>
      </w:r>
    </w:p>
    <w:p>
      <w:pPr>
        <w:spacing w:after="0" w:line="79" w:lineRule="exact"/>
        <w:rPr>
          <w:sz w:val="20"/>
          <w:szCs w:val="20"/>
          <w:color w:val="auto"/>
        </w:rPr>
      </w:pPr>
    </w:p>
    <w:p>
      <w:pPr>
        <w:ind w:left="306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40" w:right="160" w:hanging="11"/>
        <w:spacing w:after="0" w:line="357" w:lineRule="auto"/>
        <w:rPr>
          <w:sz w:val="20"/>
          <w:szCs w:val="20"/>
          <w:color w:val="auto"/>
        </w:rPr>
      </w:pPr>
      <w:r>
        <w:rPr>
          <w:rFonts w:ascii="Arial" w:cs="Arial" w:eastAsia="Arial" w:hAnsi="Arial"/>
          <w:sz w:val="34"/>
          <w:szCs w:val="34"/>
          <w:b w:val="1"/>
          <w:bCs w:val="1"/>
          <w:color w:val="6698C2"/>
        </w:rPr>
        <w:t>Gross Profit Margin Operating Profit Margin</w:t>
      </w:r>
    </w:p>
    <w:p>
      <w:pPr>
        <w:spacing w:after="0" w:line="1" w:lineRule="exact"/>
        <w:rPr>
          <w:sz w:val="20"/>
          <w:szCs w:val="20"/>
          <w:color w:val="auto"/>
        </w:rPr>
      </w:pPr>
    </w:p>
    <w:p>
      <w:pPr>
        <w:ind w:left="40" w:hanging="22"/>
        <w:spacing w:after="0" w:line="369" w:lineRule="auto"/>
        <w:rPr>
          <w:sz w:val="20"/>
          <w:szCs w:val="20"/>
          <w:color w:val="auto"/>
        </w:rPr>
      </w:pPr>
      <w:r>
        <w:rPr>
          <w:rFonts w:ascii="Arial" w:cs="Arial" w:eastAsia="Arial" w:hAnsi="Arial"/>
          <w:sz w:val="34"/>
          <w:szCs w:val="34"/>
          <w:b w:val="1"/>
          <w:bCs w:val="1"/>
          <w:color w:val="6698C2"/>
        </w:rPr>
        <w:t xml:space="preserve">Tax Rate </w:t>
      </w:r>
      <w:r>
        <w:rPr>
          <w:rFonts w:ascii="Arial" w:cs="Arial" w:eastAsia="Arial" w:hAnsi="Arial"/>
          <w:sz w:val="18"/>
          <w:szCs w:val="18"/>
          <w:b w:val="1"/>
          <w:bCs w:val="1"/>
          <w:color w:val="6698C2"/>
        </w:rPr>
        <w:t>from Continuing Operations</w:t>
      </w:r>
      <w:r>
        <w:rPr>
          <w:rFonts w:ascii="Arial" w:cs="Arial" w:eastAsia="Arial" w:hAnsi="Arial"/>
          <w:sz w:val="34"/>
          <w:szCs w:val="34"/>
          <w:b w:val="1"/>
          <w:bCs w:val="1"/>
          <w:color w:val="6698C2"/>
        </w:rPr>
        <w:t xml:space="preserve"> EPS </w:t>
      </w:r>
      <w:r>
        <w:rPr>
          <w:rFonts w:ascii="Arial" w:cs="Arial" w:eastAsia="Arial" w:hAnsi="Arial"/>
          <w:sz w:val="18"/>
          <w:szCs w:val="18"/>
          <w:b w:val="1"/>
          <w:bCs w:val="1"/>
          <w:color w:val="6698C2"/>
        </w:rPr>
        <w:t>from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color w:val="auto"/>
        </w:rPr>
        <w:t>Down 6-8%</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11-13% (Up 4-6% CC)</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24-26% (Up 16-18% CC)</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21-23% (Up 13-15% CC)</w:t>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color w:val="auto"/>
        </w:rPr>
        <w:t>Down 7-9%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4-5% (Up 1-2% CC)</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12-14% (Up 10-12% CC)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13-15% (Up 7-9% CC)</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32"/>
          <w:szCs w:val="32"/>
          <w:color w:val="auto"/>
        </w:rPr>
        <w:t>18.1-18.3%</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32"/>
          <w:szCs w:val="32"/>
          <w:color w:val="auto"/>
        </w:rPr>
        <w:t>3.9 – 4.1%</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32"/>
          <w:szCs w:val="32"/>
          <w:color w:val="auto"/>
        </w:rPr>
        <w:t>38.0%</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30"/>
          <w:szCs w:val="30"/>
          <w:color w:val="auto"/>
        </w:rPr>
        <w:t>$1.39-$1.43 (Pos. $.08 Currency)</w:t>
      </w:r>
    </w:p>
    <w:p>
      <w:pPr>
        <w:sectPr>
          <w:pgSz w:w="11900" w:h="16838" w:orient="portrait"/>
          <w:cols w:equalWidth="0" w:num="2">
            <w:col w:w="4000" w:space="540"/>
            <w:col w:w="5560"/>
          </w:cols>
          <w:pgMar w:left="980" w:top="459" w:right="8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5"/>
          <w:szCs w:val="25"/>
          <w:b w:val="1"/>
          <w:bCs w:val="1"/>
          <w:color w:val="7EA19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rPr>
          <w:sz w:val="20"/>
          <w:szCs w:val="20"/>
          <w:color w:val="auto"/>
        </w:rPr>
      </w:pPr>
      <w:r>
        <w:rPr>
          <w:rFonts w:ascii="Arial" w:cs="Arial" w:eastAsia="Arial" w:hAnsi="Arial"/>
          <w:sz w:val="25"/>
          <w:szCs w:val="25"/>
          <w:b w:val="1"/>
          <w:bCs w:val="1"/>
          <w:color w:val="7EA190"/>
        </w:rPr>
        <w:t>2007 2</w:t>
      </w:r>
      <w:r>
        <w:rPr>
          <w:rFonts w:ascii="Arial" w:cs="Arial" w:eastAsia="Arial" w:hAnsi="Arial"/>
          <w:sz w:val="35"/>
          <w:szCs w:val="35"/>
          <w:b w:val="1"/>
          <w:bCs w:val="1"/>
          <w:color w:val="7EA190"/>
          <w:vertAlign w:val="superscript"/>
        </w:rPr>
        <w:t>nd</w:t>
      </w:r>
      <w:r>
        <w:rPr>
          <w:rFonts w:ascii="Arial" w:cs="Arial" w:eastAsia="Arial" w:hAnsi="Arial"/>
          <w:sz w:val="25"/>
          <w:szCs w:val="25"/>
          <w:b w:val="1"/>
          <w:bCs w:val="1"/>
          <w:color w:val="7EA190"/>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-45720</wp:posOffset>
            </wp:positionV>
            <wp:extent cx="4128770" cy="4315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July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639"/>
        <w:spacing w:after="0"/>
        <w:rPr>
          <w:sz w:val="20"/>
          <w:szCs w:val="20"/>
          <w:color w:val="auto"/>
        </w:rPr>
      </w:pPr>
      <w:r>
        <w:rPr>
          <w:rFonts w:ascii="Arial" w:cs="Arial" w:eastAsia="Arial" w:hAnsi="Arial"/>
          <w:sz w:val="94"/>
          <w:szCs w:val="94"/>
          <w:color w:val="auto"/>
        </w:rPr>
        <w:t>Answers</w:t>
      </w:r>
    </w:p>
    <w:sectPr>
      <w:pgSz w:w="11900" w:h="16838" w:orient="portrait"/>
      <w:cols w:equalWidth="0" w:num="1">
        <w:col w:w="10099"/>
      </w:cols>
      <w:pgMar w:left="36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2019-12-11T21:32:01Z</dcterms:created>
  <dcterms:modified xsi:type="dcterms:W3CDTF">2019-12-11T21:32:01Z</dcterms:modified>
</cp:coreProperties>
</file>