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27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8"/>
              </w:rPr>
              <w:t>WISCONSIN</w:t>
            </w:r>
          </w:p>
        </w:tc>
        <w:tc>
          <w:tcPr>
            <w:tcW w:w="5660" w:type="dxa"/>
            <w:vAlign w:val="bottom"/>
            <w:gridSpan w:val="3"/>
          </w:tcPr>
          <w:p>
            <w:pPr>
              <w:jc w:val="right"/>
              <w:ind w:right="1224"/>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32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incorporation or organization)</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32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6"/>
              </w:rPr>
              <w:t>5301 NORTH IRONWOOD ROAD</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1"/>
        </w:trPr>
        <w:tc>
          <w:tcPr>
            <w:tcW w:w="32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MILWAUKEE, WISCONSIN</w:t>
            </w:r>
          </w:p>
        </w:tc>
        <w:tc>
          <w:tcPr>
            <w:tcW w:w="5660" w:type="dxa"/>
            <w:vAlign w:val="bottom"/>
            <w:gridSpan w:val="3"/>
          </w:tcPr>
          <w:p>
            <w:pPr>
              <w:jc w:val="right"/>
              <w:ind w:right="1424"/>
              <w:spacing w:after="0"/>
              <w:rPr>
                <w:sz w:val="20"/>
                <w:szCs w:val="20"/>
                <w:color w:val="auto"/>
              </w:rPr>
            </w:pPr>
            <w:r>
              <w:rPr>
                <w:rFonts w:ascii="Arial" w:cs="Arial" w:eastAsia="Arial" w:hAnsi="Arial"/>
                <w:sz w:val="18"/>
                <w:szCs w:val="18"/>
                <w:b w:val="1"/>
                <w:bCs w:val="1"/>
                <w:color w:val="auto"/>
              </w:rPr>
              <w:t>53217</w:t>
            </w:r>
          </w:p>
        </w:tc>
      </w:tr>
      <w:tr>
        <w:trPr>
          <w:trHeight w:val="174"/>
        </w:trPr>
        <w:tc>
          <w:tcPr>
            <w:tcW w:w="3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560" w:type="dxa"/>
            <w:vAlign w:val="bottom"/>
          </w:tcPr>
          <w:p>
            <w:pPr>
              <w:spacing w:after="0"/>
              <w:rPr>
                <w:sz w:val="24"/>
                <w:szCs w:val="24"/>
                <w:color w:val="auto"/>
              </w:rPr>
            </w:pPr>
          </w:p>
        </w:tc>
        <w:tc>
          <w:tcPr>
            <w:tcW w:w="8360" w:type="dxa"/>
            <w:vAlign w:val="bottom"/>
            <w:gridSpan w:val="5"/>
          </w:tcPr>
          <w:p>
            <w:pPr>
              <w:jc w:val="center"/>
              <w:ind w:right="924"/>
              <w:spacing w:after="0"/>
              <w:rPr>
                <w:sz w:val="20"/>
                <w:szCs w:val="20"/>
                <w:color w:val="auto"/>
              </w:rPr>
            </w:pPr>
            <w:r>
              <w:rPr>
                <w:rFonts w:ascii="Arial" w:cs="Arial" w:eastAsia="Arial" w:hAnsi="Arial"/>
                <w:sz w:val="18"/>
                <w:szCs w:val="18"/>
                <w:b w:val="1"/>
                <w:bCs w:val="1"/>
                <w:color w:val="auto"/>
                <w:w w:val="87"/>
              </w:rPr>
              <w:t>Registrant’s telephone number, including area code: (414) 961-1000</w:t>
            </w:r>
          </w:p>
        </w:tc>
      </w:tr>
      <w:tr>
        <w:trPr>
          <w:trHeight w:val="178"/>
        </w:trPr>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383"/>
        </w:trPr>
        <w:tc>
          <w:tcPr>
            <w:tcW w:w="560" w:type="dxa"/>
            <w:vAlign w:val="bottom"/>
          </w:tcPr>
          <w:p>
            <w:pPr>
              <w:spacing w:after="0"/>
              <w:rPr>
                <w:sz w:val="24"/>
                <w:szCs w:val="24"/>
                <w:color w:val="auto"/>
              </w:rPr>
            </w:pPr>
          </w:p>
        </w:tc>
        <w:tc>
          <w:tcPr>
            <w:tcW w:w="8360" w:type="dxa"/>
            <w:vAlign w:val="bottom"/>
            <w:gridSpan w:val="5"/>
          </w:tcPr>
          <w:p>
            <w:pPr>
              <w:jc w:val="center"/>
              <w:ind w:right="9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65"/>
        </w:trPr>
        <w:tc>
          <w:tcPr>
            <w:tcW w:w="560" w:type="dxa"/>
            <w:vAlign w:val="bottom"/>
          </w:tcPr>
          <w:p>
            <w:pPr>
              <w:spacing w:after="0"/>
              <w:rPr>
                <w:sz w:val="24"/>
                <w:szCs w:val="24"/>
                <w:color w:val="auto"/>
              </w:rPr>
            </w:pPr>
          </w:p>
        </w:tc>
        <w:tc>
          <w:tcPr>
            <w:tcW w:w="27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3"/>
              </w:rPr>
              <w:t>Title of each class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Exchange on which registered</w:t>
            </w:r>
          </w:p>
        </w:tc>
      </w:tr>
      <w:tr>
        <w:trPr>
          <w:trHeight w:val="110"/>
        </w:trPr>
        <w:tc>
          <w:tcPr>
            <w:tcW w:w="56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316"/>
        </w:trPr>
        <w:tc>
          <w:tcPr>
            <w:tcW w:w="3260" w:type="dxa"/>
            <w:vAlign w:val="bottom"/>
            <w:gridSpan w:val="3"/>
          </w:tcPr>
          <w:p>
            <w:pPr>
              <w:jc w:val="center"/>
              <w:ind w:right="600"/>
              <w:spacing w:after="0"/>
              <w:rPr>
                <w:sz w:val="20"/>
                <w:szCs w:val="20"/>
                <w:color w:val="auto"/>
              </w:rPr>
            </w:pPr>
            <w:r>
              <w:rPr>
                <w:rFonts w:ascii="Arial" w:cs="Arial" w:eastAsia="Arial" w:hAnsi="Arial"/>
                <w:sz w:val="18"/>
                <w:szCs w:val="18"/>
                <w:color w:val="auto"/>
                <w:w w:val="88"/>
              </w:rPr>
              <w:t>Common Stock, $.01 par value</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184" w:lineRule="exact"/>
        <w:tabs>
          <w:tab w:leader="none" w:pos="934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was $3,855,427,799 as of February 17, 2004. As of February 17, 2004, there were 87,464,333 of the registrant’s shares of common stock outstanding.</w:t>
      </w:r>
    </w:p>
    <w:p>
      <w:pPr>
        <w:spacing w:after="0" w:line="11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right="420" w:firstLine="456"/>
        <w:spacing w:after="0" w:line="332" w:lineRule="auto"/>
        <w:rPr>
          <w:sz w:val="20"/>
          <w:szCs w:val="20"/>
          <w:color w:val="auto"/>
        </w:rPr>
      </w:pPr>
      <w:r>
        <w:rPr>
          <w:rFonts w:ascii="Arial" w:cs="Arial" w:eastAsia="Arial" w:hAnsi="Arial"/>
          <w:sz w:val="16"/>
          <w:szCs w:val="16"/>
          <w:color w:val="auto"/>
        </w:rPr>
        <w:t>Parts I and II incorporate information by reference from the Annual Report to Shareholders for the fiscal year ended December 31, 2003. Part III is incorporated by reference from the Proxy Statement for the Annual Meeting of Shareholders to be held on April 27,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422"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“Manpower,” “we,” “our,” “us,” or “the Company” refer to Manpower Inc. or Manpower Inc. and its consolidated subsidiaries, as appropriate in the context.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Introduction and History</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world leader in the employment services industry, offering customers a continuum of services to meet their needs throughout the employment and business cycle. Our worldwide network of over 4,000 offices in 66 countries and territories enables us to meet the needs of our customers in all industry segments. We provide a wide range of human resource services, including:</w:t>
      </w:r>
    </w:p>
    <w:p>
      <w:pPr>
        <w:spacing w:after="0" w:line="12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permanent, temporary, and contract recruitment,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assessment,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training,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audit, accounting, technology and tax services,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organizational consulting services.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provide services to a wide variety of customers, none of which individually comprise a significant portion of revenues within a given geographic region or for us as a whole.</w:t>
      </w:r>
    </w:p>
    <w:p>
      <w:pPr>
        <w:spacing w:after="0" w:line="118"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We have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7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were organized in 1991 as a holding company to acquire Manpower PLC, which indirectly owned Manpower International Inc. Manpower International Inc. was our primary operating subsidiary until June 30, 1996, when it was merged into us. The predecessor of Manpower International Inc. was organized in 1948 and its shares were listed on the New York Stock Exchange in 1962.</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Our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United States, our operations under the Manpower brand are carried out through both branch and franchise offices. We had 690 branch and 352 franchise offices in the United States as of December 31, 2003. We provide a number of central support services to our branches and franchises, which enable us to maintain consistent service quality throughout the United States regardless of whether an office is a branch or franchise. We provide customer invoicing and payroll processing of our temporary employees for all branch offices and a majority of our franchise offices through our Milwaukee headquarters.</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7"/>
          <w:szCs w:val="17"/>
          <w:color w:val="auto"/>
        </w:rPr>
        <w:t>Our franchise agreements provide the franchisee with the right to use the Manpower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United States, our Manpower branch operations are primarily related to providing temporary employment services. During 2003, approximately 35% of our United States temporary staffing revenues were derived from placing office staff, including contact center staff, 43% from placing industrial staff and 22% from placing professional and technical staff.</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also conduct business in the United States under our Jefferson Wells and Empower brands. These operations are discussed further in the “Other Operations” section.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a leading temporary employment service provider in France. We conduct our operations in France and the surrounding region through 1,009 branch offices under the name of Manpower and 69 branch offices under the name Supplay.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temporary services market in France is predominately industrial. In 2003, we derived approximately 69% of our revenue in France from the supply of industrial staff, 16% from the supply of construction workers and 15% from the supply of office staff.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Middle East and Africa (excluding France), or EMEA</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leading supplier of human resource services throughout this region and our largest operations are in the Germany, Italy, the Netherlands, Norway, Spain, Sweden, and United Kingdom. Collectively, we operate through 1,351 branch offices and 55 franchise offices in this region. Our franchise offices are primarily located in Switzerland, where we own 49% of the franchise.</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Manpower UK is a leading supplier of temporary employment services in the United Kingdom. As of December 31, 2003, Manpower UK conducted operations in the United Kingdom through a network of 126 branch offices and also by providing on-site services to customers who have significant temporary staffing requirements. During 2003, approximately 43% of Manpower UK’s revenues were derived from the supply of office staff, including contact center staff, 23% from the supply of industrial staff, and 34% from the supply of technical staff.</w:t>
      </w:r>
    </w:p>
    <w:p>
      <w:pPr>
        <w:spacing w:after="0" w:line="13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also own Brook Street Bureau PLC, or Brook Street, which operates through a total of 156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2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Also included in our EMEA operations is Elan, which is a leading IT and technical recruitment staffing firm. In addition to IT and technical recruitment, Elan provides Managed Service Solutions to customers, which enable them to recruit personnel efficiently and achieve ongoing cost savings. Elan provides IT staffing solutions in 16 countries.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operate under the Manpower name through 491 branch offices and 24 franchise offices in the other markets of the world. The largest of these operations are located in Japan, Australia and Mexico, all of which operate through branch offices, and Canada, which operates through branch and franchise offices. Other significant operations are located throughout Central and South America and Asia. In most of these countries, we primarily supply temporary workers to the industrial, general office and technical markets.</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also own Jefferson Wells International, Inc., or Jefferson Wells, a global provider of professional services in the areas of internal audit, accounting, technology and tax services. Jefferson Wells was acquired in 2001 and operates through a network of 36 branch offices across North America.</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included in this segment is The Empower Group, or Empower, an independent operating division, that provides organizational performance consulting services to multi-national corporations worldwide. Empower is headquartered in London and has over 25 branch offices in 12 countries worldwide. The largest operations are located in Australia, Norway, Singapore, Sweden, the Netherlands, the United Kingdom and the United States. As of January 22, 2004, we acquired Right Management Consultants, Inc., or Right, the world’s largest career transition and organizational consulting firm. Empower will be merged into Right during 2004.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temporary employment services market throughout the world is highly competitive and highly fragmented with more than 15,000 firms competing in the industry throughout the world. In addition to us, the largest publicly owned companies specializing in temporary employment services are Adecco, S.A. (Switzerland), Vedior N.V. (Netherlands), Randstad Holding N.V. (Netherlands) and Kelly Services, Inc. (U.S.).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Historically, in periods of economic prosperity, the number of firms operating in the temporary staffing industry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3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temporary staffing industry, competition is often limited to firms with offices located within a customer’s particular local market because temporary employees (aside from certain employees in the professional services segment) are generally unwilling to travel long distances. In most major markets, competitors generally include many of the publicly traded companies and numerous regional and local competitors, some of which may operate only in a single market. Governmental entities or agencies, such as state employment offices in the United Kingdom and many European countries may also compete in some markets.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customers rely on temporary employment firms having offices within the local area in which they operate, competition varies from market-to-market and country-to-country. In most areas, no single company has a dominant share of the market. Many customers use more than one temporary employment services provider; however, in recent years, the practice of using a limited number of temporary suppliers, a sole temporary supplier or a primary supplier has become increasingly important among the largest customers. These sole supplier relationships can have a significant impact on our revenue and operating profit growth as volume reductions by such customers, whether related to economic factors or otherwise, could have an adverse effect on our results in any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Competition</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Temporary staffing firms act as intermediaries in matching available temporary workers to employer assignments. As a result, temporary staffing firms compete both to recruit and retain a supply of workers and to attract customers to employ temporary employees. Competition is generally limited to firms having offices located in a specific local geographic market. Depending on the economy of a particular market at any point in time, it may be necessary for us to place greater emphasis on recruitment and retention of temporary workers or marketing to customers. We recruit temporary workers through a wide variety of means, principally personal referrals and advertisements and by providing an attractive compensation package in jurisdictions where such benefits are not otherwise required by law, including health insurance, vacation and holiday pay, incentive and pension plans and a recognition program. We also use certain online resources, through structured relationships, to help in our recruiting efforts.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Methods used to market temporary services to customers vary depending on the customer’s perceived need for temporary workers, the local labor supply, the length of assignment and the number of workers required. Depending on these factors, we compete by means of quality of service provided, scope of service offered and price. In the temporary staffing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We have developed a variety of proprietary programs for identifying and assessing the skill level of our temporary workers, which are used in selecting a particular individual for a specific assignment. The programs include:</w:t>
      </w:r>
    </w:p>
    <w:p>
      <w:pPr>
        <w:spacing w:after="0" w:line="49"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Ultraskill</w:t>
      </w:r>
      <w:r>
        <w:rPr>
          <w:rFonts w:ascii="Arial" w:cs="Arial" w:eastAsia="Arial" w:hAnsi="Arial"/>
          <w:sz w:val="22"/>
          <w:szCs w:val="22"/>
          <w:color w:val="auto"/>
          <w:vertAlign w:val="superscript"/>
        </w:rPr>
        <w:t>®</w:t>
      </w:r>
      <w:r>
        <w:rPr>
          <w:rFonts w:ascii="Arial" w:cs="Arial" w:eastAsia="Arial" w:hAnsi="Arial"/>
          <w:sz w:val="18"/>
          <w:szCs w:val="18"/>
          <w:color w:val="auto"/>
        </w:rPr>
        <w:t>—for clerical skills,</w:t>
      </w:r>
    </w:p>
    <w:p>
      <w:pPr>
        <w:spacing w:after="0" w:line="44"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Sureskill—for office automation skills such as word processing, spreadsheet, and presentation graphics,</w:t>
      </w:r>
    </w:p>
    <w:p>
      <w:pPr>
        <w:spacing w:after="0" w:line="62"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Ultradex—for several important light industrial skills,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Predicta—for critical general office skills,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Teleskill—for customer service and contact center skills,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Linguaskill—for language skills,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Phoneskill—for verbal communication skills.</w:t>
      </w:r>
    </w:p>
    <w:p>
      <w:pPr>
        <w:spacing w:after="0" w:line="15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believe that our assessment systems enable us to offer a higher quality service by increasing productivity, decreasing turnover and reducing absenteeism.</w:t>
      </w:r>
    </w:p>
    <w:p>
      <w:pPr>
        <w:spacing w:after="0" w:line="11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for temporary work, through the use of training systems.</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We have developed the Global Learning Center, or GLC, an on-line university for our permanent employees and temporary workers. The GLC provides skills training, assessment and other career-related services. Students of the GLC have access to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which trains office workers on over 50 different applications from a variety of developers including Microsoft and Lotus.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is also available to prepare workers for positions in contact centers, banks and other organizations where transaction processing skills are required, and to improve general office skills such as spelling, punctuation and keyboard skills. Students can also select from more than 1,500 courses in the areas of client server, programming, Internet development, and business skills. The training prepares technical employees for certification testing by guiding them through E-Commerce, Visual Basic, C++ Programming, COBOL, JAVA, SAP, PowerBuilder, IEEE LAN Architecture and more. This training is available in a number of different languages, including English, Finnish, French, German, Greek, Italian, Japanese, Portuguese and Spanish.</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continue to evolve a thoughtful and comprehensive approach to our web-based service offerings for candidates, employees, customers and prospective customers. In doing so, we continue to evaluate the need to enhance existing services or products, develop new products, or enter into key strategic relationships with outside providers to offer optimal value propositions in our market segments.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currently use and offer UltraSource and the next generation of the product, UltraSource 02, which are proprietary, Internet-based comprehensive order management systems. These advanced web-based tools provide efficiency to our major customers, subcontractors and internal operations by managing the order workflow.</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Although temporary staffing firms compete in a local market, for administrative purposes, the largest customers demand national, and increasingly global, arrangements. A large national or multi-national customer will frequently enter into non-exclusive arrangements with several firms, with the ultimate choice among them being left to its local managers; this effectively limits competition to the few firms, including us, with large branch networks. National and multi-national arrangements, which generally have agreed-upon pricing or mark-up on services performed, represented approximately 40% of our sales in 2003.</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temporary employment services industry is closely regulated in all of the major markets in which we operate, except the United States and Canada.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Temporary employment service firms are generally subject to one or more of the following types of government regulation:</w:t>
      </w:r>
    </w:p>
    <w:p>
      <w:pPr>
        <w:spacing w:after="0" w:line="70"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employees,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employees by customers.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use our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us.</w:t>
      </w:r>
    </w:p>
    <w:p>
      <w:pPr>
        <w:spacing w:after="0" w:line="130"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In many countries, including the United States and the United Kingdom, temporary employment services firms are considered the legal employers of temporary workers. Therefore, laws regulating the employer/employee relationship, such as tax withholding or reporting, social security or retirement, anti-discrimination and workers’ compensation, govern the firm.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9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9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to licensing or registration requirements, many countries impose substantive restrictions on the use of temporary employment services. Such restrictions include regulations affecting the types of work permitted, the maximum length of a temporary assignment, wage levels or reasons for which temporary workers may be employed. In some countries special taxes, fees or costs are imposed in connection with the use of temporary workers. For example, temporary workers in France are entitled to a 10% allowance for the uncertain duration of employment, which is eliminated if a full-time position is offered to them within three days. In some countries, the contract of employment with the temporary employee must differ from the length of assignment.</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These laws and related rules and regulations impose specific disclosure requirements. Virtually all states also regulate the termination of franchises.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Operations—Legal Regulations” which is found in our 2003 Annual Report to Shareholders and which is incorporated herein by reference.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Trademarks</w:t>
      </w:r>
    </w:p>
    <w:p>
      <w:pPr>
        <w:spacing w:after="0" w:line="77" w:lineRule="exact"/>
        <w:rPr>
          <w:sz w:val="20"/>
          <w:szCs w:val="20"/>
          <w:color w:val="auto"/>
        </w:rPr>
      </w:pPr>
    </w:p>
    <w:p>
      <w:pPr>
        <w:jc w:val="both"/>
        <w:ind w:right="140" w:firstLine="456"/>
        <w:spacing w:after="0" w:line="235" w:lineRule="auto"/>
        <w:rPr>
          <w:sz w:val="20"/>
          <w:szCs w:val="20"/>
          <w:color w:val="auto"/>
        </w:rPr>
      </w:pPr>
      <w:r>
        <w:rPr>
          <w:rFonts w:ascii="Arial" w:cs="Arial" w:eastAsia="Arial" w:hAnsi="Arial"/>
          <w:sz w:val="18"/>
          <w:szCs w:val="18"/>
          <w:color w:val="auto"/>
        </w:rPr>
        <w:t>We maintain a number of registered trademarks, trade names and service marks in the United States and certain other countries. We believe that many of these marks and trade names, including Manpower</w:t>
      </w:r>
      <w:r>
        <w:rPr>
          <w:rFonts w:ascii="Arial" w:cs="Arial" w:eastAsia="Arial" w:hAnsi="Arial"/>
          <w:sz w:val="22"/>
          <w:szCs w:val="22"/>
          <w:color w:val="auto"/>
          <w:vertAlign w:val="superscript"/>
        </w:rPr>
        <w:t>®</w:t>
      </w:r>
      <w:r>
        <w:rPr>
          <w:rFonts w:ascii="Arial" w:cs="Arial" w:eastAsia="Arial" w:hAnsi="Arial"/>
          <w:sz w:val="18"/>
          <w:szCs w:val="18"/>
          <w:color w:val="auto"/>
        </w:rPr>
        <w:t>, Ultraskill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Skillware</w:t>
      </w:r>
      <w:r>
        <w:rPr>
          <w:rFonts w:ascii="Arial" w:cs="Arial" w:eastAsia="Arial" w:hAnsi="Arial"/>
          <w:sz w:val="22"/>
          <w:szCs w:val="22"/>
          <w:color w:val="auto"/>
          <w:vertAlign w:val="superscript"/>
        </w:rPr>
        <w:t>®</w:t>
      </w:r>
      <w:r>
        <w:rPr>
          <w:rFonts w:ascii="Arial" w:cs="Arial" w:eastAsia="Arial" w:hAnsi="Arial"/>
          <w:sz w:val="18"/>
          <w:szCs w:val="18"/>
          <w:color w:val="auto"/>
        </w:rPr>
        <w:t>, have significant value and are materially important to our business. In addition, we maintain other intangible property rights.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had approximately 21,600 full-time equivalent employees as of December 31, 2003. In addition, we estimate that we assign approximately 2.3 million temporary workers on a worldwide basis each year.</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described above, in most jurisdictions, we, as the employer of our temporary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employees.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Note 15 to our consolidated financial statements sets forth the information required for each segment and geographical area for the years ended December 31, 2003, 2002 and 2001. Such note is found in our 2003 Annual Report to Shareholders and is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Our international headquarters are in Glendale, Wisconsin, a suburb of Milwaukee. We own, free of any material encumbrances, an 82,000 square foot building and a 32,000 square foot building situated on a sixteen-acre site in Glendale, Wisconsin. We also own additional properties at various other locations worldwide, which are not material.</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Most of our operations are conducted from leased premises and we do not anticipate any difficulty in renewing these leases or in finding alternative sites in the ordinary course of business.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120" w:type="dxa"/>
            <w:vAlign w:val="bottom"/>
            <w:gridSpan w:val="3"/>
          </w:tcPr>
          <w:p>
            <w:pPr>
              <w:ind w:left="1780"/>
              <w:spacing w:after="0"/>
              <w:rPr>
                <w:sz w:val="20"/>
                <w:szCs w:val="20"/>
                <w:color w:val="auto"/>
              </w:rPr>
            </w:pPr>
            <w:r>
              <w:rPr>
                <w:rFonts w:ascii="Arial" w:cs="Arial" w:eastAsia="Arial" w:hAnsi="Arial"/>
                <w:sz w:val="18"/>
                <w:szCs w:val="18"/>
                <w:b w:val="1"/>
                <w:bCs w:val="1"/>
                <w:color w:val="auto"/>
              </w:rPr>
              <w:t>EXECUTIVE OFFICERS OF MANPOWER</w:t>
            </w:r>
          </w:p>
        </w:tc>
      </w:tr>
      <w:tr>
        <w:trPr>
          <w:trHeight w:val="312"/>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 of Officer</w:t>
            </w:r>
          </w:p>
        </w:tc>
        <w:tc>
          <w:tcPr>
            <w:tcW w:w="4660" w:type="dxa"/>
            <w:vAlign w:val="bottom"/>
          </w:tcPr>
          <w:p>
            <w:pPr>
              <w:spacing w:after="0"/>
              <w:rPr>
                <w:sz w:val="24"/>
                <w:szCs w:val="24"/>
                <w:color w:val="auto"/>
              </w:rPr>
            </w:pPr>
          </w:p>
        </w:tc>
        <w:tc>
          <w:tcPr>
            <w:tcW w:w="4460" w:type="dxa"/>
            <w:vAlign w:val="bottom"/>
            <w:gridSpan w:val="2"/>
          </w:tcPr>
          <w:p>
            <w:pPr>
              <w:ind w:left="60"/>
              <w:spacing w:after="0"/>
              <w:rPr>
                <w:sz w:val="20"/>
                <w:szCs w:val="20"/>
                <w:color w:val="auto"/>
              </w:rPr>
            </w:pPr>
            <w:r>
              <w:rPr>
                <w:rFonts w:ascii="Arial" w:cs="Arial" w:eastAsia="Arial" w:hAnsi="Arial"/>
                <w:sz w:val="14"/>
                <w:szCs w:val="14"/>
                <w:b w:val="1"/>
                <w:bCs w:val="1"/>
                <w:color w:val="auto"/>
              </w:rPr>
              <w:t>Office</w:t>
            </w:r>
          </w:p>
        </w:tc>
      </w:tr>
      <w:tr>
        <w:trPr>
          <w:trHeight w:val="95"/>
        </w:trPr>
        <w:tc>
          <w:tcPr>
            <w:tcW w:w="12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r>
      <w:tr>
        <w:trPr>
          <w:trHeight w:val="309"/>
        </w:trPr>
        <w:tc>
          <w:tcPr>
            <w:tcW w:w="2240" w:type="dxa"/>
            <w:vAlign w:val="bottom"/>
            <w:gridSpan w:val="2"/>
          </w:tcPr>
          <w:p>
            <w:pPr>
              <w:spacing w:after="0"/>
              <w:rPr>
                <w:sz w:val="20"/>
                <w:szCs w:val="20"/>
                <w:color w:val="auto"/>
              </w:rPr>
            </w:pPr>
            <w:r>
              <w:rPr>
                <w:rFonts w:ascii="Arial" w:cs="Arial" w:eastAsia="Arial" w:hAnsi="Arial"/>
                <w:sz w:val="18"/>
                <w:szCs w:val="18"/>
                <w:color w:val="auto"/>
              </w:rPr>
              <w:t>Jeffery A. Joerres</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2"/>
              </w:rPr>
              <w:t>Chairman of Manpower since May, 2001, and President and Chief Executive Officer of Manpower since April, 1999.</w:t>
            </w:r>
          </w:p>
        </w:tc>
      </w:tr>
      <w:tr>
        <w:trPr>
          <w:trHeight w:val="216"/>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Age 44</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0"/>
              </w:rPr>
              <w:t>Senior Vice President—European Operations and Marketing and Major Account Development of Manpower from July,</w:t>
            </w:r>
          </w:p>
        </w:tc>
      </w:tr>
      <w:tr>
        <w:trPr>
          <w:trHeight w:val="216"/>
        </w:trPr>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1"/>
              </w:rPr>
              <w:t>1998 to April, 1999. Senior Vice President—Major Account Development of Manpower from November, 1995 to July,</w:t>
            </w:r>
          </w:p>
        </w:tc>
      </w:tr>
      <w:tr>
        <w:trPr>
          <w:trHeight w:val="216"/>
        </w:trPr>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5"/>
              </w:rPr>
              <w:t>1998. A director of Artisan Funds, Inc. and Johnson Controls, Inc. A director of Manpower since April, 1999. An</w:t>
            </w:r>
          </w:p>
        </w:tc>
      </w:tr>
      <w:tr>
        <w:trPr>
          <w:trHeight w:val="222"/>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rPr>
              <w:t>employee of Manpower since July, 1993.</w:t>
            </w:r>
          </w:p>
        </w:tc>
      </w:tr>
      <w:tr>
        <w:trPr>
          <w:trHeight w:val="318"/>
        </w:trPr>
        <w:tc>
          <w:tcPr>
            <w:tcW w:w="224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0"/>
              </w:rPr>
              <w:t>Executive Vice President, Chief Financial Officer and Secretary of Manpower since April, 2002. Senior Vice President,</w:t>
            </w:r>
          </w:p>
        </w:tc>
      </w:tr>
      <w:tr>
        <w:trPr>
          <w:trHeight w:val="216"/>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Age 44</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3"/>
              </w:rPr>
              <w:t>Chief Financial Officer and Secretary of Manpower from August, 1999 to April, 2002. Senior Vice President, Chief</w:t>
            </w:r>
          </w:p>
        </w:tc>
      </w:tr>
      <w:tr>
        <w:trPr>
          <w:trHeight w:val="216"/>
        </w:trPr>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1"/>
              </w:rPr>
              <w:t>Financial Officer, Treasurer and Secretary of Manpower from July, 1998 to August, 1999. An employee of Manpower</w:t>
            </w:r>
          </w:p>
        </w:tc>
      </w:tr>
      <w:tr>
        <w:trPr>
          <w:trHeight w:val="222"/>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rPr>
              <w:t>since May, 1989.</w:t>
            </w:r>
          </w:p>
        </w:tc>
      </w:tr>
      <w:tr>
        <w:trPr>
          <w:trHeight w:val="318"/>
        </w:trPr>
        <w:tc>
          <w:tcPr>
            <w:tcW w:w="2240" w:type="dxa"/>
            <w:vAlign w:val="bottom"/>
            <w:gridSpan w:val="2"/>
          </w:tcPr>
          <w:p>
            <w:pPr>
              <w:spacing w:after="0"/>
              <w:rPr>
                <w:sz w:val="20"/>
                <w:szCs w:val="20"/>
                <w:color w:val="auto"/>
              </w:rPr>
            </w:pPr>
            <w:r>
              <w:rPr>
                <w:rFonts w:ascii="Arial" w:cs="Arial" w:eastAsia="Arial" w:hAnsi="Arial"/>
                <w:sz w:val="18"/>
                <w:szCs w:val="18"/>
                <w:color w:val="auto"/>
              </w:rPr>
              <w:t>Barbara J. Beck</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1"/>
              </w:rPr>
              <w:t>Executive Vice President of Manpower—United States and Canadian Operations since January, 2002. Independent</w:t>
            </w:r>
          </w:p>
        </w:tc>
      </w:tr>
      <w:tr>
        <w:trPr>
          <w:trHeight w:val="216"/>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Age 43</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89"/>
              </w:rPr>
              <w:t>consultant from August, 2000 to January, 2002. Area Vice President and General Manager of United States—West for</w:t>
            </w:r>
          </w:p>
        </w:tc>
      </w:tr>
      <w:tr>
        <w:trPr>
          <w:trHeight w:val="222"/>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rPr>
              <w:t>Sprint Corporation from February, 1996 to August, 2000. An employee of Manpower since January, 2002</w:t>
            </w:r>
          </w:p>
        </w:tc>
      </w:tr>
      <w:tr>
        <w:trPr>
          <w:trHeight w:val="318"/>
        </w:trPr>
        <w:tc>
          <w:tcPr>
            <w:tcW w:w="2240" w:type="dxa"/>
            <w:vAlign w:val="bottom"/>
            <w:gridSpan w:val="2"/>
          </w:tcPr>
          <w:p>
            <w:pPr>
              <w:spacing w:after="0"/>
              <w:rPr>
                <w:sz w:val="20"/>
                <w:szCs w:val="20"/>
                <w:color w:val="auto"/>
              </w:rPr>
            </w:pPr>
            <w:r>
              <w:rPr>
                <w:rFonts w:ascii="Arial" w:cs="Arial" w:eastAsia="Arial" w:hAnsi="Arial"/>
                <w:sz w:val="18"/>
                <w:szCs w:val="18"/>
                <w:color w:val="auto"/>
              </w:rPr>
              <w:t>Jean-Pierre Lemonnier</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3"/>
              </w:rPr>
              <w:t>Executive Vice President of Manpower and President of Manpower France since April, 2002. Managing Director of</w:t>
            </w:r>
          </w:p>
        </w:tc>
      </w:tr>
      <w:tr>
        <w:trPr>
          <w:trHeight w:val="216"/>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Age 45</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4"/>
              </w:rPr>
              <w:t>Manpower France from March, 2002 to April, 2002. Director of Operations, Manpower France from April, 1998 to</w:t>
            </w:r>
          </w:p>
        </w:tc>
      </w:tr>
      <w:tr>
        <w:trPr>
          <w:trHeight w:val="222"/>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rPr>
              <w:t>March, 2002. An employee of Manpower since April, 1998.</w:t>
            </w:r>
          </w:p>
        </w:tc>
      </w:tr>
      <w:tr>
        <w:trPr>
          <w:trHeight w:val="318"/>
        </w:trPr>
        <w:tc>
          <w:tcPr>
            <w:tcW w:w="2240" w:type="dxa"/>
            <w:vAlign w:val="bottom"/>
            <w:gridSpan w:val="2"/>
          </w:tcPr>
          <w:p>
            <w:pPr>
              <w:spacing w:after="0"/>
              <w:rPr>
                <w:sz w:val="20"/>
                <w:szCs w:val="20"/>
                <w:color w:val="auto"/>
              </w:rPr>
            </w:pPr>
            <w:r>
              <w:rPr>
                <w:rFonts w:ascii="Arial" w:cs="Arial" w:eastAsia="Arial" w:hAnsi="Arial"/>
                <w:sz w:val="18"/>
                <w:szCs w:val="18"/>
                <w:color w:val="auto"/>
              </w:rPr>
              <w:t>Yoav Michaely</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2"/>
              </w:rPr>
              <w:t>Executive Vice President and Managing Director of Other Europe, Middle East and Africa for Manpower since April,</w:t>
            </w:r>
          </w:p>
        </w:tc>
      </w:tr>
      <w:tr>
        <w:trPr>
          <w:trHeight w:val="216"/>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Age 47</w:t>
            </w: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91"/>
              </w:rPr>
              <w:t>2002. Senior Vice President of Manpower and Managing Director—European Region from December, 1999 to April,</w:t>
            </w:r>
          </w:p>
        </w:tc>
      </w:tr>
      <w:tr>
        <w:trPr>
          <w:trHeight w:val="216"/>
        </w:trPr>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Arial" w:cs="Arial" w:eastAsia="Arial" w:hAnsi="Arial"/>
                <w:sz w:val="18"/>
                <w:szCs w:val="18"/>
                <w:color w:val="auto"/>
                <w:w w:val="88"/>
              </w:rPr>
              <w:t>2002. Regional Director—Southern Europe from September, 1996 to December, 1999. An employee of Manpower since</w:t>
            </w:r>
          </w:p>
        </w:tc>
      </w:tr>
      <w:tr>
        <w:trPr>
          <w:trHeight w:val="222"/>
        </w:trPr>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1985.</w:t>
            </w:r>
          </w:p>
        </w:tc>
        <w:tc>
          <w:tcPr>
            <w:tcW w:w="4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365"/>
        </w:trPr>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tcPr>
          <w:p>
            <w:pPr>
              <w:ind w:left="344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 w:name="page9"/>
    <w:bookmarkEnd w:id="8"/>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for us by our independent accountants, PricewaterhouseCoopers LLP during 2003:</w:t>
      </w:r>
    </w:p>
    <w:p>
      <w:pPr>
        <w:spacing w:after="0" w:line="3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audit-related services including:</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audits and reviews of pension and other retirement plans and related consultation;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assistance and consultation regarding the application of accounting principles;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assistance in the registration and issuance of securities;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advisory services related to our Section 404 documentation;</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due diligence services and assistance with the Registration Statement on Form S-4 filing related to the acquisition of Right Management Consultants, Inc.;</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certification of a government grant;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statutory certification of a new holding company structure.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assistance in the preparation and filing of certain international tax returns;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feasibility study related to the use of foreign tax losses;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advice on the feasibility of our current entity structure for one of our subsidiaries;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pricing advice and documentation;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assistance with a request for information from a foreign tax authority;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 added tax training;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consultation regarding withholding taxes.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240" w:top="274" w:right="599" w:bottom="1440" w:gutter="0" w:footer="0" w:header="0"/>
        </w:sectPr>
      </w:pPr>
    </w:p>
    <w:bookmarkStart w:id="9" w:name="page10"/>
    <w:bookmarkEnd w:id="9"/>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Shareholder Matters</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2003, under the heading “Quarterly Data” (page 73) and “Corporate Information” (page 76), which information is hereby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2003, under the heading “Selected Financial Data” (page 75), which information is hereby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2003, under the headings “Management’s Discussion and Analysis of Financial Condition and Results of Operations” and “Financial Measures” (pages 26 to 43 and page 74), which information is hereby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2003, under the heading “Significant Matters Affecting Results of Operations” (pages 39 to 41), which information is hereby incorporated herein by reference.</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274" w:right="4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100" w:lineRule="exact"/>
        <w:rPr>
          <w:sz w:val="20"/>
          <w:szCs w:val="20"/>
          <w:color w:val="auto"/>
        </w:rPr>
      </w:pPr>
    </w:p>
    <w:p>
      <w:pPr>
        <w:ind w:left="800" w:right="94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changes in the demand from larger customers, including customers with which we have national, multi-national, or sole-supplier arrangements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temporary workers or workers with the skills required by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wages paid to temporary workers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expand into new markets or offer new service lines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attitudes toward the use of staffing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disclosed below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2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customers using fewer temporary employees, which would materially adversely affect our business.</w:t>
      </w:r>
    </w:p>
    <w:p>
      <w:pPr>
        <w:spacing w:after="0" w:line="11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1" w:name="page12"/>
    <w:bookmarkEnd w:id="11"/>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worldwide staffing services industry is highly competitive with limited barriers to entry, which could limit our ability to maintain or increase our market share or profitability.</w:t>
      </w:r>
    </w:p>
    <w:p>
      <w:pPr>
        <w:spacing w:after="0" w:line="11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9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1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jurisdictions in which we operate, such as France, Germany and Japan,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uncertain duration of employment, which is eliminated if a full-time position is offered to them within three days. The countries in which we operate may:</w:t>
      </w:r>
    </w:p>
    <w:p>
      <w:pPr>
        <w:spacing w:after="0" w:line="48"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new or additional benefit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staffing services;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staffing services.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staffing services.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acquisitions strategy may have a material adverse effect on our business due to unexpected or underestimated costs.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acquired Elan Group Limited in 2000 for a total purchase price of $146.2 million and we acquired Jefferson Wells International, Inc. in 2001 for a purchase price of $174.0 million. In addition, we acquired and invested in other companies during 2002 for a total consideration of $55.4 million, $33.5 million of which was paid in cash.</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2004, we acquired Right Management Consultants Inc., or Right, by means of an exchange offer for all of Right’s outstanding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purchase price for this acquisition is $640.0 million, the majority of which represents the fair value of shares exchanged and stock options.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make acquisitions in the future. Our acquisition strategy involves significant risks, including:</w:t>
      </w:r>
    </w:p>
    <w:p>
      <w:pPr>
        <w:spacing w:after="0" w:line="158"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These risks could have a material adverse effect on our business because they may result in substantial costs to us and disrupt our business. In addition, future acquisitions could materially adversely effect on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restructuring charges could also occur.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4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Intense competition may limit our ability to attract, train and retain the qualified personnel necessary for us to meet our customers’ staffing needs.</w:t>
      </w:r>
    </w:p>
    <w:p>
      <w:pPr>
        <w:spacing w:after="0" w:line="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depend on our ability to attract and retain qualified temporary personnel who possess the skills and experience necessary to meet the staffing requirements of our customers. We must continually evaluate and upgrade our base of available qualified personnel through recruiting and training programs to keep pace with changing customer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customers’ changing needs or retain employees who we have trained. The failure to recruit, train and retain qualified temporary employees could materially adversely affect our business because it may result in an inability to meet our customers’ staffing needs.</w:t>
      </w:r>
    </w:p>
    <w:p>
      <w:pPr>
        <w:spacing w:after="0" w:line="18"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and other litigation that could materially adversely affect our business, financial condition and results of operations.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100"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our employees;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employees of discrimination or harassment directed at them, including claims relating to actions of our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temporary employees, particularly in the case of professionals, such as accountants; and</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customers relating to our employees’ misuse of customer proprietary information, misappropriation of funds, other criminal activity or torts or other similar claims.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 or that our insurance will be sufficient in amount or scope to cover any of these types of liabilities.</w:t>
      </w:r>
    </w:p>
    <w:p>
      <w:pPr>
        <w:spacing w:after="0" w:line="9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our insurance will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operations are dependent on the continued efforts of our officers and executive management.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our business. Moreover, the loss of our key managers and field personnel may jeopardize existing customer relationships with businesses that continue to use our staffing services based upon past relationships with these local managers and field personnel. The loss of such key personnel could materially adversely affect our operations, because it may result in an inability to establish and maintain customer relationships and otherwise operate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currency fluctuations may have a material adverse effect on our operating results.</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 our operations in 66 countries and territories and the results of our local operations are reported in the applicable foreign currencies and then translated into U.S. Dollars at the applicable foreign currency exchange rates for inclusion in our consolidated financial statements. During 2003, approximately 80% of our revenues were generated outside of the United States, the majority of which were generated in Europe. Furthermore, approximately $583 million of our outstanding indebtedness as of December 31, 2003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99"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As of December 31, 2003, we had $841.7 million of total debt. This level of debt could adversely affect our operating flexibility and put us at a competitive disadvantage.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100"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terms of our revolving credit facilities permit additional borrowings, subject to certain conditions. If new debt is added to our current debt levels, the related risks we now face could intensify.</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to obtain the money to pay our expenses, to repay borrowings under our credit facilities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2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or a failure to maintain an “investment grade” rating on our debt could trigger prepayment obligations.</w:t>
      </w:r>
    </w:p>
    <w:p>
      <w:pPr>
        <w:spacing w:after="0" w:line="11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of our financing agreements require us to maintain “investment grade” credit ratings on our debt. As of February 17, 2004, we had such ratings from Standard and Poors and Moody’s Investors Service. If our ratings were lowered, our accounts receivable securitization facility would need to be re-negotiated or would no longer be available. In addition, a lowering of our credit ratings could result in a portion or all of our zero-coupon convertible debentures being converted into shares of our common stock.</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14" w:name="page15"/>
    <w:bookmarkEnd w:id="14"/>
    <w:p>
      <w:pPr>
        <w:ind w:right="5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our zero-coupon convertible debentures could require us to purchase the debentures resulting in dilution in the value of our outstanding common stock or the incurrence of additional debt.</w:t>
      </w:r>
    </w:p>
    <w:p>
      <w:pPr>
        <w:spacing w:after="0" w:line="11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terms of the zero-coupon convertible debentures give holders of the debentures the option to require us to purchase the debentures at the issue price plus accreted original issue discount. Such holders can exercise this option on the first, third, fifth, tenth, and fifteenth anniversary dates. The next such option date is August 17, 2004. If the option were exercised, we would be required to purchase all or a portion of the debentures through the issuance of common stock, with available cash, or by financing the purchase using other available facilities which could result in dilution of the value of common stock held by our shareholders or the incurrence of a significant amount of 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performance of our subsidiaries may vary, negatively affecting our ability to service our debt.</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fiscal year ended December 31, 2003, the prices of our common stock as reported on the New York Stock Exchange ranged from a high of $47.54 to a low of $27.50. Our stock price can fluctuate as a result of a variety of factors, including factors listed in these “Risk Factors” and others, many of which are beyond our control. These factors include:</w:t>
      </w:r>
    </w:p>
    <w:p>
      <w:pPr>
        <w:spacing w:after="0" w:line="12"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this volatility, we may fail to meet the expectations of our shareholders or of securities analysts, and our stock price could decline as a result.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us more difficult.</w:t>
      </w:r>
    </w:p>
    <w:p>
      <w:pPr>
        <w:spacing w:after="0" w:line="187" w:lineRule="exact"/>
        <w:rPr>
          <w:sz w:val="20"/>
          <w:szCs w:val="20"/>
          <w:color w:val="auto"/>
        </w:rPr>
      </w:pPr>
    </w:p>
    <w:p>
      <w:pPr>
        <w:ind w:right="580" w:firstLine="456"/>
        <w:spacing w:after="0" w:line="325"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The provisions described above could cause our stock price to decline.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Regarding Consent of Arthur Andersen LLP</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Arthur Andersen LLP was formerly our independent auditor. Representatives of Arthur Andersen LLP are not available to consent to the incorporation by reference of their report contained in this Annual Report into our registration statements on Form S-3, Form S-4 and Form S-8, and we have dispensed with the requirement to file their consent in reliance upon Rule 437a of the Securities Act of 1933. Because Arthur Andersen LLP has not consented to the incorporation by reference of their report into these registration statements, purchasers of stock under these registration statements will not be able to recover against Arthur Andersen LLP under Section 11 of the Securities Act of 1933 for any untrue statements of a material fact contained in the financial statements audited by Arthur Andersen LLP that are incorporated by reference into these registration statements or any omissions of material fact required to be stated therein.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information required by this Item is set forth in the financial statements and the notes thereto (pages 44 to 73) contained in our Annual Report to Shareholders for the fiscal year ended December 31, 2003, which information is hereby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ind w:right="740" w:firstLine="456"/>
        <w:spacing w:after="0" w:line="259" w:lineRule="auto"/>
        <w:rPr>
          <w:sz w:val="20"/>
          <w:szCs w:val="20"/>
          <w:color w:val="auto"/>
        </w:rPr>
      </w:pPr>
      <w:r>
        <w:rPr>
          <w:rFonts w:ascii="Arial" w:cs="Arial" w:eastAsia="Arial" w:hAnsi="Arial"/>
          <w:sz w:val="18"/>
          <w:szCs w:val="18"/>
          <w:color w:val="auto"/>
        </w:rPr>
        <w:t>As previously disclosed, on April 10, 2002, we dismissed Arthur Andersen LLP as our independent public accountants and appointed PricewaterhouseCoopers LLP as our new independent accountants. The decision to dismiss Arthur Andersen and to retain PricewaterhouseCoopers was recommended by our Audit Committee and approved by our Board of Directors.</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Arthur Andersen’s reports on our consolidated financial statements for each of the years ended December 31, 2001 and 2000 did not contain any adverse opinion or disclaimer of opinion, nor were they qualified or modified as to uncertainty, audit scope, or accounting principles.</w:t>
      </w:r>
    </w:p>
    <w:p>
      <w:pPr>
        <w:spacing w:after="0" w:line="7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years ended December 31, 2001 and 2000, and the subsequent interim period through April 10, 2002, there were no disagreements between us and Arthur Andersen on any matter of accounting principles or practices, financial statement disclosure, or auditing scope or procedure, which disagreements, if not resolved to Arthur Andersen’s satisfaction, would have caused them to make reference to the subject matter of the disagreement in connection with their report.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reportable events described in Item 304(a)(1)(v) of Regulation S-K occurred during the years ended December 31, 2001 and 2000 or during the subsequent interim period through April 10, 2002.</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provided Arthur Andersen with a copy of the foregoing disclosures. A copy of Arthur Andersen’s letter dated April 16, 2002, stating their agreement with such statements is attached as Exhibit 16.1 of our Current Report on Form 8-K filed with the Securities and Exchange Commission on April 16, 2002.</w:t>
      </w:r>
    </w:p>
    <w:p>
      <w:pPr>
        <w:spacing w:after="0" w:line="72" w:lineRule="exact"/>
        <w:rPr>
          <w:sz w:val="20"/>
          <w:szCs w:val="20"/>
          <w:color w:val="auto"/>
        </w:rPr>
      </w:pPr>
    </w:p>
    <w:p>
      <w:pPr>
        <w:ind w:right="1340" w:firstLine="456"/>
        <w:spacing w:after="0" w:line="332" w:lineRule="auto"/>
        <w:rPr>
          <w:sz w:val="20"/>
          <w:szCs w:val="20"/>
          <w:color w:val="auto"/>
        </w:rPr>
      </w:pPr>
      <w:r>
        <w:rPr>
          <w:rFonts w:ascii="Arial" w:cs="Arial" w:eastAsia="Arial" w:hAnsi="Arial"/>
          <w:sz w:val="16"/>
          <w:szCs w:val="16"/>
          <w:color w:val="auto"/>
        </w:rPr>
        <w:t>During the years ended December 31, 2001 and 2000, and the subsequent interim period through April 10, 2002, we did not consult with PricewaterhouseCoopers regarding any of the matters or events set forth in Item 304(a)(2)(i) and (ii) of Regulation S-K.</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 in Part I after Item 4.</w:t>
      </w:r>
    </w:p>
    <w:p>
      <w:pPr>
        <w:spacing w:after="0" w:line="76"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Directors. The information required by this Item is set forth in our Proxy Statement for the Annual Meeting of Shareholders to be held on April 27, 2004 at pages 3 to 4, and 6 under the caption “Election of Directors,” which information is hereby incorporated herein by reference.</w:t>
      </w:r>
    </w:p>
    <w:p>
      <w:pPr>
        <w:spacing w:after="0" w:line="1" w:lineRule="exact"/>
        <w:rPr>
          <w:rFonts w:ascii="Arial" w:cs="Arial" w:eastAsia="Arial" w:hAnsi="Arial"/>
          <w:sz w:val="16"/>
          <w:szCs w:val="16"/>
          <w:color w:val="auto"/>
        </w:rPr>
      </w:pPr>
    </w:p>
    <w:p>
      <w:pPr>
        <w:ind w:left="900" w:right="260" w:hanging="446"/>
        <w:spacing w:after="0" w:line="32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April 27, 2004 at page 25 under the caption “Section 16(a) Beneficial Ownership Reporting Compliance,” which information is hereby incorporated herein by reference.</w:t>
      </w:r>
    </w:p>
    <w:p>
      <w:pPr>
        <w:spacing w:after="0" w:line="45"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and controller. We have filed the Code of Business Conduct and Ethics as an exhibit to this Annual Report on Form 10-K and we posted the Code on our Internet website at www.manpower.com. We intend to satisfy the disclosure requirement under Item 10 of Form 8-K by posting such information on our Internet website.</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information required by this Item is set forth in our Proxy Statement for the Annual Meeting of Shareholders to be held on April 27, 2004, at pages 8 to 9 under the caption “Remuneration of Directors”; at pages 11 to 15 under the caption “Executive Compensation”; and at page 19 under the caption “Executive Compensation Committee Interlocks and Insider Participation,” which information is hereby incorporated herein by reference.</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27, 2004, at page 2 under the caption “Security Ownership of Certain Beneficial Owners” and at page 10 under the caption “Security Ownership of Management,” which information is hereby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27, 2004, at page 9 under the caption “Remuneration of Directors,” which information is hereby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27, 2004, at pages 22 to 23 under the caption “Audit Committee Report,” which information is hereby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(a)(1) Financial Statements.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Number(s)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in Annual Report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74295</wp:posOffset>
            </wp:positionV>
            <wp:extent cx="8489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00" w:space="720"/>
            <w:col w:w="1000"/>
          </w:cols>
          <w:pgMar w:left="240" w:top="274" w:right="239" w:bottom="1440" w:gutter="0" w:footer="0" w:header="0"/>
          <w:type w:val="continuous"/>
        </w:sectPr>
      </w:pP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Financial Statements (data incorporated by reference from the attached Annual Report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Shareholders):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tcPr>
          <w:p>
            <w:pPr>
              <w:spacing w:after="0"/>
              <w:rPr>
                <w:sz w:val="18"/>
                <w:szCs w:val="18"/>
                <w:color w:val="auto"/>
              </w:rPr>
            </w:pPr>
          </w:p>
        </w:tc>
        <w:tc>
          <w:tcPr>
            <w:tcW w:w="9380" w:type="dxa"/>
            <w:vAlign w:val="bottom"/>
          </w:tcPr>
          <w:p>
            <w:pPr>
              <w:ind w:left="300"/>
              <w:spacing w:after="0"/>
              <w:rPr>
                <w:sz w:val="20"/>
                <w:szCs w:val="20"/>
                <w:color w:val="auto"/>
              </w:rPr>
            </w:pPr>
            <w:r>
              <w:rPr>
                <w:rFonts w:ascii="Arial" w:cs="Arial" w:eastAsia="Arial" w:hAnsi="Arial"/>
                <w:sz w:val="18"/>
                <w:szCs w:val="18"/>
                <w:color w:val="auto"/>
              </w:rPr>
              <w:t>Report of Independent Auditors</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00" w:type="dxa"/>
            <w:vAlign w:val="bottom"/>
            <w:shd w:val="clear" w:color="auto" w:fill="CCEEFF"/>
          </w:tcPr>
          <w:p>
            <w:pPr>
              <w:spacing w:after="0"/>
              <w:rPr>
                <w:sz w:val="18"/>
                <w:szCs w:val="18"/>
                <w:color w:val="auto"/>
              </w:rPr>
            </w:pPr>
          </w:p>
        </w:tc>
        <w:tc>
          <w:tcPr>
            <w:tcW w:w="9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Report of Independent Public Accountants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00" w:type="dxa"/>
            <w:vAlign w:val="bottom"/>
          </w:tcPr>
          <w:p>
            <w:pPr>
              <w:spacing w:after="0"/>
              <w:rPr>
                <w:sz w:val="18"/>
                <w:szCs w:val="18"/>
                <w:color w:val="auto"/>
              </w:rPr>
            </w:pPr>
          </w:p>
        </w:tc>
        <w:tc>
          <w:tcPr>
            <w:tcW w:w="9380" w:type="dxa"/>
            <w:vAlign w:val="bottom"/>
          </w:tcPr>
          <w:p>
            <w:pPr>
              <w:ind w:left="300"/>
              <w:spacing w:after="0"/>
              <w:rPr>
                <w:sz w:val="20"/>
                <w:szCs w:val="20"/>
                <w:color w:val="auto"/>
              </w:rPr>
            </w:pPr>
            <w:r>
              <w:rPr>
                <w:rFonts w:ascii="Arial" w:cs="Arial" w:eastAsia="Arial" w:hAnsi="Arial"/>
                <w:sz w:val="18"/>
                <w:szCs w:val="18"/>
                <w:color w:val="auto"/>
              </w:rPr>
              <w:t>Consolidated Statements of Operations for the years ended December 31, 2003, 2002 and 2001</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00" w:type="dxa"/>
            <w:vAlign w:val="bottom"/>
            <w:shd w:val="clear" w:color="auto" w:fill="CCEEFF"/>
          </w:tcPr>
          <w:p>
            <w:pPr>
              <w:spacing w:after="0"/>
              <w:rPr>
                <w:sz w:val="18"/>
                <w:szCs w:val="18"/>
                <w:color w:val="auto"/>
              </w:rPr>
            </w:pPr>
          </w:p>
        </w:tc>
        <w:tc>
          <w:tcPr>
            <w:tcW w:w="9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Balance Sheets as of December 31, 2003 and 2002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spacing w:after="0"/>
              <w:rPr>
                <w:sz w:val="18"/>
                <w:szCs w:val="18"/>
                <w:color w:val="auto"/>
              </w:rPr>
            </w:pPr>
          </w:p>
        </w:tc>
        <w:tc>
          <w:tcPr>
            <w:tcW w:w="9380" w:type="dxa"/>
            <w:vAlign w:val="bottom"/>
          </w:tcPr>
          <w:p>
            <w:pPr>
              <w:ind w:left="300"/>
              <w:spacing w:after="0"/>
              <w:rPr>
                <w:sz w:val="20"/>
                <w:szCs w:val="20"/>
                <w:color w:val="auto"/>
              </w:rPr>
            </w:pPr>
            <w:r>
              <w:rPr>
                <w:rFonts w:ascii="Arial" w:cs="Arial" w:eastAsia="Arial" w:hAnsi="Arial"/>
                <w:sz w:val="18"/>
                <w:szCs w:val="18"/>
                <w:color w:val="auto"/>
              </w:rPr>
              <w:t>Consolidated Statements of Cash Flows for the years ended December 31, 2003, 2002 and 2001</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00" w:type="dxa"/>
            <w:vAlign w:val="bottom"/>
            <w:shd w:val="clear" w:color="auto" w:fill="CCEEFF"/>
          </w:tcPr>
          <w:p>
            <w:pPr>
              <w:spacing w:after="0"/>
              <w:rPr>
                <w:sz w:val="18"/>
                <w:szCs w:val="18"/>
                <w:color w:val="auto"/>
              </w:rPr>
            </w:pPr>
          </w:p>
        </w:tc>
        <w:tc>
          <w:tcPr>
            <w:tcW w:w="9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Shareholders’ Equity for the years ended December 31, 2003, 2002 and 2001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000" w:type="dxa"/>
            <w:vAlign w:val="bottom"/>
          </w:tcPr>
          <w:p>
            <w:pPr>
              <w:spacing w:after="0"/>
              <w:rPr>
                <w:sz w:val="19"/>
                <w:szCs w:val="19"/>
                <w:color w:val="auto"/>
              </w:rPr>
            </w:pPr>
          </w:p>
        </w:tc>
        <w:tc>
          <w:tcPr>
            <w:tcW w:w="9380" w:type="dxa"/>
            <w:vAlign w:val="bottom"/>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50-73</w:t>
            </w:r>
          </w:p>
        </w:tc>
      </w:tr>
      <w:tr>
        <w:trPr>
          <w:trHeight w:val="356"/>
        </w:trPr>
        <w:tc>
          <w:tcPr>
            <w:tcW w:w="1000" w:type="dxa"/>
            <w:vAlign w:val="bottom"/>
          </w:tcPr>
          <w:p>
            <w:pPr>
              <w:ind w:left="460"/>
              <w:spacing w:after="0"/>
              <w:rPr>
                <w:sz w:val="20"/>
                <w:szCs w:val="20"/>
                <w:color w:val="auto"/>
              </w:rPr>
            </w:pPr>
            <w:r>
              <w:rPr>
                <w:rFonts w:ascii="Arial" w:cs="Arial" w:eastAsia="Arial" w:hAnsi="Arial"/>
                <w:sz w:val="18"/>
                <w:szCs w:val="18"/>
                <w:color w:val="auto"/>
              </w:rPr>
              <w:t>(a)(2)</w:t>
            </w:r>
          </w:p>
        </w:tc>
        <w:tc>
          <w:tcPr>
            <w:tcW w:w="9380" w:type="dxa"/>
            <w:vAlign w:val="bottom"/>
          </w:tcPr>
          <w:p>
            <w:pPr>
              <w:ind w:left="120"/>
              <w:spacing w:after="0"/>
              <w:rPr>
                <w:sz w:val="20"/>
                <w:szCs w:val="20"/>
                <w:color w:val="auto"/>
              </w:rPr>
            </w:pPr>
            <w:r>
              <w:rPr>
                <w:rFonts w:ascii="Arial" w:cs="Arial" w:eastAsia="Arial" w:hAnsi="Arial"/>
                <w:sz w:val="18"/>
                <w:szCs w:val="18"/>
                <w:color w:val="auto"/>
              </w:rPr>
              <w:t>Financial Statement Schedules.</w:t>
            </w:r>
          </w:p>
        </w:tc>
        <w:tc>
          <w:tcPr>
            <w:tcW w:w="104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Report of Independent Auditors on Financial Statement Schedule</w:t>
            </w:r>
          </w:p>
        </w:tc>
        <w:tc>
          <w:tcPr>
            <w:tcW w:w="104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Consent of Independent Accountants</w:t>
            </w:r>
          </w:p>
        </w:tc>
        <w:tc>
          <w:tcPr>
            <w:tcW w:w="104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Report of Independent Public Accountants on Financial Statement Schedule</w:t>
            </w:r>
          </w:p>
        </w:tc>
        <w:tc>
          <w:tcPr>
            <w:tcW w:w="104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4"/>
              </w:rPr>
              <w:t>Consent of Independent Public Accountants (omitted pursuant to Rule 437a under the Securities Act of 1933, as amended)</w:t>
            </w:r>
          </w:p>
        </w:tc>
        <w:tc>
          <w:tcPr>
            <w:tcW w:w="104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SCHEDULE II—Valuation and Qualifying Accounts</w:t>
            </w:r>
          </w:p>
        </w:tc>
        <w:tc>
          <w:tcPr>
            <w:tcW w:w="1040" w:type="dxa"/>
            <w:vAlign w:val="bottom"/>
          </w:tcPr>
          <w:p>
            <w:pPr>
              <w:spacing w:after="0"/>
              <w:rPr>
                <w:sz w:val="24"/>
                <w:szCs w:val="24"/>
                <w:color w:val="auto"/>
              </w:rPr>
            </w:pPr>
          </w:p>
        </w:tc>
      </w:tr>
      <w:tr>
        <w:trPr>
          <w:trHeight w:val="365"/>
        </w:trPr>
        <w:tc>
          <w:tcPr>
            <w:tcW w:w="1000" w:type="dxa"/>
            <w:vAlign w:val="bottom"/>
          </w:tcPr>
          <w:p>
            <w:pPr>
              <w:ind w:left="460"/>
              <w:spacing w:after="0"/>
              <w:rPr>
                <w:sz w:val="20"/>
                <w:szCs w:val="20"/>
                <w:color w:val="auto"/>
              </w:rPr>
            </w:pPr>
            <w:r>
              <w:rPr>
                <w:rFonts w:ascii="Arial" w:cs="Arial" w:eastAsia="Arial" w:hAnsi="Arial"/>
                <w:sz w:val="18"/>
                <w:szCs w:val="18"/>
                <w:color w:val="auto"/>
              </w:rPr>
              <w:t>(a)(3)</w:t>
            </w:r>
          </w:p>
        </w:tc>
        <w:tc>
          <w:tcPr>
            <w:tcW w:w="938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040" w:type="dxa"/>
            <w:vAlign w:val="bottom"/>
          </w:tcPr>
          <w:p>
            <w:pPr>
              <w:spacing w:after="0"/>
              <w:rPr>
                <w:sz w:val="24"/>
                <w:szCs w:val="24"/>
                <w:color w:val="auto"/>
              </w:rPr>
            </w:pPr>
          </w:p>
        </w:tc>
      </w:tr>
    </w:tbl>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(c) below.</w:t>
      </w:r>
    </w:p>
    <w:p>
      <w:pPr>
        <w:spacing w:after="0" w:line="7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12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We filed three reports on Form 8-K, dated October 30, 2003, December 11, 2003 and December 15, 2003, with respect to Item 5 – Other Events and Item 7 – Exhibits. We also furnished one report on Form 8-K, dated October 16, 2003, with respect to Item 12 – Results of Operations and Financial Condition and Item 7 – Exhibits.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type w:val="continuous"/>
        </w:sectPr>
      </w:pPr>
    </w:p>
    <w:bookmarkStart w:id="18" w:name="page19"/>
    <w:bookmarkEnd w:id="18"/>
    <w:p>
      <w:pPr>
        <w:ind w:left="880" w:hanging="44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10500" w:type="dxa"/>
            <w:vAlign w:val="bottom"/>
          </w:tcPr>
          <w:p>
            <w:pPr>
              <w:ind w:left="320"/>
              <w:spacing w:after="0"/>
              <w:rPr>
                <w:sz w:val="20"/>
                <w:szCs w:val="20"/>
                <w:color w:val="auto"/>
              </w:rPr>
            </w:pPr>
            <w:r>
              <w:rPr>
                <w:rFonts w:ascii="Arial" w:cs="Arial" w:eastAsia="Arial" w:hAnsi="Arial"/>
                <w:sz w:val="18"/>
                <w:szCs w:val="18"/>
                <w:color w:val="auto"/>
                <w:w w:val="95"/>
              </w:rPr>
              <w:t>Agreement and Plan of Merger among Right Management Consultants, Inc., Manpower Inc. and Hoosier Acquisition Corp. dated as of</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December 10, 2003, incorporated by reference to Appendix A to the Prospectus included in the Company’s Registration Statement on Form S-4</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(Registration No. 333-111337).</w:t>
            </w:r>
          </w:p>
        </w:tc>
      </w:tr>
      <w:tr>
        <w:trPr>
          <w:trHeight w:val="318"/>
        </w:trPr>
        <w:tc>
          <w:tcPr>
            <w:tcW w:w="840" w:type="dxa"/>
            <w:vAlign w:val="bottom"/>
          </w:tcPr>
          <w:p>
            <w:pPr>
              <w:spacing w:after="0"/>
              <w:rPr>
                <w:sz w:val="24"/>
                <w:szCs w:val="24"/>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(Certain exhibits and schedules to the Agreement and Plan of Merger have been omitted pursuant to Regulation S-K, Item 601(b)(2) of the</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89"/>
              </w:rPr>
              <w:t>Securities Act. Such exhibits and schedules are described in the Agreement and Plan of Merger. The Company hereby agrees to furnish to the</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Securities and Exchange Commission, upon its request, any or all of such omitted exhibits or schedules).</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2.2</w:t>
            </w:r>
          </w:p>
        </w:tc>
        <w:tc>
          <w:tcPr>
            <w:tcW w:w="10500" w:type="dxa"/>
            <w:vAlign w:val="bottom"/>
          </w:tcPr>
          <w:p>
            <w:pPr>
              <w:ind w:left="320"/>
              <w:spacing w:after="0"/>
              <w:rPr>
                <w:sz w:val="20"/>
                <w:szCs w:val="20"/>
                <w:color w:val="auto"/>
              </w:rPr>
            </w:pPr>
            <w:r>
              <w:rPr>
                <w:rFonts w:ascii="Arial" w:cs="Arial" w:eastAsia="Arial" w:hAnsi="Arial"/>
                <w:sz w:val="18"/>
                <w:szCs w:val="18"/>
                <w:color w:val="auto"/>
                <w:w w:val="89"/>
              </w:rPr>
              <w:t>Letter Agreement between Manpower Inc. and Right Management Consultants, Inc. dated as of January 14, 2004, incorporated by reference to</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7"/>
              </w:rPr>
              <w:t>Amendment No. 2 to the Company’s Registration Statement on Form S-4 (Registration No. 333-111337) filed on January 15, 2004.</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10500" w:type="dxa"/>
            <w:vAlign w:val="bottom"/>
          </w:tcPr>
          <w:p>
            <w:pPr>
              <w:ind w:left="320"/>
              <w:spacing w:after="0"/>
              <w:rPr>
                <w:sz w:val="20"/>
                <w:szCs w:val="20"/>
                <w:color w:val="auto"/>
              </w:rPr>
            </w:pPr>
            <w:r>
              <w:rPr>
                <w:rFonts w:ascii="Arial" w:cs="Arial" w:eastAsia="Arial" w:hAnsi="Arial"/>
                <w:sz w:val="18"/>
                <w:szCs w:val="18"/>
                <w:color w:val="auto"/>
                <w:w w:val="90"/>
              </w:rPr>
              <w:t>Articles of Incorporation of Manpower Inc. incorporated by reference to Annex C of the Prospectus, which is contained in Amendment No. 1 to</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Form S-4 (Registration No. 33-38684).</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500" w:type="dxa"/>
            <w:vAlign w:val="bottom"/>
          </w:tcPr>
          <w:p>
            <w:pPr>
              <w:ind w:left="320"/>
              <w:spacing w:after="0"/>
              <w:rPr>
                <w:sz w:val="20"/>
                <w:szCs w:val="20"/>
                <w:color w:val="auto"/>
              </w:rPr>
            </w:pPr>
            <w:r>
              <w:rPr>
                <w:rFonts w:ascii="Arial" w:cs="Arial" w:eastAsia="Arial" w:hAnsi="Arial"/>
                <w:sz w:val="18"/>
                <w:szCs w:val="18"/>
                <w:color w:val="auto"/>
                <w:w w:val="93"/>
              </w:rPr>
              <w:t>Amendment of Amended and Restated Articles of Incorporation of Manpower Inc., incorporated by reference to the Company’s Quarterly</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Report on Form 10-Q for the quarter ended June 30, 2001.</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3.3</w:t>
            </w:r>
          </w:p>
        </w:tc>
        <w:tc>
          <w:tcPr>
            <w:tcW w:w="10500" w:type="dxa"/>
            <w:vAlign w:val="bottom"/>
          </w:tcPr>
          <w:p>
            <w:pPr>
              <w:ind w:left="320"/>
              <w:spacing w:after="0"/>
              <w:rPr>
                <w:sz w:val="20"/>
                <w:szCs w:val="20"/>
                <w:color w:val="auto"/>
              </w:rPr>
            </w:pPr>
            <w:r>
              <w:rPr>
                <w:rFonts w:ascii="Arial" w:cs="Arial" w:eastAsia="Arial" w:hAnsi="Arial"/>
                <w:sz w:val="18"/>
                <w:szCs w:val="18"/>
                <w:color w:val="auto"/>
                <w:w w:val="89"/>
              </w:rPr>
              <w:t>Amended and Restated By-laws of Manpower Inc., incorporated by reference to the Company’s Quarterly Report on Form 10-Q for the quarter</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ended June 30, 2001.</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500" w:type="dxa"/>
            <w:vAlign w:val="bottom"/>
          </w:tcPr>
          <w:p>
            <w:pPr>
              <w:ind w:left="320"/>
              <w:spacing w:after="0"/>
              <w:rPr>
                <w:sz w:val="20"/>
                <w:szCs w:val="20"/>
                <w:color w:val="auto"/>
              </w:rPr>
            </w:pPr>
            <w:r>
              <w:rPr>
                <w:rFonts w:ascii="Arial" w:cs="Arial" w:eastAsia="Arial" w:hAnsi="Arial"/>
                <w:sz w:val="18"/>
                <w:szCs w:val="18"/>
                <w:color w:val="auto"/>
                <w:w w:val="90"/>
              </w:rPr>
              <w:t>Indenture between Manpower Inc. and Citibank, N.A., dated as of August 17, 2001, incorporated by reference to the Company’s Registration</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Statement on Form S-3 (Registration No. 333-71040) filed on October 5, 2001.</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10.1</w:t>
            </w: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Five-Year Credit Agreement dated as of December 3, 2001 among Manpower Inc., the initial lenders named therein, Citibank N.A. and Salomon</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Smith Barney Inc., incorporated by reference to Amendment No. 1 to the Company’s Registration Statement on Form S-3 (Registration No. 333-</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71040) filed on December 4, 2001.</w:t>
            </w:r>
          </w:p>
        </w:tc>
      </w:tr>
      <w:tr>
        <w:trPr>
          <w:trHeight w:val="318"/>
        </w:trPr>
        <w:tc>
          <w:tcPr>
            <w:tcW w:w="840" w:type="dxa"/>
            <w:vAlign w:val="bottom"/>
          </w:tcPr>
          <w:p>
            <w:pPr>
              <w:jc w:val="right"/>
              <w:ind w:right="252"/>
              <w:spacing w:after="0"/>
              <w:rPr>
                <w:sz w:val="20"/>
                <w:szCs w:val="20"/>
                <w:color w:val="auto"/>
              </w:rPr>
            </w:pPr>
            <w:r>
              <w:rPr>
                <w:rFonts w:ascii="Arial" w:cs="Arial" w:eastAsia="Arial" w:hAnsi="Arial"/>
                <w:sz w:val="18"/>
                <w:szCs w:val="18"/>
                <w:color w:val="auto"/>
                <w:w w:val="84"/>
              </w:rPr>
              <w:t>10.2(a)</w:t>
            </w:r>
          </w:p>
        </w:tc>
        <w:tc>
          <w:tcPr>
            <w:tcW w:w="10500" w:type="dxa"/>
            <w:vAlign w:val="bottom"/>
          </w:tcPr>
          <w:p>
            <w:pPr>
              <w:ind w:left="320"/>
              <w:spacing w:after="0"/>
              <w:rPr>
                <w:sz w:val="20"/>
                <w:szCs w:val="20"/>
                <w:color w:val="auto"/>
              </w:rPr>
            </w:pPr>
            <w:r>
              <w:rPr>
                <w:rFonts w:ascii="Arial" w:cs="Arial" w:eastAsia="Arial" w:hAnsi="Arial"/>
                <w:sz w:val="18"/>
                <w:szCs w:val="18"/>
                <w:color w:val="auto"/>
                <w:w w:val="93"/>
              </w:rPr>
              <w:t>364-Day Credit Agreement, dated as of November 29, 2001, among Manpower Inc., the initial lenders named therein, Citibank, N.A. and</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Salomon Smith Barney Inc., incorporated by reference to Amendment No. 1 to the Company’s Registration Statement on Form S-3 (Registration</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No. 333-71040) filed on December 4, 2001.</w:t>
            </w:r>
          </w:p>
        </w:tc>
      </w:tr>
      <w:tr>
        <w:trPr>
          <w:trHeight w:val="318"/>
        </w:trPr>
        <w:tc>
          <w:tcPr>
            <w:tcW w:w="840" w:type="dxa"/>
            <w:vAlign w:val="bottom"/>
          </w:tcPr>
          <w:p>
            <w:pPr>
              <w:jc w:val="right"/>
              <w:ind w:right="252"/>
              <w:spacing w:after="0"/>
              <w:rPr>
                <w:sz w:val="20"/>
                <w:szCs w:val="20"/>
                <w:color w:val="auto"/>
              </w:rPr>
            </w:pPr>
            <w:r>
              <w:rPr>
                <w:rFonts w:ascii="Arial" w:cs="Arial" w:eastAsia="Arial" w:hAnsi="Arial"/>
                <w:sz w:val="18"/>
                <w:szCs w:val="18"/>
                <w:color w:val="auto"/>
                <w:w w:val="84"/>
              </w:rPr>
              <w:t>10.2(b)</w:t>
            </w: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Amended and Restated 364-Day Credit Agreement, dated as of October 7, 2002, among Manpower Inc., the initial lenders named therein,</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Citibank, N.A. and Salomon Smith Barney Inc., incorporated by reference to the Company’s Quarterly Report on Form 10-Q for the quarter</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ended September 30, 2002.</w:t>
            </w:r>
          </w:p>
        </w:tc>
      </w:tr>
      <w:tr>
        <w:trPr>
          <w:trHeight w:val="318"/>
        </w:trPr>
        <w:tc>
          <w:tcPr>
            <w:tcW w:w="840" w:type="dxa"/>
            <w:vAlign w:val="bottom"/>
          </w:tcPr>
          <w:p>
            <w:pPr>
              <w:jc w:val="right"/>
              <w:ind w:right="252"/>
              <w:spacing w:after="0"/>
              <w:rPr>
                <w:sz w:val="20"/>
                <w:szCs w:val="20"/>
                <w:color w:val="auto"/>
              </w:rPr>
            </w:pPr>
            <w:r>
              <w:rPr>
                <w:rFonts w:ascii="Arial" w:cs="Arial" w:eastAsia="Arial" w:hAnsi="Arial"/>
                <w:sz w:val="18"/>
                <w:szCs w:val="18"/>
                <w:color w:val="auto"/>
                <w:w w:val="85"/>
              </w:rPr>
              <w:t>10.2(c)</w:t>
            </w: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Amended and Restated 364-Day Credit Agreement, dated as of October 6, 2003, among Manpower Inc., the initial lenders named therein,</w:t>
            </w:r>
          </w:p>
        </w:tc>
      </w:tr>
      <w:tr>
        <w:trPr>
          <w:trHeight w:val="216"/>
        </w:trPr>
        <w:tc>
          <w:tcPr>
            <w:tcW w:w="840" w:type="dxa"/>
            <w:vAlign w:val="bottom"/>
          </w:tcPr>
          <w:p>
            <w:pPr>
              <w:spacing w:after="0"/>
              <w:rPr>
                <w:sz w:val="18"/>
                <w:szCs w:val="18"/>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Citibank, N.A. and Salomon Smith Barney Inc., incorporated by reference to the Company’s Quarterly Report on Form 10-Q for the quarter</w:t>
            </w:r>
          </w:p>
        </w:tc>
      </w:tr>
      <w:tr>
        <w:trPr>
          <w:trHeight w:val="222"/>
        </w:trPr>
        <w:tc>
          <w:tcPr>
            <w:tcW w:w="84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ended September 30, 2003.</w:t>
            </w:r>
          </w:p>
        </w:tc>
      </w:tr>
      <w:tr>
        <w:trPr>
          <w:trHeight w:val="365"/>
        </w:trPr>
        <w:tc>
          <w:tcPr>
            <w:tcW w:w="840" w:type="dxa"/>
            <w:vAlign w:val="bottom"/>
          </w:tcPr>
          <w:p>
            <w:pPr>
              <w:spacing w:after="0"/>
              <w:rPr>
                <w:sz w:val="24"/>
                <w:szCs w:val="24"/>
                <w:color w:val="auto"/>
              </w:rPr>
            </w:pPr>
          </w:p>
        </w:tc>
        <w:tc>
          <w:tcPr>
            <w:tcW w:w="10500" w:type="dxa"/>
            <w:vAlign w:val="bottom"/>
          </w:tcPr>
          <w:p>
            <w:pPr>
              <w:ind w:left="47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340"/>
          </w:cols>
          <w:pgMar w:left="260" w:top="280" w:right="29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Amended and Restated Manpower 1991 Executive Stock Option and Restricted Stock Plan, incorporated by reference to Form 10-Q of</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Manpower Inc. dated September 30, 1996.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Manpower Savings Related Share Option Scheme, incorporated by reference to Amendment No. 1 to the Company’s Registration Statement on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S-4 (Registration No. 33-38684).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340"/>
              <w:spacing w:after="0"/>
              <w:rPr>
                <w:sz w:val="20"/>
                <w:szCs w:val="20"/>
                <w:color w:val="auto"/>
              </w:rPr>
            </w:pPr>
            <w:r>
              <w:rPr>
                <w:rFonts w:ascii="Arial" w:cs="Arial" w:eastAsia="Arial" w:hAnsi="Arial"/>
                <w:sz w:val="18"/>
                <w:szCs w:val="18"/>
                <w:color w:val="auto"/>
                <w:w w:val="87"/>
              </w:rPr>
              <w:t>Amended and Restated Manpower 1990 Employee Stock Purchase Plan, incorporated by reference to the Company’s Registration Statement on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S-8 (Registration No. 333-31021).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Manpower Retirement Plan, as amended and restated effective as of March 1, 1989, incorporated by reference to Form 10-K of Manpower PLC,</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SEC File No. 0-9890, filed for the fiscal year ended October 31, 1989.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10.7(a)</w:t>
            </w: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1994 Executive Stock Option and Restricted Stock Plan of Manpower Inc. (Amended and Restated October 29, 2002), incorporated by</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10.7(b)</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Procedures Governing the Grant of Options to Non-Employee Directors under 1994 Executive Stock Option and Restricted Stock Plan of</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Manpower Inc. dated May 1, 2001, incorporated by reference to the Company’s Annual Report on Form 10-K for the fiscal year ended</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December 31, 2001.**</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10.8(a)</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Manpower Inc. 2002 Corporate Senior Management Incentive Program, incorporated by reference to the Company’s Annual Report on Form</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10-K for the fiscal year ended December 31, 2001.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10.8(b)</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Amendment to Manpower Inc. 2002 Corporate Senior Management Incentive Program dated as of October 29, 2002, incorporated by reference</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to the Company’s Annual Report on Form 10-K for the fiscal year ended December 31, 2002.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Amended and Restated Manpower 1991 Directors Stock Option Plan, incorporated by reference to the Company’s Registration Statement on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S-8 (Registration No. 333-31021).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Amended and Restated Manpower Deferred Stock Plan, incorporated by reference to the Company’s Annual Report on Form 10-K for the fiscal</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year ended December 31, 1996.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Employment Agreement between Terry A. Hueneke and Manpower Inc. dated February 18, 1997, incorporated by reference to the Company’s</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Annual Report on Form 10-K for the fiscal year ended December 31, 1996.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10.11(b)</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Employment Agreement between Terry A. Hueneke and Manpower Inc. dated February 23, 1998, incorporated by reference to the Company’s</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Annual Report on Form 10-K for the fiscal year ended December 31, 1998.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10.11(c)</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Separation Agreement between Terry Hueneke and Manpower Inc. dated as of March 27, 2002, incorporated by reference to the Company’s</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March 31, 2002. **</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10.12(a)</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Employment Agreement between Jeffrey A. Joerres and Manpower Inc. dated as of February 19, 2002, incorporated by reference to the</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65"/>
        </w:trPr>
        <w:tc>
          <w:tcPr>
            <w:tcW w:w="9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536" w:right="2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10.12(b)</w:t>
            </w:r>
          </w:p>
        </w:tc>
        <w:tc>
          <w:tcPr>
            <w:tcW w:w="10440" w:type="dxa"/>
            <w:vAlign w:val="bottom"/>
          </w:tcPr>
          <w:p>
            <w:pPr>
              <w:ind w:left="320"/>
              <w:spacing w:after="0"/>
              <w:rPr>
                <w:sz w:val="20"/>
                <w:szCs w:val="20"/>
                <w:color w:val="auto"/>
              </w:rPr>
            </w:pPr>
            <w:r>
              <w:rPr>
                <w:rFonts w:ascii="Arial" w:cs="Arial" w:eastAsia="Arial" w:hAnsi="Arial"/>
                <w:sz w:val="18"/>
                <w:szCs w:val="18"/>
                <w:color w:val="auto"/>
                <w:w w:val="94"/>
              </w:rPr>
              <w:t>Severance Agreement between Jeffrey A. Joerres and Manpower Inc. dated as of February 19, 2002, incorporated by reference to the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10.12(c)</w:t>
            </w:r>
          </w:p>
        </w:tc>
        <w:tc>
          <w:tcPr>
            <w:tcW w:w="10440" w:type="dxa"/>
            <w:vAlign w:val="bottom"/>
          </w:tcPr>
          <w:p>
            <w:pPr>
              <w:ind w:left="320"/>
              <w:spacing w:after="0"/>
              <w:rPr>
                <w:sz w:val="20"/>
                <w:szCs w:val="20"/>
                <w:color w:val="auto"/>
              </w:rPr>
            </w:pPr>
            <w:r>
              <w:rPr>
                <w:rFonts w:ascii="Arial" w:cs="Arial" w:eastAsia="Arial" w:hAnsi="Arial"/>
                <w:sz w:val="18"/>
                <w:szCs w:val="18"/>
                <w:color w:val="auto"/>
                <w:w w:val="87"/>
              </w:rPr>
              <w:t>Amendment to Severance Agreement between Jeffrey A. Joerres and Manpower Inc. dated as of October 29, 2002, incorporated by reference to</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the Company’s Annual Report on Form 10-K for the fiscal year ended December 31,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10.13(a)</w:t>
            </w:r>
          </w:p>
        </w:tc>
        <w:tc>
          <w:tcPr>
            <w:tcW w:w="10440" w:type="dxa"/>
            <w:vAlign w:val="bottom"/>
          </w:tcPr>
          <w:p>
            <w:pPr>
              <w:ind w:left="320"/>
              <w:spacing w:after="0"/>
              <w:rPr>
                <w:sz w:val="20"/>
                <w:szCs w:val="20"/>
                <w:color w:val="auto"/>
              </w:rPr>
            </w:pPr>
            <w:r>
              <w:rPr>
                <w:rFonts w:ascii="Arial" w:cs="Arial" w:eastAsia="Arial" w:hAnsi="Arial"/>
                <w:sz w:val="18"/>
                <w:szCs w:val="18"/>
                <w:color w:val="auto"/>
                <w:w w:val="90"/>
              </w:rPr>
              <w:t>Employment Agreement between Michael J. Van Handel and Manpower Inc. dated as of February 19, 2002, incorporated by reference to the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10.13(b)</w:t>
            </w:r>
          </w:p>
        </w:tc>
        <w:tc>
          <w:tcPr>
            <w:tcW w:w="10440" w:type="dxa"/>
            <w:vAlign w:val="bottom"/>
          </w:tcPr>
          <w:p>
            <w:pPr>
              <w:ind w:left="320"/>
              <w:spacing w:after="0"/>
              <w:rPr>
                <w:sz w:val="20"/>
                <w:szCs w:val="20"/>
                <w:color w:val="auto"/>
              </w:rPr>
            </w:pPr>
            <w:r>
              <w:rPr>
                <w:rFonts w:ascii="Arial" w:cs="Arial" w:eastAsia="Arial" w:hAnsi="Arial"/>
                <w:sz w:val="18"/>
                <w:szCs w:val="18"/>
                <w:color w:val="auto"/>
                <w:w w:val="91"/>
              </w:rPr>
              <w:t>Severance Agreement between Michael J. Van Handel and Manpower Inc. dated as of February 19, 2002, incorporated by reference to the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10.13(c)</w:t>
            </w:r>
          </w:p>
        </w:tc>
        <w:tc>
          <w:tcPr>
            <w:tcW w:w="10440" w:type="dxa"/>
            <w:vAlign w:val="bottom"/>
          </w:tcPr>
          <w:p>
            <w:pPr>
              <w:ind w:left="320"/>
              <w:spacing w:after="0"/>
              <w:rPr>
                <w:sz w:val="20"/>
                <w:szCs w:val="20"/>
                <w:color w:val="auto"/>
              </w:rPr>
            </w:pPr>
            <w:r>
              <w:rPr>
                <w:rFonts w:ascii="Arial" w:cs="Arial" w:eastAsia="Arial" w:hAnsi="Arial"/>
                <w:sz w:val="18"/>
                <w:szCs w:val="18"/>
                <w:color w:val="auto"/>
                <w:w w:val="92"/>
              </w:rPr>
              <w:t>Amendment to Severance Agreement between Michael J. Van Handel and Manpower Inc. dated as of October 29, 2002, incorporated by</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10.14(a)</w:t>
            </w:r>
          </w:p>
        </w:tc>
        <w:tc>
          <w:tcPr>
            <w:tcW w:w="10440" w:type="dxa"/>
            <w:vAlign w:val="bottom"/>
          </w:tcPr>
          <w:p>
            <w:pPr>
              <w:ind w:left="320"/>
              <w:spacing w:after="0"/>
              <w:rPr>
                <w:sz w:val="20"/>
                <w:szCs w:val="20"/>
                <w:color w:val="auto"/>
              </w:rPr>
            </w:pPr>
            <w:r>
              <w:rPr>
                <w:rFonts w:ascii="Arial" w:cs="Arial" w:eastAsia="Arial" w:hAnsi="Arial"/>
                <w:sz w:val="18"/>
                <w:szCs w:val="18"/>
                <w:color w:val="auto"/>
                <w:w w:val="93"/>
              </w:rPr>
              <w:t>Employment Agreement between Barbara J. Beck and Manpower Inc. dated as of December 18, 2001, incorporated by reference to the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for the quarter ended June 30,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10.14(b)</w:t>
            </w:r>
          </w:p>
        </w:tc>
        <w:tc>
          <w:tcPr>
            <w:tcW w:w="10440" w:type="dxa"/>
            <w:vAlign w:val="bottom"/>
          </w:tcPr>
          <w:p>
            <w:pPr>
              <w:ind w:left="320"/>
              <w:spacing w:after="0"/>
              <w:rPr>
                <w:sz w:val="20"/>
                <w:szCs w:val="20"/>
                <w:color w:val="auto"/>
              </w:rPr>
            </w:pPr>
            <w:r>
              <w:rPr>
                <w:rFonts w:ascii="Arial" w:cs="Arial" w:eastAsia="Arial" w:hAnsi="Arial"/>
                <w:sz w:val="18"/>
                <w:szCs w:val="18"/>
                <w:color w:val="auto"/>
                <w:w w:val="89"/>
              </w:rPr>
              <w:t>Severance Agreement between Barbara J. Beck and Manpower Inc. dated as of August 15, 2002, incorporated by reference to the Company’s</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Annual Report on Form 10-K for the fiscal year ended December 31,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40" w:type="dxa"/>
            <w:vAlign w:val="bottom"/>
          </w:tcPr>
          <w:p>
            <w:pPr>
              <w:ind w:left="320"/>
              <w:spacing w:after="0"/>
              <w:rPr>
                <w:sz w:val="20"/>
                <w:szCs w:val="20"/>
                <w:color w:val="auto"/>
              </w:rPr>
            </w:pPr>
            <w:r>
              <w:rPr>
                <w:rFonts w:ascii="Arial" w:cs="Arial" w:eastAsia="Arial" w:hAnsi="Arial"/>
                <w:sz w:val="18"/>
                <w:szCs w:val="18"/>
                <w:color w:val="auto"/>
                <w:w w:val="92"/>
              </w:rPr>
              <w:t>Description of Bonus Arrangement for Yoav Michaely, incorporated by reference to the Company’s Quarterly Report on Form 10-Q for the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quarter ended June 30,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10.16(a)</w:t>
            </w:r>
          </w:p>
        </w:tc>
        <w:tc>
          <w:tcPr>
            <w:tcW w:w="10440" w:type="dxa"/>
            <w:vAlign w:val="bottom"/>
          </w:tcPr>
          <w:p>
            <w:pPr>
              <w:ind w:left="320"/>
              <w:spacing w:after="0"/>
              <w:rPr>
                <w:sz w:val="20"/>
                <w:szCs w:val="20"/>
                <w:color w:val="auto"/>
              </w:rPr>
            </w:pPr>
            <w:r>
              <w:rPr>
                <w:rFonts w:ascii="Arial" w:cs="Arial" w:eastAsia="Arial" w:hAnsi="Arial"/>
                <w:sz w:val="18"/>
                <w:szCs w:val="18"/>
                <w:color w:val="auto"/>
                <w:w w:val="89"/>
              </w:rPr>
              <w:t>Description of Bonus Arrangement for Jean-Pierre Lemonnier, incorporated by reference to the Company’s Quarterly Report on Form 10-Q for</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the quarter ended June 30, 2002.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10.16(b)</w:t>
            </w:r>
          </w:p>
        </w:tc>
        <w:tc>
          <w:tcPr>
            <w:tcW w:w="10440" w:type="dxa"/>
            <w:vAlign w:val="bottom"/>
          </w:tcPr>
          <w:p>
            <w:pPr>
              <w:ind w:left="320"/>
              <w:spacing w:after="0"/>
              <w:rPr>
                <w:sz w:val="20"/>
                <w:szCs w:val="20"/>
                <w:color w:val="auto"/>
              </w:rPr>
            </w:pPr>
            <w:r>
              <w:rPr>
                <w:rFonts w:ascii="Arial" w:cs="Arial" w:eastAsia="Arial" w:hAnsi="Arial"/>
                <w:sz w:val="18"/>
                <w:szCs w:val="18"/>
                <w:color w:val="auto"/>
                <w:w w:val="90"/>
              </w:rPr>
              <w:t>Severance Agreement among Manpower S.A.S., Manpower Inc. and Jean-Pierre Lemonnier dated as of September 1, 2003, incorporated by</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reference to the Company’s Quarterly Report on Form 10-Q for the quarter ended September 30, 2003.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10.17(a)</w:t>
            </w:r>
          </w:p>
        </w:tc>
        <w:tc>
          <w:tcPr>
            <w:tcW w:w="10440" w:type="dxa"/>
            <w:vAlign w:val="bottom"/>
          </w:tcPr>
          <w:p>
            <w:pPr>
              <w:ind w:left="320"/>
              <w:spacing w:after="0"/>
              <w:rPr>
                <w:sz w:val="20"/>
                <w:szCs w:val="20"/>
                <w:color w:val="auto"/>
              </w:rPr>
            </w:pPr>
            <w:r>
              <w:rPr>
                <w:rFonts w:ascii="Arial" w:cs="Arial" w:eastAsia="Arial" w:hAnsi="Arial"/>
                <w:sz w:val="18"/>
                <w:szCs w:val="18"/>
                <w:color w:val="auto"/>
                <w:w w:val="91"/>
              </w:rPr>
              <w:t>2003 Equity Incentive Plan of Manpower Inc. (Amended and Restated Effective July 29, 2003), incorporated by reference to the Company’s</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Quarterly Report on Form 10-Q for the quarter ended September 30, 2003.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10.17(b)</w:t>
            </w:r>
          </w:p>
        </w:tc>
        <w:tc>
          <w:tcPr>
            <w:tcW w:w="10440" w:type="dxa"/>
            <w:vAlign w:val="bottom"/>
          </w:tcPr>
          <w:p>
            <w:pPr>
              <w:ind w:left="320"/>
              <w:spacing w:after="0"/>
              <w:rPr>
                <w:sz w:val="20"/>
                <w:szCs w:val="20"/>
                <w:color w:val="auto"/>
              </w:rPr>
            </w:pPr>
            <w:r>
              <w:rPr>
                <w:rFonts w:ascii="Arial" w:cs="Arial" w:eastAsia="Arial" w:hAnsi="Arial"/>
                <w:sz w:val="18"/>
                <w:szCs w:val="18"/>
                <w:color w:val="auto"/>
                <w:w w:val="89"/>
              </w:rPr>
              <w:t>Terms and Conditions Regarding the Grant of Options in Lieu of Cash Directors Fees to Non-Employee Directors Under 2003 Equity Incentive</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1"/>
              </w:rPr>
              <w:t>Plan of Manpower Inc., incorporated by reference in the Company’s Quarterly Report on Form 10-Q for the quarter ended June 30, 2003.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10.17(c)</w:t>
            </w:r>
          </w:p>
        </w:tc>
        <w:tc>
          <w:tcPr>
            <w:tcW w:w="10440" w:type="dxa"/>
            <w:vAlign w:val="bottom"/>
          </w:tcPr>
          <w:p>
            <w:pPr>
              <w:ind w:left="320"/>
              <w:spacing w:after="0"/>
              <w:rPr>
                <w:sz w:val="20"/>
                <w:szCs w:val="20"/>
                <w:color w:val="auto"/>
              </w:rPr>
            </w:pPr>
            <w:r>
              <w:rPr>
                <w:rFonts w:ascii="Arial" w:cs="Arial" w:eastAsia="Arial" w:hAnsi="Arial"/>
                <w:sz w:val="18"/>
                <w:szCs w:val="18"/>
                <w:color w:val="auto"/>
                <w:w w:val="92"/>
              </w:rPr>
              <w:t>Terms and Conditions Regarding the Grant of Awards to Non-Employee Directors under the 2003 Equity Incentive Plan of Manpower Inc.</w:t>
            </w:r>
          </w:p>
        </w:tc>
      </w:tr>
      <w:tr>
        <w:trPr>
          <w:trHeight w:val="222"/>
        </w:trPr>
        <w:tc>
          <w:tcPr>
            <w:tcW w:w="940" w:type="dxa"/>
            <w:vAlign w:val="bottom"/>
          </w:tcPr>
          <w:p>
            <w:pPr>
              <w:spacing w:after="0"/>
              <w:rPr>
                <w:sz w:val="19"/>
                <w:szCs w:val="19"/>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(Amended and Restated Effective January 1, 2004). **</w:t>
            </w:r>
          </w:p>
        </w:tc>
      </w:tr>
      <w:tr>
        <w:trPr>
          <w:trHeight w:val="365"/>
        </w:trPr>
        <w:tc>
          <w:tcPr>
            <w:tcW w:w="940" w:type="dxa"/>
            <w:vAlign w:val="bottom"/>
          </w:tcPr>
          <w:p>
            <w:pPr>
              <w:spacing w:after="0"/>
              <w:rPr>
                <w:sz w:val="24"/>
                <w:szCs w:val="24"/>
                <w:color w:val="auto"/>
              </w:rPr>
            </w:pPr>
          </w:p>
        </w:tc>
        <w:tc>
          <w:tcPr>
            <w:tcW w:w="10440" w:type="dxa"/>
            <w:vAlign w:val="bottom"/>
          </w:tcPr>
          <w:p>
            <w:pPr>
              <w:ind w:left="46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380"/>
          </w:cols>
          <w:pgMar w:left="240" w:top="388" w:right="27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10.18(a)</w:t>
            </w: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Employment Agreement dated as of December 10, 2003 between Manpower Inc. and Richard J. Pinola, incorporated by reference to the</w:t>
            </w:r>
          </w:p>
        </w:tc>
      </w:tr>
      <w:tr>
        <w:trPr>
          <w:trHeight w:val="222"/>
        </w:trPr>
        <w:tc>
          <w:tcPr>
            <w:tcW w:w="9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Company’s Registration Statement on Form S-4 (Registration No. 333-111337) filed on December 19, 2003.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10.18(b)</w:t>
            </w:r>
          </w:p>
        </w:tc>
        <w:tc>
          <w:tcPr>
            <w:tcW w:w="10340" w:type="dxa"/>
            <w:vAlign w:val="bottom"/>
          </w:tcPr>
          <w:p>
            <w:pPr>
              <w:ind w:left="320"/>
              <w:spacing w:after="0"/>
              <w:rPr>
                <w:sz w:val="20"/>
                <w:szCs w:val="20"/>
                <w:color w:val="auto"/>
              </w:rPr>
            </w:pPr>
            <w:r>
              <w:rPr>
                <w:rFonts w:ascii="Arial" w:cs="Arial" w:eastAsia="Arial" w:hAnsi="Arial"/>
                <w:sz w:val="18"/>
                <w:szCs w:val="18"/>
                <w:color w:val="auto"/>
                <w:w w:val="88"/>
              </w:rPr>
              <w:t>Change of Control Agreement dated as of December 10, 2003 between Manpower Inc. and Richard J. Pinola, incorporated by reference to the</w:t>
            </w:r>
          </w:p>
        </w:tc>
      </w:tr>
      <w:tr>
        <w:trPr>
          <w:trHeight w:val="222"/>
        </w:trPr>
        <w:tc>
          <w:tcPr>
            <w:tcW w:w="9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Company’s Registration Statement on Form S-4 (Registration No. 333-111337) filed on December 19, 2003.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340" w:type="dxa"/>
            <w:vAlign w:val="bottom"/>
          </w:tcPr>
          <w:p>
            <w:pPr>
              <w:ind w:left="320"/>
              <w:spacing w:after="0"/>
              <w:rPr>
                <w:sz w:val="20"/>
                <w:szCs w:val="20"/>
                <w:color w:val="auto"/>
              </w:rPr>
            </w:pPr>
            <w:r>
              <w:rPr>
                <w:rFonts w:ascii="Arial" w:cs="Arial" w:eastAsia="Arial" w:hAnsi="Arial"/>
                <w:sz w:val="18"/>
                <w:szCs w:val="18"/>
                <w:color w:val="auto"/>
                <w:w w:val="87"/>
              </w:rPr>
              <w:t>Right Management Consultants, Inc. 1993 Stock Incentive Plan, as amended, incorporated by reference to the Registration Statement on Form</w:t>
            </w:r>
          </w:p>
        </w:tc>
      </w:tr>
      <w:tr>
        <w:trPr>
          <w:trHeight w:val="222"/>
        </w:trPr>
        <w:tc>
          <w:tcPr>
            <w:tcW w:w="9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S-8 of Right Management Consultants, Inc. (Registration No. 333-84493). **</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340" w:type="dxa"/>
            <w:vAlign w:val="bottom"/>
          </w:tcPr>
          <w:p>
            <w:pPr>
              <w:ind w:left="320"/>
              <w:spacing w:after="0"/>
              <w:rPr>
                <w:sz w:val="20"/>
                <w:szCs w:val="20"/>
                <w:color w:val="auto"/>
              </w:rPr>
            </w:pPr>
            <w:r>
              <w:rPr>
                <w:rFonts w:ascii="Arial" w:cs="Arial" w:eastAsia="Arial" w:hAnsi="Arial"/>
                <w:sz w:val="18"/>
                <w:szCs w:val="18"/>
                <w:color w:val="auto"/>
                <w:w w:val="88"/>
              </w:rPr>
              <w:t>Right Management Consultants, Inc. Amended and Restated Directors’ Stock Option Plan, incorporated by reference to the Annual Report on</w:t>
            </w:r>
          </w:p>
        </w:tc>
      </w:tr>
      <w:tr>
        <w:trPr>
          <w:trHeight w:val="222"/>
        </w:trPr>
        <w:tc>
          <w:tcPr>
            <w:tcW w:w="9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Form 10-K for the year ended December 31, 2001 of Right Management Consultants, Inc. **</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0340" w:type="dxa"/>
            <w:vAlign w:val="bottom"/>
          </w:tcPr>
          <w:p>
            <w:pPr>
              <w:ind w:left="320"/>
              <w:spacing w:after="0"/>
              <w:rPr>
                <w:sz w:val="20"/>
                <w:szCs w:val="20"/>
                <w:color w:val="auto"/>
              </w:rPr>
            </w:pPr>
            <w:r>
              <w:rPr>
                <w:rFonts w:ascii="Arial" w:cs="Arial" w:eastAsia="Arial" w:hAnsi="Arial"/>
                <w:sz w:val="18"/>
                <w:szCs w:val="18"/>
                <w:color w:val="auto"/>
              </w:rPr>
              <w:t>Statement Regarding Computation of Ratio of Earnings to Fixed Charges.</w:t>
            </w:r>
          </w:p>
        </w:tc>
      </w:tr>
    </w:tbl>
    <w:p>
      <w:pPr>
        <w:spacing w:after="0" w:line="102" w:lineRule="exact"/>
        <w:rPr>
          <w:sz w:val="20"/>
          <w:szCs w:val="20"/>
          <w:color w:val="auto"/>
        </w:rPr>
      </w:pPr>
    </w:p>
    <w:p>
      <w:pPr>
        <w:ind w:left="1260" w:right="520" w:hanging="1252"/>
        <w:spacing w:after="0" w:line="268"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2003 Annual Report to Shareholders. Pursuant to Item 601(b)(13) of Regulation S-K, the portions of the Annual Report incorporated by reference in this Form 10-K are filed as an exhibit hereto.</w:t>
      </w:r>
    </w:p>
    <w:p>
      <w:pPr>
        <w:spacing w:after="0" w:line="77" w:lineRule="exact"/>
        <w:rPr>
          <w:rFonts w:ascii="Arial" w:cs="Arial" w:eastAsia="Arial" w:hAnsi="Arial"/>
          <w:sz w:val="18"/>
          <w:szCs w:val="18"/>
          <w:color w:val="auto"/>
        </w:rPr>
      </w:pPr>
    </w:p>
    <w:p>
      <w:pPr>
        <w:ind w:left="1260" w:hanging="1252"/>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Manpower Inc. Code of Business Conduct and Ethics (Amended and Restated Effective December 9, 2003).</w:t>
      </w:r>
    </w:p>
    <w:p>
      <w:pPr>
        <w:spacing w:after="0" w:line="117" w:lineRule="exact"/>
        <w:rPr>
          <w:sz w:val="20"/>
          <w:szCs w:val="20"/>
          <w:color w:val="auto"/>
        </w:rPr>
      </w:pPr>
    </w:p>
    <w:p>
      <w:pPr>
        <w:ind w:left="1260" w:hanging="1252"/>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Letter of Arthur Andersen LLP regarding change in certifying accountant, incorporated by reference to the Company’s Current Report on Form 8-K dated April 16, 2002.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Pr>
          <w:p>
            <w:pPr>
              <w:ind w:left="480"/>
              <w:spacing w:after="0"/>
              <w:rPr>
                <w:sz w:val="20"/>
                <w:szCs w:val="20"/>
                <w:color w:val="auto"/>
              </w:rPr>
            </w:pPr>
            <w:r>
              <w:rPr>
                <w:rFonts w:ascii="Arial" w:cs="Arial" w:eastAsia="Arial" w:hAnsi="Arial"/>
                <w:sz w:val="18"/>
                <w:szCs w:val="18"/>
                <w:color w:val="auto"/>
              </w:rPr>
              <w:t>Subsidiaries of Manpower Inc.</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48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10380" w:type="dxa"/>
            <w:vAlign w:val="bottom"/>
          </w:tcPr>
          <w:p>
            <w:pPr>
              <w:ind w:left="480"/>
              <w:spacing w:after="0"/>
              <w:rPr>
                <w:sz w:val="20"/>
                <w:szCs w:val="20"/>
                <w:color w:val="auto"/>
              </w:rPr>
            </w:pPr>
            <w:r>
              <w:rPr>
                <w:rFonts w:ascii="Arial" w:cs="Arial" w:eastAsia="Arial" w:hAnsi="Arial"/>
                <w:sz w:val="18"/>
                <w:szCs w:val="18"/>
                <w:color w:val="auto"/>
              </w:rPr>
              <w:t>Consent of Arthur Andersen LLP (omitted pursuant to Rule 437a under the Securities Act of 1933, as amended).</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10380" w:type="dxa"/>
            <w:vAlign w:val="bottom"/>
          </w:tcPr>
          <w:p>
            <w:pPr>
              <w:ind w:left="480"/>
              <w:spacing w:after="0"/>
              <w:rPr>
                <w:sz w:val="20"/>
                <w:szCs w:val="20"/>
                <w:color w:val="auto"/>
              </w:rPr>
            </w:pPr>
            <w:r>
              <w:rPr>
                <w:rFonts w:ascii="Arial" w:cs="Arial" w:eastAsia="Arial" w:hAnsi="Arial"/>
                <w:sz w:val="18"/>
                <w:szCs w:val="18"/>
                <w:color w:val="auto"/>
              </w:rPr>
              <w:t>Powers of Attorney.</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480"/>
              <w:spacing w:after="0"/>
              <w:rPr>
                <w:sz w:val="20"/>
                <w:szCs w:val="20"/>
                <w:color w:val="auto"/>
              </w:rPr>
            </w:pPr>
            <w:r>
              <w:rPr>
                <w:rFonts w:ascii="Arial" w:cs="Arial" w:eastAsia="Arial" w:hAnsi="Arial"/>
                <w:sz w:val="18"/>
                <w:szCs w:val="18"/>
                <w:color w:val="auto"/>
                <w:w w:val="90"/>
              </w:rPr>
              <w:t>Certification of Jeffrey A. Joerres, Chairman and Chief Executive Officer, pursuant to Section 13a-14(a) of the Securities Exchange Act of</w:t>
            </w:r>
          </w:p>
        </w:tc>
      </w:tr>
      <w:tr>
        <w:trPr>
          <w:trHeight w:val="222"/>
        </w:trPr>
        <w:tc>
          <w:tcPr>
            <w:tcW w:w="780" w:type="dxa"/>
            <w:vAlign w:val="bottom"/>
          </w:tcPr>
          <w:p>
            <w:pPr>
              <w:spacing w:after="0"/>
              <w:rPr>
                <w:sz w:val="19"/>
                <w:szCs w:val="19"/>
                <w:color w:val="auto"/>
              </w:rPr>
            </w:pPr>
          </w:p>
        </w:tc>
        <w:tc>
          <w:tcPr>
            <w:tcW w:w="10380" w:type="dxa"/>
            <w:vAlign w:val="bottom"/>
          </w:tcPr>
          <w:p>
            <w:pPr>
              <w:ind w:left="480"/>
              <w:spacing w:after="0"/>
              <w:rPr>
                <w:sz w:val="20"/>
                <w:szCs w:val="20"/>
                <w:color w:val="auto"/>
              </w:rPr>
            </w:pPr>
            <w:r>
              <w:rPr>
                <w:rFonts w:ascii="Arial" w:cs="Arial" w:eastAsia="Arial" w:hAnsi="Arial"/>
                <w:sz w:val="18"/>
                <w:szCs w:val="18"/>
                <w:color w:val="auto"/>
              </w:rPr>
              <w:t>1934.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480"/>
              <w:spacing w:after="0"/>
              <w:rPr>
                <w:sz w:val="20"/>
                <w:szCs w:val="20"/>
                <w:color w:val="auto"/>
              </w:rPr>
            </w:pPr>
            <w:r>
              <w:rPr>
                <w:rFonts w:ascii="Arial" w:cs="Arial" w:eastAsia="Arial" w:hAnsi="Arial"/>
                <w:sz w:val="18"/>
                <w:szCs w:val="18"/>
                <w:color w:val="auto"/>
                <w:w w:val="89"/>
              </w:rPr>
              <w:t>Certification of Michael J. Van Handel, Executive Vice President and Chief Financial Officer, pursuant to Section 13a-14(a) of the Securities</w:t>
            </w:r>
          </w:p>
        </w:tc>
      </w:tr>
      <w:tr>
        <w:trPr>
          <w:trHeight w:val="222"/>
        </w:trPr>
        <w:tc>
          <w:tcPr>
            <w:tcW w:w="780" w:type="dxa"/>
            <w:vAlign w:val="bottom"/>
          </w:tcPr>
          <w:p>
            <w:pPr>
              <w:spacing w:after="0"/>
              <w:rPr>
                <w:sz w:val="19"/>
                <w:szCs w:val="19"/>
                <w:color w:val="auto"/>
              </w:rPr>
            </w:pPr>
          </w:p>
        </w:tc>
        <w:tc>
          <w:tcPr>
            <w:tcW w:w="10380" w:type="dxa"/>
            <w:vAlign w:val="bottom"/>
          </w:tcPr>
          <w:p>
            <w:pPr>
              <w:ind w:left="480"/>
              <w:spacing w:after="0"/>
              <w:rPr>
                <w:sz w:val="20"/>
                <w:szCs w:val="20"/>
                <w:color w:val="auto"/>
              </w:rPr>
            </w:pPr>
            <w:r>
              <w:rPr>
                <w:rFonts w:ascii="Arial" w:cs="Arial" w:eastAsia="Arial" w:hAnsi="Arial"/>
                <w:sz w:val="18"/>
                <w:szCs w:val="18"/>
                <w:color w:val="auto"/>
              </w:rPr>
              <w:t>Exchange Act of 1934.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48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48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388"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Jeffrey A. Joerres</w:t>
      </w:r>
    </w:p>
    <w:p>
      <w:pPr>
        <w:ind w:left="7280"/>
        <w:spacing w:after="0"/>
        <w:rPr>
          <w:sz w:val="20"/>
          <w:szCs w:val="20"/>
          <w:color w:val="auto"/>
        </w:rPr>
      </w:pPr>
      <w:r>
        <w:rPr>
          <w:rFonts w:ascii="Arial" w:cs="Arial" w:eastAsia="Arial" w:hAnsi="Arial"/>
          <w:sz w:val="14"/>
          <w:szCs w:val="14"/>
          <w:color w:val="auto"/>
        </w:rPr>
        <w:t>Chairman, President and 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24, 2004</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pacing w:after="0" w:line="114" w:lineRule="exact"/>
        <w:rPr>
          <w:sz w:val="20"/>
          <w:szCs w:val="20"/>
          <w:color w:val="auto"/>
        </w:rPr>
      </w:pPr>
    </w:p>
    <w:p>
      <w:pPr>
        <w:ind w:left="2180"/>
        <w:spacing w:after="0"/>
        <w:tabs>
          <w:tab w:leader="none" w:pos="6940" w:val="left"/>
          <w:tab w:leader="none" w:pos="103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68580</wp:posOffset>
            </wp:positionV>
            <wp:extent cx="2832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68580</wp:posOffset>
            </wp:positionV>
            <wp:extent cx="231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68580</wp:posOffset>
            </wp:positionV>
            <wp:extent cx="240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440" w:type="dxa"/>
            <w:vAlign w:val="bottom"/>
          </w:tcPr>
          <w:p>
            <w:pPr>
              <w:ind w:left="80"/>
              <w:spacing w:after="0"/>
              <w:rPr>
                <w:sz w:val="20"/>
                <w:szCs w:val="20"/>
                <w:color w:val="auto"/>
              </w:rPr>
            </w:pPr>
            <w:r>
              <w:rPr>
                <w:rFonts w:ascii="Arial" w:cs="Arial" w:eastAsia="Arial" w:hAnsi="Arial"/>
                <w:sz w:val="18"/>
                <w:szCs w:val="18"/>
                <w:color w:val="auto"/>
              </w:rPr>
              <w:t>Jeffrey A. Joerres</w:t>
            </w:r>
          </w:p>
        </w:tc>
        <w:tc>
          <w:tcPr>
            <w:tcW w:w="4640" w:type="dxa"/>
            <w:vAlign w:val="bottom"/>
          </w:tcPr>
          <w:p>
            <w:pPr>
              <w:ind w:left="340"/>
              <w:spacing w:after="0"/>
              <w:rPr>
                <w:sz w:val="20"/>
                <w:szCs w:val="20"/>
                <w:color w:val="auto"/>
              </w:rPr>
            </w:pPr>
            <w:r>
              <w:rPr>
                <w:rFonts w:ascii="Arial" w:cs="Arial" w:eastAsia="Arial" w:hAnsi="Arial"/>
                <w:sz w:val="18"/>
                <w:szCs w:val="18"/>
                <w:color w:val="auto"/>
              </w:rPr>
              <w:t>Chairman, President, Chief Executive Officer and a</w:t>
            </w:r>
          </w:p>
        </w:tc>
        <w:tc>
          <w:tcPr>
            <w:tcW w:w="1760" w:type="dxa"/>
            <w:vAlign w:val="bottom"/>
          </w:tcPr>
          <w:p>
            <w:pPr>
              <w:ind w:left="460"/>
              <w:spacing w:after="0"/>
              <w:rPr>
                <w:sz w:val="20"/>
                <w:szCs w:val="20"/>
                <w:color w:val="auto"/>
              </w:rPr>
            </w:pPr>
            <w:r>
              <w:rPr>
                <w:rFonts w:ascii="Arial" w:cs="Arial" w:eastAsia="Arial" w:hAnsi="Arial"/>
                <w:sz w:val="18"/>
                <w:szCs w:val="18"/>
                <w:color w:val="auto"/>
                <w:w w:val="86"/>
              </w:rPr>
              <w:t>February 24,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440" w:type="dxa"/>
            <w:vAlign w:val="bottom"/>
          </w:tcPr>
          <w:p>
            <w:pPr>
              <w:spacing w:after="0"/>
              <w:rPr>
                <w:sz w:val="6"/>
                <w:szCs w:val="6"/>
                <w:color w:val="auto"/>
              </w:rPr>
            </w:pPr>
          </w:p>
        </w:tc>
        <w:tc>
          <w:tcPr>
            <w:tcW w:w="4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4"/>
                <w:szCs w:val="14"/>
                <w:color w:val="auto"/>
              </w:rPr>
              <w:t>Jeffrey A. Joerres</w:t>
            </w:r>
          </w:p>
        </w:tc>
        <w:tc>
          <w:tcPr>
            <w:tcW w:w="46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440" w:type="dxa"/>
            <w:vAlign w:val="bottom"/>
          </w:tcPr>
          <w:p>
            <w:pPr>
              <w:ind w:left="80"/>
              <w:spacing w:after="0"/>
              <w:rPr>
                <w:sz w:val="20"/>
                <w:szCs w:val="20"/>
                <w:color w:val="auto"/>
              </w:rPr>
            </w:pPr>
            <w:r>
              <w:rPr>
                <w:rFonts w:ascii="Arial" w:cs="Arial" w:eastAsia="Arial" w:hAnsi="Arial"/>
                <w:sz w:val="18"/>
                <w:szCs w:val="18"/>
                <w:color w:val="auto"/>
              </w:rPr>
              <w:t>Michael J. Van Handel</w:t>
            </w:r>
          </w:p>
        </w:tc>
        <w:tc>
          <w:tcPr>
            <w:tcW w:w="4640" w:type="dxa"/>
            <w:vAlign w:val="bottom"/>
          </w:tcPr>
          <w:p>
            <w:pPr>
              <w:ind w:left="340"/>
              <w:spacing w:after="0"/>
              <w:rPr>
                <w:sz w:val="20"/>
                <w:szCs w:val="20"/>
                <w:color w:val="auto"/>
              </w:rPr>
            </w:pPr>
            <w:r>
              <w:rPr>
                <w:rFonts w:ascii="Arial" w:cs="Arial" w:eastAsia="Arial" w:hAnsi="Arial"/>
                <w:sz w:val="18"/>
                <w:szCs w:val="18"/>
                <w:color w:val="auto"/>
              </w:rPr>
              <w:t>Executive Vice President, Chief Financial Officer, and</w:t>
            </w:r>
          </w:p>
        </w:tc>
        <w:tc>
          <w:tcPr>
            <w:tcW w:w="1760" w:type="dxa"/>
            <w:vAlign w:val="bottom"/>
          </w:tcPr>
          <w:p>
            <w:pPr>
              <w:ind w:left="460"/>
              <w:spacing w:after="0"/>
              <w:rPr>
                <w:sz w:val="20"/>
                <w:szCs w:val="20"/>
                <w:color w:val="auto"/>
              </w:rPr>
            </w:pPr>
            <w:r>
              <w:rPr>
                <w:rFonts w:ascii="Arial" w:cs="Arial" w:eastAsia="Arial" w:hAnsi="Arial"/>
                <w:sz w:val="18"/>
                <w:szCs w:val="18"/>
                <w:color w:val="auto"/>
                <w:w w:val="86"/>
              </w:rPr>
              <w:t>February 24,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Secretary (Principal Financial Officer and Principal</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440" w:type="dxa"/>
            <w:vAlign w:val="bottom"/>
          </w:tcPr>
          <w:p>
            <w:pPr>
              <w:spacing w:after="0"/>
              <w:rPr>
                <w:sz w:val="6"/>
                <w:szCs w:val="6"/>
                <w:color w:val="auto"/>
              </w:rPr>
            </w:pPr>
          </w:p>
        </w:tc>
        <w:tc>
          <w:tcPr>
            <w:tcW w:w="4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4"/>
                <w:szCs w:val="14"/>
                <w:color w:val="auto"/>
              </w:rPr>
              <w:t>Michael J. Van Handel</w:t>
            </w:r>
          </w:p>
        </w:tc>
        <w:tc>
          <w:tcPr>
            <w:tcW w:w="4640" w:type="dxa"/>
            <w:vAlign w:val="bottom"/>
          </w:tcPr>
          <w:p>
            <w:pPr>
              <w:ind w:left="340"/>
              <w:spacing w:after="0"/>
              <w:rPr>
                <w:sz w:val="20"/>
                <w:szCs w:val="20"/>
                <w:color w:val="auto"/>
              </w:rPr>
            </w:pPr>
            <w:r>
              <w:rPr>
                <w:rFonts w:ascii="Arial" w:cs="Arial" w:eastAsia="Arial" w:hAnsi="Arial"/>
                <w:sz w:val="18"/>
                <w:szCs w:val="18"/>
                <w:color w:val="auto"/>
              </w:rPr>
              <w:t>Accounting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Directors: J. Thomas Bouchard, Stephanie A. Burns, Willie D. Davis, Jack M. Greenberg, Terry A. Hueneke, Rozanne L. Ridgway, Dennis Stevenson, John R. Walter and Edward J. Zore</w:t>
      </w:r>
    </w:p>
    <w:p>
      <w:pPr>
        <w:spacing w:after="0" w:line="335" w:lineRule="exact"/>
        <w:rPr>
          <w:sz w:val="20"/>
          <w:szCs w:val="20"/>
          <w:color w:val="auto"/>
        </w:rPr>
      </w:pPr>
    </w:p>
    <w:p>
      <w:pPr>
        <w:spacing w:after="0"/>
        <w:tabs>
          <w:tab w:leader="none" w:pos="420" w:val="left"/>
          <w:tab w:leader="none" w:pos="760" w:val="left"/>
          <w:tab w:leader="none" w:pos="9780" w:val="left"/>
        </w:tabs>
        <w:rPr>
          <w:sz w:val="20"/>
          <w:szCs w:val="20"/>
          <w:color w:val="auto"/>
        </w:rPr>
      </w:pPr>
      <w:r>
        <w:rPr>
          <w:rFonts w:ascii="Arial" w:cs="Arial" w:eastAsia="Arial" w:hAnsi="Arial"/>
          <w:sz w:val="18"/>
          <w:szCs w:val="18"/>
          <w:color w:val="auto"/>
        </w:rPr>
        <w:t>By:</w:t>
        <w:tab/>
        <w:t>/s/</w:t>
        <w:tab/>
        <w:t>Michael J. Van Handel</w:t>
      </w:r>
      <w:r>
        <w:rPr>
          <w:sz w:val="20"/>
          <w:szCs w:val="20"/>
          <w:color w:val="auto"/>
        </w:rPr>
        <w:tab/>
      </w:r>
      <w:r>
        <w:rPr>
          <w:rFonts w:ascii="Arial" w:cs="Arial" w:eastAsia="Arial" w:hAnsi="Arial"/>
          <w:sz w:val="15"/>
          <w:szCs w:val="15"/>
          <w:color w:val="auto"/>
        </w:rPr>
        <w:t>February 24,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Michael J. Van Handel</w:t>
      </w:r>
    </w:p>
    <w:p>
      <w:pPr>
        <w:ind w:left="440"/>
        <w:spacing w:after="0"/>
        <w:rPr>
          <w:sz w:val="20"/>
          <w:szCs w:val="20"/>
          <w:color w:val="auto"/>
        </w:rPr>
      </w:pPr>
      <w:r>
        <w:rPr>
          <w:rFonts w:ascii="Arial" w:cs="Arial" w:eastAsia="Arial" w:hAnsi="Arial"/>
          <w:sz w:val="14"/>
          <w:szCs w:val="14"/>
          <w:color w:val="auto"/>
        </w:rPr>
        <w:t>Attorney-In-Fact*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FINANCIAL STATEMENT SCHEDULE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audits of the consolidated financial statements referred to in our report dated February 11, 2004, appearing in the 2003 Annual Report to Shareholders of Manpower Inc. (which report and consolidated financial statements are incorporated by reference in this Annual Report on Form 10-K) also included an audit of the financial statement schedule for the years ended December 31, 2003 and December 31, 2002 listed in Item 15(a)(2) of this Form 10-K. In our opinion, the financial statement schedule for the years ended December 31, 2003 and December 31, 2002 presents fairly, in all material respects, the information set forth therein when read in conjunction with the related consolidated financial statements. The financial statement schedule of Manpower Inc. for the year ended December 31, 2001 was audited by other independent accountants who have ceased operations. Those independent accountants expressed an unqualified opinion on the financial statement schedule in their report dated January 28, 2002.</w:t>
      </w:r>
    </w:p>
    <w:p>
      <w:pPr>
        <w:spacing w:after="0" w:line="105"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/s/</w:t>
        <w:tab/>
        <w:t>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33-40441, 33-55264, 33-84736, 333-1040, 333-31021, 333-82459, 333-66656, 333-105205 and 333-112164), Form S-3 (File Nos. 33-89660, 333-6545 and 333-71040) and Form S-4 (File Nos. 333-650, 33-95896 and 333-87554) of Manpower Inc. of our report dated February 11, 2004 relating to the financial statements, which appears in the Annual Report to Shareholders, which is incorporated in this Annual Report on Form 10-K. We also consent to the incorporation by reference of our report dated February 11, 2004 relating to the financial statement schedule, which appears in this Form 10-K.</w:t>
      </w:r>
    </w:p>
    <w:p>
      <w:pPr>
        <w:spacing w:after="0" w:line="102"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/s/</w:t>
        <w:tab/>
        <w:t>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2004</w:t>
      </w:r>
    </w:p>
    <w:p>
      <w:pPr>
        <w:sectPr>
          <w:pgSz w:w="11900" w:h="16838" w:orient="portrait"/>
          <w:cols w:equalWidth="0" w:num="1">
            <w:col w:w="11400"/>
          </w:cols>
          <w:pgMar w:left="240" w:top="274" w:right="259" w:bottom="1440" w:gutter="0" w:footer="0" w:header="0"/>
        </w:sectPr>
      </w:pPr>
    </w:p>
    <w:bookmarkStart w:id="24" w:name="page25"/>
    <w:bookmarkEnd w:id="24"/>
    <w:p>
      <w:pPr>
        <w:ind w:right="8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a copy of the Report of Independent Public Accountants on Financial Statement Schedule issued by Arthur Andersen LLP in connection with Manpower’s Annual Report on Form 10-K for the fiscal year ended December 31, 2001. This report has not been reissued by Arthur Andersen LLP in connection with this Annual Report on Form 10-K. Please refer to the section in Part II of this Annual Report entitled “Notice Regarding Consent of Arthur Andersen LLP” for further information.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FINANCIAL STATEMENT SCHEDULE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audited in accordance with auditing standards generally accepted in the United States, the financial statements included in Manpower Inc.’s annual report to shareholders incorporated by reference in this Form 10-K, and have issued our report thereon dated January 28, 2002. Our audit was made for the purpose of forming an opinion on those statements taken as a whole. The schedule listed in the index at item 14(a)(2)*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07"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Andersen LLP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ANDERSEN LLP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28,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Please note that this schedule is at item 15(a)(2) for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consent of Arthur Andersen LLP has been omitted pursuant to Rule 437a under the Securities Act of 1933, as amended.</w:t>
      </w:r>
    </w:p>
    <w:p>
      <w:pPr>
        <w:sectPr>
          <w:pgSz w:w="11900" w:h="16838" w:orient="portrait"/>
          <w:cols w:equalWidth="0" w:num="1">
            <w:col w:w="11400"/>
          </w:cols>
          <w:pgMar w:left="240" w:top="280" w:right="259" w:bottom="1440" w:gutter="0" w:footer="0" w:header="0"/>
        </w:sectPr>
      </w:pPr>
    </w:p>
    <w:bookmarkStart w:id="25" w:name="page26"/>
    <w:bookmarkEnd w:id="25"/>
    <w:p>
      <w:pPr>
        <w:ind w:left="460" w:right="3200" w:firstLine="2751"/>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II—VALUATION AND QUALIFYING ACCOUNTS </w:t>
      </w:r>
      <w:r>
        <w:rPr>
          <w:rFonts w:ascii="Arial" w:cs="Arial" w:eastAsia="Arial" w:hAnsi="Arial"/>
          <w:sz w:val="18"/>
          <w:szCs w:val="18"/>
          <w:color w:val="auto"/>
        </w:rPr>
        <w:t>For the years ended December 31, 2003, 2002 and 2001, in millions: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Doubtful Accounts: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Provisions</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Write-</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Reclassifications</w:t>
            </w:r>
          </w:p>
        </w:tc>
        <w:tc>
          <w:tcPr>
            <w:tcW w:w="520" w:type="dxa"/>
            <w:vAlign w:val="bottom"/>
          </w:tcPr>
          <w:p>
            <w:pPr>
              <w:spacing w:after="0"/>
              <w:rPr>
                <w:sz w:val="12"/>
                <w:szCs w:val="12"/>
                <w:color w:val="auto"/>
              </w:rPr>
            </w:pP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Earnings</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Offs</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tcPr>
          <w:p>
            <w:pPr>
              <w:jc w:val="right"/>
              <w:ind w:right="100"/>
              <w:spacing w:after="0"/>
              <w:rPr>
                <w:sz w:val="20"/>
                <w:szCs w:val="20"/>
                <w:color w:val="auto"/>
              </w:rPr>
            </w:pPr>
            <w:r>
              <w:rPr>
                <w:rFonts w:ascii="Arial" w:cs="Arial" w:eastAsia="Arial" w:hAnsi="Arial"/>
                <w:sz w:val="14"/>
                <w:szCs w:val="14"/>
                <w:b w:val="1"/>
                <w:bCs w:val="1"/>
                <w:color w:val="auto"/>
              </w:rPr>
              <w:t>and Other</w:t>
            </w:r>
          </w:p>
        </w:tc>
        <w:tc>
          <w:tcPr>
            <w:tcW w:w="520" w:type="dxa"/>
            <w:vAlign w:val="bottom"/>
          </w:tcPr>
          <w:p>
            <w:pPr>
              <w:spacing w:after="0"/>
              <w:rPr>
                <w:sz w:val="15"/>
                <w:szCs w:val="15"/>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1"/>
              </w:rPr>
              <w:t>$ 79.1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Year ending December 31, 2002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61.8</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(18.4)</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$ 70.3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23.8</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(18.2)</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1"/>
              </w:rPr>
              <w:t>$ 61.8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10.17(c)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Regarding the Grant of Awards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Non-Employee Directors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2004)</w:t>
      </w:r>
    </w:p>
    <w:p>
      <w:pPr>
        <w:spacing w:after="0" w:line="15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77" w:lineRule="exact"/>
        <w:rPr>
          <w:sz w:val="20"/>
          <w:szCs w:val="20"/>
          <w:color w:val="auto"/>
        </w:rPr>
      </w:pPr>
    </w:p>
    <w:p>
      <w:pPr>
        <w:ind w:right="220" w:firstLine="464"/>
        <w:spacing w:after="0" w:line="306"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“Average Trading Price” shall mean the average of the Market Prices on the last trading day of each full or partial calendar quarter covered by an Election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the Election Period beginning on July 29, 2003, “Average Trading Price” shall mean the average of the Market Price on November 7, 2003 and the Market Price on the last trading day of the last full or partial calendar quarter covered by that Election Period.</w:t>
      </w:r>
    </w:p>
    <w:p>
      <w:pPr>
        <w:spacing w:after="0" w:line="93" w:lineRule="exact"/>
        <w:rPr>
          <w:rFonts w:ascii="Arial" w:cs="Arial" w:eastAsia="Arial" w:hAnsi="Arial"/>
          <w:sz w:val="16"/>
          <w:szCs w:val="16"/>
          <w:color w:val="auto"/>
        </w:rPr>
      </w:pPr>
    </w:p>
    <w:p>
      <w:pPr>
        <w:ind w:firstLine="464"/>
        <w:spacing w:after="0" w:line="249" w:lineRule="auto"/>
        <w:tabs>
          <w:tab w:leader="none" w:pos="7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“Commencement Date” shall mean, with respect to Directors in office as of July 29, 2003, July 29, 2003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 shall mean, with respect to Directors appointed to the Board of Directors after July 29, 2003, the date of the Director’s initial appointment to the Board of Directors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 and shall mean, with respect to individuals who were Employee members of the Board of Directors and who become Directors after July 29, 2003, the date on which such individual becomes a Director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w:t>
      </w:r>
    </w:p>
    <w:p>
      <w:pPr>
        <w:spacing w:after="0" w:line="58" w:lineRule="exact"/>
        <w:rPr>
          <w:rFonts w:ascii="Arial" w:cs="Arial" w:eastAsia="Arial" w:hAnsi="Arial"/>
          <w:sz w:val="17"/>
          <w:szCs w:val="17"/>
          <w:color w:val="auto"/>
        </w:rPr>
      </w:pPr>
    </w:p>
    <w:p>
      <w:pPr>
        <w:ind w:right="420" w:firstLine="464"/>
        <w:spacing w:after="0" w:line="292"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“Election Period” shall mean a period of time beginning on a Commencement Date and ending on the earlier of (a) the date of termination of a Director’s tenure as a Director or (b) the next succeeding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Plan” shall mean the 2003 Equity Incentive Plan of Manpower Inc.</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 shall mean a Nonstatutory Stock Option granted under the Equity Plan.</w:t>
      </w:r>
    </w:p>
    <w:p>
      <w:pPr>
        <w:spacing w:after="0" w:line="157" w:lineRule="exact"/>
        <w:rPr>
          <w:rFonts w:ascii="Arial" w:cs="Arial" w:eastAsia="Arial" w:hAnsi="Arial"/>
          <w:sz w:val="18"/>
          <w:szCs w:val="18"/>
          <w:color w:val="auto"/>
        </w:rPr>
      </w:pPr>
    </w:p>
    <w:p>
      <w:pPr>
        <w:ind w:right="40" w:firstLine="464"/>
        <w:spacing w:after="0" w:line="294" w:lineRule="auto"/>
        <w:tabs>
          <w:tab w:leader="none" w:pos="6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“Retainer” shall mean the annual cash retainer payable to a Director as established from time to time by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2003 Equity Incentive Plan of Manpower Inc. (the “Option Terms”) or the Procedures Governing the Grant of Options to Non-Employee Directors Under the 1994 Executive Stock Option and Restricted Stock Plan of Manpower Inc. (the “Option Procedures”).</w:t>
      </w:r>
    </w:p>
    <w:p>
      <w:pPr>
        <w:sectPr>
          <w:pgSz w:w="11900" w:h="16838" w:orient="portrait"/>
          <w:cols w:equalWidth="0" w:num="1">
            <w:col w:w="11420"/>
          </w:cols>
          <w:pgMar w:left="240" w:top="131" w:right="239" w:bottom="1440" w:gutter="0" w:footer="0" w:header="0"/>
        </w:sectPr>
      </w:pPr>
    </w:p>
    <w:bookmarkStart w:id="27" w:name="page28"/>
    <w:bookmarkEnd w:id="27"/>
    <w:p>
      <w:pPr>
        <w:ind w:right="180" w:firstLine="464"/>
        <w:spacing w:after="0" w:line="332"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shall mean a Director’s termination of membership on the Board of Directors at a time when (1) the Director is age 60 or older and has served at least five years on the Board of Directors, or (2) the Director has served at least ten years on the Board of Directors.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capitalized terms used below which are not otherwise defined above will have the meanings assigned to them in the Equity Plan.</w:t>
      </w:r>
    </w:p>
    <w:p>
      <w:pPr>
        <w:spacing w:after="0" w:line="15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Right to Elect Deferred Stock.</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Within ten days after the Commencement Date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The election to receive Deferred Stock in lieu of the Retainer must be made within ten days after the commencement of the Election Period covered by the election, except that for an election made by a Director (a) for the Election Period beginning on July 29, 2003, the election may be made by November 7, 2003 or (b) in connection with his or her initial appointment to the Board of Directors or otherwise becoming a Director, the election may be made within the first 10 days following the date of such appointment or attaining such status. Notwithstanding the foregoing, no Director who is a resident of the United Kingdom shall be eligible to make an election hereunder but rather shall be required to receive Deferred Stock in lieu of 100 percent of the Retainer and, as such, treated as if he or she had made an election covering a period beginning on each Commencement Date and ending on the expiration of the Election Period beginning on such date. The number of shares of Deferred Stock granted with respect to each Election Period shall equal (a) the amount of the Retainer payable to the Director for that Election Period to which the election relates, divided by (b) the Average Trading Price (rounded to the fourth decimal place). Said election shall be in writing and delivered to the Secretary of the Company. The date of grant of the Deferred Stock shall be the last trading day of the Election Period covered by the election. The Company shall effect the granting of Deferred Stock under these Terms and Conditions by the execution of Deferred Stock Agreements.</w:t>
      </w:r>
    </w:p>
    <w:p>
      <w:pPr>
        <w:spacing w:after="0" w:line="10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 General Provisions</w:t>
      </w:r>
    </w:p>
    <w:p>
      <w:pPr>
        <w:spacing w:after="0" w:line="82" w:lineRule="exact"/>
        <w:rPr>
          <w:rFonts w:ascii="Arial" w:cs="Arial" w:eastAsia="Arial" w:hAnsi="Arial"/>
          <w:sz w:val="18"/>
          <w:szCs w:val="18"/>
          <w:b w:val="1"/>
          <w:bCs w:val="1"/>
          <w:color w:val="auto"/>
        </w:rPr>
      </w:pPr>
    </w:p>
    <w:p>
      <w:pPr>
        <w:ind w:firstLine="464"/>
        <w:spacing w:after="0" w:line="298"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Shares. </w:t>
      </w:r>
      <w:r>
        <w:rPr>
          <w:rFonts w:ascii="Arial" w:cs="Arial" w:eastAsia="Arial" w:hAnsi="Arial"/>
          <w:sz w:val="16"/>
          <w:szCs w:val="16"/>
          <w:color w:val="auto"/>
        </w:rPr>
        <w:t>The Company shall settle Deferred Stock in Shares. Deferred Stock granted to Directors shall be fully vested on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 Shares shall be distributed in respect of Deferred Stock within 30 days after the date of termination of a Director’s tenure as a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distribution of such Shares would occur outside of a “Trading Window” (as defined in the Manpower Inc. Statement of Policy on Securities Trading), then the Company may delay the distribution of such Shares until the beginning of the next “Trading Window”.</w:t>
      </w:r>
    </w:p>
    <w:p>
      <w:pPr>
        <w:spacing w:after="0" w:line="99" w:lineRule="exact"/>
        <w:rPr>
          <w:rFonts w:ascii="Arial" w:cs="Arial" w:eastAsia="Arial" w:hAnsi="Arial"/>
          <w:sz w:val="16"/>
          <w:szCs w:val="16"/>
          <w:color w:val="auto"/>
        </w:rPr>
      </w:pPr>
    </w:p>
    <w:p>
      <w:pPr>
        <w:ind w:right="220" w:firstLine="464"/>
        <w:spacing w:after="0" w:line="259" w:lineRule="auto"/>
        <w:tabs>
          <w:tab w:leader="none" w:pos="705"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 As of the end of each Election Period, each Director shall be granted a number of additional shares of Deferred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amount of dividends which would have been received by a shareholder of record of a number of Shares equal to the number of shares of Deferred Stock held by such Director immediately before such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8" w:name="page29"/>
    <w:bookmarkEnd w:id="2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divided by the Average Trading Price. In the event of any distribution with respect to Shares other than a cash dividend, then at the end of each Election Period each Director shall be granted a number of additional shares of Deferred Stock equal to the number of Shares which could have been purchased at the Average Trading Price with an amount equal to the fair market value of the consideration which would have been received by a shareholder of record of a number of Shares equal to the number of shares of Deferred Stock held by such Director immediately before such dividend.</w:t>
      </w:r>
    </w:p>
    <w:p>
      <w:pPr>
        <w:spacing w:after="0" w:line="9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Provisions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provided below, the Option Terms and the Option Procedures are terminated effective July 29, 2003. All elections in effect as of July 29, 2003 under the Option Terms and the Option Procedures shall remain in effect. Directors in office prior to July 29, 2003 for whom an election is not in effect under the Option Terms or the Option Procedures covering the full period from November 5, 2001 through November 4, 2006 will continue to have the right to make elections under the Option Terms with respect to the first $50,000 of the annual cash retainer through November 4, 2006.</w:t>
      </w:r>
    </w:p>
    <w:p>
      <w:pPr>
        <w:spacing w:after="0" w:line="9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Annual Option Grant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date of the meeting of the Board of Directors closest to October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of each year, each Director shall be granted an Option to purchase 5,000 Shares.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If the date of a Director’s initial appointment to the Board of Directors is:</w:t>
      </w:r>
    </w:p>
    <w:p>
      <w:pPr>
        <w:spacing w:after="0" w:line="63" w:lineRule="exact"/>
        <w:rPr>
          <w:sz w:val="20"/>
          <w:szCs w:val="20"/>
          <w:color w:val="auto"/>
        </w:rPr>
      </w:pPr>
    </w:p>
    <w:p>
      <w:pPr>
        <w:ind w:left="900" w:right="580" w:hanging="446"/>
        <w:spacing w:after="0" w:line="22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date of that meeting of the Board of Directors, but on or before December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that year, the Director shall be granted an Option to purchase 5,000 Shares;</w:t>
      </w:r>
    </w:p>
    <w:p>
      <w:pPr>
        <w:spacing w:after="0" w:line="62" w:lineRule="exact"/>
        <w:rPr>
          <w:rFonts w:ascii="Arial" w:cs="Arial" w:eastAsia="Arial" w:hAnsi="Arial"/>
          <w:sz w:val="18"/>
          <w:szCs w:val="18"/>
          <w:color w:val="auto"/>
        </w:rPr>
      </w:pPr>
    </w:p>
    <w:p>
      <w:pPr>
        <w:ind w:left="900" w:right="120" w:hanging="446"/>
        <w:spacing w:after="0" w:line="22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after January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March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such year, then the Director shall be granted an Option to purchase 3,750 Shares;</w:t>
      </w:r>
    </w:p>
    <w:p>
      <w:pPr>
        <w:spacing w:after="0" w:line="62" w:lineRule="exact"/>
        <w:rPr>
          <w:rFonts w:ascii="Arial" w:cs="Arial" w:eastAsia="Arial" w:hAnsi="Arial"/>
          <w:sz w:val="18"/>
          <w:szCs w:val="18"/>
          <w:color w:val="auto"/>
        </w:rPr>
      </w:pPr>
    </w:p>
    <w:p>
      <w:pPr>
        <w:ind w:left="900" w:right="420" w:hanging="446"/>
        <w:spacing w:after="0" w:line="22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after April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June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such year, then the Director shall be granted an Option to purchase 2,500 Shares;</w:t>
      </w:r>
    </w:p>
    <w:p>
      <w:pPr>
        <w:spacing w:after="0" w:line="62" w:lineRule="exact"/>
        <w:rPr>
          <w:rFonts w:ascii="Arial" w:cs="Arial" w:eastAsia="Arial" w:hAnsi="Arial"/>
          <w:sz w:val="18"/>
          <w:szCs w:val="18"/>
          <w:color w:val="auto"/>
        </w:rPr>
      </w:pPr>
    </w:p>
    <w:p>
      <w:pPr>
        <w:ind w:left="900" w:right="60" w:hanging="446"/>
        <w:spacing w:after="0" w:line="22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after 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such year, then the Director shall be granted an Option to purchase 1,250 Shares; and</w:t>
      </w:r>
    </w:p>
    <w:p>
      <w:pPr>
        <w:spacing w:after="0" w:line="62" w:lineRule="exact"/>
        <w:rPr>
          <w:rFonts w:ascii="Arial" w:cs="Arial" w:eastAsia="Arial" w:hAnsi="Arial"/>
          <w:sz w:val="18"/>
          <w:szCs w:val="18"/>
          <w:color w:val="auto"/>
        </w:rPr>
      </w:pPr>
    </w:p>
    <w:p>
      <w:pPr>
        <w:ind w:left="900" w:right="40" w:hanging="446"/>
        <w:spacing w:after="0" w:line="22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after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before the date of the meeting of the Board of Directors closest to October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such year, then the Director shall not be granted an Option to purchase any Shares until the grant to be made at such meeting.</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Options to be granted in accordance with clauses (a) through (d), above, shall be granted on the date of the meeting of the Board of Directors next following the date of the Director’s appointment to the Board of Directors. Each Option granted hereunder shall have an exercise price equal to the Market Price on the business day immediately preceding the date of grant, and shall be immediately exercisable on the date of grant, and shall remain exercisable until the earlier of ten years after the date of grant, or three years after the date the Director’s membership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the Board of Directors terminates because of death or upon the Disability or Retirement of the Director, or 18 months after the date the Director’s membership on the Board of Directors terminates in any other circumstances. The Board of Directors may in its sole discretion increase the periods permitted for exercise of an Option if a Director ceases to be a Director as provided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years after its date of grant.</w:t>
      </w:r>
    </w:p>
    <w:p>
      <w:pPr>
        <w:spacing w:after="0" w:line="12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Plan.</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otherwise provided in these Terms and Conditions, the Equity Plan shall apply to any Deferred Stock and Options granted pursuant to these Terms and Conditions.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30" w:name="page31"/>
    <w:bookmarkEnd w:id="30"/>
    <w:p>
      <w:pPr>
        <w:ind w:left="10560"/>
        <w:spacing w:after="0"/>
        <w:rPr>
          <w:sz w:val="20"/>
          <w:szCs w:val="20"/>
          <w:color w:val="auto"/>
        </w:rPr>
      </w:pPr>
      <w:r>
        <w:rPr>
          <w:rFonts w:ascii="Arial" w:cs="Arial" w:eastAsia="Arial" w:hAnsi="Arial"/>
          <w:sz w:val="16"/>
          <w:szCs w:val="16"/>
          <w:color w:val="auto"/>
        </w:rPr>
        <w:t>Exhibit 12.1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10"/>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1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1999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w w:val="84"/>
              </w:rPr>
              <w:t>222.1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265.2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359.2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7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rPr>
              <w:t>41.4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interest portion of rent expense</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7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-1461135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-1461135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-1461135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-1461135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-1461135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-1461135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-1461135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-1461135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-1461135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-1461135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-1461135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-1461135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-1461135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-1461135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-1461135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-466725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-466725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-466725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-466725</wp:posOffset>
            </wp:positionV>
            <wp:extent cx="3302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-466725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-466725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-466725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-466725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-466725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-466725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-466725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-466725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302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680" w:right="100" w:hanging="679"/>
        <w:spacing w:after="0" w:line="268" w:lineRule="auto"/>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13</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2003 ANNUAL REPORT TO</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SHAREHOLDERS</w:t>
      </w:r>
    </w:p>
    <w:p>
      <w:pPr>
        <w:spacing w:after="0" w:line="14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[GRAPHIC]</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MANPOWER</w:t>
      </w:r>
    </w:p>
    <w:p>
      <w:pPr>
        <w:sectPr>
          <w:pgSz w:w="11900" w:h="16838" w:orient="portrait"/>
          <w:cols w:equalWidth="0" w:num="1">
            <w:col w:w="10220"/>
          </w:cols>
          <w:pgMar w:left="1440" w:top="125" w:right="239" w:bottom="1440" w:gutter="0" w:footer="0" w:header="0"/>
        </w:sectPr>
      </w:pPr>
    </w:p>
    <w:bookmarkStart w:id="32" w:name="page33"/>
    <w:bookmarkEnd w:id="32"/>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58"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1">
            <w:col w:w="9840"/>
          </w:cols>
          <w:pgMar w:left="1440" w:top="274" w:right="6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ectPr>
          <w:pgSz w:w="11900" w:h="16838" w:orient="portrait"/>
          <w:cols w:equalWidth="0" w:num="1">
            <w:col w:w="9019"/>
          </w:cols>
          <w:pgMar w:left="1440" w:top="27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ectPr>
          <w:pgSz w:w="11900" w:h="16838" w:orient="portrait"/>
          <w:cols w:equalWidth="0" w:num="1">
            <w:col w:w="9019"/>
          </w:cols>
          <w:pgMar w:left="1440" w:top="274" w:right="1440"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one of our 4,300 local offices, each day brings a new story. Whether it’s providing hundreds of temporary workers to a large global corporation, helping a small business owner find one permanent employee, enabling a group of individuals to transition their careers after job loss, or providing employment opportunities to people who cannot find them elsewhere, Manpower is there.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EVERYDAY. EVERYWHERE.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20"/>
          </w:cols>
          <w:pgMar w:left="240" w:top="28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w:t>
      </w:r>
    </w:p>
    <w:p>
      <w:pPr>
        <w:spacing w:after="0" w:line="77"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b w:val="1"/>
          <w:bCs w:val="1"/>
          <w:color w:val="auto"/>
        </w:rPr>
        <w:t>CREATE AN INTERNAL AUDIT FUNCTION FOR A LARGE GLOBAL COMPANY WITH OFFICES IN 27 COUNTRIES ACTION:</w:t>
      </w:r>
    </w:p>
    <w:p>
      <w:pPr>
        <w:spacing w:after="0" w:line="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CREATED AN INTERNAL AUDIT FUNCTION, INCLUDING IT SYSTEMS, WHICH ENTAILED CONDUCTING AUDITS IN 70 CITIES THROUGHOUT THE WORLD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w:t>
      </w:r>
    </w:p>
    <w:p>
      <w:pPr>
        <w:spacing w:after="0" w:line="7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CUSTOMER HAS ENHANCED ITS OPERATING EFFICIENCY BY IMPROVING INTERNAL CONTROLS AND DEVELOPING EFFECTIVE RISK MANAGEMENT PROCESSES</w:t>
      </w:r>
    </w:p>
    <w:p>
      <w:pPr>
        <w:spacing w:after="0" w:line="1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Through our professional services subsidiary, Jefferson Wells International, Manpower delivers added value to our customers’ businesses. Our services offered through Jefferson Wells range from internal audits and accounting projects, to technology audits and tax services.</w:t>
      </w:r>
    </w:p>
    <w:p>
      <w:pPr>
        <w:spacing w:after="0" w:line="11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Early in 2003, Hitachi Data Systems, a wholly owned subsidiary of Hitachi, Ltd. (NYSE: HIT) that sells industry-leading data storage solutions, including systems, software, and services, selected Jefferson Wells to help them implement a new, global internal audit function.</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Jefferson Wells began the project by assembling a core team of expert internal auditors that would be based in the U.S., but would travel to Hitachi Data Systems’ international offices to conduct local site audits. This strategy allowed Hitachi Data Systems to shorten the learning curve of the auditors, achieve a high level of consistency, and share best practices between local offices around the world. To help overcome any language obstacles, Jefferson Wells partnered with our local Manpower offices to hire language translators.</w:t>
      </w:r>
    </w:p>
    <w:p>
      <w:pPr>
        <w:spacing w:after="0" w:line="13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Today, as a result of Jefferson Wells’ audit findings and recommendations, our customer is successfully implementing a proven internal audit methodology that has improved their internal controls and developed effective risk management processes. In fact, our customer was so pleased with the results of this project that Jefferson Wells has expanded its relationship to another subsidiary of Hitachi.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HITACHI DATA SYSTEMS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00"/>
          </w:cols>
          <w:pgMar w:left="240" w:top="274" w:right="259" w:bottom="1440" w:gutter="0" w:footer="0" w:header="0"/>
        </w:sectPr>
      </w:pPr>
    </w:p>
    <w:bookmarkStart w:id="37" w:name="page38"/>
    <w:bookmarkEnd w:id="37"/>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SANTA CLARA,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CALIFORNIA, USA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SERVICES PROVIDED THROUGH OUR PROFESSIONAL SERVICES SUBSIDIARY, JEFFERSON WELLS INTERNATIONAL, HELP OUR CUSTOMERS TO IMPROVE OPERATING EFFICIENCY BY CREATING BETTER INTERNAL CONTROLS.</w:t>
      </w:r>
    </w:p>
    <w:p>
      <w:pPr>
        <w:sectPr>
          <w:pgSz w:w="11900" w:h="16838" w:orient="portrait"/>
          <w:cols w:equalWidth="0" w:num="1">
            <w:col w:w="10380"/>
          </w:cols>
          <w:pgMar w:left="240" w:top="274" w:right="1279" w:bottom="1440" w:gutter="0" w:footer="0" w:header="0"/>
        </w:sectPr>
      </w:pPr>
    </w:p>
    <w:bookmarkStart w:id="38" w:name="page39"/>
    <w:bookmarkEnd w:id="38"/>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RHÔNES-ALPES, AUVERGNE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BURGUNDY REGIONS OF FRANCE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RAPID RESPONSE TO A CUSTOMER’S FLUCTUATING WORKFORCE REQUIREMENTS IS A KEY COMPONENT IN HELPING THEM TO COMPETE EFFECTIVELY IN AN EVER-CHANGING ECONOMY WHERE FLEXIBILITY IS EVERYTHING.</w:t>
      </w:r>
    </w:p>
    <w:p>
      <w:pPr>
        <w:sectPr>
          <w:pgSz w:w="11900" w:h="16838" w:orient="portrait"/>
          <w:cols w:equalWidth="0" w:num="1">
            <w:col w:w="10600"/>
          </w:cols>
          <w:pgMar w:left="240" w:top="274" w:right="10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w:t>
      </w:r>
    </w:p>
    <w:p>
      <w:pPr>
        <w:spacing w:after="0" w:line="77" w:lineRule="exact"/>
        <w:rPr>
          <w:sz w:val="20"/>
          <w:szCs w:val="20"/>
          <w:color w:val="auto"/>
        </w:rPr>
      </w:pPr>
    </w:p>
    <w:p>
      <w:pPr>
        <w:ind w:right="2520"/>
        <w:spacing w:after="0" w:line="375" w:lineRule="auto"/>
        <w:rPr>
          <w:sz w:val="20"/>
          <w:szCs w:val="20"/>
          <w:color w:val="auto"/>
        </w:rPr>
      </w:pPr>
      <w:r>
        <w:rPr>
          <w:rFonts w:ascii="Arial" w:cs="Arial" w:eastAsia="Arial" w:hAnsi="Arial"/>
          <w:sz w:val="18"/>
          <w:szCs w:val="18"/>
          <w:b w:val="1"/>
          <w:bCs w:val="1"/>
          <w:color w:val="auto"/>
        </w:rPr>
        <w:t>SKILLED IT TECHNICIANS TO COMPLETE A TECHNOLOGY IMPLEMENTATION WITHIN EIGHT WEEKS ACTION:</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RECRUITED AND MOBILIZED A TEAM OF MANPOWER IT WORKERS FROM SEVEN DIFFERENT CITIES IN THE REGION WHERE THE WORK WOULD TAKE PLACE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w:t>
      </w:r>
    </w:p>
    <w:p>
      <w:pPr>
        <w:spacing w:after="0" w:line="77"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IN JUST 72 HOURS, PROVIDED THE CUSTOMER WITH 65 TEMPORARY IT TECHNICIANS AND MANAGERS. THE PROJECT WAS COMPLETED SUCCESSFULLY</w:t>
      </w:r>
    </w:p>
    <w:p>
      <w:pPr>
        <w:spacing w:after="0" w:line="1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Rapid response to the fluctuating workforce requirements of our customers is a key component in helping them to compete effectively in an ever-changing economy where flexibility is everything. Developing fast, effective work-force management solutions to meet our customers’ demands is what Manpower does best.</w:t>
      </w:r>
    </w:p>
    <w:p>
      <w:pPr>
        <w:spacing w:after="0" w:line="12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When Neyrial Informatique contacted us to help staff a large IT implementation for one of their customers – a major French financial institution – rapid response was critical to their success. Neyrial had signed a contract that included implementing 8,500 client workstations and over 500 Windows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2000 servers in the Rhônes-Alpes, Auvergne and Burgundy regions of France. The work had to be completed in just eight weeks.</w:t>
      </w:r>
    </w:p>
    <w:p>
      <w:pPr>
        <w:spacing w:after="0" w:line="12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Because Neyrial is a technology company that performs software and hardware implementations, it is critical that they complete projects as quickly and seamlessly as possible so that interruptions to their customers’ business operations are minimal.</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just 72 hours, we were able to provide Neyrial with 65 temporary IT technicians in seven different cities to help get the job done. At some of the work sites, the staff – including technical managers – was comprised entirely of Manpower personnel. The project was completed successfully, on time and without any complications. In fact, Neyrial’s regional director, Christophe Golling, later told us that they could not have successfully completed the project without 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NEYRIAL INFORMATIQUE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00"/>
          </w:cols>
          <w:pgMar w:left="240" w:top="27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w:t>
      </w:r>
    </w:p>
    <w:p>
      <w:pPr>
        <w:spacing w:after="0" w:line="7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HELP MEET THE RESEARCH STAFFING DEMANDS OF AN INTERNET FIRM THAT PROVIDES INFORMATION AND SELLS SUPPLIES AND SERVICES FOR OUTDOOR RECREATION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w:t>
      </w:r>
    </w:p>
    <w:p>
      <w:pPr>
        <w:spacing w:after="0" w:line="77" w:lineRule="exact"/>
        <w:rPr>
          <w:sz w:val="20"/>
          <w:szCs w:val="20"/>
          <w:color w:val="auto"/>
        </w:rPr>
      </w:pPr>
    </w:p>
    <w:p>
      <w:pPr>
        <w:ind w:right="2840"/>
        <w:spacing w:after="0" w:line="375" w:lineRule="auto"/>
        <w:rPr>
          <w:sz w:val="20"/>
          <w:szCs w:val="20"/>
          <w:color w:val="auto"/>
        </w:rPr>
      </w:pPr>
      <w:r>
        <w:rPr>
          <w:rFonts w:ascii="Arial" w:cs="Arial" w:eastAsia="Arial" w:hAnsi="Arial"/>
          <w:sz w:val="18"/>
          <w:szCs w:val="18"/>
          <w:b w:val="1"/>
          <w:bCs w:val="1"/>
          <w:color w:val="auto"/>
        </w:rPr>
        <w:t>PROVIDED TEMPORARY WORKERS TO CONDUCT INTERNET RESEARCH FOR WEB SITE CONTENT RESULT:</w:t>
      </w:r>
    </w:p>
    <w:p>
      <w:pPr>
        <w:spacing w:after="0" w:line="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A HAPPY CUSTOMER THAT INCREASED UTILIZATION OF TEMPORARY WORKERS FROM TWO, TO AS MANY AS 30 DURING PEAK WORKLOADS, AND HIRED SEVERAL OF THEM AS PERMANENT EMPLOYEES</w:t>
      </w:r>
    </w:p>
    <w:p>
      <w:pPr>
        <w:spacing w:after="0" w:line="11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Where are the best hunting spots in the Rocky Mountains? How many species of game fish inhabit the Gulf of Mexico? What is the weather like in Vancouver? These are the types of questions Manpower employees researched for DiscovertheOutdoors.com of Overland Park, Kansas, an Internet firm that provides visitors with information on all aspects of the great outdoors and sells supplies and services for outdoor recreational activities, such as camping, fishing, and hunting.</w:t>
      </w:r>
    </w:p>
    <w:p>
      <w:pPr>
        <w:spacing w:after="0" w:line="7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DiscovertheOutdoors.com President Tony Adams – a former NFL football player and current host of an outdoors television program – approached Manpower to ask if we could supply workers who would be qualified to conduct Internet research as he developed content for his Web site. Initially, we supplied him with two people. Within a few months, the assignment had grown to include up to 30 researchers, depending on our customer’s business demands.</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Manpower’s industry-leading skills assessment tools have been essential to our ability to identify qualified candidates for these unique Web research positions. Adams was so pleased with the quality and productivity of the people Manpower provided that several have been hired as permanent employees. He even created a Manpower Employee of the Month program to show his appreciation for their contributions to his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DISCOVERTHEOUTDOORS.COM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60"/>
          </w:cols>
          <w:pgMar w:left="240" w:top="274" w:right="29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INDUSTRY-LEADING SKILLS ASSESSMENT TOOLS ARE ESSENTIAL IN IDENTIFYING QUALIFIED CANDIDATES WHO WILL PRODUCE RESULTS FOR OUR CUSTOMERS, EVEN IN UNUSUAL ASSIGNMENTS SUCH AS RESEARCHERS FOR A WEB 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OVERLAND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KANSAS, USA</w:t>
      </w:r>
    </w:p>
    <w:p>
      <w:pPr>
        <w:sectPr>
          <w:pgSz w:w="11900" w:h="16838" w:orient="portrait"/>
          <w:cols w:equalWidth="0" w:num="1">
            <w:col w:w="11240"/>
          </w:cols>
          <w:pgMar w:left="240" w:top="274" w:right="419" w:bottom="1440" w:gutter="0" w:footer="0" w:header="0"/>
        </w:sectPr>
      </w:pPr>
    </w:p>
    <w:bookmarkStart w:id="42" w:name="page43"/>
    <w:bookmarkEnd w:id="42"/>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MANPOWER AND ITS SPECIALTY BRANDS, SUCH AS ELAN, DEVELOP AND IMPLEMENT MANAGED SERVICE SOLUTIONS THAT ENABLE OUR CUSTOMERS TO RECRUIT PERSONNEL EFFICIENTLY AND ACHIEVE SIGNIFICANT COSTS SAVINGS.</w:t>
      </w:r>
    </w:p>
    <w:p>
      <w:pPr>
        <w:sectPr>
          <w:pgSz w:w="11900" w:h="16838" w:orient="portrait"/>
          <w:cols w:equalWidth="0" w:num="1">
            <w:col w:w="11160"/>
          </w:cols>
          <w:pgMar w:left="240" w:top="274"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w:t>
      </w:r>
    </w:p>
    <w:p>
      <w:pPr>
        <w:spacing w:after="0" w:line="7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DEVELOP AN EFFICIENT RECRUITMENT SOLUTION TO FIND HIGHLY SKILLED WORKERS INCLUDING: SYSTEMS AND SOFTWARE ENGINEERS, TECHNICAL DRAFTING PERSONNEL, ACCOUNTANTS, PROJECT MANAGERS AND PROCUREMENT SPECIALISTS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 SIGNIFICANT COST SAVINGS ON AN ONGOING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w:t>
      </w:r>
    </w:p>
    <w:p>
      <w:pPr>
        <w:spacing w:after="0" w:line="7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CREATED STANDARDIZED AND CENTRALIZED PROCESSES WHILE ASSUMING RESPONSIBILITY FOR THE CUSTOMER’S ENTIRE RECRUITMENT FUNCTION IN THE UK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w:t>
      </w:r>
    </w:p>
    <w:p>
      <w:pPr>
        <w:spacing w:after="0" w:line="77"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REMOVED APPROXIMATELY £1.5 MILLION IN FIXED COSTS ASSOCIATED WITH OUR CUSTOMER’S IN-HOUSE RECRUITING FUNCTION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CREATED A STANDARDIZED PROCESS ACROSS 39 COMPANIES</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RECRUITED AND MANAGED MORE THAN 600 IT AND OTHER HIGHLY SKILLED TEMPORARY AND CONTRACT WORKERS DURING 2003</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 our Elan Group, one of the world’s leading IT and technical recruitment specialists, Manpower has the capability to recruit both niche and generalist IT and technical personnel. We also provide customized Managed Service Solutions, which enable our customers to recruit personnel efficiently and achieve ongoing cost savings.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implemented such a solution in the UK with Thales, a global technology company that provides sophisticated electronics to companies in the aerospace, defense and IT industries. Thales selected Elan and Manpower to help them remove the fixed costs of their in-house recruitment function and roll out a standardized process across all 39 of their UK companies.</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customized solution allows Thales to leverage their full buying power in the market, as well as improve control of their temporary workforce by increasing the information readily available. Our Web-based systems and processes record information on each contractor to enable fast and accurate decisions to be made by the central recruitment management team regarding on-contract extensions and re-hires.</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result? In 2003, we recruited and selected over 600 people to work at Thales. Outsourcing with Elan and Manpower has provided them with highly skilled workers and saved them approximately £1.5 million in labor/management costs. Going forward, this new recruiting model is expected to save £3 million annually. In addition, hiring managers at Thales now spend less time on the administrative burdens associated with recruitment and management of temporary workers and are able to focus more of their time on core business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THALES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60"/>
          </w:cols>
          <w:pgMar w:left="240" w:top="274"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w:t>
      </w:r>
    </w:p>
    <w:p>
      <w:pPr>
        <w:spacing w:after="0" w:line="7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HELP A CUSTOMER FIND EXPERIENCED MULTI-LINGUAL EMPLOYEES TO STAFF A 24 X 7 CONTACT CENTER IN SINGAPORE SUPPORTING 13 COUNTRIES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w:t>
      </w:r>
    </w:p>
    <w:p>
      <w:pPr>
        <w:spacing w:after="0" w:line="77"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RECRUITED OVER 50 EXPERIENCED PEOPLE FROM AUSTRALIA, CHINA (PRC), HONG KONG, JAPAN, KOREA, NEW ZEALAND, TAIWAN AND THAILAND, AND MANAGED RELOCATIONS TO SINGAPORE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MET THE CUSTOMER’S STAFFING REQUIREMENTS ON TIME; REDUCED THE ATTRITION RATE TO HALF THAT OF THE INDUSTRY AVERAGE; AND INCREASED OVERALL PERFORMANCE</w:t>
      </w:r>
    </w:p>
    <w:p>
      <w:pPr>
        <w:spacing w:after="0" w:line="112"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Singapore, multi-lingual contact center employees are in high demand with only a limited supply of people available with the appropriate skills. This skills shortage, coupled with high attrition in a growing market, were just some of the obstacles Manpower was able to overcome when Modus Media International (MMI) asked us to find more than 50 experienced, multilingual people to staff their contact center in Singapore.</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MMI was awarded an outsourcing project by a global IT company to provide first-tier helpdesk support to 13 countries in Asia Pacific. The contact center for the project was to be based in Singapore, providing coverage 24 hours per day, seven days a week. However, it was obvious that there were not enough qualified workers available in Singapore alone. Through collaboration among Manpower’s Asia Pacific network, we were able to locate and recruit the necessary workers to meet the customer’s demands.</w:t>
      </w:r>
    </w:p>
    <w:p>
      <w:pPr>
        <w:spacing w:after="0" w:line="13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addition, our project team was appointed to manage MMI’s HR function from the initial recruitment and selection phase through to Employment Pass applications, cultural familiarization, deployment, and monitoring of day-to-day issues. This included activities such as induction and training, payroll management, benefits and compensation, performance management, and career development.</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Today, thanks to our incentive programs, MMI’s contact center staff is happy, productive and motivated. In fact, the projected total annual attrition rate is 15% (5% for non-Singaporean staff) compared to the industry-wide average of more than 30%.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MODUS MEDIA INTERNATIONAL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40"/>
          </w:cols>
          <w:pgMar w:left="240" w:top="274" w:right="319" w:bottom="1440" w:gutter="0" w:footer="0" w:header="0"/>
        </w:sectPr>
      </w:pPr>
    </w:p>
    <w:bookmarkStart w:id="45" w:name="page46"/>
    <w:bookmarkEnd w:id="45"/>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 PROVEN TRACK RECORD OF LOCATING AND RECRUITING WORKERS IN MARKETS WITH SKILLS SHORTAGES SO THAT OUR CUSTOMERS CAN CONTINUE TO MEET THE DEMANDS OF THEIR BUSINESSES.</w:t>
      </w:r>
    </w:p>
    <w:p>
      <w:pPr>
        <w:sectPr>
          <w:pgSz w:w="11900" w:h="16838" w:orient="portrait"/>
          <w:cols w:equalWidth="0" w:num="1">
            <w:col w:w="11200"/>
          </w:cols>
          <w:pgMar w:left="240" w:top="274" w:right="459" w:bottom="1440" w:gutter="0" w:footer="0" w:header="0"/>
        </w:sectPr>
      </w:pPr>
    </w:p>
    <w:bookmarkStart w:id="46" w:name="page47"/>
    <w:bookmarkEnd w:id="46"/>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4,300 OFFICES IN 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COUNTRIES &amp; TERRITORIES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JEFFREY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CEO &amp; PRESIDENT</w:t>
      </w:r>
    </w:p>
    <w:p>
      <w:pPr>
        <w:sectPr>
          <w:pgSz w:w="11900" w:h="16838" w:orient="portrait"/>
          <w:cols w:equalWidth="0" w:num="1">
            <w:col w:w="10219"/>
          </w:cols>
          <w:pgMar w:left="240" w:top="27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this time last year, my letter to you addressed the uncertain economic winds that might affect our business. We found 2003 wanting to be the recovery year, yet it never materialized. Regardless, we moved forward briskly as an organization to expand the scope of the services we offer and improve our organizational efficiency.</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Revenue for 2003 was $12.2 billion, an increase of 14.8%, with assistance from currency. On a constant currency basis, our revenue increased 2. 2%. The most important accomplishment for the year from a financial perspective was our ability to maintain our gross margin percentage in the face of an industry trend that was going in the opposite direction. We were able to accomplish this by consistently demonstrating our local market expertise to customers, whether they are in France, Japan, Germany, the U.S. or any of the very different local markets in which we operate. In addition, we continued to strengthen our balance sheet. We were able to reduce our debt-to-capitalization ratio and improve our interest coverage ratio. We continued to have strong cash flows from operations of $223.4 million.</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Throughout 2003 we strengthened our business in many ways, continuing to focus on our vision and our strategies, ensuring that our priorities are in line with the services our customers are looking for, and the returns our shareholders expect from us. We made great strides forward in efficiency gains through our e-commerce solutions that continue to lead the industry, and will become even stronger as we implement our third generation e-commerce tools through a new relationship with PeopleSoft, announced in November.</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MOST IMPORTANT ACCOMPLISHMENT FOR THE YEAR FROM A FINANCIAL PERSPECTIVE WAS OUR ABILITY TO MAINTAIN OUR GROSS MARGIN PERCENTAGE IN THE FACE OF AN INDUSTRY TREND THAT WAS GOING IN THE OPPOSITE DIRECTION.”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013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MANPOWER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2">
            <w:col w:w="8780" w:space="720"/>
            <w:col w:w="1920"/>
          </w:cols>
          <w:pgMar w:left="240" w:top="274"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2003, we completed the U.S. installation of our new back office system for the entire branch network, greatly enhancing our efficiency and improving our invoicing flexibility. We also enhanced the efficiency of our intake system in our branch offices, primarily in Europe, through the use of candidate self-administration of skill assessment tools, and we are rapidly deploying the same system across the world.</w:t>
      </w:r>
    </w:p>
    <w:p>
      <w:pPr>
        <w:spacing w:after="0" w:line="12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On the professional services front, our Jefferson Wells International subsidiary has been very effective in expanding its client base through their Sarbanes– Oxley compliance work for customers, as well as in their general service areas of accounting, audit and risk assessment. Several Fortune 100 companies selected Jefferson Wells for their Sarbanes–Oxley compliance work in 2003, and we are now looking at expanding our relationships with these organizations, positioning Jefferson Wells with a very good springboard for growth in 2004.</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efforts to continually strengthen our business have allowed us to develop much stronger relationships with a vast array of clients throughout the world, from large global customers to small and medium size businesses in the communities where we live and work each day. In short, we are much better positioned than ever before. We have reduced our transaction cost, improved our network footprint with the addition of strategic office locations, balanced our business mix with the acquisition of Right Management Consultants, and strengthened our higher profit margin businesses throughout the world. With each new level of progress that we achieve, we are gaining additional momentum and synergy in the execution of our business strategies.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REDUCED OUR TRANSACTION COST, IMPROVED OUR NETWORK FOOTPRINT WITH THE ADDITION OF STRATEGIC OFFICE LOCATIONS, BALANCED OUR BUSINESS MIX WITH THE ACQUISITION OF RIGHT MANAGEMENT CONSULTANTS, AND STRENGTHENED OUR HIGHER PROFIT MARGIN BUSINESSES THROUGHOUT THE WORLD.”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014</w:t>
      </w:r>
    </w:p>
    <w:p>
      <w:pPr>
        <w:sectPr>
          <w:pgSz w:w="11900" w:h="16838" w:orient="portrait"/>
          <w:cols w:equalWidth="0" w:num="2">
            <w:col w:w="5040" w:space="720"/>
            <w:col w:w="5660"/>
          </w:cols>
          <w:pgMar w:left="240" w:top="274" w:right="239" w:bottom="1440" w:gutter="0" w:footer="0" w:header="0"/>
          <w:type w:val="continuous"/>
        </w:sectPr>
      </w:pPr>
    </w:p>
    <w:bookmarkStart w:id="49" w:name="page50"/>
    <w:bookmarkEnd w:id="49"/>
    <w:p>
      <w:pPr>
        <w:ind w:left="8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8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constant, disciplined focus on strengthening and improving our business is an imperative, not an option. Every day the marketplace continues to grow more difficult, with pricing challenges in today’s competitive environment, shifts in labor trends creating new skill shortages for the near-term labor market, and the growing job migration to lower-cost labor environments as an ever-present threat to several national economies. Although we recognize the difficult marketplace, challenges such as these are not new to us. In fact, in many ways, these difficulties are to our advantage as we are well positioned in so many different areas to help our customers navigate their workforces through the turbulent times in the employment and business cycles.</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leading position in the marketplace throughout the entire world is based on a simple principle: local passion and global efficiency. As you can see from this year’s annual report, Manpower is engaged on several levels to add value to our customers, from the most local of companies, to some of the largest and most renowned global organizations. Maintaining a strategic balance between our local labor market knowledge and our global service capabilities and efficiency opportunities will continue to be an important competitive differentiator as we go forward. Locally, we must remain attuned to the marketplace, as different marketplaces change at different rates and in different cycles. The flexibility that is built into our business model is absolutely essential for us to stay locally meaningful.</w:t>
      </w:r>
    </w:p>
    <w:p>
      <w:pPr>
        <w:spacing w:after="0" w:line="125"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015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6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believe our unique global/local balance is mandatory in order for us to lead the industry in innovation. Innovation cannot occur as effectively as we need it to happen in today’s labor market unless we are close enough to the local market to recognize changes and develop strategies to adjust accordingly. Our local strategy entails a close connection to the community to understand the needs of our local customers and the various economic and legislative issues that affect them. It enables us to attract and retain the best people in the community and to ensure that Manpower is recognized as a great place to work. Our strong community involvement also enables us to give something back through our expertise in workforce development to help unemployed and disabled people improve their skills and find jobs in which they can succeed. The Manpower brand must, and does, live locally.</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Manpower brand must also transcend borders. The promise of integrity in our business practices, the highest standards in our service delivery, and quality employment opportunities permeate all 4,300 offices, regardless of their location or business segment.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advantages of being a global corporation must provide returns to you, the shareholders, and it does. At the global level, our innovation comes from the ability to see change occurring across many borders simultaneously, anticipate the next stage of evolution and optimize our service offerings accordingly. The global level is also where we identify the greatest opportunities for efficiency gains.</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LOCAL STRATEGY ENTAILS A CLOSE CONNECTION OF THE COMMUNITY TO UNDERSTAND THE NEEDS OF OUR LOCAL CUSTOMERS AND THE VARIOUS ECONOMIC AND LEGISLATIVE ISSUES THAT AFFECT THEM.”</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60"/>
          </w:cols>
          <w:pgMar w:left="240" w:top="274" w:right="29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016</w:t>
      </w:r>
    </w:p>
    <w:p>
      <w:pPr>
        <w:sectPr>
          <w:pgSz w:w="11900" w:h="16838" w:orient="portrait"/>
          <w:cols w:equalWidth="0" w:num="2">
            <w:col w:w="4820" w:space="720"/>
            <w:col w:w="5820"/>
          </w:cols>
          <w:pgMar w:left="240" w:top="274" w:right="299" w:bottom="1440" w:gutter="0" w:footer="0" w:header="0"/>
          <w:type w:val="continuous"/>
        </w:sectPr>
      </w:pPr>
    </w:p>
    <w:bookmarkStart w:id="51" w:name="page52"/>
    <w:bookmarkEnd w:id="51"/>
    <w:p>
      <w:pPr>
        <w:ind w:left="8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8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example, we develop technology that can be replicated across many geographies to create competitive advantages at the local level where we compete with thousands of companies that do not have the resources to develop their own tools. At the same time, this development at the global level reduces our cost infrastructure across the network. This approach has worked very effectively with our advances in front and back office systems in particular.</w:t>
      </w:r>
    </w:p>
    <w:p>
      <w:pPr>
        <w:spacing w:after="0" w:line="9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Conversely, much of our innovation occurs through the use of our national operations as R&amp;D incubators for new service offerings and cutting-edge business tools. As one of our markets sees an opportunity or has an innovative idea, our entrepreneurial culture empowers them to develop and try it. Our knowledge sharing systems enable other markets to understand their innovation and watch its progress. The most successful ideas and innovations are evaluated at the regional and global level to determine if they can be replicated for other markets, or perhaps throughout our global network Much of our progress over the past few years in building our higher margin permanent placement and professional staffing services is attributed to the strength of our local R&amp;D incubators.</w:t>
      </w:r>
    </w:p>
    <w:p>
      <w:pPr>
        <w:spacing w:after="0" w:line="8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can only execute our global/local strategy by having the best team of employees throughout the world – a team that is passionate and involved in their local markets, and in step with global initiatives. That is how Manpower is built. That is why we are confident about the future.</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year is easy to predict, and 2004 will be no exception. As I write this letter, the economy looks more promising but, as we all witnessed in 2003, this is no guarantee that a labor recovery is imminent. Regardless of how the</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“AT THE GLOBAL LEVEL, OUR INNOVATION COMES FROM THE ABILITY TO SEE CHANGE OCCURRING ACROSS MANY BORDERS SIMULTANEOUSLY, ANTICIPATE THE NEXT STAGE OF EVOLUTION AND OPTIMIZE OUR SERVICE OFFERINGS ACCORDINGLY.”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017</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MANPOWER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2">
            <w:col w:w="8780" w:space="720"/>
            <w:col w:w="1920"/>
          </w:cols>
          <w:pgMar w:left="240" w:top="27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economy shifts and turns, 2004 will be another year of progress for Manpower. We will continue to shape the face of Manpower, and what the Manpower brand represents to our customers, prospective customers, employees and the public at large.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temporary staffing part of our business is, and will remain, the timbers on which our business is built. The growth in the temporary staffing industry shows that there is a tremendous opportunity for us in all geographies. Over the last several years, we have added services, including permanent placement, IT and other speciality staffing, and professional services. We’ve now added Right Management Consultants, the premier career transitioning and organizational consulting firm in the world, which is almost double the size of its nearest competitors.</w:t>
      </w:r>
    </w:p>
    <w:p>
      <w:pPr>
        <w:spacing w:after="0" w:line="9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we look to 2004 we will be setting new standards in the industry as to what is required in order to serve customers throughout the entire employment life cycle. We are raising the bar on what is required to be able to work with companies – large, medium, or small – in fulfilling their needs from recruitment of permanent, contract and temporary employees, to assessing their skills, providing comprehensive training and career transitioning services. With the acquisition of Right, which will be absorbing our Empower Group subsidiary, we have also more than doubled the size of our organizational consulting group, making it the largest of its kind in the world. This service offering alone will differentiate us from our competitors in the added value</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WE LOOK TO 2004 WE WILL BE SETTING NEW STANDARDS IN THE INDUSTRY AS TO WHAT IS REQUIRED IN ORDER TO SERVE CUSTOMERS THROUGHOUT THE ENTIRE EMPLOYMENT LIFE CYCLE.”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00"/>
          </w:cols>
          <w:pgMar w:left="240" w:top="274" w:right="3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018</w:t>
      </w:r>
    </w:p>
    <w:p>
      <w:pPr>
        <w:sectPr>
          <w:pgSz w:w="11900" w:h="16838" w:orient="portrait"/>
          <w:cols w:equalWidth="0" w:num="2">
            <w:col w:w="4820" w:space="720"/>
            <w:col w:w="5760"/>
          </w:cols>
          <w:pgMar w:left="240" w:top="274" w:right="359" w:bottom="1440" w:gutter="0" w:footer="0" w:header="0"/>
          <w:type w:val="continuous"/>
        </w:sectPr>
      </w:pPr>
    </w:p>
    <w:bookmarkStart w:id="53" w:name="page54"/>
    <w:bookmarkEnd w:id="53"/>
    <w:p>
      <w:pPr>
        <w:ind w:left="8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8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can provide to customers as they call on us for assistance in designing their workforce to match their business needs. All these factors lead to a bright future for Manpower and its group of companies to affect the market and raise the bar within the industry, which is exactly what we are going to do.</w:t>
      </w:r>
    </w:p>
    <w:p>
      <w:pPr>
        <w:spacing w:after="0" w:line="7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most rewarding part of my position is working with an exceptional team of people – the best in the industry – which becomes stronger, deeper and better every year. We have persevered through some extremely difficult periods together, and at no time was there hesitation or wavering when it came to our customers and our values, and for that I would like to thank the entire team worldwide for their efforts in 2003.</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 would also like to thank the Board of Directors for the support they have given to the organization, and welcome our new directors, Stephanie Burns, President and CEO of Dow Corning, and Jack Greenberg, retired Chairman and CEO of McDonald’s.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Finally, I would like to thank all of our shareholders for their confidence and trust in Manpower as a long-term, sustainable investment.</w:t>
      </w:r>
    </w:p>
    <w:p>
      <w:pPr>
        <w:spacing w:after="0" w:line="374" w:lineRule="exact"/>
        <w:rPr>
          <w:sz w:val="20"/>
          <w:szCs w:val="20"/>
          <w:color w:val="auto"/>
        </w:rPr>
      </w:pPr>
    </w:p>
    <w:p>
      <w:pPr>
        <w:ind w:left="1220"/>
        <w:spacing w:after="0"/>
        <w:tabs>
          <w:tab w:leader="none" w:pos="15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JEFFREY A. JOERRES</w:t>
      </w:r>
    </w:p>
    <w:p>
      <w:pPr>
        <w:jc w:val="center"/>
        <w:ind w:right="6840"/>
        <w:spacing w:after="0" w:line="230" w:lineRule="auto"/>
        <w:rPr>
          <w:sz w:val="20"/>
          <w:szCs w:val="20"/>
          <w:color w:val="auto"/>
        </w:rPr>
      </w:pPr>
      <w:r>
        <w:rPr>
          <w:rFonts w:ascii="Arial" w:cs="Arial" w:eastAsia="Arial" w:hAnsi="Arial"/>
          <w:sz w:val="14"/>
          <w:szCs w:val="14"/>
          <w:b w:val="1"/>
          <w:bCs w:val="1"/>
          <w:color w:val="auto"/>
        </w:rPr>
        <w:t>CHAIRMAN, CEO &amp; PRESIDENT</w:t>
      </w:r>
    </w:p>
    <w:p>
      <w:pPr>
        <w:spacing w:after="0"/>
        <w:rPr>
          <w:sz w:val="20"/>
          <w:szCs w:val="20"/>
          <w:color w:val="auto"/>
        </w:rPr>
      </w:pPr>
      <w:r>
        <w:rPr>
          <w:rFonts w:ascii="Arial" w:cs="Arial" w:eastAsia="Arial" w:hAnsi="Arial"/>
          <w:sz w:val="18"/>
          <w:szCs w:val="18"/>
          <w:color w:val="auto"/>
        </w:rPr>
        <w:t>FEBRUARY 9, 2004</w:t>
      </w:r>
    </w:p>
    <w:p>
      <w:pPr>
        <w:spacing w:after="0" w:line="151"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019</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SOCIAL RESPONSIBILITY</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 has been the industry leader in our commitment to corporate social responsibility, and in the unparalleled results that we have generated through this commitment. With our primary focus on finding ways to help the unemployed in our communities to gain new skills and find sustainable employment opportunities, Manpower has helped thousands of disadvantaged people to find jobs over the past five decades.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for People with Disabilities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2003, we placed a special emphasis on eliminating barriers to employment for people with disabilities. This commitment included becoming an official sponsor of the “2003 European Year of People with Disabilities” to raise awareness among employers of the issues facing disabled people in European society. Throughout Manpower’s global network, our employees looked within their own communities and found ways to make a difference. Many initiatives around the world included providing educational courses through our online Global Learning Center at no cost, and setting up on-the-job apprenticeships where people with disabilities can learn in a real work environment.</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7"/>
          <w:szCs w:val="17"/>
          <w:color w:val="auto"/>
        </w:rPr>
        <w:t>A key component in many initiatives was developing partnerships with government agencies, customers and non-government organizations that share our commitment to helping individuals with disabilities to engage in the workforce. One example is a partnership with Hewlett-Packard Japan, Ltd. on a program called SEED Center, which provides job training and paid work experiences for people with disabilities, increasing their likelihood of securing a good job. Manpower provides software-based support for the program through our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program, free of charge, and places program graduates in positions in our own offices, or in other suitable customer locations.</w:t>
      </w:r>
    </w:p>
    <w:p>
      <w:pPr>
        <w:spacing w:after="0" w:line="1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United States, Manpower works extensively with community rehabilitation providers throughout the country to actively recruit and employ people with disabilities and has created a model that other employers now replicate. This model includes in-depth disability awareness and accommodation training for staff, as well as the use of assistive technology to enhance job accessibility for people with disabilities. In October, the U.S. Department of Labor honored Manpower with the prestigious New Freedom Initiative Award, which recognizes exemplary</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October, the U.S. Department of Labor honored Manpower with the prestigious New Freedom Initiative Award, which recognizes exemplary and innovative public-private partnership efforts that enable Americans with disabilities to learn and develop skills, engage in productive work, make choices about their daily lives, and participate fully in their communities.”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320"/>
          </w:cols>
          <w:pgMar w:left="240" w:top="274"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020</w:t>
      </w:r>
    </w:p>
    <w:p>
      <w:pPr>
        <w:sectPr>
          <w:pgSz w:w="11900" w:h="16838" w:orient="portrait"/>
          <w:cols w:equalWidth="0" w:num="2">
            <w:col w:w="4820" w:space="720"/>
            <w:col w:w="5780"/>
          </w:cols>
          <w:pgMar w:left="240" w:top="274" w:right="339" w:bottom="1440" w:gutter="0" w:footer="0" w:header="0"/>
          <w:type w:val="continuous"/>
        </w:sectPr>
      </w:pPr>
    </w:p>
    <w:bookmarkStart w:id="55" w:name="page56"/>
    <w:bookmarkEnd w:id="55"/>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innovative public-private partnership efforts that enable Americans with disabilities to learn and develop skills, engage in productive work, make choices about their daily lives, and participate fully in their communities. Manpower also received the Employer of the Year Award from the Association of Persons in Supported Employment (APSE).</w:t>
      </w:r>
    </w:p>
    <w:p>
      <w:pPr>
        <w:spacing w:after="0" w:line="127" w:lineRule="exact"/>
        <w:rPr>
          <w:sz w:val="20"/>
          <w:szCs w:val="20"/>
          <w:color w:val="auto"/>
        </w:rPr>
      </w:pPr>
    </w:p>
    <w:p>
      <w:pPr>
        <w:ind w:right="300" w:firstLine="456"/>
        <w:spacing w:after="0" w:line="253" w:lineRule="auto"/>
        <w:rPr>
          <w:sz w:val="20"/>
          <w:szCs w:val="20"/>
          <w:color w:val="auto"/>
        </w:rPr>
      </w:pPr>
      <w:r>
        <w:rPr>
          <w:rFonts w:ascii="Arial" w:cs="Arial" w:eastAsia="Arial" w:hAnsi="Arial"/>
          <w:sz w:val="18"/>
          <w:szCs w:val="18"/>
          <w:color w:val="auto"/>
        </w:rPr>
        <w:t>Manpower Mexico made great strides in their innovative program called Caminemos Juntos (Let’s walk together), which brings job opportunities to the disabled and elderly. In partnership with Mexico’s Secretary of Labor, non-government organizations, a variety of companies and educational institutions, Manpower recruits and trains people with disabilities to provide them with the skills they need to participate in the workforce, and places them in jobs at our partner companies where they can continue developing their skills. This program has seen widespread success in Mexico, now including over 40 customer companies and 15 labor organizations. Through the end of 2003, nearly 150 individuals have found sustainable long-term employment through Caminemos Juntos. On September 30, 2003, this program received the 2003 Best Practices in Corporate Social Responsibility Award from the Mexican Center of Philanthropy.</w:t>
      </w:r>
    </w:p>
    <w:p>
      <w:pPr>
        <w:spacing w:after="0" w:line="13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Uruguay, the unemployment rate stands at a staggering 20%. People with disabilities are the most underemployed group, but, unfortunately, they remain the group that receives the least help from government employment policies. Manpower Uruguay recently launched an initiative in partnership with the National Bureau of People with Disabilities and the “Integra” program for people with visual impairments to focus on helping the disabled population into the labor market. Although the program is still in its early stages, several candidates have already been successfully placed in temporary positions.</w:t>
      </w:r>
    </w:p>
    <w:p>
      <w:pPr>
        <w:spacing w:after="0" w:line="99"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These are just a few of the many programs that exemplified Manpower’s focus on helping people with disabilities to engage in the workforce in 2003. Other programs continue to grow in Argentina, Spain, Hong Kong, Belgium, Colombia, and Australia, and our employees are developing new programs and partnerships to benefit the disabled in many other countries around the world every day.</w:t>
      </w:r>
    </w:p>
    <w:p>
      <w:pPr>
        <w:spacing w:after="0" w:line="12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“Through the end of 2003, nearly 150 individuals have found sustainable long-term employment through Caminemos Juntos. On September 30, 2003, this program received the 2003 Best Practices in Corporate Social Responsibility Award from the Mexican Center of Philanthropy.”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20"/>
          </w:cols>
          <w:pgMar w:left="240" w:top="280" w:right="239" w:bottom="1440" w:gutter="0" w:footer="0" w:header="0"/>
        </w:sectPr>
      </w:pP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021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MANPOWER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2">
            <w:col w:w="8780" w:space="720"/>
            <w:col w:w="1920"/>
          </w:cols>
          <w:pgMar w:left="240" w:top="280"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SOCIAL RESPONSIBILITY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focus on jobs for the long-term unemployed</w:t>
      </w:r>
    </w:p>
    <w:p>
      <w:pPr>
        <w:spacing w:after="0" w:line="8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addition to our focused effort to help people with disabilities in 2003, Manpower’s industry leading workforce development programs continued to help thousands of unemployed people around the world to move into the workforce.</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Working Links program in the UK continues to epitomize what a workforce development program should be. Founded in April 2000 as a unique public/private sector joint venture, Working Links has helped more than 38,000 people from all walks of life move from welfare to sustainable employment. In 2003 alone, more than 14,000 people were given the opportunity to develop useful skills and put them to work for companies that needed them.</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United States and Canada, Manpower’s workforce development program, TechReach, made great strides in 2003. The program is designed to prepare unemployed and underemployed individuals for well-paying careers in information technology positions. It includes intensive training, certification, job placement and mentoring in an effort to provide businesses with a new source of skilled technical employees. Today, TechReach is active in 45 locations throughout the United States and Canada. Since the program was created, more than 1,000 people have graduated from the program and over 350 have found jobs in our partner organizations.</w:t>
      </w:r>
    </w:p>
    <w:p>
      <w:pPr>
        <w:spacing w:after="0" w:line="1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May of 2003, Manpower entered a groundbreaking partnership with the U.S. Department of Labor’s Employment and Training Administration to develop joint employment and training strategies. Through this partnership, Manpower provides assistance to government-sponsored One-Stop Career Centers, providing training, education, and employment services to the unemployed. This partnership has already shown great promise in helping to connect people with new skills and sustainable jobs.</w:t>
      </w:r>
    </w:p>
    <w:p>
      <w:pPr>
        <w:spacing w:after="0" w:line="13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Manpower Canada, in an innovative partnership with several social service agencies and a corporate partner, has created an apprenticeship program that grooms participants – the majority who are on social assistance – to become call center customer support representatives. This program provides 10 weeks of customer service and computer</w:t>
      </w:r>
    </w:p>
    <w:p>
      <w:pPr>
        <w:spacing w:after="0" w:line="12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“Working Links has helped more than 38,000 people from all walks of life move from welfare to sustainable employment in the U.K. In 2003 alone, more than 14,000 people were given the opportunity to develop useful skills and put them to work for companies that needed them.”</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“Today, TechReach is active in 45 locations throughout the United States and Canada. Since the program was created, more than 1,000 people have graduated from the program and over 350 have found jobs in our partner organizations.”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00"/>
          </w:cols>
          <w:pgMar w:left="240" w:top="274" w:right="2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022</w:t>
      </w:r>
    </w:p>
    <w:p>
      <w:pPr>
        <w:sectPr>
          <w:pgSz w:w="11900" w:h="16838" w:orient="portrait"/>
          <w:cols w:equalWidth="0" w:num="2">
            <w:col w:w="4820" w:space="720"/>
            <w:col w:w="5860"/>
          </w:cols>
          <w:pgMar w:left="240" w:top="274" w:right="259" w:bottom="1440" w:gutter="0" w:footer="0" w:header="0"/>
          <w:type w:val="continuous"/>
        </w:sectPr>
      </w:pPr>
    </w:p>
    <w:bookmarkStart w:id="57" w:name="page58"/>
    <w:bookmarkEnd w:id="57"/>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training, as well as several weeks of education about the company’s products, services and corporate policies. At the end of the program, graduates get experience handling live calls in a call center. Over the past two years, more than 190 disadvantaged people have participated in the program.</w:t>
      </w:r>
    </w:p>
    <w:p>
      <w:pPr>
        <w:spacing w:after="0" w:line="7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Early in 2003, France’s national employment agency, ANPE, asked Manpower to help them find a better way to match jobseeker’s skills with the positions available from French employers in the services sector. To do this, we developed specialized professional skills and aptitude tests to evaluate ANPE’s candidates who are seeking employment in areas such as office/administrative, accounting and finance, information technology, sales and other service jobs. In 2003, Manpower tested more than 500 French job seekers, which allowed them to be matched with jobs best suited for their skills. This latest program is just another step in our longtime partnership with ANPE, and recognition of the reliability of our skills assessment tools and our expertise in bringing people and work together.</w:t>
      </w:r>
    </w:p>
    <w:p>
      <w:pPr>
        <w:spacing w:after="0" w:line="13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Many other workforce development programs are operated by Manpower offices worldwide every day, including some which target their efforts toward helping unemployed youth in Hong Kong, Austria and Argentina; as well as several programs intended to help older workers in countries like Australia and Switzerland. Many of these programs include thousands of hours of free training that Manpower donates each year, particularly through our online Global Learning Center.</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Manpower, being a responsible employer extends beyond our own workforce, reaching deeply into each of the communities where we live and work every day. Our employees thrive on their ability to change a life by giving someone the opportunity to work and support their family. When we can lift someone up and help them to engage in a path to sustainable employment, it makes all the difference in the world. We consider this the Manpower difference.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2003, Manpower tested more than 500 French job seekers, which allowed them to be matched with jobs best suited for their skills.”</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[GRAPHIC]</w:t>
      </w:r>
    </w:p>
    <w:p>
      <w:pPr>
        <w:sectPr>
          <w:pgSz w:w="11900" w:h="16838" w:orient="portrait"/>
          <w:cols w:equalWidth="0" w:num="1">
            <w:col w:w="11420"/>
          </w:cols>
          <w:pgMar w:left="240" w:top="280" w:right="239" w:bottom="1440" w:gutter="0" w:footer="0" w:header="0"/>
        </w:sectPr>
      </w:pP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MANPOWER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2">
            <w:col w:w="8780" w:space="720"/>
            <w:col w:w="1920"/>
          </w:cols>
          <w:pgMar w:left="240" w:top="280"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FROM SERVICES (A)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1999</w:t>
            </w:r>
          </w:p>
        </w:tc>
        <w:tc>
          <w:tcPr>
            <w:tcW w:w="7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2000</w:t>
            </w:r>
          </w:p>
        </w:tc>
        <w:tc>
          <w:tcPr>
            <w:tcW w:w="78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9,770.1</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10,842.8</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10,483.8</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10,610.9</w:t>
            </w:r>
          </w:p>
        </w:tc>
        <w:tc>
          <w:tcPr>
            <w:tcW w:w="1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12,184.5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IN MILLIONS ($)</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[CHART]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[DATA]</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1999</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2000</w:t>
            </w:r>
          </w:p>
        </w:tc>
        <w:tc>
          <w:tcPr>
            <w:tcW w:w="78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12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3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230.6</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237.6</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234.8</w:t>
            </w:r>
          </w:p>
        </w:tc>
        <w:tc>
          <w:tcPr>
            <w:tcW w:w="1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w w:val="94"/>
              </w:rPr>
              <w:t>SYSTEMWIDE (B) OFFICES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[CHART]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[DATA]</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1999</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2000</w:t>
            </w:r>
          </w:p>
        </w:tc>
        <w:tc>
          <w:tcPr>
            <w:tcW w:w="78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12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3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3,396</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3,685</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3,920</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3,932</w:t>
            </w:r>
          </w:p>
        </w:tc>
        <w:tc>
          <w:tcPr>
            <w:tcW w:w="1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hanging="452"/>
        <w:spacing w:after="0" w:line="272" w:lineRule="auto"/>
        <w:tabs>
          <w:tab w:leader="none" w:pos="460"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Revenues from services include fees received from our franchise operations of $37.7 million, $37.4 million, $28.1 million, $25.8 million, and $26.5 million for 1999, 2000, 2001, 2002 and 2003, respectively. These fees are primarily based on revenues generated by the franchise operations, which were $1,779.0 million, $1,639.5 million, $1,323.4 million, $1,179.8 million and $1,214.4 million for 1999, 2000, 2001, 2002 and 2003, respectively.</w:t>
      </w:r>
    </w:p>
    <w:p>
      <w:pPr>
        <w:spacing w:after="0" w:line="38"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In the United States, where a majority of our franchises operate, Revenues from services include fees received from the related franchise operations of</w:t>
      </w:r>
    </w:p>
    <w:p>
      <w:pPr>
        <w:spacing w:after="0" w:line="38" w:lineRule="exact"/>
        <w:rPr>
          <w:rFonts w:ascii="Arial" w:cs="Arial" w:eastAsia="Arial" w:hAnsi="Arial"/>
          <w:sz w:val="20"/>
          <w:szCs w:val="20"/>
          <w:color w:val="auto"/>
          <w:vertAlign w:val="superscript"/>
        </w:rPr>
      </w:pPr>
    </w:p>
    <w:p>
      <w:pPr>
        <w:jc w:val="both"/>
        <w:ind w:left="460" w:right="160"/>
        <w:spacing w:after="0" w:line="255" w:lineRule="auto"/>
        <w:rPr>
          <w:rFonts w:ascii="Arial" w:cs="Arial" w:eastAsia="Arial" w:hAnsi="Arial"/>
          <w:sz w:val="20"/>
          <w:szCs w:val="20"/>
          <w:color w:val="auto"/>
          <w:vertAlign w:val="superscript"/>
        </w:rPr>
      </w:pPr>
      <w:r>
        <w:rPr>
          <w:rFonts w:ascii="Arial" w:cs="Arial" w:eastAsia="Arial" w:hAnsi="Arial"/>
          <w:sz w:val="18"/>
          <w:szCs w:val="18"/>
          <w:color w:val="auto"/>
        </w:rPr>
        <w:t>$32.9 million, $32.5 million, $24.1 million, $21.7 million, and $21.9 million for 1999, 2000, 2001, 2002 and 2003, respectively. These fees are primarily based on revenues generated by the franchise operations, which were $1,541.1 million, $1,433.9 million, $1,135.5 million, $1,015.8 million and $1,026.2 million for 1999, 2000, 2001, 2002 and 2003, respectively.</w:t>
      </w:r>
    </w:p>
    <w:p>
      <w:pPr>
        <w:spacing w:after="0" w:line="19" w:lineRule="exact"/>
        <w:rPr>
          <w:rFonts w:ascii="Arial" w:cs="Arial" w:eastAsia="Arial" w:hAnsi="Arial"/>
          <w:sz w:val="20"/>
          <w:szCs w:val="20"/>
          <w:color w:val="auto"/>
          <w:vertAlign w:val="superscript"/>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Systemwide offices represents our branch offices plus the offices operating under a franchise agreement with us.</w:t>
      </w:r>
    </w:p>
    <w:p>
      <w:pPr>
        <w:sectPr>
          <w:pgSz w:w="11900" w:h="16838" w:orient="portrait"/>
          <w:cols w:equalWidth="0" w:num="1">
            <w:col w:w="11400"/>
          </w:cols>
          <w:pgMar w:left="240" w:top="274"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CONTENTS</w:t>
      </w:r>
    </w:p>
    <w:p>
      <w:pPr>
        <w:spacing w:after="0" w:line="272"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MANAGEMENT’S DISCUSSION AND ANALYSIS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OF INDEPENDENT PUBLIC ACCOUNTANTS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SHAREHOLDERS’ EQUITY</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DATA (UNAUDITED)</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MEASURES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SELECTED FINANCIAL DATA</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INFORMATION</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 OPERATING UNITS AND WORLDWIDE OFFICES</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FROM SERVICES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- 1,945.8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FRANCE - 4,638.8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EMEA - 3,920.2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OPERATIONS - 1,679.7</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UNIT PROFIT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FRANCE - 184.0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EMEA - 51.7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OPERATIONS - 27.9</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Manpower Inc. is a world leader in the employment services industry, offering customers a continuum of services to meet their needs throughout the employment and business cycle. Our worldwide network of over 4,000 offices in 66 countries enables us to meet the needs of our customers in all industry segments. We specialize in permanent, temporary and contract recruitment; employee assessment; training; internal audit, accounting, technology and tax services; and organizational consulting services. Our focus is on raising productivity through improved quality, efficiency and cost reduction, enabling customers to concentrate on their core business activities.</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staffing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and in the industry itself.</w:t>
      </w:r>
    </w:p>
    <w:p>
      <w:pPr>
        <w:spacing w:after="0" w:line="12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Customer demand for our employment services is dependent on the overall strength of the labor market and secular trends toward greater workforce flexibility within each of the countries we operate. Improving economic growth typically results in increasing demand for labor, resulting in greater demand for our services. Correspondingly, during periods of weak economic growth or economic contraction, the demand for our services typically declines.</w:t>
      </w:r>
    </w:p>
    <w:p>
      <w:pPr>
        <w:spacing w:after="0" w:line="9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services in several markets. As companies attempt to increase the variability of their cost base, temporary staffing helps them to effectively address the fluctuating demand for their products or services.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Due to the dependence of the staffing industry growth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are organized and managed primarily on a geographic basis. Each country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and Other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generate revenues from sales of services by our own branch operations and from fees earned on sales of services by our franchise operations. The majority of our revenues are generated by our staffing business, where billings are generally negotiated and invoiced on a per-hour basis. Accordingly, as the temporary employees are placed, we record revenue based on the hours worked. Our franchise agreements generally state that franchise fees are calculated based on a percentage of revenues. We record franchise fee revenues monthly based on the amounts due under the franchise agreements for that month.</w:t>
      </w:r>
    </w:p>
    <w:p>
      <w:pPr>
        <w:spacing w:after="0" w:line="9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January 22, 2004, we completed our exchange offer to acquire Right Management Consultants, Inc. (“Right”), the world’s largest career transition and organizational consulting services firm, operating through over 300 offices in 35 countries. The acquisition of Right will expand the range of services that we offer to customers as a strategic partner throughout every stage of the employment cycle.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our revenues and operating profits include the impact of changes in foreign currency exchange rates and acquisitions. We provide “constant currency” and “organic constant currency” calculations in this annual report to remove the impact of these items. We typically express year-over-year variances that are calculated in constant currency and organic constant currency as a percentage.</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2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 74.</w:t>
      </w:r>
    </w:p>
    <w:p>
      <w:pPr>
        <w:spacing w:after="0" w:line="112" w:lineRule="exact"/>
        <w:rPr>
          <w:sz w:val="20"/>
          <w:szCs w:val="20"/>
          <w:color w:val="auto"/>
        </w:rPr>
      </w:pPr>
    </w:p>
    <w:p>
      <w:pPr>
        <w:ind w:right="4740"/>
        <w:spacing w:after="0" w:line="332" w:lineRule="auto"/>
        <w:rPr>
          <w:sz w:val="20"/>
          <w:szCs w:val="20"/>
          <w:color w:val="auto"/>
        </w:rPr>
      </w:pPr>
      <w:r>
        <w:rPr>
          <w:rFonts w:ascii="Arial" w:cs="Arial" w:eastAsia="Arial" w:hAnsi="Arial"/>
          <w:sz w:val="18"/>
          <w:szCs w:val="18"/>
          <w:b w:val="1"/>
          <w:bCs w:val="1"/>
          <w:color w:val="auto"/>
        </w:rPr>
        <w:t>RESULTS OF OPERATIONS – YEARS ENDED DECEMBER 31, 2003, 2002 AND 2001 Consolidated Results – 2003 compared to 2002</w:t>
      </w:r>
    </w:p>
    <w:p>
      <w:pPr>
        <w:spacing w:after="0" w:line="1"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Revenues from services increased 14.8% to $12.2 billion. Revenues were favorably impacted during the year by changes in foreign currency exchange rates due to the weakening of the U.S. Dollar relative to the currencies in most of our non-U.S. markets. In constant currency, revenues increased 2.2%. Revenue growth in 2003 attributable to acquisitions was approximately $21.3 million or .2% of revenue. On an organic constant currency basis, revenues increased by 2.0%.</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profit increased 11.9% to $2.1 billion during 2003. The gross profit margin declined 50 basis points (.5%) to 17.5% in 2003 from 18.0% in 2002. This decrease was attributable to higher payroll taxes and social costs, increased pricing pressures throughout the world, changes in the service mix of business (from higher margin service lines to lower margin service lines) and changes in the geographical mix of business (as revenue growth in countries with lower gross profit margins, such as France, was higher than in some countries with higher gross profit margins). Gross profit growth from acquisitions was approximately $2.5 million and had an insignificant impact on gross profit margin.</w:t>
      </w:r>
    </w:p>
    <w:p>
      <w:pPr>
        <w:spacing w:after="0" w:line="123"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027</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Selling and administrative expenses increased 12.1% during 2003. This increase is primarily due to the changes in exchange rates, as these expenses increased only .6% on a constant currency basis. As a percent of revenues, Selling and administrative expenses were 15.4% in 2003 compared to 15.8% in 2002. This improvement is a result of continued productivity improvements and careful expense management in conjunction with growing revenues.</w:t>
      </w:r>
    </w:p>
    <w:p>
      <w:pPr>
        <w:spacing w:after="0" w:line="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Operating profit increased 9.9% during 2003, however on a constant currency basis, Operating profit declined 6. 6%. The operating profit margin was 2.1% compared to 2.2% for 2002. The operating profit level primarily reflects the improved leveraging of the business offset by the gross profit margin declines. Acquisitions made during 2003 decreased Operating profit by approximately $.2 million during 2003. On an organic constant currency basis, Operating profit decreased 6.6%.</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and other expenses is comprised of interest, foreign exchange gains and losses, and other miscellaneous non-operating expenses. In total, Interest and other expenses decreased $11.0 million from 2002 to 2003. Net interest expense was $33.4 million in 2003 and 2002. Average borrowing levels were lower throughout 2003 compared to 2002, however the impact of this was offset by our Euro-denominated interest expense which was translated at higher rates in 2003. Foreign exchange gains and losses primarily result from the translation of intercompany transfers between foreign subsidiaries and the United States and we experienced gains of $1.3 million and $1.8 million in 2003 and 2002, respectively.</w:t>
      </w:r>
    </w:p>
    <w:p>
      <w:pPr>
        <w:spacing w:after="0" w:line="102"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Miscellaneous expenses, net, was $3.7 million in 2003 compared to $15.2 million in 2002. In the fourth quarter of 2002, we recorded a charge of $5.1 million ($2.9 million net of tax, or $.04 per share) related to a writedown of equity security investments where the decline in market value was determined to be other-than-temporary, as defined by Statement of Financial Accounting Standards (“SFAS”) No. 115, “Accounting for Certain Debt and Equity Securities.”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provided for income taxes at a rate of 38.0% in 2003. This rate is higher than the U.S. Federal statutory rate of 35% due primarily to the impact of higher foreign income tax rates and valuation reserves recorded against foreign net operating losses. This rate is lower than the 2002 effective tax rate of 39.8% due to an increase in the foreign tax credits used to offset the U.S. taxes on foreign earnings, offset somewhat by a shift in the mix of taxable income toward countries with relatively higher tax rates. For 2004, we expect our effective tax rate will decrease to approximately 36% as a result of certain tax planning initiatives that began in late 2003.</w:t>
      </w:r>
    </w:p>
    <w:p>
      <w:pPr>
        <w:spacing w:after="0" w:line="12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Net earnings per share, on a diluted basis, increased 19.2% to $1.74 in 2003 compared to $1.46 in 2002. The 2003 Net earnings per share, on a diluted basis, was positively impacted by the higher foreign currency exchange rates during the year. In constant currency, 2003 diluted Net earnings per share would have been $1. 45, a decrease of .7% from 2002. On an undiluted basis, Net earnings per share was $1.77 in 2003 compared to $1.48 in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 2002 Compared to 2001</w:t>
      </w:r>
    </w:p>
    <w:p>
      <w:pPr>
        <w:spacing w:after="0" w:line="8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Revenues from services increased 1.2%. Revenues were favorably impacted during the year by changes in foreign currency exchange rates, as the U.S. Dollar weakened relative to many of the functional currencies of our foreign subsidiaries. In constant currency, revenues decreased 2. 0%. Revenue growth in 2002 attributable to acquisitions was approximately $163 million or 1.6% of revenues. On an organic constant currency basis, revenues decreased 3.6%.</w:t>
      </w:r>
    </w:p>
    <w:p>
      <w:pPr>
        <w:spacing w:after="0" w:line="9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Gross profit decreased 2.4% during 2002 to $1.9 billion. The gross profit margin declined 70 basis points (.7%) to 18.0% in 2002 from 18.7% in 2001. The lower margin is due primarily to changes in the service mix of business (from higher margin service lines to lower margin service lines), changes in the geographic mix of business (as revenue growth in countries with lower gross profit margins was higher than in some countries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higher gross profit margins), pricing pressures and a decrease in our permanent placement business, caused by the economic slowdown. Gross profit growth from acquisitions was approximately $47 million or .2% of revenues. Excluding acquisitions, Gross profit decreased 4.8%. On an organic constant currency basis, Gross profit decreased 8.0%.</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and administrative expenses decreased 2.5% during 2002. This decrease was unfavorably impacted by changes in exchange rates during 2002. On a constant currency basis, expenses decreased 5.2%. As a percent of revenues, Selling and administrative expenses were 15.8% in 2002 compared to 16.4% in 2001 (16.2% in 2001 excluding goodwill amortization). This decrease is due primarily to a continuation of cost control efforts throughout all of our markets in response to the lower revenue levels since late 2001.</w:t>
      </w:r>
    </w:p>
    <w:p>
      <w:pPr>
        <w:spacing w:after="0" w:line="130"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Operating profit declined 1.2% during 2002, and on a constant currency basis, Operating profit declined 8.5%. The operating profit margin was 2.2% in 2002 compared to 2.3% for 2001 (2.4% excluding goodwill amortization). This decrease in operating profit margin resulted as our cost control efforts did not fully compensate for the Gross profit declines. Acquisitions made during 2002 increased Operating profit by approximately $1 million during 2002. On an organic constant currency basis, Operating profit decreased 9.0%.</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Interest and other expenses is comprised of interest, foreign exchange gains and losses, the loss on sale of accounts receivable, and other miscellaneous non-operating expenses. In total, Interest and other expenses increased $7.1 million from 2001 to 2002. Net interest expense was $33.4 million in 2002 compared to $28.8 million in 2001, as average borrowing levels were higher throughout 2002 compared to 2001 and our Euro-denominated interest expense was translated at higher rates in 2002. Foreign exchange gains and losses primarily result from the translation of intercompany transfers between foreign subsidiaries and the United States and we experienced a gain of $1.8 million in 2002 compared to a loss of $.2 million in 2001. The loss on the sale of accounts receivable decreased in 2002 from 2001 as there were only minimal amounts advanced under the Receivables Facility during 2002. (See note 5 to the consolidated financial statements for further information.)</w:t>
      </w:r>
    </w:p>
    <w:p>
      <w:pPr>
        <w:spacing w:after="0" w:line="13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Miscellaneous expenses, net, increased $9.4 million in 2002 from 2001. In the fourth quarter of 2002, we recorded a charge of $5.1 million ($2.9 million net of tax, or $.04 per share) related to a writedown of equity security investments where the decline in market value was determined to be other-than-temporary, as defined by SFAS No. 115, “Accounting for Certain Debt and Equity Securities.” During 2001, miscellaneous expenses included a gain on the sale of a minority-owned subsidiary offset by a writedown of an investment.</w:t>
      </w:r>
    </w:p>
    <w:p>
      <w:pPr>
        <w:spacing w:after="0" w:line="13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provided for income taxes at a rate of 39.8% in 2002 compared to 37.1% in 2001 (35.1% excluding goodwill amortization). The increase in the rate primarily reflects a shift in taxable income to relatively higher tax-rate countries, an increase in valuation reserves recorded against foreign net operating losses and a decrease in the foreign tax credits used to offset the U.S. taxes on foreign earnings. The 2002 rate is different than the U.S. Federal statutory rate of 35% due to the impact of higher foreign income tax rates, valuation reserves recorded against foreign net operating losses and U.S. taxes on foreign earnings.</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earnings per share, on a diluted basis, decreased 9.9% to $1.46 in 2002 compared to $1.62 in 2001 ($1.81 excluding goodwill amortization). The 2002 Net earnings per share, on a diluted basis, was positively impacted by the higher foreign currency exchange rates during the year. In constant currency, 2002 diluted Net earnings per share would have been $1.29, a decrease of 20.4% from 2001 (a decrease of 28.7% excluding goodwill amortization). On an undiluted basis, Net earnings per share was $1.48 in 2002 compared to $1.64 in 2001 ($1.83 excluding goodwill amortization).</w:t>
      </w:r>
    </w:p>
    <w:p>
      <w:pPr>
        <w:spacing w:after="0" w:line="93"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029</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REVENUES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ind w:right="19"/>
              <w:spacing w:after="0"/>
              <w:rPr>
                <w:sz w:val="20"/>
                <w:szCs w:val="20"/>
                <w:color w:val="auto"/>
              </w:rPr>
            </w:pPr>
            <w:r>
              <w:rPr>
                <w:rFonts w:ascii="Arial" w:cs="Arial" w:eastAsia="Arial" w:hAnsi="Arial"/>
                <w:sz w:val="14"/>
                <w:szCs w:val="14"/>
                <w:b w:val="1"/>
                <w:bCs w:val="1"/>
                <w:color w:val="auto"/>
                <w:w w:val="76"/>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6"/>
              </w:rPr>
              <w:t>1,911.4</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1,945.8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gridSpan w:val="12"/>
          </w:tcPr>
          <w:p>
            <w:pPr>
              <w:spacing w:after="0"/>
              <w:rPr>
                <w:sz w:val="20"/>
                <w:szCs w:val="20"/>
                <w:color w:val="auto"/>
              </w:rPr>
            </w:pPr>
            <w:r>
              <w:rPr>
                <w:rFonts w:ascii="Arial" w:cs="Arial" w:eastAsia="Arial" w:hAnsi="Arial"/>
                <w:sz w:val="18"/>
                <w:szCs w:val="18"/>
                <w:color w:val="auto"/>
                <w:w w:val="97"/>
              </w:rPr>
              <w:t>U.S. OPERATING UNIT PROFIT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10"/>
          </w:tcPr>
          <w:p>
            <w:pPr>
              <w:spacing w:after="0"/>
              <w:rPr>
                <w:sz w:val="20"/>
                <w:szCs w:val="20"/>
                <w:color w:val="auto"/>
              </w:rPr>
            </w:pPr>
            <w:r>
              <w:rPr>
                <w:rFonts w:ascii="Arial" w:cs="Arial" w:eastAsia="Arial" w:hAnsi="Arial"/>
                <w:sz w:val="18"/>
                <w:szCs w:val="18"/>
                <w:color w:val="auto"/>
              </w:rPr>
              <w:t>IN MILLIONS ($)</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9"/>
              </w:rPr>
              <w:t>[CHART]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[DATA]</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20"/>
                <w:szCs w:val="20"/>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29.5</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-65.2%</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-.8% +15.2%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 xml:space="preserve">U.S. </w:t>
      </w:r>
      <w:r>
        <w:rPr>
          <w:rFonts w:ascii="Arial" w:cs="Arial" w:eastAsia="Arial" w:hAnsi="Arial"/>
          <w:sz w:val="16"/>
          <w:szCs w:val="16"/>
          <w:color w:val="auto"/>
        </w:rPr>
        <w:t>– The United States operation is comprised of 690 Company-owned branch offices and 352 franchise offices. Revenues in the United States consist of sales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Company-owned branch offices and fees from our franchise operations. Revenues for the year were $1.9 billion, an increase of 1.8% and include franchise fees of $21.9 million. Franchise fees are primarily based on revenues generated by the franchise network, which were $1.0 billion (unaudited) in 2003.</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in the United States began the year above prior year levels, but gradually weakened during the first half of 2003, eventually falling below the prior year level. Revenue trends bottomed in July at 4.9% below July of 2002. Since July our monthly year-over-year revenue growth has gradually improved, resulting in fourth quarter growth of .6%. This growth has primarily been fueled by increasing demand for industrial and light industrial skills, which is typical of the early stages of an economic recovery. Demand for office skills was weak throughout the year reflected by revenues falling short of prior year levels.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gross profit margin declined during the year, primarily as a result of employment-related cost increases such as state unemployment taxes. Due to the competitive market environment, it was difficult to recover these cost increases in the form of higher bill rates. As we enter 2004, we are expecting further increases in state unemployment taxes and increases in workers’ compensation costs. In the event that we are unsuccessful in fully recovering these cost increases through higher bill rates, we may experience a further decline in our gross profit margin in 2004.</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and administrative expenses declined 4.0% from the prior year, reflecting cost reductions and improved productivity with the implementation of new back office processes and systems. We anticipate that we will be able to achieve higher utilization levels and greater productivity in the future as revenue levels improve throughout our network of branch offices.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Operating unit profit was $33.7 million for 2003, up 15.2%. The operating unit profit margin improved to 1.7% from 1.5% in 2002, as productivity gains more than offset the decline in gross profit margin.</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2003, we acquired two franchises in the United States, which added approximately $21 million of revenue and had a negligible impact on Operating unit profit.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0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28"/>
        </w:trPr>
        <w:tc>
          <w:tcPr>
            <w:tcW w:w="372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08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FRANCE REVENUES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360" w:type="dxa"/>
            <w:vAlign w:val="bottom"/>
          </w:tcPr>
          <w:p>
            <w:pPr>
              <w:jc w:val="right"/>
              <w:ind w:right="19"/>
              <w:spacing w:after="0"/>
              <w:rPr>
                <w:sz w:val="20"/>
                <w:szCs w:val="20"/>
                <w:color w:val="auto"/>
              </w:rPr>
            </w:pPr>
            <w:r>
              <w:rPr>
                <w:rFonts w:ascii="Arial" w:cs="Arial" w:eastAsia="Arial" w:hAnsi="Arial"/>
                <w:sz w:val="14"/>
                <w:szCs w:val="14"/>
                <w:b w:val="1"/>
                <w:bCs w:val="1"/>
                <w:color w:val="auto"/>
                <w:w w:val="76"/>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3,766.4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3,848.2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4,638.8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FRANCE OPERATING UNIT PROFIT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p>
      <w:pPr>
        <w:spacing w:after="0"/>
        <w:tabs>
          <w:tab w:leader="none" w:pos="860" w:val="left"/>
          <w:tab w:leader="none" w:pos="148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31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68580</wp:posOffset>
            </wp:positionV>
            <wp:extent cx="6172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860" w:val="left"/>
          <w:tab w:leader="none" w:pos="1480" w:val="left"/>
        </w:tabs>
        <w:rPr>
          <w:sz w:val="20"/>
          <w:szCs w:val="20"/>
          <w:color w:val="auto"/>
        </w:rPr>
      </w:pPr>
      <w:r>
        <w:rPr>
          <w:rFonts w:ascii="Arial" w:cs="Arial" w:eastAsia="Arial" w:hAnsi="Arial"/>
          <w:sz w:val="18"/>
          <w:szCs w:val="18"/>
          <w:color w:val="auto"/>
        </w:rPr>
        <w:t>135.7</w:t>
      </w:r>
      <w:r>
        <w:rPr>
          <w:sz w:val="20"/>
          <w:szCs w:val="20"/>
          <w:color w:val="auto"/>
        </w:rPr>
        <w:tab/>
      </w:r>
      <w:r>
        <w:rPr>
          <w:rFonts w:ascii="Arial" w:cs="Arial" w:eastAsia="Arial" w:hAnsi="Arial"/>
          <w:sz w:val="18"/>
          <w:szCs w:val="18"/>
          <w:color w:val="auto"/>
        </w:rPr>
        <w:t>143.6</w:t>
      </w:r>
      <w:r>
        <w:rPr>
          <w:sz w:val="20"/>
          <w:szCs w:val="20"/>
          <w:color w:val="auto"/>
        </w:rPr>
        <w:tab/>
      </w:r>
      <w:r>
        <w:rPr>
          <w:rFonts w:ascii="Arial" w:cs="Arial" w:eastAsia="Arial" w:hAnsi="Arial"/>
          <w:sz w:val="15"/>
          <w:szCs w:val="15"/>
          <w:color w:val="auto"/>
        </w:rPr>
        <w:t>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0365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03655" cy="137160"/>
                    </a:xfrm>
                    <a:prstGeom prst="rect">
                      <a:avLst/>
                    </a:prstGeom>
                    <a:noFill/>
                  </pic:spPr>
                </pic:pic>
              </a:graphicData>
            </a:graphic>
          </wp:anchor>
        </w:drawing>
      </w:r>
    </w:p>
    <w:p>
      <w:pPr>
        <w:ind w:left="100"/>
        <w:spacing w:after="0"/>
        <w:tabs>
          <w:tab w:leader="none" w:pos="9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+5.8% +28.2%</w:t>
      </w:r>
    </w:p>
    <w:p>
      <w:pPr>
        <w:spacing w:after="0" w:line="145"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b w:val="1"/>
          <w:bCs w:val="1"/>
          <w:color w:val="auto"/>
        </w:rPr>
        <w:t xml:space="preserve">France </w:t>
      </w:r>
      <w:r>
        <w:rPr>
          <w:rFonts w:ascii="Arial" w:cs="Arial" w:eastAsia="Arial" w:hAnsi="Arial"/>
          <w:sz w:val="15"/>
          <w:szCs w:val="15"/>
          <w:color w:val="auto"/>
        </w:rPr>
        <w:t>– Revenues in France were $4.6 billion (€4.1 billion), an increase of 20.5% over 2002. Revenues in Euros increased almost 1%. Revenue growth trends</w:t>
      </w:r>
      <w:r>
        <w:rPr>
          <w:rFonts w:ascii="Arial" w:cs="Arial" w:eastAsia="Arial" w:hAnsi="Arial"/>
          <w:sz w:val="15"/>
          <w:szCs w:val="15"/>
          <w:b w:val="1"/>
          <w:bCs w:val="1"/>
          <w:color w:val="auto"/>
        </w:rPr>
        <w:t xml:space="preserve"> </w:t>
      </w:r>
      <w:r>
        <w:rPr>
          <w:rFonts w:ascii="Arial" w:cs="Arial" w:eastAsia="Arial" w:hAnsi="Arial"/>
          <w:sz w:val="15"/>
          <w:szCs w:val="15"/>
          <w:color w:val="auto"/>
        </w:rPr>
        <w:t>were stable throughout the year as customer demand for our services was generally in line with the prior year, allowing for the usual seasonal fluctuations.</w:t>
      </w:r>
    </w:p>
    <w:p>
      <w:pPr>
        <w:spacing w:after="0" w:line="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gross profit margin increased slightly during the year. This increase was primarily the result of a $16.1 million adjustment to our estimated liability related to social program remittances. (See Application of Critical Accounting Policies – Employment-Related Items on page 37 for further information.)</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year we expanded our office network in France by adding 34 new offices. Costs associated with the new office openings were offset by productivity gains and, as a result, selling and administrative expenses were flat compared to the prior year.</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unit profit for the year was $184.0 million (€160.4 million), an increase of 28.2% over 2002. Operating unit profit in Euros increased 7.4%. Operating unit profit was favorably impacted by the adjustment for social program remittances discussed above.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EMEA REVENUES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p>
      <w:pPr>
        <w:spacing w:after="0"/>
        <w:tabs>
          <w:tab w:leader="none" w:pos="860" w:val="left"/>
          <w:tab w:leader="none" w:pos="160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31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68580</wp:posOffset>
            </wp:positionV>
            <wp:extent cx="231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68580</wp:posOffset>
            </wp:positionV>
            <wp:extent cx="231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2" w:lineRule="exact"/>
        <w:rPr>
          <w:sz w:val="20"/>
          <w:szCs w:val="20"/>
          <w:color w:val="auto"/>
        </w:rPr>
      </w:pPr>
    </w:p>
    <w:p>
      <w:pPr>
        <w:spacing w:after="0"/>
        <w:tabs>
          <w:tab w:leader="none" w:pos="860" w:val="left"/>
          <w:tab w:leader="none" w:pos="1600" w:val="left"/>
        </w:tabs>
        <w:rPr>
          <w:sz w:val="20"/>
          <w:szCs w:val="20"/>
          <w:color w:val="auto"/>
        </w:rPr>
      </w:pPr>
      <w:r>
        <w:rPr>
          <w:rFonts w:ascii="Arial" w:cs="Arial" w:eastAsia="Arial" w:hAnsi="Arial"/>
          <w:sz w:val="18"/>
          <w:szCs w:val="18"/>
          <w:color w:val="auto"/>
        </w:rPr>
        <w:t>3,428.7</w:t>
      </w:r>
      <w:r>
        <w:rPr>
          <w:sz w:val="20"/>
          <w:szCs w:val="20"/>
          <w:color w:val="auto"/>
        </w:rPr>
        <w:tab/>
      </w:r>
      <w:r>
        <w:rPr>
          <w:rFonts w:ascii="Arial" w:cs="Arial" w:eastAsia="Arial" w:hAnsi="Arial"/>
          <w:sz w:val="18"/>
          <w:szCs w:val="18"/>
          <w:color w:val="auto"/>
        </w:rPr>
        <w:t>3,434.9</w:t>
      </w:r>
      <w:r>
        <w:rPr>
          <w:sz w:val="20"/>
          <w:szCs w:val="20"/>
          <w:color w:val="auto"/>
        </w:rPr>
        <w:tab/>
      </w:r>
      <w:r>
        <w:rPr>
          <w:rFonts w:ascii="Arial" w:cs="Arial" w:eastAsia="Arial" w:hAnsi="Arial"/>
          <w:sz w:val="15"/>
          <w:szCs w:val="15"/>
          <w:color w:val="auto"/>
        </w:rPr>
        <w:t>3,920.2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4907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9070" cy="137160"/>
                    </a:xfrm>
                    <a:prstGeom prst="rect">
                      <a:avLst/>
                    </a:prstGeom>
                    <a:noFill/>
                  </pic:spPr>
                </pic:pic>
              </a:graphicData>
            </a:graphic>
          </wp:anchor>
        </w:drawing>
      </w:r>
    </w:p>
    <w:p>
      <w:pPr>
        <w:ind w:left="280"/>
        <w:spacing w:after="0"/>
        <w:tabs>
          <w:tab w:leader="none" w:pos="1160" w:val="left"/>
          <w:tab w:leader="none" w:pos="17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+14.1%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EMEA OPERATING UNIT PROFIT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106.0</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83.0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-13.3%</w:t>
            </w:r>
          </w:p>
        </w:tc>
        <w:tc>
          <w:tcPr>
            <w:tcW w:w="760" w:type="dxa"/>
            <w:vAlign w:val="bottom"/>
            <w:gridSpan w:val="3"/>
          </w:tcPr>
          <w:p>
            <w:pPr>
              <w:ind w:left="220"/>
              <w:spacing w:after="0"/>
              <w:rPr>
                <w:sz w:val="20"/>
                <w:szCs w:val="20"/>
                <w:color w:val="auto"/>
              </w:rPr>
            </w:pPr>
            <w:r>
              <w:rPr>
                <w:rFonts w:ascii="Arial" w:cs="Arial" w:eastAsia="Arial" w:hAnsi="Arial"/>
                <w:sz w:val="18"/>
                <w:szCs w:val="18"/>
                <w:color w:val="auto"/>
                <w:w w:val="91"/>
              </w:rPr>
              <w:t>-21.6%</w:t>
            </w:r>
          </w:p>
        </w:tc>
        <w:tc>
          <w:tcPr>
            <w:tcW w:w="540" w:type="dxa"/>
            <w:vAlign w:val="bottom"/>
            <w:gridSpan w:val="3"/>
          </w:tcPr>
          <w:p>
            <w:pPr>
              <w:ind w:left="20"/>
              <w:spacing w:after="0"/>
              <w:rPr>
                <w:sz w:val="20"/>
                <w:szCs w:val="20"/>
                <w:color w:val="auto"/>
              </w:rPr>
            </w:pPr>
            <w:r>
              <w:rPr>
                <w:rFonts w:ascii="Arial" w:cs="Arial" w:eastAsia="Arial" w:hAnsi="Arial"/>
                <w:sz w:val="18"/>
                <w:szCs w:val="18"/>
                <w:color w:val="auto"/>
                <w:w w:val="87"/>
              </w:rPr>
              <w:t>-37.7%</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EMEA </w:t>
      </w:r>
      <w:r>
        <w:rPr>
          <w:rFonts w:ascii="Arial" w:cs="Arial" w:eastAsia="Arial" w:hAnsi="Arial"/>
          <w:sz w:val="18"/>
          <w:szCs w:val="18"/>
          <w:color w:val="auto"/>
        </w:rPr>
        <w:t>– The EMEA region includes our operations in Europe, the Middle East and Africa (excluding France). The largest operations included in the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Germany, Italy, the Netherlands, Norway, Spain, Sweden and the United Kingdom. Also included in our EMEA operations is Elan, which is a leading IT and technical recruitment and staffing firm. Elan provides IT staffing solutions in 16 countries.</w:t>
      </w:r>
    </w:p>
    <w:p>
      <w:pPr>
        <w:spacing w:after="0" w:line="1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Revenues in EMEA were up 14.1% over 2002, to $3.9 billion, but were down .3% in constant currency. Revenue trends in constant currency improved in the second half of 2003, increasing by 1.3% over 2002 following a 2.1% decline in the first half. Revenue growth trends varied dramatically by country within the segment as customer demand for our services was significantly influenced by economic conditions and, in some cases, favorable secular changes in the usage of our services. Revenue growth in Germany was very strong, increasing 10.9% in Euros (32.5% in U.S. Dollars) for the full year and 16.0% in Euros (37.8% in U.S. Dollars) in the fourth quarter. Other significant countries realizing revenue growth included Italy, Spain and Belgium. Countries experiencing revenue declines included Norway, the Netherlands, Sweden and the United Kingdom as a result of weak customer demand in challenging economic environments.</w:t>
      </w:r>
    </w:p>
    <w:p>
      <w:pPr>
        <w:spacing w:after="0" w:line="101"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031</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trends in our Elan operation improved throughout the year, increasing 5.4% over 2002 in the second half of the year after declining in the first half. This reflects gradually improving customer demand for IT staffing and recruitment after several years of weakness.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gross profit margin for the EMEA segment declined compared to the prior year primarily as a result of competitive pricing pressure. Operations contributing to this decline included the Netherlands, Sweden and the U.K.</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Selling and administrative expenses increased 12.3% during 2003, but were down 2.4% in constant currency. Included in selling and administrative expenses is a fourth quarter charge of $5.6 million related to the costs associated with a small number of office closures. Excluding this charge, selling and administrative expenses declined 3.0% in constant currency. Selling and administrative expenses also declined as a percentage of revenue reflecting increased productivity. Productivity gains more than offset the increased expenses associated with opening 98 new offices in the region.</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unit profit was $51.7 million in 2003, down 37.7% from 2002, and down 45.4% in constant currency. The operating unit profit margin declined to 1.3% in 2003 from 2.4% in 2002, due primarily to the declines in gross profit margin.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OPERATIONS REVENUES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9" w:lineRule="exact"/>
        <w:rPr>
          <w:sz w:val="20"/>
          <w:szCs w:val="20"/>
          <w:color w:val="auto"/>
        </w:rPr>
      </w:pPr>
    </w:p>
    <w:p>
      <w:pPr>
        <w:spacing w:after="0"/>
        <w:tabs>
          <w:tab w:leader="none" w:pos="1080" w:val="left"/>
          <w:tab w:leader="none" w:pos="18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31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62230</wp:posOffset>
            </wp:positionV>
            <wp:extent cx="231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62230</wp:posOffset>
            </wp:positionV>
            <wp:extent cx="231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91" w:lineRule="exact"/>
        <w:rPr>
          <w:sz w:val="20"/>
          <w:szCs w:val="20"/>
          <w:color w:val="auto"/>
        </w:rPr>
      </w:pPr>
    </w:p>
    <w:p>
      <w:pPr>
        <w:spacing w:after="0"/>
        <w:tabs>
          <w:tab w:leader="none" w:pos="1080" w:val="left"/>
          <w:tab w:leader="none" w:pos="1820" w:val="left"/>
        </w:tabs>
        <w:rPr>
          <w:sz w:val="20"/>
          <w:szCs w:val="20"/>
          <w:color w:val="auto"/>
        </w:rPr>
      </w:pPr>
      <w:r>
        <w:rPr>
          <w:rFonts w:ascii="Arial" w:cs="Arial" w:eastAsia="Arial" w:hAnsi="Arial"/>
          <w:sz w:val="18"/>
          <w:szCs w:val="18"/>
          <w:color w:val="auto"/>
        </w:rPr>
        <w:t>1,285.3</w:t>
      </w:r>
      <w:r>
        <w:rPr>
          <w:sz w:val="20"/>
          <w:szCs w:val="20"/>
          <w:color w:val="auto"/>
        </w:rPr>
        <w:tab/>
      </w:r>
      <w:r>
        <w:rPr>
          <w:rFonts w:ascii="Arial" w:cs="Arial" w:eastAsia="Arial" w:hAnsi="Arial"/>
          <w:sz w:val="18"/>
          <w:szCs w:val="18"/>
          <w:color w:val="auto"/>
        </w:rPr>
        <w:t>1,416.4</w:t>
      </w:r>
      <w:r>
        <w:rPr>
          <w:sz w:val="20"/>
          <w:szCs w:val="20"/>
          <w:color w:val="auto"/>
        </w:rPr>
        <w:tab/>
      </w:r>
      <w:r>
        <w:rPr>
          <w:rFonts w:ascii="Arial" w:cs="Arial" w:eastAsia="Arial" w:hAnsi="Arial"/>
          <w:sz w:val="15"/>
          <w:szCs w:val="15"/>
          <w:color w:val="auto"/>
        </w:rPr>
        <w:t>1,679.7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58623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6230" cy="137160"/>
                    </a:xfrm>
                    <a:prstGeom prst="rect">
                      <a:avLst/>
                    </a:prstGeom>
                    <a:noFill/>
                  </pic:spPr>
                </pic:pic>
              </a:graphicData>
            </a:graphic>
          </wp:anchor>
        </w:drawing>
      </w:r>
    </w:p>
    <w:p>
      <w:pPr>
        <w:spacing w:after="0"/>
        <w:tabs>
          <w:tab w:leader="none" w:pos="1200" w:val="left"/>
          <w:tab w:leader="none" w:pos="19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+18.6%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OPERATIONS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UNIT PROFIT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360" w:type="dxa"/>
            <w:vAlign w:val="bottom"/>
          </w:tcPr>
          <w:p>
            <w:pPr>
              <w:jc w:val="right"/>
              <w:ind w:right="22"/>
              <w:spacing w:after="0"/>
              <w:rPr>
                <w:sz w:val="20"/>
                <w:szCs w:val="20"/>
                <w:color w:val="auto"/>
              </w:rPr>
            </w:pPr>
            <w:r>
              <w:rPr>
                <w:rFonts w:ascii="Arial" w:cs="Arial" w:eastAsia="Arial" w:hAnsi="Arial"/>
                <w:sz w:val="14"/>
                <w:szCs w:val="14"/>
                <w:b w:val="1"/>
                <w:bCs w:val="1"/>
                <w:color w:val="auto"/>
                <w:w w:val="76"/>
              </w:rPr>
              <w:t>2003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-31.8%</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-27.1% +324.1%</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b w:val="1"/>
          <w:bCs w:val="1"/>
          <w:color w:val="auto"/>
        </w:rPr>
        <w:t xml:space="preserve">Other Operations </w:t>
      </w:r>
      <w:r>
        <w:rPr>
          <w:rFonts w:ascii="Arial" w:cs="Arial" w:eastAsia="Arial" w:hAnsi="Arial"/>
          <w:sz w:val="18"/>
          <w:szCs w:val="18"/>
          <w:color w:val="auto"/>
        </w:rPr>
        <w:t>– The Other Operations segment includes our Manpower operations in the Asia Pacific region, Canada, Mexico and South America. Also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this segment are Jefferson Wells International, a professional service provider of internal audit, accounting, technology and tax services, and The Empower Group, a global provider of organizational performance consulting services.</w:t>
      </w:r>
    </w:p>
    <w:p>
      <w:pPr>
        <w:spacing w:after="0" w:line="1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growth in the Other Operations segment was strong during 2003, increasing 18.6% over 2002. In constant currency, revenues increased 12.4%. This growth was fueled by Manpower’s operations in Japan, Australia, Canada and Mexico.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gross profit margin improved in this segment primarily as a result of enhanced pricing initiatives in the Asia Pacific region.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 increased 14.6% in 2003 (8.6% in constant currency), reflecting the additional costs to support higher business volumes.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costs as a percentage of revenue declined, reflecting our ability to leverage our office network to support the higher revenue volumes.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unit profit increased significantly in this segment, to $27.9 million in 2003 from $6.6 in 2002. The operating profit margin expanded to 1.7% from .5% as a result of the gross profit margin gains and productivity improvements discussed earlier. Contributing to the improved profitability were our operations in Japan, Canada, Mexico and Argentina.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trends in our Jefferson Wells operation improved throughout the year, increasing 7.5% over 2002 in the fourth quarter after declining earlier in the year. This reflects the increased demand for services, primarily due to the new auditor independence rules and the internal control documentation requirements of Sarbanes-Oxley.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we enter 2004, we continue to see expanding opportunity for our services in this segment. Beginning in March of 2004, the market in Japan will continue on its path of deregulation and allow us to provide industrial skilled workers. We believe this will provide us an excellent opportunity for further growth and allow us to leverage our global knowledge and experience that we have developed in other industrial markets across the world. This new market opportunity will be supported by a network of new offices specifically directed at this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and acquisitions. Working capital is primarily in the form of trade receivables, which increase as revenues increase. The amount of financing necessary to support revenue growth depends on receivable turnover, which differs in each market in which we operate.</w:t>
      </w:r>
    </w:p>
    <w:p>
      <w:pPr>
        <w:spacing w:after="0" w:line="12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During 2003, Cash provided by operating activities was $223.4 million, compared to $227.9 million for 2002 and $136.0 million for 2001. The strong results reflect the impact of our focus on working capital management over the past few years. The change in 2003 from 2002 is due primarily to the higher working capital needs due to the growth in our business offset by the higher earnings level in 2003. The change in 2002 from 2001 is due primarily to the change in amounts advanced under the Receivables Facility during 2001. Excluding that impact, Cash provided by operating activities declined from 2001 to 2002 due to the lower earnings levels and an increase in working capital needs, due to revenue increases in the fourth quarter of 2002.</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increased to $2,609.4 million as of December 31, 2003 from $2,214.2 million as December 31, 2002. This increase is primarily due to the increased foreign currency exchange rates from 2002 to 2003 for a majority of our foreign operations. At constant exchange rates, the 2003 accounts receivable balance would have been approximately $341 million less than reported. The remaining increase is a result of higher revenue levels during the last quarter of 2003 compared to 2002. Days sales outstanding (“DSO”) has remained relatively flat during 2003. However, this calculation is impacted by the effect of exchange rates on our mix of accounts receivable by country. Excluding that impact, we have reduced DSO by approximately one compared to 2002 and two days since 2001.</w:t>
      </w:r>
    </w:p>
    <w:p>
      <w:pPr>
        <w:spacing w:after="0" w:line="1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One of our wholly-owned U.S. subsidiaries has an agreement to transfer, on an ongoing basis, up to $200.0 million of an interest in its accounts receivable. Prior to November 2002, transfers of accounts receivable qualified as a sale and the related amount of accounts receivable was removed from our consolidated balance sheets. The terms of this agreement were amended during November 2002 in such a way to no longer qualify as a sale of accounts receivable. Accordingly, any advances under this agreement are reflected as debt on consolidated balance sheets. No amounts were advanced under this facility as of December 31, 2003 and 2002. (See note 5 to the consolidated financial statements for further information.)</w:t>
      </w:r>
    </w:p>
    <w:p>
      <w:pPr>
        <w:spacing w:after="0" w:line="10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Capital expenditures were $55.5 million, $58.5 million and $87.3 million during 2003, 2002 and 2001, respectively. These expenditures are primarily comprised of purchases of computer equipment, office furniture and other costs related to office openings and refurbishments, as well as capitalized software costs of $8.2 million, $17.7 million and $19.1 million in 2003, 2002 and 2001, respectively.</w:t>
      </w:r>
    </w:p>
    <w:p>
      <w:pPr>
        <w:spacing w:after="0" w:line="121"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033</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such transactions was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$6.7 million, $33.5 million and $295.9 million in 2003, 2002 and 2001, respectively. Included in the 2001 amount is the acquisition of Jefferson Wells which was acquired in July 2001 for $174.0 million. In addition to this cash consideration, during 2003 and 2002, we acquired companies and ownership interests in certain U.S. franchises in exchange for approximately 13,000 and 592,000 shares, respectively, of our common stock, which had an aggregate market value of $.7 million and $21.9 million, respectively, at the dates of acquisition.</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January 22, 2004, we completed our exchange offer to acquire Right Management Consultants, Inc. (“Right”), the world’s largest career transition and organizational consulting services firm, operating through over 300 offices in 35 countries. The acquisition of Right will expand the range of services that we offer to customers as a strategic partner throughout every stage of the employment cycle. Throughout 2004, we will combine our Empower operations into Right, and this combined group will be a separate reportable segment in 2004.</w:t>
      </w:r>
    </w:p>
    <w:p>
      <w:pPr>
        <w:spacing w:after="0" w:line="13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As a result of the exchange offer, 91.7% of Right’s outstanding shares were each tendered and exchanged for .3874 shares of our common stock and cash for fractional shares. The remaining outstanding shares were converted into the right to acquire our common stock at the same exchange rate.</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have issued approximately 8,850,000 shares of our common stock in exchange for Right’s outstanding shares. We also assumed both of Right’s stock option plans, converting outstanding options to purchase shares of Right common stock into 1,961,000 options to purchase shares of our common stock.</w:t>
      </w:r>
    </w:p>
    <w:p>
      <w:pPr>
        <w:spacing w:after="0" w:line="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estimated purchase price for this transaction is $640.0 million, including the value of common stock to be issued, the estimated fair value of stock options, the Long-term debt repaid upon the change of control, the estimated merger-related costs and estimated severance and additional Supplemental Executive Retirement Plan (“SERP”) liability, net of deferred taxes.</w:t>
      </w:r>
    </w:p>
    <w:p>
      <w:pPr>
        <w:spacing w:after="0" w:line="12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purchase price allocation has not yet been completed, since some of the merger-related costs have not yet been finalized, and we do not yet have final valuations of the stock options, the additional SERP liability, and the intangible assets acquired.</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repayments of borrowings were $84.5 million for 2003 and $115.0 million for 2002, compared to net borrowings of $313.0 million for 2001. During 2003 and 2002, we used excess cash to pay down borrowings under various facilities when appropriate. Net borrowings in 2001 were used for acquisitions, investments in new and expanding markets, capital expenditures and repurchases of our common stock. Proceeds from long-term debt and Repayments of long-term debt include activity related to our commercial paper program.</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Board of Directors has authorized the repurchase of a total of 15 million shares of our common stock.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2003, 9,945,200 shares at a cost of $283.8 million have been repurchased. During March 2002, 900,000 shares at a cost of $30.7 million were repurchased to settle a forward repurchase agreement entered into in September 2000. There were no share repurchases in 2003.</w:t>
      </w:r>
    </w:p>
    <w:p>
      <w:pPr>
        <w:spacing w:after="0" w:line="129"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During each of 2003, 2002 and 2001 the Board of Directors declared two cash dividends for a total of $.20 per share which were paid during the respective years to shareholders of record on certain dates. Our total dividend payments were $15.6 million, $15.3 million and $15.2 million in 2003, 2002 and 2001,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aggregate commitments of $1,335.7 million related to debt repayments, operating leases and certain other commitments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15"/>
                <w:szCs w:val="15"/>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6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$ 192.6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$ 378.8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 —</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135.9</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159.2</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$ 303.8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$ 462.5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$ 32.5</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55968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59685" cy="29845"/>
                    </a:xfrm>
                    <a:prstGeom prst="rect">
                      <a:avLst/>
                    </a:prstGeom>
                    <a:noFill/>
                  </pic:spPr>
                </pic:pic>
              </a:graphicData>
            </a:graphic>
          </wp:anchor>
        </w:drawing>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$135.4 million and $111.1 million as of December 31, 2003 and 2002, respectively ($68.7 million and $39.4 million for guarantees, respectively, and $66.7 million and $71.7 million for stand-by letters of credit, respectively). Guarantees primarily relate to bank accounts, government requirements for operating a temporary service company in certain countries, operating leases and indebtedness. The increase in guarantees since December 31, 2002 relates to a subsidiary’s bank account.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CAPITALIZATION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w:t>
      </w:r>
    </w:p>
    <w:p>
      <w:pPr>
        <w:spacing w:after="0" w:line="9"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1999</w:t>
            </w:r>
          </w:p>
        </w:tc>
        <w:tc>
          <w:tcPr>
            <w:tcW w:w="100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9"/>
              </w:rPr>
              <w:t>2000</w:t>
            </w:r>
          </w:p>
        </w:tc>
        <w:tc>
          <w:tcPr>
            <w:tcW w:w="98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3"/>
              </w:rPr>
              <w:t>2001</w:t>
            </w:r>
          </w:p>
        </w:tc>
        <w:tc>
          <w:tcPr>
            <w:tcW w:w="98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3"/>
              </w:rPr>
              <w:t>2002</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489.0</w:t>
            </w:r>
          </w:p>
        </w:tc>
        <w:tc>
          <w:tcPr>
            <w:tcW w:w="1000" w:type="dxa"/>
            <w:vAlign w:val="bottom"/>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88"/>
              </w:rPr>
              <w:t>557.5</w:t>
            </w:r>
          </w:p>
        </w:tc>
        <w:tc>
          <w:tcPr>
            <w:tcW w:w="980" w:type="dxa"/>
            <w:vAlign w:val="bottom"/>
            <w:gridSpan w:val="2"/>
            <w:shd w:val="clear" w:color="auto" w:fill="CCEEFF"/>
          </w:tcPr>
          <w:p>
            <w:pPr>
              <w:jc w:val="center"/>
              <w:ind w:left="499"/>
              <w:spacing w:after="0"/>
              <w:rPr>
                <w:sz w:val="20"/>
                <w:szCs w:val="20"/>
                <w:color w:val="auto"/>
              </w:rPr>
            </w:pPr>
            <w:r>
              <w:rPr>
                <w:rFonts w:ascii="Arial" w:cs="Arial" w:eastAsia="Arial" w:hAnsi="Arial"/>
                <w:sz w:val="18"/>
                <w:szCs w:val="18"/>
                <w:color w:val="auto"/>
                <w:w w:val="88"/>
              </w:rPr>
              <w:t>834.8</w:t>
            </w:r>
          </w:p>
        </w:tc>
        <w:tc>
          <w:tcPr>
            <w:tcW w:w="980" w:type="dxa"/>
            <w:vAlign w:val="bottom"/>
            <w:gridSpan w:val="2"/>
            <w:shd w:val="clear" w:color="auto" w:fill="CCEEFF"/>
          </w:tcPr>
          <w:p>
            <w:pPr>
              <w:jc w:val="center"/>
              <w:ind w:left="499"/>
              <w:spacing w:after="0"/>
              <w:rPr>
                <w:sz w:val="20"/>
                <w:szCs w:val="20"/>
                <w:color w:val="auto"/>
              </w:rPr>
            </w:pPr>
            <w:r>
              <w:rPr>
                <w:rFonts w:ascii="Arial" w:cs="Arial" w:eastAsia="Arial" w:hAnsi="Arial"/>
                <w:sz w:val="18"/>
                <w:szCs w:val="18"/>
                <w:color w:val="auto"/>
                <w:w w:val="88"/>
              </w:rPr>
              <w:t>821.8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EQUITY</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650.6</w:t>
            </w:r>
          </w:p>
        </w:tc>
        <w:tc>
          <w:tcPr>
            <w:tcW w:w="1000" w:type="dxa"/>
            <w:vAlign w:val="bottom"/>
            <w:gridSpan w:val="2"/>
          </w:tcPr>
          <w:p>
            <w:pPr>
              <w:jc w:val="center"/>
              <w:ind w:left="479"/>
              <w:spacing w:after="0"/>
              <w:rPr>
                <w:sz w:val="20"/>
                <w:szCs w:val="20"/>
                <w:color w:val="auto"/>
              </w:rPr>
            </w:pPr>
            <w:r>
              <w:rPr>
                <w:rFonts w:ascii="Arial" w:cs="Arial" w:eastAsia="Arial" w:hAnsi="Arial"/>
                <w:sz w:val="18"/>
                <w:szCs w:val="18"/>
                <w:color w:val="auto"/>
                <w:w w:val="88"/>
              </w:rPr>
              <w:t>740.4</w:t>
            </w:r>
          </w:p>
        </w:tc>
        <w:tc>
          <w:tcPr>
            <w:tcW w:w="980" w:type="dxa"/>
            <w:vAlign w:val="bottom"/>
            <w:gridSpan w:val="2"/>
          </w:tcPr>
          <w:p>
            <w:pPr>
              <w:jc w:val="center"/>
              <w:ind w:left="499"/>
              <w:spacing w:after="0"/>
              <w:rPr>
                <w:sz w:val="20"/>
                <w:szCs w:val="20"/>
                <w:color w:val="auto"/>
              </w:rPr>
            </w:pPr>
            <w:r>
              <w:rPr>
                <w:rFonts w:ascii="Arial" w:cs="Arial" w:eastAsia="Arial" w:hAnsi="Arial"/>
                <w:sz w:val="18"/>
                <w:szCs w:val="18"/>
                <w:color w:val="auto"/>
                <w:w w:val="88"/>
              </w:rPr>
              <w:t>814.3</w:t>
            </w:r>
          </w:p>
        </w:tc>
        <w:tc>
          <w:tcPr>
            <w:tcW w:w="980" w:type="dxa"/>
            <w:vAlign w:val="bottom"/>
            <w:gridSpan w:val="2"/>
          </w:tcPr>
          <w:p>
            <w:pPr>
              <w:jc w:val="center"/>
              <w:ind w:left="499"/>
              <w:spacing w:after="0"/>
              <w:rPr>
                <w:sz w:val="20"/>
                <w:szCs w:val="20"/>
                <w:color w:val="auto"/>
              </w:rPr>
            </w:pPr>
            <w:r>
              <w:rPr>
                <w:rFonts w:ascii="Arial" w:cs="Arial" w:eastAsia="Arial" w:hAnsi="Arial"/>
                <w:sz w:val="18"/>
                <w:szCs w:val="18"/>
                <w:color w:val="auto"/>
                <w:w w:val="88"/>
              </w:rPr>
              <w:t>999.9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capitalization as of December 31, 2003 was $2,152.0 million, comprised of $841.7 million in debt and $1,310.3 million in equity. Debt as a percentage of total capitalization was 39% as of December 31, 2003 compared to 45% as of December 31, 2002.</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$435.4 million in aggregate principal amount at maturity of unsecured zero-coupon convertible debentures, due August 17, 2021 (“Debentures”), with a carrying value of $257.6 million as of December 31, 2003. These Debentures were issued in August 2001 at a discount to yield an effective interest rate of 3% per year, and they rank equally with all of our existing and future senior unsecured indebtedness. Gross proceeds of $240.0 million were used to repay borrowings under our unsecured revolving credit agreement and advances under the Receivables Facility during 2001. There are no scheduled cash interest payments associated with the Debentures.</w:t>
      </w:r>
    </w:p>
    <w:p>
      <w:pPr>
        <w:spacing w:after="0" w:line="1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Debentures are convertible into 6.1 million shares of our common stock if the closing price of our common stock on the New York Stock Exchange exceeds specified levels, or in certain other circumstances.</w:t>
      </w:r>
    </w:p>
    <w:p>
      <w:pPr>
        <w:spacing w:after="0" w:line="11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Holders of the Debentures may require us to repurchase these Debentures at the issue price, plus accreted original issue discount, on the first, third, fifth, tenth and fifteenth anniversary dates of issuance. We may purchase these Debentures for cash, common stock, or a combination thereof. There were no Debentures “put” to us on the first anniversary date and the next “put” date is on the third anniversary date, August 17, 2004, which is also the first date we may “call” the Debentures. Our intent is to settle any future “put” in cash.</w:t>
      </w:r>
    </w:p>
    <w:p>
      <w:pPr>
        <w:spacing w:after="0" w:line="124"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035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40"/>
          </w:cols>
          <w:pgMar w:left="240" w:top="274" w:right="2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event of a significant change in the economic environment, we may choose to settle a future “put” with common stock, which would have a dilutive effect on existing shareholders. These Debentures have been classified as long-term debt on our consolidated balance sheet as of December 31, 2003, due to our intent and ability to refinance them on a long-term basis.</w:t>
      </w:r>
    </w:p>
    <w:p>
      <w:pPr>
        <w:spacing w:after="0" w:line="12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have €150.0 million in unsecured notes due March 2005, at 6. 25%, and €200.0 million in unsecured notes due July 2006, at 5.63%. (See Significant Matters Affecting Results of Operations and notes 7 and 13 to the consolidated financial statements for further information.)</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revolving credit agreements with a syndicate of commercial banks. The agreements consist of a $450.0 million five-year revolving credit facility (the “Five-year Facility”) and a $200.0 million 364-day revolving credit facility (the “364-day Facility”). The Five-year Facility expires in November 2006. During October 2003, we renewed our 364-day Facility. The availability under this facility was voluntarily reduced from $285.0 million to $200.0 million and it now matures in October 2004. All other terms and conditions remain unchanged.</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revolving credit agreements allow for borrowings in various currencies and up to $100.0 million of the Five-year Facility may be used for the issuance of stand-by letters of credit. Outstanding letters of credit totaled $66.7 million and $71.7 million as of December 31, 2003 and 2002, respectively. Additional borrowings of $457.3 million were available to us under these agreements as of December 31, 2003. (See Significant Matters Affecting Results of Operations and note 7 to the consolidated financial statements for further information.)</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rate and facility fee on both agreements, and the issuance fee paid for the issuance of letters of credit on the Five-year Facility, vary based on our debt rating and borrowing level. Currently, on the Five-year Facility, the interest rate is LIBOR plus .9% and the facility and issuance fees are .2% and .9%, respectively. On the 364-day Facility, the interest rate is LIBOR plus .925% and the facility fee is .175%.</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agreements require, among other things, that we comply with a Debt-to-EBITDA ratio of less than 3.25 to 1 and a fixed charge ratio of greater than 2.00 to 1. As defined in the agreements, we had a Debt-to-EBITDA ratio of 2.75 to 1 and a fixed charge ratio of 2.38 to 1 as of December 31, 2003. Based upon current forecasts, we expect to be in compliance with these covenants throughout the coming year.</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were no borrowings outstanding under our $125.0 million U.S. commercial paper program as of December 31, 2003. Commercial paper borrowings are backed by the Five-year Facility and have historically been classified as Long-term debt due to our intent and ability to refinance them on a long-term basis under this facility.</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the above, we maintain separate bank facilities with foreign financial institutions to meet working capital needs of our foreign operations. As of December 31, 2003, such facilities totaled $230.2 million, of which $224.9 million was unused.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credit rating from Moody’s Corporation is Baa3 and our credit rating from Standard &amp; Poors is BBB- with a negative outlook. Both of these credit ratings are investment grade.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an operating expense in our consolidated statements of operations and was $16.7 million, $18.2 million and $23.8 million for 2003, 2002 and 2001,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$19.5 million, $18.4 million, and $18.2 million for 2003, 2002 and 2001,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Items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of temporary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United States, France, the United Kingdom, Japan and other European countries. Annual expense relating to these plans is recorded as Selling and administrative expense, in accordance with the accounting rules generally accepted in the United States. These calculations include various actuarial assumptions such as discount rates, expected rate of return on plan assets, compensation increases and employee turnover rates. Changes to any of these assumptions will impact the level of annual expense recorded related to the plans. We review the actuarial assumptions on an annual basis and make modifications to the assumptions as necessary. (See note 9 to the consolidated financial statements for further information.)</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United States, we are self-insured in most states for workers’ compensation claims for our temporary workers. Based on historical payment experience and current employee demographics, we determine the proper reserve balance using an actuarial valuation. Our reserve for such claims as of December 31, 2003 was $103.0 million. The workers’ compensation expense is recorded as a component of Cost of services. A significant increase in claims or changes in laws may require us to record more expense related to workers’ compensation. On the other hand, significantly improved claim experience may result in a lower annual expense level.</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France, the government has various social programs that are aimed at reducing the cost of labor and encouraging employment, particular for low-wage workers, through the reduction of payroll taxes (or social contribution). A portion of these payroll tax reductions is remitted to our customers in certain circumstances. We are required to make an estimate for the amount that will be remitted, which is recorded as a reduction of Revenue from services. We make this estimate based on our historical experience, including related trends. To the extent that our experience differs from our estimate, we will need to make adjustments to our reserve balance, which will impact the results of our French operation. In addition, future changes to laws governing these payroll tax reductions may require us to revise our estimates, which may significantly impact our consolidated financial statements. In the fourth quarter of 2003, we reduced our estimated liability related to these remittances by $16.1 million due to recent historical trends in the amounts remitted.</w:t>
      </w:r>
    </w:p>
    <w:p>
      <w:pPr>
        <w:spacing w:after="0" w:line="99"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037</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 routine basis, governmental agencies in some of the countries in which we operate will audit our payroll tax calculations and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 We make an estimate of the additional remittances that may be required and record the estimate as a component of Cost of services. The estimate is based on the results of past audits,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account for income taxes in accordance with SFAS No. 109, “Accounting for Income Taxes.” Deferred tax assets and liabilities are recognized for the future tax consequences attributable to differences between financial statement carrying amounts of existing assets and liabilities and their respective tax bases, net operating loss and tax credit carryforwards, and tax contingencies.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tax contingencies recorded related to items in various countries, including amounts related to items currently under audit. To the extent these items are settled in our favor, a portion of our recorded contingency will be reversed. To the extent items are settled for an amount greater than the amount we have recorded, an additional tax provision will be recorded.</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locations worldwide, as well as the tax rate that will be in effect for each location. To the extent these estimates change during the year, or that actual results differ from these estimates, our estimated annual tax rate may change between quarterly periods and may differ from the actual effective tax rate for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impairment reviews, at least annually, using a fair-value-based approach. The majority of our goodwill results from our acquisitions of Elan and Jefferson Wells.</w:t>
      </w:r>
    </w:p>
    <w:p>
      <w:pPr>
        <w:spacing w:after="0" w:line="11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also consider market comparables. Significant assumptions used in this analysis include: expected future revenue growth rates, operating unit profit margins, and working capital levels; a discount rate; and a terminal value multiple. The revenue growth rates and operating unit profit margins are based, in part, on our expectation of an improving economic environment.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 have completed our annual impairment review for 2003 and determined there to be no impairment of goodwill. We plan to perform our next annual impairment review during the third quarter of 2004.</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 than forecasted earnings levels for various reporting units. In addition, changes to other assumptions could significantly impact our estimate of the fair value of our reporting units. Such a change may result in a goodwill impairment charge, which could have a significant impact on the reportable segments that include the related reporting units and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MATTERS AFFECTING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Rates</w:t>
      </w:r>
    </w:p>
    <w:p>
      <w:pPr>
        <w:spacing w:after="0" w:line="83"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Our exposure to foreign currency exchange rates relates primarily to our foreign subsidiaries and our Euro-denominated borrowings. For our foreign subsidiaries, exchange rates impact the U.S. Dollar value of our reported earnings, our investments in the subsidiaries and the intercompany transactions with the subsidiaries.</w:t>
      </w:r>
    </w:p>
    <w:p>
      <w:pPr>
        <w:spacing w:after="0" w:line="4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Approximately 80% of our revenues and profits are generated outside of the United States,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w:t>
      </w:r>
    </w:p>
    <w:p>
      <w:pPr>
        <w:spacing w:after="0" w:line="9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2003 and 2002, the U.S. Dollar weakened relative to many of the currencies of our major markets. In constant currency, 2003 revenues and operating profits were approximately 12.6% and 16.5% lower than reported, respectively. During 2001, the U.S. Dollar strengthened relative to many of the currencies of our major markets, resulting in translated revenues and profits that were lower than those calculated in constant currency. If the U.S. Dollar had weakened an additional 10% during 2003, revenues would have further increased by approximately 8% and operating profits would have increased by approximately 11%.</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(loss). The U.S. Dollar weakened relative to many foreign currencies as of December 31, 2003 compared to December 31, 2002. Consequently, Shareholders’ equity increased by $146.8 million as a result of the change in Accumulated other comprehensive income (loss) during the year. If the U.S. Dollar had weakened an additional 10% during 2003, resulting translation adjustments recorded in Shareholders’ equity would have increased by approximately $90 million.</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 border transfers of funds, except for transfers to the United States for payment of license fees and interest expense on intercompany loans, working capital loans made between the United States and our foreign subsidiaries, and</w:t>
      </w:r>
    </w:p>
    <w:p>
      <w:pPr>
        <w:spacing w:after="0" w:line="123"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039</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payments between our EMEA countries and our EMEA Headquarters for services provided. To reduce the currency risk related to these transactions, we may borrow funds in the relevant foreign currency under our revolving credit agreements or we may enter into a forward contract to hedge the transfer. Foreign exchange gains and losses recognized on any forward contracts are included in the consolidated statements of operations.</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December 31, 2003, there was a €19.0 million ($23.5 million) forward contract and a Danish Krone 7.0 million ($1.2 million) forward contract outstanding related to cash flows to be received from our foreign subsidiaries in January 2004.</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2003, we had $569.0 million of long-term borrowings denominated in Euros (€450.0 million), $377.9 million of which has been designated as a hedge of our net investment in subsidiaries with the related functional currencies. Since our net investment in these subsidiaries exceeds the respective amount of the designated borrowings, all translation gains or losses related to these borrowings are included as a component of Accumulated other comprehensive income (loss). Shareholders’ equity decreased by $62.8 million due to changes in Accumulated other comprehensive income (loss) during the year due to the currency impact on these borrowings. As a result of certain derivative financial instruments that we entered into during September 2002, all translation gains and losses on the €150.0 million ($191.1 million as of December 31, 2003) unsecured notes due March 2005 are recorded in the consolidated statements of operations. These amounts are offset by changes in the fair value of the related derivative instruments.( See below and note 13 to the consolidated financial statements for further information.)</w:t>
      </w:r>
    </w:p>
    <w:p>
      <w:pPr>
        <w:spacing w:after="0" w:line="9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Interest Rates – </w:t>
      </w:r>
      <w:r>
        <w:rPr>
          <w:rFonts w:ascii="Arial" w:cs="Arial" w:eastAsia="Arial" w:hAnsi="Arial"/>
          <w:sz w:val="18"/>
          <w:szCs w:val="18"/>
          <w:color w:val="auto"/>
        </w:rPr>
        <w:t>Our exposure to market risk for changes in interest rates relates primarily to our variable rate long-term debt obligations. We have historically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interest rates through the use of a combination of fixed- and variable-rate borrowings and interest rate swap agreements. As of December 31, 2003, we had the following fixed- and variable-rate 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rPr>
              <w:t>FIXED</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4"/>
              </w:rPr>
              <w:t>VARIABLE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AVERAGE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AVERAGE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INTEREST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INTEREST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5"/>
                <w:szCs w:val="15"/>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RATE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7"/>
              </w:rPr>
              <w:t>AMOUNT</w:t>
            </w:r>
          </w:p>
        </w:tc>
        <w:tc>
          <w:tcPr>
            <w:tcW w:w="540" w:type="dxa"/>
            <w:vAlign w:val="bottom"/>
          </w:tcPr>
          <w:p>
            <w:pPr>
              <w:spacing w:after="0"/>
              <w:rPr>
                <w:sz w:val="15"/>
                <w:szCs w:val="15"/>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RATE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Excluding interest rate swap agreements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710.4</w:t>
            </w:r>
          </w:p>
        </w:tc>
        <w:tc>
          <w:tcPr>
            <w:tcW w:w="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131.3</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841.7</w:t>
            </w: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Including impact of swap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645.3</w:t>
            </w:r>
          </w:p>
        </w:tc>
        <w:tc>
          <w:tcPr>
            <w:tcW w:w="80" w:type="dxa"/>
            <w:vAlign w:val="bottom"/>
          </w:tcPr>
          <w:p>
            <w:pPr>
              <w:spacing w:after="0"/>
              <w:rPr>
                <w:sz w:val="19"/>
                <w:szCs w:val="19"/>
                <w:color w:val="auto"/>
              </w:rPr>
            </w:pP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4.6%</w:t>
            </w:r>
          </w:p>
        </w:tc>
        <w:tc>
          <w:tcPr>
            <w:tcW w:w="60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3.8%</w:t>
            </w:r>
          </w:p>
        </w:tc>
        <w:tc>
          <w:tcPr>
            <w:tcW w:w="600" w:type="dxa"/>
            <w:vAlign w:val="bottom"/>
          </w:tcPr>
          <w:p>
            <w:pPr>
              <w:jc w:val="right"/>
              <w:spacing w:after="0"/>
              <w:rPr>
                <w:sz w:val="20"/>
                <w:szCs w:val="20"/>
                <w:color w:val="auto"/>
              </w:rPr>
            </w:pPr>
            <w:r>
              <w:rPr>
                <w:rFonts w:ascii="Arial" w:cs="Arial" w:eastAsia="Arial" w:hAnsi="Arial"/>
                <w:sz w:val="18"/>
                <w:szCs w:val="18"/>
                <w:color w:val="auto"/>
              </w:rPr>
              <w:t>841.7</w:t>
            </w:r>
          </w:p>
        </w:tc>
        <w:tc>
          <w:tcPr>
            <w:tcW w:w="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We have various interest rate swap agreements in order to fix our interest costs on a portion of our Euro denominated variable rate borrowings. The Euro interest rate swap agreements, with a notional value of €100.0 million ($126.0 million) fix the interest rate, on a weighted-average basis, at 5.7% and expire in 2010.</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September 2002, we entered into derivative financial instruments (“€150 million Swaps”) to swap our €150.0 million ($191.1 million) unsecured notes, at 6.25%, due March 2005, to floating U.S. LIBOR, yielding an initial effective interest rate of 4.39% (currently yielding 3.84%). These instruments expire in March 2005.</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impact of the €150.0 million Swaps and our interest rate swap agreements decreased interest expense by $1.1 million during 2003 and increased interest expense by $2.3 million in 2002.</w:t>
      </w:r>
    </w:p>
    <w:p>
      <w:pPr>
        <w:spacing w:after="0" w:line="11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 38 basis point (.38%) move in interest rates on our variable rate borrowings (10% of the weighted-average variable interest rate, including the impact of the swap agreements) would have an immaterial impact on our Earnings before income taxes and cash flows in each of the next five years.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45"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Sensitivity Analysis – </w:t>
      </w:r>
      <w:r>
        <w:rPr>
          <w:rFonts w:ascii="Arial" w:cs="Arial" w:eastAsia="Arial" w:hAnsi="Arial"/>
          <w:sz w:val="16"/>
          <w:szCs w:val="16"/>
          <w:color w:val="auto"/>
        </w:rPr>
        <w:t>The following table summarizes our debt and derivative instruments that are sensitive to foreign currency exchange rate and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movements. All computations below are based on the U.S. Dollar spot rate on December 31, 2003 for each of the respective currencies. The exchange rate computations assume a 10% appreciation or 10% depreciation of the respective currency to the U.S. Dollar.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impact on current year earnings of the stated change in rates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ind w:left="620"/>
              <w:spacing w:after="0"/>
              <w:rPr>
                <w:sz w:val="20"/>
                <w:szCs w:val="20"/>
                <w:color w:val="auto"/>
              </w:rPr>
            </w:pPr>
            <w:r>
              <w:rPr>
                <w:rFonts w:ascii="Arial" w:cs="Arial" w:eastAsia="Arial" w:hAnsi="Arial"/>
                <w:sz w:val="14"/>
                <w:szCs w:val="14"/>
                <w:b w:val="1"/>
                <w:bCs w:val="1"/>
                <w:color w:val="auto"/>
              </w:rPr>
              <w:t>MOVEMENTS IN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rPr>
              <w:t>MOVEMENTS IN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ind w:left="540"/>
              <w:spacing w:after="0"/>
              <w:rPr>
                <w:sz w:val="20"/>
                <w:szCs w:val="20"/>
                <w:color w:val="auto"/>
              </w:rPr>
            </w:pPr>
            <w:r>
              <w:rPr>
                <w:rFonts w:ascii="Arial" w:cs="Arial" w:eastAsia="Arial" w:hAnsi="Arial"/>
                <w:sz w:val="14"/>
                <w:szCs w:val="14"/>
                <w:b w:val="1"/>
                <w:bCs w:val="1"/>
                <w:color w:val="auto"/>
                <w:w w:val="99"/>
              </w:rPr>
              <w:t>EXCHANGE RATES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4"/>
          </w:tcPr>
          <w:p>
            <w:pPr>
              <w:jc w:val="center"/>
              <w:ind w:left="258"/>
              <w:spacing w:after="0"/>
              <w:rPr>
                <w:sz w:val="20"/>
                <w:szCs w:val="20"/>
                <w:color w:val="auto"/>
              </w:rPr>
            </w:pPr>
            <w:r>
              <w:rPr>
                <w:rFonts w:ascii="Arial" w:cs="Arial" w:eastAsia="Arial" w:hAnsi="Arial"/>
                <w:sz w:val="14"/>
                <w:szCs w:val="14"/>
                <w:b w:val="1"/>
                <w:bCs w:val="1"/>
                <w:color w:val="auto"/>
                <w:w w:val="96"/>
              </w:rPr>
              <w:t>INTEREST RATES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10%</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58"/>
              <w:spacing w:after="0"/>
              <w:rPr>
                <w:sz w:val="20"/>
                <w:szCs w:val="20"/>
                <w:color w:val="auto"/>
              </w:rPr>
            </w:pPr>
            <w:r>
              <w:rPr>
                <w:rFonts w:ascii="Arial" w:cs="Arial" w:eastAsia="Arial" w:hAnsi="Arial"/>
                <w:sz w:val="14"/>
                <w:szCs w:val="14"/>
                <w:b w:val="1"/>
                <w:bCs w:val="1"/>
                <w:color w:val="auto"/>
              </w:rPr>
              <w:t>10%</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jc w:val="right"/>
              <w:ind w:right="134"/>
              <w:spacing w:after="0"/>
              <w:rPr>
                <w:sz w:val="20"/>
                <w:szCs w:val="20"/>
                <w:color w:val="auto"/>
              </w:rPr>
            </w:pPr>
            <w:r>
              <w:rPr>
                <w:rFonts w:ascii="Arial" w:cs="Arial" w:eastAsia="Arial" w:hAnsi="Arial"/>
                <w:sz w:val="14"/>
                <w:szCs w:val="14"/>
                <w:b w:val="1"/>
                <w:bCs w:val="1"/>
                <w:color w:val="auto"/>
                <w:w w:val="85"/>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MARKET SENSITIVE INSTRUMENT</w:t>
            </w:r>
          </w:p>
        </w:tc>
        <w:tc>
          <w:tcPr>
            <w:tcW w:w="2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860" w:type="dxa"/>
            <w:vAlign w:val="bottom"/>
            <w:gridSpan w:val="4"/>
          </w:tcPr>
          <w:p>
            <w:pPr>
              <w:ind w:left="20"/>
              <w:spacing w:after="0"/>
              <w:rPr>
                <w:sz w:val="20"/>
                <w:szCs w:val="20"/>
                <w:color w:val="auto"/>
              </w:rPr>
            </w:pPr>
            <w:r>
              <w:rPr>
                <w:rFonts w:ascii="Arial" w:cs="Arial" w:eastAsia="Arial" w:hAnsi="Arial"/>
                <w:sz w:val="14"/>
                <w:szCs w:val="14"/>
                <w:b w:val="1"/>
                <w:bCs w:val="1"/>
                <w:color w:val="auto"/>
              </w:rPr>
              <w:t>APPRECIATION</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million, 5.63% Notes due July 2006</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w:t>
            </w:r>
            <w:r>
              <w:rPr>
                <w:rFonts w:ascii="Arial" w:cs="Arial" w:eastAsia="Arial" w:hAnsi="Arial"/>
                <w:sz w:val="11"/>
                <w:szCs w:val="11"/>
                <w:color w:val="auto"/>
              </w:rPr>
              <w:t>(1)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20"/>
              <w:spacing w:after="0" w:line="217" w:lineRule="exact"/>
              <w:rPr>
                <w:sz w:val="20"/>
                <w:szCs w:val="20"/>
                <w:color w:val="auto"/>
              </w:rPr>
            </w:pPr>
            <w:r>
              <w:rPr>
                <w:rFonts w:ascii="Arial" w:cs="Arial" w:eastAsia="Arial" w:hAnsi="Arial"/>
                <w:sz w:val="18"/>
                <w:szCs w:val="18"/>
                <w:color w:val="auto"/>
              </w:rPr>
              <w:t>(25.2)</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€150 million, 6.25% Notes due March 2005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 million Swaps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Revolving credit agreement: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million Euro Borrowings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w:t>
            </w:r>
            <w:r>
              <w:rPr>
                <w:rFonts w:ascii="Arial" w:cs="Arial" w:eastAsia="Arial" w:hAnsi="Arial"/>
                <w:sz w:val="11"/>
                <w:szCs w:val="11"/>
                <w:color w:val="auto"/>
              </w:rPr>
              <w:t>(1)</w:t>
            </w:r>
          </w:p>
        </w:tc>
        <w:tc>
          <w:tcPr>
            <w:tcW w:w="3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line="217" w:lineRule="exact"/>
              <w:rPr>
                <w:sz w:val="20"/>
                <w:szCs w:val="20"/>
                <w:color w:val="auto"/>
              </w:rPr>
            </w:pPr>
            <w:r>
              <w:rPr>
                <w:rFonts w:ascii="Arial" w:cs="Arial" w:eastAsia="Arial" w:hAnsi="Arial"/>
                <w:sz w:val="18"/>
                <w:szCs w:val="18"/>
                <w:color w:val="auto"/>
              </w:rPr>
              <w:t>(12.6)</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€100 million Interest Rate Swaps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Contracts: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€19.0 million to $23.5 million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540" w:type="dxa"/>
            <w:vAlign w:val="bottom"/>
            <w:gridSpan w:val="3"/>
          </w:tcPr>
          <w:p>
            <w:pPr>
              <w:jc w:val="right"/>
              <w:ind w:right="620"/>
              <w:spacing w:after="0" w:line="217" w:lineRule="exact"/>
              <w:rPr>
                <w:sz w:val="20"/>
                <w:szCs w:val="20"/>
                <w:color w:val="auto"/>
              </w:rPr>
            </w:pPr>
            <w:r>
              <w:rPr>
                <w:rFonts w:ascii="Arial" w:cs="Arial" w:eastAsia="Arial" w:hAnsi="Arial"/>
                <w:sz w:val="18"/>
                <w:szCs w:val="18"/>
                <w:color w:val="auto"/>
              </w:rPr>
              <w:t>(2.4)</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Danish Krone 7.0 million to $1.2 million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7561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144" w:lineRule="exact"/>
        <w:rPr>
          <w:sz w:val="20"/>
          <w:szCs w:val="20"/>
          <w:color w:val="auto"/>
        </w:rPr>
      </w:pPr>
    </w:p>
    <w:p>
      <w:pPr>
        <w:ind w:left="460" w:right="720" w:hanging="452"/>
        <w:spacing w:after="0" w:line="228"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Exchange rate movements are recorded through Accumulated other comprehensive income (loss) as these instruments have been designated as an economic hedge of our net investment in subsidiaries with a Euro functional currency.</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The exchange rate impact on these contracts is offset by the impact on the related intercompany receivables.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fair value of our market sensitive instruments due to changes in interest rates, and changes in foreign currency exchange rates for the €150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Swaps,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10%</w:t>
            </w:r>
          </w:p>
        </w:tc>
        <w:tc>
          <w:tcPr>
            <w:tcW w:w="900" w:type="dxa"/>
            <w:vAlign w:val="bottom"/>
          </w:tcPr>
          <w:p>
            <w:pPr>
              <w:spacing w:after="0"/>
              <w:rPr>
                <w:sz w:val="14"/>
                <w:szCs w:val="14"/>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MARKET SENSITIVE INSTRUMENT</w:t>
            </w:r>
          </w:p>
        </w:tc>
        <w:tc>
          <w:tcPr>
            <w:tcW w:w="266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INCREASE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Zero-coupon convertible debentures</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30.3</w:t>
            </w:r>
            <w:r>
              <w:rPr>
                <w:rFonts w:ascii="Arial" w:cs="Arial" w:eastAsia="Arial" w:hAnsi="Arial"/>
                <w:sz w:val="11"/>
                <w:szCs w:val="11"/>
                <w:color w:val="auto"/>
              </w:rPr>
              <w:t>(1)</w:t>
            </w:r>
          </w:p>
        </w:tc>
        <w:tc>
          <w:tcPr>
            <w:tcW w:w="90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w w:val="95"/>
              </w:rPr>
              <w:t>$   (30.3)</w:t>
            </w:r>
            <w:r>
              <w:rPr>
                <w:rFonts w:ascii="Arial" w:cs="Arial" w:eastAsia="Arial" w:hAnsi="Arial"/>
                <w:sz w:val="22"/>
                <w:szCs w:val="22"/>
                <w:color w:val="auto"/>
                <w:w w:val="95"/>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 million, 5.63% Notes due July 2006</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26.1</w:t>
            </w:r>
            <w:r>
              <w:rPr>
                <w:rFonts w:ascii="Arial" w:cs="Arial" w:eastAsia="Arial" w:hAnsi="Arial"/>
                <w:sz w:val="11"/>
                <w:szCs w:val="11"/>
                <w:color w:val="auto"/>
              </w:rPr>
              <w:t>(1)</w:t>
            </w:r>
          </w:p>
        </w:tc>
        <w:tc>
          <w:tcPr>
            <w:tcW w:w="90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8"/>
                <w:szCs w:val="18"/>
                <w:color w:val="auto"/>
              </w:rPr>
              <w:t>(26.1)</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€150 million, 6.25% Notes due March 2005</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9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€150 million Swaps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million Interest Rate Swaps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right="14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This change in fair value is not recorded in the financial statements, however disclosure of the fair value is included in note 7 to the consolidated financial statements.</w:t>
      </w:r>
    </w:p>
    <w:p>
      <w:pPr>
        <w:spacing w:after="0" w:line="138"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041</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Conditions</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offer customers a continuum of services to meet their needs throughout the employment and business cycle. We specialize in permanent, temporary and contract recruitment; employee assessment; training; internal audit, accounting, technology and tax services; and organizational consulting services. We believe that the breadth of our operations and the diversity of our service mix cushion us against the impact of an adverse economic cycle in any single country or industry. However, adverse economic conditions in any of our three largest markets, as were seen during much of the past three years, would have a material impact on our consolidated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temporary employment services industry is closely regulated in all of the major markets in which we operate except the United States and Canada. Many countries impose licensing or registration requirements, substantive restrictions on temporary employment services, either on the temporary staffing company or the ultimate client company, or minimum benefits to be paid to the temporary employee either during or following the temporary assignment. Regulations also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taxes, record keeping or reporting requirements; restrict the tasks to which temporaries may be assigned; limit the duration of or otherwise impose restrictions on the nature of the temporary relationship (with us or the customer); or otherwise adversely affect the industry.</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 basis. Changes in these collective labor agreements have occurred in the past, are expected to occur in the future, and may have a material impact on the operations of temporary staffing firms, including us.</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2002, the European Commission released proposed legislation, the Agency Workers Directive (“AWD”), aimed at improving the quality of temporary staffing work through a principle of non-discrimination between temporary staff and permanent employees. The AWD is no longer being discussed in the European Parliament, and it is not expected to be passed in its current form, if at all. Given the uncertainty surrounding the AWD, we cannot currently estimate the impact, if any, on the future results of our European operations or our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November 2002, the Financial Accounting Standards Board (“FASB”) issued Interpretation No. 45, “Guarantor’s Accounting and Disclosure Requirements for Guarantees, Including Indirect Guarantees of Indebtedness of Others,” which clarifies the required disclosures in interim and annual financial statements about obligations under certain guarantees. It also requires the recognition, at the date of inception of a guarantee, of a liability for the fair value of the obligation. The initial recognition and measurement provisions of this Interpretation were effective for guarantees issued or modified after December 31, 2002. The adoption of the initial recognition provisions of this Interpretation did not have an impact on our consolidated financial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financial condition and results of operations</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June 2002, the FASB issued SFAS No. 146, “Accounting for Costs Associated with Exit or Disposal Activities,” which requires that a liability for a cost associated with an exit or disposal activity be recognized, at fair value, when the liability is incurred rather than at the time an entity commits to a plan. The provisions of SFAS No. 146 were effective for exit or disposal activities initiated by us after December 31, 2002. The adoption of SFAS No. 146 did not have a significant impact on our consolidated financial statements.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April 2003, the FASB issued SFAS No. 149, “Amendment of Statement 133 on Derivative Instruments and Hedging Activities,” which amends and clarifies financial accounting and reporting for certain derivative instruments. The adoption of this statement did not have an impact on our consolidated financial statements, as we are not currently a party to derivative financial instruments addressed by this standard.</w:t>
      </w:r>
    </w:p>
    <w:p>
      <w:pPr>
        <w:spacing w:after="0" w:line="1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The adoption of this statement did not have an impact on our consolidated financial statements, as we are not currently a party to such instruments addressed by this standard.</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as revised, are effective immediately for interests created after January 31, 2003 and are effective on March 31, 2004 for interests created before February 1, 2003. This Interpretation will not have an impact on our consolidated financial statements as we do not have any variable interest entities that require consolidation.</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December 2003, the FASB revised SFAS No. 132, “Employers’ Disclosures about Pensions and Other Postretirement Benefits,” to require additional disclosures about the assets, obligations, cash flows, and net periodic benefit cost of defined benefit pension plans and other defined benefit postretirement plans. These disclosure requirements are effective immediately for our domestic plans, except for estimated future benefit payments, which will be effective in 2004. All such disclosure requirements will be effective for our non-U.S. plans in 2004. This Statement also requires interim-period disclosures of the components of net periodic benefit cost and, if significantly different from previously disclosed amounts, the amount of contributions and projected contributions to fund pension plans and other postretirement benefit plans. These interim-period disclosures will be effective for us in the first quarter of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99"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043</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 :</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our opinion, the accompanying consolidated balance sheets as of December 31, 2003 and 2002 and the related consolidated statements of operations, cash flows and shareholders’ equity present fairly, in all material respects, the financial position of Manpower Inc. and its subsidiaries as of December 31, 2003 and 2002,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The consolidated financial statements of Manpower Inc. and its subsidiaries as of and for the year ended December 31, 2001, before the revisions described in notes 6 and 15, were audited by other independent accountants who have ceased operations. Those independent accountants expressed an unqualified opinion on those financial statements in their report dated January 28, 2002.</w:t>
      </w:r>
    </w:p>
    <w:p>
      <w:pPr>
        <w:spacing w:after="0" w:line="11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disclosed in note 6 to the consolidated financial statements, effective January 1, 2002, the Company changed the manner in which it accounts for goodwill and other intangible assets upon the adoption of Statement of Financial Accounting Standards No. 142, “Goodwill and Other Intangible Assets.”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above, the consolidated financial statements of Manpower Inc. and its subsidiaries as of and for the year ended December 31, 2001 were audited by other independent accountants who have ceased operations. As described in note 6, these consolidated financial statements have been revised to include the transitional disclosures required by Statement of Financial Accounting Standards No. 142. Also, as described in note 15, these consolidated financial statements have been restated to conform to the composition of reportable segments and measurement of segment operating unit profit as of and for the year ended December 31, 2002. We audited the adjustments in the transitional disclosures in note 6. We also audited the adjustments described in note 15 that were applied to restate the 2001 segment disclosures. In our opinion, all such adjustments are appropriate and have been properly applied. However, we were not engaged to audit, review, or apply any procedures to the 2001 consolidated financial statements of the Company other than with respect to such adjustments and, accordingly, we do not express an opinion or any other form of assurance on the 2001 consolidated financial statements taken as a whole.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/s/  PricewaterhouseCoopers LLP</w:t>
            </w:r>
          </w:p>
        </w:tc>
        <w:tc>
          <w:tcPr>
            <w:tcW w:w="1620" w:type="dxa"/>
            <w:vAlign w:val="bottom"/>
          </w:tcPr>
          <w:p>
            <w:pPr>
              <w:spacing w:after="0"/>
              <w:rPr>
                <w:sz w:val="19"/>
                <w:szCs w:val="19"/>
                <w:color w:val="auto"/>
              </w:rPr>
            </w:pPr>
          </w:p>
        </w:tc>
      </w:tr>
      <w:tr>
        <w:trPr>
          <w:trHeight w:val="358"/>
        </w:trPr>
        <w:tc>
          <w:tcPr>
            <w:tcW w:w="4180" w:type="dxa"/>
            <w:vAlign w:val="bottom"/>
          </w:tcPr>
          <w:p>
            <w:pPr>
              <w:spacing w:after="0"/>
              <w:rPr>
                <w:sz w:val="20"/>
                <w:szCs w:val="20"/>
                <w:color w:val="auto"/>
              </w:rPr>
            </w:pPr>
            <w:r>
              <w:rPr>
                <w:rFonts w:ascii="Arial" w:cs="Arial" w:eastAsia="Arial" w:hAnsi="Arial"/>
                <w:sz w:val="18"/>
                <w:szCs w:val="18"/>
                <w:color w:val="auto"/>
              </w:rPr>
              <w:t>PRICEWATERHOUSECOOPERS LLP</w:t>
            </w:r>
          </w:p>
        </w:tc>
        <w:tc>
          <w:tcPr>
            <w:tcW w:w="162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MILWAUKEE, WISCONSIN</w:t>
            </w:r>
          </w:p>
        </w:tc>
        <w:tc>
          <w:tcPr>
            <w:tcW w:w="162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FEBRUARY 11, 2004</w:t>
            </w:r>
          </w:p>
        </w:tc>
        <w:tc>
          <w:tcPr>
            <w:tcW w:w="1620" w:type="dxa"/>
            <w:vAlign w:val="bottom"/>
          </w:tcPr>
          <w:p>
            <w:pPr>
              <w:spacing w:after="0"/>
              <w:rPr>
                <w:sz w:val="19"/>
                <w:szCs w:val="19"/>
                <w:color w:val="auto"/>
              </w:rPr>
            </w:pPr>
          </w:p>
        </w:tc>
      </w:tr>
      <w:tr>
        <w:trPr>
          <w:trHeight w:val="352"/>
        </w:trPr>
        <w:tc>
          <w:tcPr>
            <w:tcW w:w="418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162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28"/>
        </w:trPr>
        <w:tc>
          <w:tcPr>
            <w:tcW w:w="418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162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79" w:name="page80"/>
    <w:bookmarkEnd w:id="79"/>
    <w:p>
      <w:pPr>
        <w:ind w:left="7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PUBLIC ACCOUNTANTS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report is a copy of a report previously issued by Arthur Andersen LLP and has not been reissued by Arthur Andersen LLP.</w:t>
      </w:r>
    </w:p>
    <w:p>
      <w:pPr>
        <w:spacing w:after="0" w:line="18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As described in note 6, we have revised our consolidated financial statements as of December 31, 2001 and for the year ended December 31, 2001 to include the transitional disclosures required by SFAS No. 142, “Goodwill and Intangible Assets.” Also, as described in note 15, we have restated these consolidated financial statements to conform with the composition of reportable segments and measurement of Operating unit profit as of and for the year ended December 31, 2003 and 2002.</w:t>
      </w:r>
    </w:p>
    <w:p>
      <w:pPr>
        <w:spacing w:after="0" w:line="123" w:lineRule="exact"/>
        <w:rPr>
          <w:sz w:val="20"/>
          <w:szCs w:val="20"/>
          <w:color w:val="auto"/>
        </w:rPr>
      </w:pPr>
    </w:p>
    <w:p>
      <w:pPr>
        <w:ind w:right="720"/>
        <w:spacing w:after="0" w:line="378" w:lineRule="auto"/>
        <w:rPr>
          <w:sz w:val="20"/>
          <w:szCs w:val="20"/>
          <w:color w:val="auto"/>
        </w:rPr>
      </w:pPr>
      <w:r>
        <w:rPr>
          <w:rFonts w:ascii="Arial" w:cs="Arial" w:eastAsia="Arial" w:hAnsi="Arial"/>
          <w:sz w:val="15"/>
          <w:szCs w:val="15"/>
          <w:b w:val="1"/>
          <w:bCs w:val="1"/>
          <w:color w:val="auto"/>
        </w:rPr>
        <w:t>The Arthur Andersen LLP report does not extend to these revisions to the 2001 consolidated financial statements. These revisions to the 2001 consolidated financial statements were reported on by PricewaterhouseCoopers LLP, as stated in their report appearing on the preceding page.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 :</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audited the accompanying consolidated balance sheets of Manpower Inc. (a Wisconsin corporation) and subsidiaries as of December 31, 2001 and 2000, and the related consolidated statements of operations, cash flows and shareholders’ equity for each of the three years in the period ended December 31, 2001. These consolidated financial statements are the responsibility of the Company’s management. Our responsibility is to express an opinion on these consolidated financial statements based on our audits.</w:t>
      </w:r>
    </w:p>
    <w:p>
      <w:pPr>
        <w:spacing w:after="0" w:line="13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Manpower Inc.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Andersen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2002</w:t>
      </w:r>
    </w:p>
    <w:p>
      <w:pPr>
        <w:spacing w:after="0" w:line="145"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045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12,184.5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10,610.9</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10,047.7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8,700.5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8,527.3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2,136.8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1,878.9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1,675.6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-629285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-629285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-629285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-629285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-629285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-629285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-629285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-329565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-329565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-329565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82245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2245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274"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046</w:t>
      </w:r>
    </w:p>
    <w:p>
      <w:pPr>
        <w:sectPr>
          <w:pgSz w:w="11900" w:h="16838" w:orient="portrait"/>
          <w:cols w:equalWidth="0" w:num="2">
            <w:col w:w="5040" w:space="720"/>
            <w:col w:w="5660"/>
          </w:cols>
          <w:pgMar w:left="240" w:top="274"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 w:type="dxa"/>
            <w:vAlign w:val="bottom"/>
          </w:tcPr>
          <w:p>
            <w:pPr>
              <w:spacing w:after="0"/>
              <w:rPr>
                <w:sz w:val="15"/>
                <w:szCs w:val="15"/>
                <w:color w:val="auto"/>
              </w:rPr>
            </w:pPr>
          </w:p>
        </w:tc>
        <w:tc>
          <w:tcPr>
            <w:tcW w:w="55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Accounts receivable, less allowance for doubtful accounts of $79.1 and $70.3, respectively</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w w:val="86"/>
              </w:rPr>
              <w:t>2,609.4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2,214.2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Future income tax benefits</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101.4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3,237.1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less accumulated amortization of $53.6 and $46.7, respectively</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Investments in licensees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419.2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8340" w:type="dxa"/>
            <w:vAlign w:val="bottom"/>
          </w:tcPr>
          <w:p>
            <w:pPr>
              <w:spacing w:after="0"/>
              <w:rPr>
                <w:sz w:val="9"/>
                <w:szCs w:val="9"/>
                <w:color w:val="auto"/>
              </w:rPr>
            </w:pPr>
          </w:p>
        </w:tc>
        <w:tc>
          <w:tcPr>
            <w:tcW w:w="90" w:type="dxa"/>
            <w:vAlign w:val="bottom"/>
          </w:tcPr>
          <w:p>
            <w:pPr>
              <w:spacing w:after="0"/>
              <w:rPr>
                <w:sz w:val="9"/>
                <w:szCs w:val="9"/>
                <w:color w:val="auto"/>
              </w:rPr>
            </w:pPr>
          </w:p>
        </w:tc>
        <w:tc>
          <w:tcPr>
            <w:tcW w:w="55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Employee compensation payable</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105.6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Accrued payroll taxes and insurance</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476.6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1,877.9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367.1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liabilities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Common stock, $.01 par value, authorized 125,000,000 shares, issued 88,604,575 and 87,043,956 shares, respectively</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1,732.5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90" w:type="dxa"/>
            <w:vAlign w:val="bottom"/>
          </w:tcPr>
          <w:p>
            <w:pPr>
              <w:spacing w:after="0"/>
              <w:rPr>
                <w:sz w:val="18"/>
                <w:szCs w:val="18"/>
                <w:color w:val="auto"/>
              </w:rPr>
            </w:pPr>
          </w:p>
        </w:tc>
        <w:tc>
          <w:tcPr>
            <w:tcW w:w="99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(167.6)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Treasury stock at cost, 9,945,200 shares</w:t>
            </w:r>
          </w:p>
        </w:tc>
        <w:tc>
          <w:tcPr>
            <w:tcW w:w="90" w:type="dxa"/>
            <w:vAlign w:val="bottom"/>
          </w:tcPr>
          <w:p>
            <w:pPr>
              <w:spacing w:after="0"/>
              <w:rPr>
                <w:sz w:val="19"/>
                <w:szCs w:val="19"/>
                <w:color w:val="auto"/>
              </w:rPr>
            </w:pPr>
          </w:p>
        </w:tc>
        <w:tc>
          <w:tcPr>
            <w:tcW w:w="99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(283.8)</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1,310.3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-3794125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-3794125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-3794125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-3794125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-3794125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-3794125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152"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047</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137.7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113.2</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 on convertible debentures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Amounts advanced under the Receivables Facility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(104.3)</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(773.1)</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stock option and purchase plans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provided by financing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(64.5)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(131.6)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33.2</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-766445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-766445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-766445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-766445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-766445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-766445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-766445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-766445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-766445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-329565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-329565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898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financial statements are an integral part of these statements.</w:t>
      </w:r>
    </w:p>
    <w:p>
      <w:pPr>
        <w:sectPr>
          <w:pgSz w:w="11900" w:h="16838" w:orient="portrait"/>
          <w:cols w:equalWidth="0" w:num="1">
            <w:col w:w="11420"/>
          </w:cols>
          <w:pgMar w:left="240" w:top="274" w:right="23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048</w:t>
      </w:r>
    </w:p>
    <w:p>
      <w:pPr>
        <w:sectPr>
          <w:pgSz w:w="11900" w:h="16838" w:orient="portrait"/>
          <w:cols w:equalWidth="0" w:num="2">
            <w:col w:w="5040" w:space="720"/>
            <w:col w:w="5660"/>
          </w:cols>
          <w:pgMar w:left="240" w:top="274" w:right="23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 IN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COMMON</w:t>
            </w:r>
          </w:p>
        </w:tc>
        <w:tc>
          <w:tcPr>
            <w:tcW w:w="4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EXCESS OF</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COMPREHENSIVE</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STOCK</w:t>
            </w:r>
          </w:p>
        </w:tc>
        <w:tc>
          <w:tcPr>
            <w:tcW w:w="4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INCOME (LOSS)</w:t>
            </w:r>
          </w:p>
        </w:tc>
        <w:tc>
          <w:tcPr>
            <w:tcW w:w="100" w:type="dxa"/>
            <w:vAlign w:val="bottom"/>
          </w:tcPr>
          <w:p>
            <w:pPr>
              <w:spacing w:after="0"/>
              <w:rPr>
                <w:sz w:val="15"/>
                <w:szCs w:val="15"/>
                <w:color w:val="auto"/>
              </w:rPr>
            </w:pPr>
          </w:p>
        </w:tc>
        <w:tc>
          <w:tcPr>
            <w:tcW w:w="12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(249.8)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Unrealized loss on investments,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losses included in 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Minimum pension liability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adjustment, net 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Issuances under option and purchase plans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($.20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1,644.9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Unrealized loss on investments,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losses included in 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Minimum pension liability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adjustment, net 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Issuances for franchise acquisitions</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under option and purchase plans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Dividends ($.20 per share)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1,696.2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 on derivatives,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Unrealized gain on investments,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losses included in net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Minimum pension liability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adjustment, net of tax</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Issuances for acquisitions</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under option and purchase plans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Dividends ($.20 per share)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1,732.5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(283.8)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049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MANPOWER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 ANNUAL REPORT</w:t>
      </w:r>
    </w:p>
    <w:p>
      <w:pPr>
        <w:sectPr>
          <w:pgSz w:w="11900" w:h="16838" w:orient="portrait"/>
          <w:cols w:equalWidth="0" w:num="2">
            <w:col w:w="8780" w:space="720"/>
            <w:col w:w="1920"/>
          </w:cols>
          <w:pgMar w:left="240" w:top="274"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ind w:right="6560" w:firstLine="8"/>
        <w:spacing w:after="0" w:line="332" w:lineRule="auto"/>
        <w:tabs>
          <w:tab w:leader="none" w:pos="26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Operations</w:t>
      </w:r>
    </w:p>
    <w:p>
      <w:pPr>
        <w:spacing w:after="0" w:line="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Manpower Inc. is a world leader in the employment services industry, offering customers a continuum of services to meet their needs throughout the employment and business cycle. Our worldwide network of over 4,000 offices in 66 countries enables us to meet the needs of our customers in all industry segments. Our largest operations, based on revenues, are located in the United States, France and the United Kingdom. We specialize in permanent, temporary and contract recruitment; employee assessment; training; internal audit, accounting, technology and tax services; and organizational consulting services. We provide services to a wide variety of customers, none of which individually comprise a significant portion of revenues within a given geographic region or for us as a whole.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used estimates to establish liability balances for various items, including amounts related to social program remittances in France and payroll tax audit exposures. The liabilities are determined in each country, based on our historical experience and related trends, and will be adjusted to the extent that our actual experience differs from our current estimates. In the fourth quarter of 2003, we reduced our estimated liability related to the social program remittances in France by $16.1 due to recent historical trends in the amounts remitted to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are included as Investments in licensees in the consolidated balance sheets. Included in Shareholders’ equity as of December 31, 2003 are $46.5 of unremitted earnings from investments accounted for using the equity method. All significant intercompany accounts and transactions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8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generate revenues from sales of services by our own branch operations and from fees earned on sales of services by our franchise operations. The majority of our revenues are generated by our staffing business, where billings are generally negotiated and invoiced on a per-hour basis. Accordingly, as the temporary employees are placed, we record revenue based on the hours worked. 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$26.5, $25.8 and $28.1 for the years ended December 31, 2003, 2002 and 2001,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We generally expense production costs of advertising as they are incurred. Advertising expenses were $30.8, $30.8 and $40.1 in 2003, 2002 and 2001,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net operating loss and tax credit carryforwards, and tax contingencies.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account for the securitization of accounts receivable in accordance with SFAS No. 140, “Accounting for Transfers and Servicing of Financial Assets and Extinguishments of Liabilities.” Accordingly, transfers of receivables are evaluated for sale accounting treatment and if such a transfer qualifies as a sale under SFAS No.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5 for further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impairment reviews, at least annually, using a fair-value-based approach. The majority of our goodwill results from our acquisitions of Elan and Jefferson Wells.</w:t>
      </w:r>
    </w:p>
    <w:p>
      <w:pPr>
        <w:spacing w:after="0" w:line="118"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also consider market comparables. Significant assumptions used in this analysis include: expected future revenue growth rates, operating unit profit margins, and working capital levels; a discount rate; and a terminal value multiple.</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completed our annual impairment review for 2003 and determined there to be no impairment of goodwill. We plan to perform our next annual impairment review during the third quarter of 2004.</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 than forecasted earnings levels for various reporting units. In addition, changes to other assumptions could significantly impact our estimate of the fair value of our reporting units. Such a change may result in a goodwill impairment charge, which could have a significant impact on the reportable segments that include the related reporting units and our consolidated financial statements.</w:t>
      </w:r>
    </w:p>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Prior to our adoption of SFAS No. 142, goodwill was amortized on a straight-line basis over its useful life, which was estimated based on the facts and circumstances surrounding each individual acquisition, not to exceed 20 years. In accordance with the provisions of SFAS No. 141, “Business Combinations,” goodwill resulting from business combinations completed subsequent to June 30, 2001 was not amortized.</w:t>
      </w:r>
    </w:p>
    <w:p>
      <w:pPr>
        <w:spacing w:after="0" w:line="12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addition to goodwill, we have amortizable intangible assets and intangible assets that do not require amortization, which were immaterial as of December 31, 2003 and 2002. Amortization expense related to the amortizable intangible assets was immaterial in 2003, 2002 and 2001.</w:t>
      </w:r>
    </w:p>
    <w:p>
      <w:pPr>
        <w:spacing w:after="0" w:line="66"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051</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account for our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(loss), which is a separate component of Shareholders’ equity. Realized gains and losses, and unrealized losses determined to be other-than-temporary, are recorded in our consolidated statements of operations. As of December 31, 2003 and 2002, our available-for-sale investments had a market value of $6.4 and $3.9, respectively, and an adjusted cost basis of $6.3 and $7.0, respectively. As of December 31, 2003, none of these available-for-sale investments had unrealized losses.</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hold a 49% interest in our Swiss franchise, which maintains an investment portfolio with a market value of $101.3 as of December 31, 2003.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(loss), with the offsetting amount increasing or decreasing our investment in the franchise. In this portfolio, there were no unrealized losses by investment type as of December 31,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The net capitalized software balance of $47.5 and $38.1 as of December 31, 2003 and 2002, respectively, is included in Other assets in the consolidated balance sheets. Amortization expense related to the capitalized software costs was $5.5, $4.7 and $3.5 for 2003, 2002, and 2001,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Buildings</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autos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Computer equipment</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606.3</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Property and equipment are stated at cost and are depreciated using primarily the straight-line method over the following estimated useful lives: buildings - up to 40 years; leasehold improvements - lesser of life of asset or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account for our derivative instruments in accordance with SFAS Nos. 133, 137, and 149 related to “Accounting for Derivative Instruments and Hedging Activities” (“SFAS No. 133, as amended”).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recognized in the consolidated statements of operations when the hedged item affects earnings. Ineffective portions of changes in the fair value of hedges are recognized in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financial statements of our non-U.S. subsidiaries have been translated in accordance with SFAS No. 52, “Foreign Currency Translation.” Under SFAS No. 52, asset and liability accounts are translated at the current exchange rate and income statement items are translated at the weighted-average exchange rate for the year. The resulting translation adjustments are recorded as a component of Accumulated other comprehensive income (loss), which is included in Shareholders’ equity. In accordance with SFAS No. 109, no deferred taxes have been recorded related to the cumulative translation adjustments.</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 of Directors have authorized the repurchase of a total of 15,000,000 shares of our common stock.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2003, 9,945,200 shares at a cost of $283.8 have been repurchased. During March 2002, 900,000 shares at a cost of $30.7 were repurchased to settle a forward repurchase agreement. A total of 1,000,000 shares were repurchased under the forward repurchase agreement at a total cost of $34.0. There were no share repurchases in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8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account for all of our fixed stock option plans and our 1990 Employee Stock Purchase Plan in accordance with APB Opinion No. 25, “Accounting for Stock Issued to Employees,” and related Interpretations. No stock-based employee compensation expense is reflected in Net earnings as all options granted under those plans had an exercise price equal to the market value of the underlying common stock on the date of grant. The following table (page 54) illustrates the effect on Net earnings and Net earnings per share if we had applied the fair value recognition provisions of SFAS No. 123, “Accounting for Stock-Based Compensation,” to stock-based employee compensation.</w:t>
      </w:r>
    </w:p>
    <w:p>
      <w:pPr>
        <w:spacing w:after="0" w:line="123"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053</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Net earnings, 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Less: Total stock-based employee compensation expense determined under the fair value method for all awards, net of related</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effects</w:t>
            </w: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 per Share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Basic - 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Diluted - 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-859155</wp:posOffset>
            </wp:positionV>
            <wp:extent cx="14103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2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2003, 2002 and 2001, respectively: risk-free interest rates of 3.3%, 4.6% and 4. 6%; expected volatility of 40.1%, 40.9% and 17. 7%; dividend yield of .5% in all years; and expected lives of 7.4 years, 6.4 years and 7.2 years. The weighted-average fair value of options granted was $10.32, $10.86 and $7.16 per share in 2003, 2002 and 2001,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November 2002, the Financial Accounting Standards Board (“FASB”) issued Interpretation No. 45, “Guarantor’s Accounting and Disclosure Requirements for Guarantees, Including Indirect Guarantees of Indebtedness of Others,” which clarifies the required disclosures in interim and annual financial statements about obligations under certain guarantees. It also requires the recognition, at the date of inception of a guarantee, of a liability for the fair value of the obligation. The initial recognition and measurement provisions of this Interpretation were effective for guarantees issued or modified after December 31, 2002. The adoption of the initial recognition provisions of this Interpretation did not have an impact on our consolidated financial statements.</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June 2002, the FASB issued Statement of Financial Accounting Standards (“SFAS”) No. 146, “Accounting for Costs Associated with Exit or Disposal Activities,” which requires that a liability for a cost associated with an exit or disposal activity be recognized, at fair value, when the liability is incurred rather than at the time an entity commits to a plan. The provisions of SFAS No. 146 were effective for exit or disposal activities initiated by us after December 31, 2002. The adoption of SFAS No. 146 did not have a significant impact on our consolidated financial statements.</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April 2003, the FASB issued SFAS No. 149, “Amendment of Statement 133 on Derivative Instruments and Hedging Activities,” which amends and clarifies financial accounting and reporting for certain derivative instruments. The adoption of this statement did not have an impact on our consolidated financial statements, as we are not currently a party to derivative financial instruments addressed by this standard.</w:t>
      </w:r>
    </w:p>
    <w:p>
      <w:pPr>
        <w:spacing w:after="0" w:line="1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The adoption of this statement did not have an impact on our consolidated financial statements, as we are not currently a party to such instruments addressed by this standard.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as revised, were effective immediately for interests created after January 31, 2003 and are effective on March 31, 2004 for interests created before February 1, 2003. This Interpretation will not have an impact on our consolidated financial statements as we do not have any variable interest entities that require consolidation.</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December 2003, the FASB revised SFAS No. 132, “Employers’ Disclosures about Pensions and Other Postretirement Benefits,” to require additional disclosures about the assets, obligations, cash flows, and net periodic benefit cost of defined benefit pension plans and other defined benefit postretirement plans. These disclosure requirements are effective immediately for our domestic plans, except for estimated future benefit payments, which will be effective in 2004. All such disclosure requirements will be effective for our non-U.S. plans in 2004. This Statement also requires interim-period disclosures of the components of net periodic benefit cost and, if significantly different from previously disclosed amounts, the amount of contributions and projected contributions to fund pension plans and other postretirement benefit plans. These interim-period disclosures will be effective for us in the first quarter of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02. ACQUISITIONS OF BUSINESSES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such transactions was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$6.7, $33.5 and $295.9 in 2003, 2002 and 2001, respectively, the majority of which was recorded as goodwill. During 2003 and 2002, we acquired companies and ownership interests in certain U.S. franchises in exchange for approximately 13,000 and 592,000 shares, respectively, of our common stock, which had an aggregate market value of $.7 and $21. 9, respectively, at the dates of acquisition.</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July 2001, we acquired Jefferson Wells International, Inc. (“Jefferson Wells”), a professional services provider of internal audit, accounting, technology and tax services, with a network of offices throughout the United States and Canada. The total consideration paid for Jefferson Wells was approximately $174.0, including assumed debt, of which approximately $153.4 was recorded as goodwill. No other significant intangible assets were recorded.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January 22, 2004, we completed our exchange offer to acquire Right Management Consultants, Inc. (“Right”) the world’s largest career transition and organizational consulting services firm, operating through over 300 offices in 35 countries. The acquisition of Right will expand the range of services that we offer to customers as a strategic partner throughout every stage of the employment cycle. Throughout 2004, we will combine our Empower operations into Right, and this combined group will be a separate reportable segment in 2004.</w:t>
      </w:r>
    </w:p>
    <w:p>
      <w:pPr>
        <w:spacing w:after="0" w:line="13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As a result of the exchange offer, 91.7% of Right’s outstanding shares were each tendered and exchanged for .3874 shares of our common stock and cash for fractional shares. The remaining outstanding shares were converted into the right to acquire our common stock at the same exchange rate.</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have issued approximately 8,850,000 shares of our common stock in exchange for Right’s outstanding shares. We also assumed both of Right’s stock option plans, converting outstanding options to purchase shares of Right common stock into 1,961,000 options to purchase shares of our common stock.</w:t>
      </w:r>
    </w:p>
    <w:p>
      <w:pPr>
        <w:spacing w:after="0" w:line="66"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055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estimated purchase price for this transaction is $640.0, including the value of common stock to be issued, the estimated fair value of stock options, the Long-term debt repaid upon the change of control, the estimated merger-related costs and estimated severance and additional Supplemental Executive Retirement Plan (“SERP”) liability, net of deferred taxes.</w:t>
      </w:r>
    </w:p>
    <w:p>
      <w:pPr>
        <w:spacing w:after="0" w:line="12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purchase price allocation has not yet been completed, since some of the merger-related costs have not yet been finalized, and we do not yet have final valuations of the stock options, the additional SERP liability, and the intangible assets acquired.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03.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for the years ended December 31,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The calculation of Net earnings per share - diluted for the years ended December 31, is as follows:</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-1736090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-1736090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-1736090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-1736090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-1736090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-1736090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-1736090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-1736090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-1736090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40208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02080" cy="29845"/>
                    </a:xfrm>
                    <a:prstGeom prst="rect">
                      <a:avLst/>
                    </a:prstGeom>
                    <a:noFill/>
                  </pic:spPr>
                </pic:pic>
              </a:graphicData>
            </a:graphic>
          </wp:anchor>
        </w:drawing>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calculation of Net earnings per share - diluted for the years ended December 31, 2003, 2002 and 2001 does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Shares (in thousands)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Exercise price ranges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6"/>
              </w:rPr>
              <w:t>$ 37 - $44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$ 36 - $41</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$ 32 - $41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life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years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47561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addition, there were 6.1 million shares of common stock that were contingently issuable under our unsecured zero-coupon convertible debentures, due August 17, 2021 (“Debentures”). Such shares are excluded from the calculation of Net earnings per share - diluted based upon the terms of the Debentures and our intent to settle any potential “put” of the Debentures in cash. In the event of a significant change in the economic environment, we may choose to settle a future “put” with common stock, which would have a dilutive effect on existing shareholders.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6.1 million contingently issuable shares under the Debentures will be included in the calculation of Net earnings per share - diluted, using the “if-converted” method, when the shares become issuable under the conversion feature of the Debentures or when certain conditions are met at the end of a reporting period. Under the “if-converted” method, net earnings available to common shareholders would be adjusted for the amortization of the discount on the Debentures, net of tax, for the respective periods. The Debentures become convertible from the thirtieth trading day in a quarter through the twenty-ninth trading day in the following quarter when our share price for at least 20 of the first 30 trading days of a quarter is more than 110% of the accreted value per convertible share on the thirtieth trading day of that quarter. Given the accreted value per convertible share on the thirtieth trading day of the first, second, third and fourth quarters of 2004, our share price will have to exceed $46.80, $47.14, $47.50 and $47.85, respectively, during the relevant measurement periods to be convertible. The Debentures are also convertible in certain other circumstances as set forth in the indenture.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04.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2003</w:t>
            </w:r>
          </w:p>
        </w:tc>
        <w:tc>
          <w:tcPr>
            <w:tcW w:w="4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United States:</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6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State</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United States:</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State</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6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taxes computed at the United States Federal statutory tax rate of 35% and the consolidated effective tax rate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$ 77.7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Increase (decrease) resulting from:</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tax rate differences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Tax effect of foreign earnings</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valuation reserve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(1.8)</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$ 84.4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$ 73.4</w:t>
            </w:r>
          </w:p>
        </w:tc>
        <w:tc>
          <w:tcPr>
            <w:tcW w:w="0" w:type="dxa"/>
            <w:vAlign w:val="bottom"/>
          </w:tcPr>
          <w:p>
            <w:pPr>
              <w:spacing w:after="0"/>
              <w:rPr>
                <w:sz w:val="1"/>
                <w:szCs w:val="1"/>
                <w:color w:val="auto"/>
              </w:rPr>
            </w:pPr>
          </w:p>
        </w:tc>
      </w:tr>
      <w:tr>
        <w:trPr>
          <w:trHeight w:val="132"/>
        </w:trPr>
        <w:tc>
          <w:tcPr>
            <w:tcW w:w="9200" w:type="dxa"/>
            <w:vAlign w:val="bottom"/>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9200" w:type="dxa"/>
            <w:vAlign w:val="bottom"/>
            <w:gridSpan w:val="3"/>
          </w:tcPr>
          <w:p>
            <w:pPr>
              <w:jc w:val="right"/>
              <w:ind w:right="340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7"/>
          </w:tcPr>
          <w:p>
            <w:pPr>
              <w:jc w:val="right"/>
              <w:spacing w:after="0"/>
              <w:rPr>
                <w:sz w:val="20"/>
                <w:szCs w:val="20"/>
                <w:color w:val="auto"/>
              </w:rPr>
            </w:pPr>
            <w:r>
              <w:rPr>
                <w:rFonts w:ascii="Arial" w:cs="Arial" w:eastAsia="Arial" w:hAnsi="Arial"/>
                <w:sz w:val="18"/>
                <w:szCs w:val="18"/>
                <w:b w:val="1"/>
                <w:bCs w:val="1"/>
                <w:color w:val="auto"/>
              </w:rPr>
              <w:t>MANPOWER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9"/>
          </w:tcPr>
          <w:p>
            <w:pPr>
              <w:jc w:val="right"/>
              <w:spacing w:after="0"/>
              <w:rPr>
                <w:sz w:val="20"/>
                <w:szCs w:val="20"/>
                <w:color w:val="auto"/>
              </w:rPr>
            </w:pPr>
            <w:r>
              <w:rPr>
                <w:rFonts w:ascii="Arial" w:cs="Arial" w:eastAsia="Arial" w:hAnsi="Arial"/>
                <w:sz w:val="18"/>
                <w:szCs w:val="18"/>
                <w:b w:val="1"/>
                <w:bCs w:val="1"/>
                <w:color w:val="auto"/>
              </w:rPr>
              <w:t>2003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-463550</wp:posOffset>
            </wp:positionV>
            <wp:extent cx="29591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-463550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-463550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-463550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-463550</wp:posOffset>
            </wp:positionV>
            <wp:extent cx="29591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 Temporary differences, which gave rise to the deferred tax assets as of December 31,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Future Income Tax Benefits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Future Income Tax Benefits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operating losses and other</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future tax benefits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221.0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-27305</wp:posOffset>
            </wp:positionV>
            <wp:extent cx="34734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-27305</wp:posOffset>
            </wp:positionV>
            <wp:extent cx="34734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noncurrent future income tax benefits have been classified as Other assets in the consolidated balance sheets.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U.S. Federal and foreign net operating loss carryforwards totaling $185.1 that expire as follows: 2004 - $.2, 2005 - $1.1, 2006 - $.8, 2007 - $2.0, 2008 - $3.4, 2009 and thereafter - $48.0 and $129.6 with no expiration. We have U.S. state net operating loss carryforwards totaling $144.1 that expire as follows: 2004 - $67.7, 2005 - $11.6, 2006 - $7.6, 2007 - $8.5, 2008 - $9.2 and thereafter - $39. 5. We have recorded a deferred tax asset of $63.8 as of December 31, 2003, for the benefit of these net operating losses. Realization of this asset is dependent on generating sufficient taxable income prior to the expiration of the loss carryforwards. A valuation allowance of $34.1 has been recorded as of December 31, 2003, as management believes that realization of certain loss carryforwards and other deferred tax assets is unlikely.</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Pretax income of foreign operations was $169.5, $162.9 and $163.6 in 2003, 2002 and 2001, respectively. United States income taxes have not been provided on unremitted earnings of foreign subsidiaries that are considered to be permanently invested. If such earnings were remitted, foreign tax credits would substantially offset any resulting United States income tax. As of December 31, 2003, the estimated amount of unremitted earnings of the foreign subsidiaries totaled approximately $287.5.</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tax contingencies recorded related to items in various countries, including amounts related to items currently under audit. These amounts are included in Other long-term liabilities. These reserve balances will be adjusted to the extent that these items are settled for amounts different than the amounts we have recorded.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 ACCOUNTS RECEIVABLE SECURITIZATION</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and certain of our U.S. subsidiaries have an agreement (the “Receivables Facility”) with a financial institution whereby we transfer on a continuous basis an interest in all eligible trade accounts receivable. Pursuant to the Receivables Facility, we formed Ironwood Capital Corporation, a wholly owned, special purpose, bankruptcy-remote subsidiary (“ICC”) that is fully consolidated in our financial statements. ICC was formed for the sole purpose of transferring receivables that we and certain of our subsidiaries generate. Under the Receivables Facility, we and certain of our subsidiaries, irrevocably and without recourse, transfer all of our accounts receivable to ICC. ICC, in turn, has transferred and, subject to certain conditions, may from time to time transfer an undivided interest in these receivables and is permitted to receive advances of up to $200.0 for the transfer of such undivided interest. The agreement expires in July 2004 and it may be extended further with the financial institution’s consent.</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November 2002, we amended our Receivables Facility to allow ICC the ability to repurchase, in full or in part, the accounts receivable it transferred to the third party. Therefore, transfers made after this amendment do not qualify for sale accounting, and accordingly, the receivables transferred to the third party remain on our consolidated balance sheet with the corresponding advance being recorded as debt. Prior to the November 2002 amendment, any transfers of receivables qualified for sale accounting, and therefore the related receivable balance was removed from the consolidated balance sheets. No amounts were advanced under this facility as of December 31, 2003 and 2002.</w:t>
      </w:r>
    </w:p>
    <w:p>
      <w:pPr>
        <w:spacing w:after="0" w:line="10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Costs associated with the transfer of receivables primarily relate to the discount and fees associated with the amounts advanced. During 2003, 2002 and 2001, such costs were $.4, $.4 and $5.3, respectively, which were recorded as other expenses in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06. GOODWILL AND OTHER INTANGIBLE ASSETS</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January 1, 2002, we adopted SFAS No. 142, “Goodwill and Other Intangible Assets,” which prohibits the amortization of goodwill and identifiable intangible assets with an indefinite life. A summary of Net earnings and Net earnings per share, as if we had adopted SFAS No. 142 as of January 1, 2001,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113.2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amortization, net of tax</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113.2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Earnings per Share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amortization, net of tax</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Earnings per Share - Diluted</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amortization, net of tax</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gridSpan w:val="3"/>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60" w:type="dxa"/>
            <w:vAlign w:val="bottom"/>
          </w:tcPr>
          <w:p>
            <w:pPr>
              <w:jc w:val="right"/>
              <w:ind w:right="3332"/>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MANPOWER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10"/>
          </w:tcPr>
          <w:p>
            <w:pPr>
              <w:jc w:val="right"/>
              <w:ind w:right="20"/>
              <w:spacing w:after="0"/>
              <w:rPr>
                <w:sz w:val="20"/>
                <w:szCs w:val="20"/>
                <w:color w:val="auto"/>
              </w:rPr>
            </w:pPr>
            <w:r>
              <w:rPr>
                <w:rFonts w:ascii="Arial" w:cs="Arial" w:eastAsia="Arial" w:hAnsi="Arial"/>
                <w:sz w:val="18"/>
                <w:szCs w:val="18"/>
                <w:b w:val="1"/>
                <w:bCs w:val="1"/>
                <w:color w:val="auto"/>
              </w:rPr>
              <w:t>2003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-2178685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-2178685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-2178685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-2178685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-2178685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-2178685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-2178685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-2178685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-2178685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-1320800</wp:posOffset>
            </wp:positionV>
            <wp:extent cx="3302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-1320800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-1320800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-1320800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-1320800</wp:posOffset>
            </wp:positionV>
            <wp:extent cx="3302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-463550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-463550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-463550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-463550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-463550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-463550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-463550</wp:posOffset>
            </wp:positionV>
            <wp:extent cx="3302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UNITED STATES</w:t>
            </w:r>
          </w:p>
        </w:tc>
        <w:tc>
          <w:tcPr>
            <w:tcW w:w="2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EMEA</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5"/>
              </w:rPr>
              <w:t>OPERATIONS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$ 171.4</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$ 212.0</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w w:val="99"/>
              </w:rPr>
              <w:t>There were no reductions to goodwill as a result of dispositions during 2003 or 2002.</w:t>
            </w: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6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07.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8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as of December 31, is as follows: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gridSpan w:val="3"/>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Weighted-average interest rates</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5"/>
          </w:tcPr>
          <w:p>
            <w:pPr>
              <w:jc w:val="right"/>
              <w:ind w:right="414"/>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-1443990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-1443990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-1443990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-1443990</wp:posOffset>
            </wp:positionV>
            <wp:extent cx="3302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-1443990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-1443990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-1443990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-1443990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-1443990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-1443990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8702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maintain separate bank facilities with foreign financial institutions to meet working capital needs of our foreign operations. As of December 31, 2003, such facilities totaled $230.2, of which $224.9 was unused. We have no significant compensating balance requirements or commitment fees related to these lines.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December 31,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Zero-coupon convertible debentures</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$257.6</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Euro-denominated notes due July 2006</w:t>
            </w:r>
          </w:p>
        </w:tc>
        <w:tc>
          <w:tcPr>
            <w:tcW w:w="30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251.9</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Euro-denominated notes due March 2005</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191.1</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Revolving credit agreement:</w:t>
            </w:r>
          </w:p>
        </w:tc>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Euro-denominated borrowings, at a rate of 3.3% and 4. 0%, respectively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ind w:left="440"/>
              <w:spacing w:after="0"/>
              <w:rPr>
                <w:sz w:val="20"/>
                <w:szCs w:val="20"/>
                <w:color w:val="auto"/>
              </w:rPr>
            </w:pPr>
            <w:r>
              <w:rPr>
                <w:rFonts w:ascii="Arial" w:cs="Arial" w:eastAsia="Arial" w:hAnsi="Arial"/>
                <w:sz w:val="18"/>
                <w:szCs w:val="18"/>
                <w:color w:val="auto"/>
              </w:rPr>
              <w:t>Yen-denominated borrowings, at a rate of 1.0%</w:t>
            </w:r>
          </w:p>
        </w:tc>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maturing within 90 days, at weighted-average interest rates of 1.9%</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836.4</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 current maturities</w:t>
            </w:r>
          </w:p>
        </w:tc>
        <w:tc>
          <w:tcPr>
            <w:tcW w:w="30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$829.6</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132"/>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MANPOWER INC.</w:t>
            </w:r>
          </w:p>
        </w:tc>
        <w:tc>
          <w:tcPr>
            <w:tcW w:w="3020" w:type="dxa"/>
            <w:vAlign w:val="bottom"/>
            <w:vMerge w:val="restart"/>
          </w:tcPr>
          <w:p>
            <w:pPr>
              <w:jc w:val="right"/>
              <w:ind w:right="1972"/>
              <w:spacing w:after="0"/>
              <w:rPr>
                <w:sz w:val="20"/>
                <w:szCs w:val="20"/>
                <w:color w:val="auto"/>
              </w:rPr>
            </w:pPr>
            <w:r>
              <w:rPr>
                <w:rFonts w:ascii="Arial" w:cs="Arial" w:eastAsia="Arial" w:hAnsi="Arial"/>
                <w:sz w:val="18"/>
                <w:szCs w:val="18"/>
                <w:color w:val="auto"/>
              </w:rPr>
              <w:t>060</w:t>
            </w:r>
          </w:p>
        </w:tc>
        <w:tc>
          <w:tcPr>
            <w:tcW w:w="1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5060" w:type="dxa"/>
            <w:vAlign w:val="bottom"/>
            <w:gridSpan w:val="2"/>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2003 ANNUAL REPORT</w:t>
            </w:r>
          </w:p>
        </w:tc>
        <w:tc>
          <w:tcPr>
            <w:tcW w:w="3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-463550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-463550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-463550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-463550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-463550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-463550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Debentures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have $435.4 in aggregate principal amount at maturity of unsecured zero-coupon convertible debentures, due August 17, 2021 (the “Debentures” Debentures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were issued in August 2001 at a discount to yield an effective interest rate of 3% per year, and they rank equally with all of our existing and future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indebtedness. The unamortized discount was $177.8 and $185.4 as of December 31, 2003 and 2002, respectively. During 2003 and 2002, $7.6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$7.3, respectively, of the discount was amortized to Interest expense in the consolidated statements of operations. There are no scheduled cash interest payments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 Debentures.</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Debentures are convertible into 6.1 million shares of our common stock if the closing price of our common stock on the NewYork Stock Exchange exceeds specified levels, or in certain other circumstances.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Holders of the Debentures may require us to 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and the next “put” date is on the third anniversary date, August 17, 2004 which is also the first date we may “call” the Debentures. Our intent is to settle any future “put” in cash. In the event of a significant change in the economic environment, we may choose to settle a future “put” with common stock, which would have a dilutive effect on existing shareholders. These Debentures have been classified as Long-term debt on our consolidated balance sheet as of December 31, 2003, due to our intent and ability to refinance them on a long-term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 Notes</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two Euro-denominated unsecured notes with face values of €200.0 and €150.0. The €200.0 notes are due July 2006 and have scheduled annual interest payments at a rate of 5.63%. The €150.0 notes are due March 2005 and have scheduled annual interest payments at a rate of 6.25%. (See note 13 for further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revolving credit agreements with a syndicate of commercial banks. The agreements consist of a $450.0 five-year revolving credit facility (the “Five-year Facility”) and a $200.0 364-day revolving credit facility (the “364-day Facility” Five-year Facility expires in November 2006. During October 2003, we renewed our 364-day Facility with a syndicate of commercial banks. The availability under this facility was voluntarily reduced from $285.0 to $200.0 and it matures in October 2004. All other terms and conditions remain unchanged.</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revolving credit agreements allow for borrowings in various currencies and up to $100.0 of the Five-year Facility may be used for the issuance of stand-by letters of credit. Outstanding letters of credit totaled $66.7 and $71.1 as of December 31, 2003 and 2002, respectively. Additional borrowings of $457.3 were available to us under these agreements as of December 31, 2003.</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interest rate and facility fee on both agreements, and the issuance fee paid for the issuance of letters of credit on the Five-year Facility, vary based on our debt rating and borrowing level. Currently, on the Five-year Facility, the interest rate is LIBOR plus .9% and the facility and issuance fees are .2% and .9%, respectively. On the 364-day Facility, the interest rate is LIBOR plus .925% and the facility fee is .175%.</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Five-year Facility and 364-day Facility require, among other things, that we comply with a Debt-to-EBITDA ratio of less than 3.25 to 1 and a fixed charge ratio of greater than 2.00 to 1. As defined in the agreements, we had a Debt-to-EBITDA ratio of 2.75 to 1 and a fixed charge ratio of 2.38 to 1 as of December 31, 2003.</w:t>
      </w:r>
    </w:p>
    <w:p>
      <w:pPr>
        <w:spacing w:after="0" w:line="121"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061</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were no borrowings outstanding under our commercial paper program as of December 31, 2003. Borrowings of $.7 were outstanding as of December 31, 2002. Commercial paper borrowings, which are backed by the Five-year Facility, have been classified as Long-term debt due to our intent and ability to refinance them on a long-term basis under this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Agreements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entered into various interest rate swap agreements to manage our interest rate and currency risk associated with our debt instruments. (See note 13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carrying value of Long-term debt approximates fair value, except for the Euro-denominated notes and the Debentures, which had a fair value, as determined by quoted market prices, as of December 31,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Euro denominated notes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$456.7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Zero-coupon convertible debentures</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303.2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maturities of Long-term debt payable within each of the four years subsequent to December 31, 2004 are as follows: 2005 - $192.6, 2006 - $378.8,2007 - $.3 and 2008 - $.0 and thereafter - $257.9.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08. STOCK COMPENSATION PLANS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April 2003, our shareholders approved the 2003 Equity Incentive Plan of Manpower Inc. which authorized 4,500,000 shares for grant. Under this plan, all of our full-time employees and non-employee directors are eligible to receive stock options, stock appreciation rights, restricted stock and deferred stock grants. As of December 31, 2003, we had approximately 4,417,750 shares of common stock remaining available for grant under this plan. As a result of the adoption of this plan, we no longer make any grants under our 1994 Executive Stock Option and Restricted Stock Plan.</w:t>
      </w:r>
    </w:p>
    <w:p>
      <w:pPr>
        <w:spacing w:after="0" w:line="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Awards may be granted under the plan to eligible employees at the discretion of the plan administrator, which may be the Board of Directors or a committee of the Board of Directors. All options and stock appreciation rights are granted at a price determined by the administrator, not less than 100% of the fair market value of the common stock on the date of grant. The administrator also determines the period during which options and stock appreciation rights are exercisable. Generally, options are granted with a vesting period of up to four years and expire ten years from the date of grant. As of December 31, 2003, no stock appreciation rights had been granted or were outstanding.</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current compensation arrangement, all of our non-employee directors may elect to receive deferred stock in lieu of the portion of the annual cash retainer as to which there was not an election in effect as of July 29, 2003 under the prior compensation arrangement. Non-employee directors who were in office prior to July 29, 2003 for whom an election was not in effect through November 4, 2006 will continue to have the right to elect to receive an option to purchase shares of our common stock under the prior compensation arrangement, with respect to a portion of the annual cash retainer through November 2006. The number of shares of deferred stock is determined pursuant to a formula set forth in the terms and conditions adopted under the 2003 plan and the number of shares covered by the option are determined in accordance with the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terms of the prior compensation arrangement. Non-employee directors also receive an annual option grant as additional compensation for board service. The per share purchase price for each option awarded is equal to the fair market value of our common stock at the date of grant. Options are exercisable for the vested portion during the director’s tenure and a limited period thereafter. Deferred stock is settled in shares of common stock following the directors’ termination from the board.</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value of restricted stock granted is charged to equity and amortized to expense over the restriction period. There were 66,500 restricted shares granted during 2003, and no restricted shares were granted during 2002. During 2003 and 2002, we recognized $.5 and $.1, respectively, of expense, net of tax, related to restricted stock grants. As of December 31, 2003 there were 68,500 restricted shares that had not vested.</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stock option plan discussed above, we have the Savings Related Share Option Scheme for United Kingdom employees with at least one year of service. As of December 31, 2003, there were approximately 801,000 shares of common stock remaining available for grant under this plan.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Information related to options outstanding under our plans, and the related weighted-average exercise prices as of and for the years ended December 31,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2003</w:t>
            </w:r>
          </w:p>
        </w:tc>
        <w:tc>
          <w:tcPr>
            <w:tcW w:w="150" w:type="dxa"/>
            <w:vAlign w:val="bottom"/>
          </w:tcPr>
          <w:p>
            <w:pPr>
              <w:spacing w:after="0"/>
              <w:rPr>
                <w:sz w:val="15"/>
                <w:szCs w:val="15"/>
                <w:color w:val="auto"/>
              </w:rPr>
            </w:pPr>
          </w:p>
        </w:tc>
        <w:tc>
          <w:tcPr>
            <w:tcW w:w="29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SHARES (000)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SHARES (000)</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PRICE</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SHARES (000)</w:t>
            </w: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29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5,641</w:t>
            </w:r>
          </w:p>
        </w:tc>
        <w:tc>
          <w:tcPr>
            <w:tcW w:w="5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982</w:t>
            </w:r>
          </w:p>
        </w:tc>
        <w:tc>
          <w:tcPr>
            <w:tcW w:w="58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9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(1,345)</w:t>
            </w:r>
          </w:p>
        </w:tc>
        <w:tc>
          <w:tcPr>
            <w:tcW w:w="150" w:type="dxa"/>
            <w:vAlign w:val="bottom"/>
            <w:shd w:val="clear" w:color="auto" w:fill="CCEEFF"/>
          </w:tcPr>
          <w:p>
            <w:pPr>
              <w:spacing w:after="0"/>
              <w:rPr>
                <w:sz w:val="18"/>
                <w:szCs w:val="18"/>
                <w:color w:val="auto"/>
              </w:rPr>
            </w:pP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Expired or cancelled</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(214)</w:t>
            </w:r>
          </w:p>
        </w:tc>
        <w:tc>
          <w:tcPr>
            <w:tcW w:w="150" w:type="dxa"/>
            <w:vAlign w:val="bottom"/>
          </w:tcPr>
          <w:p>
            <w:pPr>
              <w:spacing w:after="0"/>
              <w:rPr>
                <w:sz w:val="19"/>
                <w:szCs w:val="19"/>
                <w:color w:val="auto"/>
              </w:rPr>
            </w:pPr>
          </w:p>
        </w:tc>
        <w:tc>
          <w:tcPr>
            <w:tcW w:w="29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29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5,064</w:t>
            </w:r>
          </w:p>
        </w:tc>
        <w:tc>
          <w:tcPr>
            <w:tcW w:w="5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0" w:type="dxa"/>
            <w:vAlign w:val="bottom"/>
          </w:tcPr>
          <w:p>
            <w:pPr>
              <w:spacing w:after="0"/>
              <w:rPr>
                <w:sz w:val="9"/>
                <w:szCs w:val="9"/>
                <w:color w:val="auto"/>
              </w:rPr>
            </w:pPr>
          </w:p>
        </w:tc>
        <w:tc>
          <w:tcPr>
            <w:tcW w:w="29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3,008</w:t>
            </w:r>
          </w:p>
        </w:tc>
        <w:tc>
          <w:tcPr>
            <w:tcW w:w="5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-329565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-329565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-329565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-329565</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-329565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-329565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-329565</wp:posOffset>
            </wp:positionV>
            <wp:extent cx="27876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-329565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-329565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-329565</wp:posOffset>
            </wp:positionV>
            <wp:extent cx="27876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exercisable as of December 31, 2003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gridSpan w:val="4"/>
          </w:tcPr>
          <w:p>
            <w:pPr>
              <w:ind w:left="500"/>
              <w:spacing w:after="0"/>
              <w:rPr>
                <w:sz w:val="20"/>
                <w:szCs w:val="20"/>
                <w:color w:val="auto"/>
              </w:rPr>
            </w:pPr>
            <w:r>
              <w:rPr>
                <w:rFonts w:ascii="Arial" w:cs="Arial" w:eastAsia="Arial" w:hAnsi="Arial"/>
                <w:sz w:val="14"/>
                <w:szCs w:val="14"/>
                <w:b w:val="1"/>
                <w:bCs w:val="1"/>
                <w:color w:val="auto"/>
              </w:rPr>
              <w:t>OPTIONS OUTSTANDING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WEIGHTED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AVERAGE</w:t>
            </w:r>
          </w:p>
        </w:tc>
        <w:tc>
          <w:tcPr>
            <w:tcW w:w="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WEIGHTED -</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WEIGHTED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AVERAGE</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SHARES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CONTRACTUAL</w:t>
            </w: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EXERCISE</w:t>
            </w:r>
          </w:p>
        </w:tc>
        <w:tc>
          <w:tcPr>
            <w:tcW w:w="6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SHARES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EXERCISE</w:t>
            </w:r>
          </w:p>
        </w:tc>
        <w:tc>
          <w:tcPr>
            <w:tcW w:w="0" w:type="dxa"/>
            <w:vAlign w:val="bottom"/>
          </w:tcPr>
          <w:p>
            <w:pPr>
              <w:spacing w:after="0"/>
              <w:rPr>
                <w:sz w:val="1"/>
                <w:szCs w:val="1"/>
                <w:color w:val="auto"/>
              </w:rPr>
            </w:pPr>
          </w:p>
        </w:tc>
      </w:tr>
      <w:tr>
        <w:trPr>
          <w:trHeight w:val="174"/>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(000)</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PRICE</w:t>
            </w:r>
          </w:p>
        </w:tc>
        <w:tc>
          <w:tcPr>
            <w:tcW w:w="124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(000)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1280" w:type="dxa"/>
            <w:vAlign w:val="bottom"/>
          </w:tcPr>
          <w:p>
            <w:pPr>
              <w:ind w:left="20"/>
              <w:spacing w:after="0"/>
              <w:rPr>
                <w:sz w:val="20"/>
                <w:szCs w:val="20"/>
                <w:color w:val="auto"/>
              </w:rPr>
            </w:pPr>
            <w:r>
              <w:rPr>
                <w:rFonts w:ascii="Arial" w:cs="Arial" w:eastAsia="Arial" w:hAnsi="Arial"/>
                <w:sz w:val="18"/>
                <w:szCs w:val="18"/>
                <w:color w:val="auto"/>
              </w:rPr>
              <w:t>- 30</w:t>
            </w:r>
          </w:p>
        </w:tc>
        <w:tc>
          <w:tcPr>
            <w:tcW w:w="3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w:t>
            </w: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MANPOWER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2003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-463550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-463550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-463550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-463550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-463550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-463550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-463550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-463550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-463550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-463550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-463550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 Plans</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reserved 2,250,000 shares of common stock for issuance under the 1990 Employee Stock Purchase Plan, of which 479,000 shares remained available for future issuance as of December 31, 2003. Under the plan, designated Manpower employees meeting certain service requirements may purchase shares of our common stock through payroll deductions. These shares may be purchased at the lesser of 85% of their fair market value at the beginning or end of each year. During 2003, 2002 and 2001, employees purchased 193,000, 136,000 and 67,000 shares, respectively, under the plan.</w:t>
      </w:r>
    </w:p>
    <w:p>
      <w:pPr>
        <w:spacing w:after="0" w:line="93" w:lineRule="exact"/>
        <w:rPr>
          <w:sz w:val="20"/>
          <w:szCs w:val="20"/>
          <w:color w:val="auto"/>
        </w:rPr>
      </w:pPr>
    </w:p>
    <w:p>
      <w:pPr>
        <w:ind w:right="9320" w:firstLine="8"/>
        <w:spacing w:after="0" w:line="332" w:lineRule="auto"/>
        <w:tabs>
          <w:tab w:leader="none" w:pos="26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Defined Benefit Plans</w:t>
      </w:r>
    </w:p>
    <w:p>
      <w:pPr>
        <w:spacing w:after="0" w:line="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sponsor several qualified and nonqualified pension plans covering substantially all permanent employees. The reconciliation of the changes in the plans’ benefit obligations and the fair value of plan assets and the statement of the funded status of the plans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5"/>
                <w:szCs w:val="15"/>
                <w:color w:val="auto"/>
              </w:rPr>
            </w:pPr>
          </w:p>
        </w:tc>
        <w:tc>
          <w:tcPr>
            <w:tcW w:w="14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NON-U.S.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3"/>
              </w:rPr>
              <w:t>2002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cost</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Plan participant contributions</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exchange rate changes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103.4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Plan participant contributions</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Benefits paid</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rate changes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Funded status of plan</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(12.9)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(36.3)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 loss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transitional asset</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(16.8)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(19.7)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9"/>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MANPOWER INC.</w:t>
            </w:r>
          </w:p>
        </w:tc>
        <w:tc>
          <w:tcPr>
            <w:tcW w:w="3680" w:type="dxa"/>
            <w:vAlign w:val="bottom"/>
            <w:vMerge w:val="restart"/>
          </w:tcPr>
          <w:p>
            <w:pPr>
              <w:jc w:val="right"/>
              <w:ind w:right="197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4400" w:type="dxa"/>
            <w:vAlign w:val="bottom"/>
            <w:gridSpan w:val="2"/>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2003 ANNUAL REPORT</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-3996690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-3996690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-3996690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-3996690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-3996690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-3996690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-3996690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-3996690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-3996690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-3996690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-3996690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-3996690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-2590165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-2590165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-2590165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-2590165</wp:posOffset>
            </wp:positionV>
            <wp:extent cx="33845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-2590165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-2590165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-2590165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-2590165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-2590165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-2590165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-1457960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-1457960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-1457960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-1457960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-1457960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-1457960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-1457960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-1457960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-1457960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-1457960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-1457960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-1457960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-463550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-463550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-463550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-463550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-463550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-463550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-463550</wp:posOffset>
            </wp:positionV>
            <wp:extent cx="930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02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use a September 30 measurement date for the U.S. plans.</w:t>
      </w:r>
    </w:p>
    <w:p>
      <w:pPr>
        <w:spacing w:after="0" w:line="15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accumulated benefit obligation for our U.S. plans that have plan assets was $29.8 and $29.3 as of December 31, 2003 and 2002, respectively. By its nature, the other U.S. plan does not have plan assets and the accumulated benefit obligation was $12.7 as of December 31, 2003 and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two of our non-U.S. plans that have plan assets exceed the fair value of those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all plans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87"/>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(5.7)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loss (gain)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unrecognized transitional asset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6.4</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32"/>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w w:val="92"/>
              </w:rPr>
              <w:t>The weighted-average assumptions used in the measurement of the benefit obligation are as follows: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U.S. PLANS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12"/>
          </w:tcPr>
          <w:p>
            <w:pPr>
              <w:jc w:val="right"/>
              <w:ind w:right="360"/>
              <w:spacing w:after="0"/>
              <w:rPr>
                <w:sz w:val="20"/>
                <w:szCs w:val="20"/>
                <w:color w:val="auto"/>
              </w:rPr>
            </w:pPr>
            <w:r>
              <w:rPr>
                <w:rFonts w:ascii="Arial" w:cs="Arial" w:eastAsia="Arial" w:hAnsi="Arial"/>
                <w:sz w:val="14"/>
                <w:szCs w:val="14"/>
                <w:b w:val="1"/>
                <w:bCs w:val="1"/>
                <w:color w:val="auto"/>
                <w:w w:val="98"/>
              </w:rPr>
              <w:t>NON - U.S.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4"/>
          </w:tcPr>
          <w:p>
            <w:pPr>
              <w:ind w:left="6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6.3%</w:t>
            </w:r>
          </w:p>
        </w:tc>
        <w:tc>
          <w:tcPr>
            <w:tcW w:w="3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4.5%</w:t>
            </w:r>
          </w:p>
        </w:tc>
        <w:tc>
          <w:tcPr>
            <w:tcW w:w="360" w:type="dxa"/>
            <w:vAlign w:val="bottom"/>
          </w:tcPr>
          <w:p>
            <w:pPr>
              <w:spacing w:after="0"/>
              <w:rPr>
                <w:sz w:val="19"/>
                <w:szCs w:val="19"/>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5.0%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96"/>
        </w:trPr>
        <w:tc>
          <w:tcPr>
            <w:tcW w:w="7700" w:type="dxa"/>
            <w:vAlign w:val="bottom"/>
            <w:gridSpan w:val="4"/>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7900" w:type="dxa"/>
            <w:vAlign w:val="bottom"/>
            <w:gridSpan w:val="6"/>
          </w:tcPr>
          <w:p>
            <w:pPr>
              <w:spacing w:after="0"/>
              <w:rPr>
                <w:sz w:val="20"/>
                <w:szCs w:val="20"/>
                <w:color w:val="auto"/>
              </w:rPr>
            </w:pPr>
            <w:r>
              <w:rPr>
                <w:rFonts w:ascii="Arial" w:cs="Arial" w:eastAsia="Arial" w:hAnsi="Arial"/>
                <w:sz w:val="18"/>
                <w:szCs w:val="18"/>
                <w:color w:val="auto"/>
                <w:w w:val="91"/>
              </w:rPr>
              <w:t>The weighted-average assumptions used in the measurement of the net periodic benefit cost are as follows: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U.S. PLANS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9"/>
          </w:tcPr>
          <w:p>
            <w:pPr>
              <w:ind w:left="20"/>
              <w:spacing w:after="0"/>
              <w:rPr>
                <w:sz w:val="20"/>
                <w:szCs w:val="20"/>
                <w:color w:val="auto"/>
              </w:rPr>
            </w:pPr>
            <w:r>
              <w:rPr>
                <w:rFonts w:ascii="Arial" w:cs="Arial" w:eastAsia="Arial" w:hAnsi="Arial"/>
                <w:sz w:val="14"/>
                <w:szCs w:val="14"/>
                <w:b w:val="1"/>
                <w:bCs w:val="1"/>
                <w:color w:val="auto"/>
                <w:w w:val="93"/>
              </w:rPr>
              <w:t>NON - U.S. PLANS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2002</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4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68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8.5%</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8.5%</w:t>
            </w:r>
          </w:p>
        </w:tc>
        <w:tc>
          <w:tcPr>
            <w:tcW w:w="680" w:type="dxa"/>
            <w:vAlign w:val="bottom"/>
            <w:gridSpan w:val="5"/>
          </w:tcPr>
          <w:p>
            <w:pPr>
              <w:jc w:val="right"/>
              <w:ind w:right="112"/>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6.1%</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2"/>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68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-2616835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-2616835</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-2616835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-2616835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-2616835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-2616835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-2616835</wp:posOffset>
            </wp:positionV>
            <wp:extent cx="27876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22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overall expected long-term rate of return on U.S. plan assets is 8.5%.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via a building block approach with proper consideration of diversification and rebalancing. Peer data and historical returns are reviewed to check for reasonableness and appropriateness.</w:t>
      </w:r>
    </w:p>
    <w:p>
      <w:pPr>
        <w:spacing w:after="0" w:line="102"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Projected salary levels utilized in the determination of the projected benefit obligation for the pension plans are based upon historical experience. The unrecognized transitional asset is being amortized over the estimated remaining service lives of the employees.</w:t>
      </w:r>
    </w:p>
    <w:p>
      <w:pPr>
        <w:spacing w:after="0" w:line="66"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065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U.S. pension plan weighted-average asset allocations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61.7%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23.8%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Cash and other</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14.5%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use an external investment manager to assist us in establishing our investment strategies and policies. Our long-term objective is to minimize plan expenses and contributions by outperforming plan liabilities. We have historically used a balanced portfolio strategy based on a target allocation of 60% equity securities and 40% fixed-income instruments. This target allocation was determined based on the favorable risk tolerance characteristics of the plan and, at times, may be adjusted within a specified range to advance our overall objective. The equity portfolio is managed using a value style with diversified, domestic, mid-cap securities. At times, an international equity position may be used to enhance long-term results and adjust diversification. The fixed-income portfolio is managed by utilizing intermediate term, high credit quality instruments.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Plan assets are primarily comprised of common stocks, professionally-managed equity and bond funds, and U.S. and U.K. government and agency securities. The U.S. plan assets do not include any of our debt or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Health Care Plan</w:t>
      </w:r>
    </w:p>
    <w:p>
      <w:pPr>
        <w:spacing w:after="0" w:line="83"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are as follows: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Actuarial loss (gain)</w:t>
            </w: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38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Unrecognized net gain</w:t>
            </w: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recognized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U.S. postretirement health care plans provide for prescription drug benefits. On December 8, 2003, the Medicare Prescription Drug Improvement and Modernization Act of 2003 (“the Act”) was signed into law. The Act introduces a prescription drug benefit under Medicare (Medicare Part D) as well as a federal subsidy to sponsors of retiree health care benefit plans that provide a benefit that is at least actuarially equivalent to Medicare Part D. Specific authoritative guidance on the accounting for the federal subsidy is pending and that guidance, when issued, could require us to change previously reported information.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a December 31 measurement date for this plan. The discount rate used in the measurement of the benefit obligation was 6.3% and 6.5% in 2003 and 2002, respectively. The discount rate used in the measurement of net periodic benefit cost was 6.5%, 7.5% and 7.5% in 2003, 2002 and 2001, respectively. The components of net periodic benefit cost for this plan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8"/>
                <w:szCs w:val="18"/>
                <w:color w:val="auto"/>
              </w:rPr>
            </w:pP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87"/>
              </w:rPr>
              <w:t>1.3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9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gain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w:t>
            </w:r>
          </w:p>
        </w:tc>
        <w:tc>
          <w:tcPr>
            <w:tcW w:w="420" w:type="dxa"/>
            <w:vAlign w:val="bottom"/>
            <w:shd w:val="clear" w:color="auto" w:fill="CCEEFF"/>
          </w:tcPr>
          <w:p>
            <w:pPr>
              <w:spacing w:after="0"/>
              <w:rPr>
                <w:sz w:val="18"/>
                <w:szCs w:val="18"/>
                <w:color w:val="auto"/>
              </w:rPr>
            </w:pP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health care cost trend rate was assumed to be 11.0% for 2003, decreasing gradually to 5.5% for the years 2009 and beyond. Assumed health care cost trend rates have a significant effect on the amounts reported. A one-percentage point change in the assumed health care cost trend rate would have the following effects:</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620" w:type="dxa"/>
            <w:vAlign w:val="bottom"/>
            <w:gridSpan w:val="3"/>
          </w:tcPr>
          <w:p>
            <w:pPr>
              <w:ind w:left="1680"/>
              <w:spacing w:after="0"/>
              <w:rPr>
                <w:sz w:val="20"/>
                <w:szCs w:val="20"/>
                <w:color w:val="auto"/>
              </w:rPr>
            </w:pPr>
            <w:r>
              <w:rPr>
                <w:rFonts w:ascii="Arial" w:cs="Arial" w:eastAsia="Arial" w:hAnsi="Arial"/>
                <w:sz w:val="14"/>
                <w:szCs w:val="14"/>
                <w:b w:val="1"/>
                <w:bCs w:val="1"/>
                <w:color w:val="auto"/>
                <w:w w:val="95"/>
              </w:rPr>
              <w:t>1% INCREASE</w:t>
            </w:r>
          </w:p>
        </w:tc>
        <w:tc>
          <w:tcPr>
            <w:tcW w:w="2160" w:type="dxa"/>
            <w:vAlign w:val="bottom"/>
            <w:gridSpan w:val="4"/>
          </w:tcPr>
          <w:p>
            <w:pPr>
              <w:ind w:left="108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0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contribute $1.8 to our U.S. pension plans and $1.1 to our retiree health care plan in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defined contribution plans covering substantially all permanent U.S. employees. Employees may elect to contribute a portion of their salary to the plans and we match a portion of their contributions up to a maximum percentage of the employee’s salary. In addition, profit sharing contributions are made if a targeted earnings level is reached in the United States. The total expense for our match and any profit sharing contributions was $4.4, $3.4 and $2.9 for 2003, 2002 and 2001, respectively. As of December 31, 2003, less than 3% of the plans’ assets were invested in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$ 47.3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Unrealized gain (loss) on investments</w:t>
            </w:r>
          </w:p>
        </w:tc>
        <w:tc>
          <w:tcPr>
            <w:tcW w:w="5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5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Minimum pension liability adjustment</w:t>
            </w:r>
          </w:p>
        </w:tc>
        <w:tc>
          <w:tcPr>
            <w:tcW w:w="5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$ 28.3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(123.7)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(190.8)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720" w:type="dxa"/>
            <w:vAlign w:val="bottom"/>
          </w:tcPr>
          <w:p>
            <w:pPr>
              <w:jc w:val="right"/>
              <w:ind w:right="2955"/>
              <w:spacing w:after="0"/>
              <w:rPr>
                <w:sz w:val="20"/>
                <w:szCs w:val="20"/>
                <w:color w:val="auto"/>
              </w:rPr>
            </w:pPr>
            <w:r>
              <w:rPr>
                <w:rFonts w:ascii="Arial" w:cs="Arial" w:eastAsia="Arial" w:hAnsi="Arial"/>
                <w:sz w:val="18"/>
                <w:szCs w:val="18"/>
                <w:color w:val="auto"/>
              </w:rPr>
              <w:t>067</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MANPOWER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6"/>
          </w:tcPr>
          <w:p>
            <w:pPr>
              <w:jc w:val="right"/>
              <w:spacing w:after="0"/>
              <w:rPr>
                <w:sz w:val="20"/>
                <w:szCs w:val="20"/>
                <w:color w:val="auto"/>
              </w:rPr>
            </w:pPr>
            <w:r>
              <w:rPr>
                <w:rFonts w:ascii="Arial" w:cs="Arial" w:eastAsia="Arial" w:hAnsi="Arial"/>
                <w:sz w:val="18"/>
                <w:szCs w:val="18"/>
                <w:b w:val="1"/>
                <w:bCs w:val="1"/>
                <w:color w:val="auto"/>
                <w:w w:val="97"/>
              </w:rPr>
              <w:t>2003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-463550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-463550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-463550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-463550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-463550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-463550</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-463550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-463550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-463550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8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initial or remaining terms of one year or more consist of the following as of December 31, 2003:</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90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2005</w:t>
            </w:r>
          </w:p>
        </w:tc>
        <w:tc>
          <w:tcPr>
            <w:tcW w:w="4900" w:type="dxa"/>
            <w:vAlign w:val="bottom"/>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90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2007</w:t>
            </w:r>
          </w:p>
        </w:tc>
        <w:tc>
          <w:tcPr>
            <w:tcW w:w="4900" w:type="dxa"/>
            <w:vAlign w:val="bottom"/>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90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$167.2, $148.3 and $136.6 for the years ended December 31, 2003, 2002 and 2001, respectively.</w:t>
      </w:r>
    </w:p>
    <w:p>
      <w:pPr>
        <w:spacing w:after="0" w:line="152" w:lineRule="exact"/>
        <w:rPr>
          <w:sz w:val="20"/>
          <w:szCs w:val="20"/>
          <w:color w:val="auto"/>
        </w:rPr>
      </w:pPr>
    </w:p>
    <w:p>
      <w:pPr>
        <w:ind w:right="7740" w:firstLine="8"/>
        <w:spacing w:after="0" w:line="423" w:lineRule="auto"/>
        <w:tabs>
          <w:tab w:leader="none" w:pos="26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 AND OTHER EXPENSE </w:t>
      </w:r>
      <w:r>
        <w:rPr>
          <w:rFonts w:ascii="Arial" w:cs="Arial" w:eastAsia="Arial" w:hAnsi="Arial"/>
          <w:sz w:val="16"/>
          <w:szCs w:val="16"/>
          <w:color w:val="auto"/>
        </w:rPr>
        <w:t>Interest and other expense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35"/>
              <w:spacing w:after="0"/>
              <w:rPr>
                <w:sz w:val="20"/>
                <w:szCs w:val="20"/>
                <w:color w:val="auto"/>
              </w:rPr>
            </w:pPr>
            <w:r>
              <w:rPr>
                <w:rFonts w:ascii="Arial" w:cs="Arial" w:eastAsia="Arial" w:hAnsi="Arial"/>
                <w:sz w:val="14"/>
                <w:szCs w:val="14"/>
                <w:b w:val="1"/>
                <w:bCs w:val="1"/>
                <w:color w:val="auto"/>
                <w:w w:val="76"/>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$ 41.4</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040" w:type="dxa"/>
            <w:vAlign w:val="bottom"/>
            <w:gridSpan w:val="4"/>
          </w:tcPr>
          <w:p>
            <w:pPr>
              <w:jc w:val="right"/>
              <w:ind w:right="3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(gains) losses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Fees and loss on sale of accounts receivable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$ 35.8</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9591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3845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the fourth quarter of 2002, miscellaneous expenses included a charge of $5.1 related to a writedown of equity security investments where the decline in market value was determined to be other-than-temporary, as defined by SFAS No.115, “Accounting for Certain Debt and Equity Securities.” During 2001, miscellaneous expenses included a gain on the sale of a minority-owned subsidiary offset by a writedown of an investment.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ind w:right="7480" w:firstLine="8"/>
        <w:spacing w:after="0" w:line="373" w:lineRule="auto"/>
        <w:tabs>
          <w:tab w:leader="none" w:pos="26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 Foreign Currency Exchange Rate Risk Management</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certain circumstances, we enter into foreign currency forward exchange contracts to reduce the effects of fluctuating foreign currency exchange rates on cash flows with foreign subsidiaries. All such contracts entered into during 2003 were designated as cash flow hedges and were considered highly effective, as defined by SFAS No. 133, as amended. As of December 31, 2003, there was a €19.0 ($23.5) contract and a Danish Krone 7.0 ($1.2) contract outstanding related to cash flows to be received from our foreign subsidiaries in January 2004. Both of these contracts were designated as cash flow hedges and were considered highly effective as of December 31, 2003.</w:t>
      </w:r>
    </w:p>
    <w:p>
      <w:pPr>
        <w:spacing w:after="0" w:line="1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Five-year Facility borrowings of €100.0 ($126.0) and the €200.0 ($251.9) in unsecured notes, have been designated and are effective as economic hedges of our net investment in our foreign subsidiaries with a Euro-functional currency. Therefore, all translation gains or losses related to these borrowings are recorded as a component of Accumulated other comprehensive income (loss).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September 2002, we entered into derivative financial instruments to swap our €150.0 ($191.1) unsecured notes, at 6.25% due March 2005, to floating U.S. LIBOR, with a current effective interest rate of 3.84%. These instruments expire in March 2005. Gains and losses arising from foreign exchange fluctuations throughout the contract term on the derivative instruments are recorded in the consolidated statements of operations, offsetting the foreign exchange gain or loss recorded on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previously mentioned, we entered into derivative instruments to swap our €150.0 ($191.1) unsecured notes, at 6.25% due March 2005, to floating U.S. LIBOR, with a current effective interest rate of 3.84%. We designated these interest rate swaps as a fair value hedge, offsetting changes in the fair value of the notes that are due to interest rate fluctuations. Changes in the fair value hedge and the fair value of the notes throughout the contract term will be reflected in the consolidated statements of operations. These instruments had a $5.0 favorable impact on interest expense in 2003 and an immaterial impact in 2002. Any ineffectiveness on the swaps is recorded in the consolidated statements of operations and was immaterial for 2003 and 2002.</w:t>
      </w:r>
    </w:p>
    <w:p>
      <w:pPr>
        <w:spacing w:after="0" w:line="102"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have various interest rate swap agreements to fix our interest costs on a portion of our Euro-denominated variable rate borrowings. The Euro interest rate swap agreements have a notional value of €100.0 ($126.0) which fix the interest rate, on a weighted-average basis, at 5.7% and expire in 2010. Such contracts have been designated as cash flow hedges and were considered highly effective, as defined by SFAS No. 133, as amended, as of December 31, 2003. For the years ended December 31, 2003, 2002 and 2001 these instruments increased interest expense by $3.9, $2.3, and $1.2,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During March 2003, we terminated our interest rate swap agreement with a notional value of ¥4,000.0 ($34.0), which was scheduled to expire in June 2003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 In September 2003, we terminated our interest rate swap agreement with a notional value of ¥4,150.0 ($36.1), which was scheduled to expire in 2006 for $.5.</w:t>
      </w:r>
    </w:p>
    <w:p>
      <w:pPr>
        <w:spacing w:after="0" w:line="168"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069</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derivative financial instruments are reflected in the consolidated balance sheets as Other assets or Other long-term liabilities.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the balances are as follows: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€150.0 Swaps</w:t>
            </w:r>
          </w:p>
        </w:tc>
        <w:tc>
          <w:tcPr>
            <w:tcW w:w="35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$ 52.0</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€100.0 Interest Rate Swaps</w:t>
            </w:r>
          </w:p>
        </w:tc>
        <w:tc>
          <w:tcPr>
            <w:tcW w:w="3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¥8,150.0 Interest Rate Swaps</w:t>
            </w:r>
          </w:p>
        </w:tc>
        <w:tc>
          <w:tcPr>
            <w:tcW w:w="3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Forward contracts</w:t>
            </w:r>
          </w:p>
        </w:tc>
        <w:tc>
          <w:tcPr>
            <w:tcW w:w="3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$ 37.2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2131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19" w:lineRule="exact"/>
        <w:rPr>
          <w:sz w:val="20"/>
          <w:szCs w:val="20"/>
          <w:color w:val="auto"/>
        </w:rPr>
      </w:pPr>
    </w:p>
    <w:p>
      <w:pPr>
        <w:ind w:right="9620" w:firstLine="8"/>
        <w:spacing w:after="0" w:line="373" w:lineRule="auto"/>
        <w:tabs>
          <w:tab w:leader="none" w:pos="26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 Litigation</w:t>
      </w:r>
    </w:p>
    <w:p>
      <w:pPr>
        <w:spacing w:after="0" w:line="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are involved in a number of lawsuits arising in the ordinary course of business which will not, in the opinion of management, have a material effect on our results of operations, financial position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entered into certain guarantee contracts and stand-by letters of credit that total $135.4 ($68.7 for guarantees and $66.7 for stand-by letters of credit). The guarantees primarily relate to government requirements for operating a temporary service company in certain countries, operating leases, bank accounts and indebtedness. The stand-by letters of credit relate to workers’ compensation, operating leases and indebtedness. If certain conditions were met under these arrangements, we would be required to satisfy our obligation in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DATA</w:t>
      </w:r>
    </w:p>
    <w:p>
      <w:pPr>
        <w:spacing w:after="0" w:line="8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organized and managed primarily on a geographic basis. Each country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and Other Operations.</w:t>
      </w:r>
    </w:p>
    <w:p>
      <w:pPr>
        <w:spacing w:after="0" w:line="13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2001 results for EMEA represent a combination of operations historically included in segments referred to as United Kingdom and Other Europe. This combination aligns with how we now manage our foreign operations. In addition, central costs for EMEA which historically have been included in corporate expense are now included in the determination of Operating unit profit.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segment derives a significant majority of its revenues from the placement of temporary workers. The remaining revenues are derived from other human resource services, including temporary and permanent employee testing, selection, training and development; internal audit, accounting, technology and tax services; and organizational-performance consulting. Segment revenues represent sales to external customers primarily within a single segment. Due to the nature of our business, we do not have export or intersegment sales. We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1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18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provide services to a wide variety of customers, none of which individually comprise a significant portion of revenue within a segment, geographic region or for us as a whole. The accounting policies of the segments are the same as those described in the summary of significant accounting policies. We evaluate performance based on Operating unit profit, which is equal to segment revenues less direct costs and branch and national headquarter operating costs. This profit measure does not include certain nonrecurring items, goodwill amortization, interest and other income and expense amounts or income taxes. Total assets for the segments are reported after the elimination of investments in subsidiaries and intercompany accounts.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gridSpan w:val="2"/>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Revenues from Services</w:t>
            </w:r>
            <w:r>
              <w:rPr>
                <w:rFonts w:ascii="Arial" w:cs="Arial" w:eastAsia="Arial" w:hAnsi="Arial"/>
                <w:sz w:val="22"/>
                <w:szCs w:val="22"/>
                <w:b w:val="1"/>
                <w:bCs w:val="1"/>
                <w:color w:val="auto"/>
                <w:vertAlign w:val="superscript"/>
              </w:rPr>
              <w: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line="217" w:lineRule="exact"/>
              <w:rPr>
                <w:sz w:val="20"/>
                <w:szCs w:val="20"/>
                <w:color w:val="auto"/>
              </w:rPr>
            </w:pPr>
            <w:r>
              <w:rPr>
                <w:rFonts w:ascii="Arial" w:cs="Arial" w:eastAsia="Arial" w:hAnsi="Arial"/>
                <w:sz w:val="18"/>
                <w:szCs w:val="18"/>
                <w:color w:val="auto"/>
              </w:rPr>
              <w:t>United States</w:t>
            </w:r>
            <w:r>
              <w:rPr>
                <w:rFonts w:ascii="Arial" w:cs="Arial" w:eastAsia="Arial" w:hAnsi="Arial"/>
                <w:sz w:val="22"/>
                <w:szCs w:val="22"/>
                <w:color w:val="auto"/>
                <w:vertAlign w:val="superscript"/>
              </w:rPr>
              <w:t>(b)</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1,945.8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1,911.4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2,003.4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4,638.8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3,766.4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3,920.2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3,434.9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3,428.7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1,679.7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1,285.3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12,184.5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10,483.8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gridSpan w:val="2"/>
          </w:tcPr>
          <w:p>
            <w:pPr>
              <w:spacing w:after="0"/>
              <w:rPr>
                <w:sz w:val="11"/>
                <w:szCs w:val="11"/>
                <w:color w:val="auto"/>
              </w:rPr>
            </w:pPr>
          </w:p>
        </w:tc>
        <w:tc>
          <w:tcPr>
            <w:tcW w:w="5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gridSpan w:val="2"/>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Amortization of goodwill and other intangible assets</w:t>
            </w:r>
          </w:p>
        </w:tc>
        <w:tc>
          <w:tcPr>
            <w:tcW w:w="120" w:type="dxa"/>
            <w:vAlign w:val="bottom"/>
          </w:tcPr>
          <w:p>
            <w:pPr>
              <w:spacing w:after="0"/>
              <w:rPr>
                <w:sz w:val="18"/>
                <w:szCs w:val="18"/>
                <w:color w:val="auto"/>
              </w:rPr>
            </w:pPr>
          </w:p>
        </w:tc>
        <w:tc>
          <w:tcPr>
            <w:tcW w:w="1040" w:type="dxa"/>
            <w:vAlign w:val="bottom"/>
            <w:gridSpan w:val="3"/>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gridSpan w:val="2"/>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gridSpan w:val="2"/>
          </w:tcPr>
          <w:p>
            <w:pPr>
              <w:spacing w:after="0"/>
              <w:rPr>
                <w:sz w:val="11"/>
                <w:szCs w:val="11"/>
                <w:color w:val="auto"/>
              </w:rPr>
            </w:pPr>
          </w:p>
        </w:tc>
        <w:tc>
          <w:tcPr>
            <w:tcW w:w="5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gridSpan w:val="2"/>
          </w:tcPr>
          <w:p>
            <w:pPr>
              <w:spacing w:after="0"/>
              <w:rPr>
                <w:sz w:val="11"/>
                <w:szCs w:val="11"/>
                <w:color w:val="auto"/>
              </w:rPr>
            </w:pPr>
          </w:p>
        </w:tc>
        <w:tc>
          <w:tcPr>
            <w:tcW w:w="5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from Investments in Licensees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Other Operations</w:t>
            </w:r>
          </w:p>
        </w:tc>
        <w:tc>
          <w:tcPr>
            <w:tcW w:w="120" w:type="dxa"/>
            <w:vAlign w:val="bottom"/>
          </w:tcPr>
          <w:p>
            <w:pPr>
              <w:spacing w:after="0"/>
              <w:rPr>
                <w:sz w:val="19"/>
                <w:szCs w:val="19"/>
                <w:color w:val="auto"/>
              </w:rPr>
            </w:pPr>
          </w:p>
        </w:tc>
        <w:tc>
          <w:tcPr>
            <w:tcW w:w="1040" w:type="dxa"/>
            <w:vAlign w:val="bottom"/>
            <w:gridSpan w:val="3"/>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0" w:type="dxa"/>
            <w:vAlign w:val="bottom"/>
            <w:gridSpan w:val="2"/>
            <w:vMerge w:val="restart"/>
          </w:tcPr>
          <w:p>
            <w:pPr>
              <w:spacing w:after="0"/>
              <w:rPr>
                <w:sz w:val="20"/>
                <w:szCs w:val="20"/>
                <w:color w:val="auto"/>
              </w:rPr>
            </w:pPr>
            <w:r>
              <w:rPr>
                <w:rFonts w:ascii="Arial" w:cs="Arial" w:eastAsia="Arial" w:hAnsi="Arial"/>
                <w:sz w:val="11"/>
                <w:szCs w:val="11"/>
                <w:color w:val="auto"/>
              </w:rPr>
              <w:t>a)</w:t>
            </w:r>
          </w:p>
        </w:tc>
        <w:tc>
          <w:tcPr>
            <w:tcW w:w="7700" w:type="dxa"/>
            <w:vAlign w:val="bottom"/>
            <w:gridSpan w:val="2"/>
            <w:vMerge w:val="restart"/>
          </w:tcPr>
          <w:p>
            <w:pPr>
              <w:ind w:left="180"/>
              <w:spacing w:after="0"/>
              <w:rPr>
                <w:sz w:val="20"/>
                <w:szCs w:val="20"/>
                <w:color w:val="auto"/>
              </w:rPr>
            </w:pPr>
            <w:r>
              <w:rPr>
                <w:rFonts w:ascii="Arial" w:cs="Arial" w:eastAsia="Arial" w:hAnsi="Arial"/>
                <w:sz w:val="18"/>
                <w:szCs w:val="18"/>
                <w:color w:val="auto"/>
              </w:rPr>
              <w:t>Supplemental geographic information is as follows:</w:t>
            </w: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260" w:type="dxa"/>
            <w:vAlign w:val="bottom"/>
            <w:gridSpan w:val="2"/>
            <w:vMerge w:val="continue"/>
          </w:tcPr>
          <w:p>
            <w:pPr>
              <w:spacing w:after="0"/>
              <w:rPr>
                <w:sz w:val="24"/>
                <w:szCs w:val="24"/>
                <w:color w:val="auto"/>
              </w:rPr>
            </w:pPr>
          </w:p>
        </w:tc>
        <w:tc>
          <w:tcPr>
            <w:tcW w:w="7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2,003.4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1,371.8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1,287.4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1,489.3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Foreign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10,092.1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8,547.0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8,480.4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-5121275</wp:posOffset>
            </wp:positionV>
            <wp:extent cx="49276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-5121275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-5121275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-5121275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-5121275</wp:posOffset>
            </wp:positionV>
            <wp:extent cx="49276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-3148965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-3148965</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-3148965</wp:posOffset>
            </wp:positionV>
            <wp:extent cx="3873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-3148965</wp:posOffset>
            </wp:positionV>
            <wp:extent cx="122174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2174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-2016760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-2016760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-2016760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-2016760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-2016760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-2016760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-2016760</wp:posOffset>
            </wp:positionV>
            <wp:extent cx="49276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-1021715</wp:posOffset>
            </wp:positionV>
            <wp:extent cx="195072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950720" cy="2984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The amount reported above for France is also on a geographic basis.</w:t>
      </w:r>
    </w:p>
    <w:p>
      <w:pPr>
        <w:spacing w:after="0" w:line="77" w:lineRule="exact"/>
        <w:rPr>
          <w:sz w:val="20"/>
          <w:szCs w:val="20"/>
          <w:color w:val="auto"/>
        </w:rPr>
      </w:pPr>
    </w:p>
    <w:p>
      <w:pPr>
        <w:ind w:left="460" w:right="420" w:hanging="452"/>
        <w:spacing w:after="0" w:line="272" w:lineRule="auto"/>
        <w:tabs>
          <w:tab w:leader="none" w:pos="460"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106"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071</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United States</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781.9</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1,555.2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EMEA</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1,367.6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1,153.5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1,044.5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22"/>
                <w:szCs w:val="22"/>
                <w:color w:val="auto"/>
                <w:vertAlign w:val="superscript"/>
              </w:rPr>
              <w:t>(a)</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4,384.9</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3,701.7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Licensees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United States</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Operations</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22"/>
                <w:szCs w:val="22"/>
                <w:b w:val="1"/>
                <w:bCs w:val="1"/>
                <w:color w:val="auto"/>
                <w:vertAlign w:val="superscript"/>
              </w:rPr>
              <w:t>(b)</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United States</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EMEA</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235.6</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Long-Lived Assets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United States</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EMEA</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-3562350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-3562350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-3562350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-3562350</wp:posOffset>
            </wp:positionV>
            <wp:extent cx="10248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-2567940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-2567940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-2567940</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-2567940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-2567940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-2567940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-2567940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-2567940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-2567940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-1298575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-1298575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-1298575</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-1298575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-1298575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-1298575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-1298575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-1298575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-1298575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54"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Corporate assets include assets that are not used in the operations of any segment.</w:t>
      </w:r>
    </w:p>
    <w:p>
      <w:pPr>
        <w:spacing w:after="0" w:line="75" w:lineRule="exact"/>
        <w:rPr>
          <w:rFonts w:ascii="Arial" w:cs="Arial" w:eastAsia="Arial" w:hAnsi="Arial"/>
          <w:sz w:val="22"/>
          <w:szCs w:val="22"/>
          <w:color w:val="auto"/>
          <w:vertAlign w:val="superscript"/>
        </w:rPr>
      </w:pPr>
    </w:p>
    <w:p>
      <w:pPr>
        <w:ind w:left="300" w:hanging="292"/>
        <w:spacing w:after="0" w:line="197" w:lineRule="auto"/>
        <w:tabs>
          <w:tab w:leader="none" w:pos="3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Supplemental geographic information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4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Foreign</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ind w:left="460"/>
              <w:spacing w:after="0"/>
              <w:rPr>
                <w:sz w:val="20"/>
                <w:szCs w:val="20"/>
                <w:color w:val="auto"/>
              </w:rPr>
            </w:pPr>
            <w:r>
              <w:rPr>
                <w:rFonts w:ascii="Arial" w:cs="Arial" w:eastAsia="Arial" w:hAnsi="Arial"/>
                <w:sz w:val="18"/>
                <w:szCs w:val="18"/>
                <w:color w:val="auto"/>
                <w:w w:val="87"/>
              </w:rPr>
              <w:t>Note: The amount reported above for France is also on a geographic basis.</w:t>
            </w:r>
          </w:p>
        </w:tc>
        <w:tc>
          <w:tcPr>
            <w:tcW w:w="280" w:type="dxa"/>
            <w:vAlign w:val="bottom"/>
          </w:tcPr>
          <w:p>
            <w:pPr>
              <w:spacing w:after="0"/>
              <w:rPr>
                <w:sz w:val="19"/>
                <w:szCs w:val="19"/>
                <w:color w:val="auto"/>
              </w:rPr>
            </w:pPr>
          </w:p>
        </w:tc>
      </w:tr>
      <w:tr>
        <w:trPr>
          <w:trHeight w:val="352"/>
        </w:trPr>
        <w:tc>
          <w:tcPr>
            <w:tcW w:w="574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072</w:t>
            </w:r>
          </w:p>
        </w:tc>
      </w:tr>
      <w:tr>
        <w:trPr>
          <w:trHeight w:val="228"/>
        </w:trPr>
        <w:tc>
          <w:tcPr>
            <w:tcW w:w="574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07" w:name="page108"/>
    <w:bookmarkEnd w:id="107"/>
    <w:p>
      <w:pPr>
        <w:ind w:left="8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DATA (UNAUDITED)</w:t>
      </w:r>
    </w:p>
    <w:p>
      <w:pPr>
        <w:spacing w:after="0" w:line="44" w:lineRule="exact"/>
        <w:rPr>
          <w:sz w:val="20"/>
          <w:szCs w:val="20"/>
          <w:color w:val="auto"/>
        </w:rPr>
      </w:pPr>
    </w:p>
    <w:p>
      <w:pPr>
        <w:ind w:left="8380"/>
        <w:spacing w:after="0"/>
        <w:rPr>
          <w:sz w:val="20"/>
          <w:szCs w:val="20"/>
          <w:color w:val="auto"/>
        </w:rPr>
      </w:pPr>
      <w:r>
        <w:rPr>
          <w:rFonts w:ascii="Arial" w:cs="Arial" w:eastAsia="Arial" w:hAnsi="Arial"/>
          <w:sz w:val="15"/>
          <w:szCs w:val="15"/>
          <w:color w:val="auto"/>
        </w:rPr>
        <w:t>in millions,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FIRST</w:t>
            </w:r>
          </w:p>
        </w:tc>
        <w:tc>
          <w:tcPr>
            <w:tcW w:w="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QUARTER</w:t>
            </w:r>
          </w:p>
        </w:tc>
        <w:tc>
          <w:tcPr>
            <w:tcW w:w="4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QUARTER</w:t>
            </w:r>
          </w:p>
        </w:tc>
        <w:tc>
          <w:tcPr>
            <w:tcW w:w="4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QUARTER</w:t>
            </w:r>
          </w:p>
        </w:tc>
        <w:tc>
          <w:tcPr>
            <w:tcW w:w="4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440" w:type="dxa"/>
            <w:vAlign w:val="bottom"/>
            <w:gridSpan w:val="2"/>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2,678.7</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3,013.4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3,203.2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3,289.2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earnings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2440" w:type="dxa"/>
            <w:vAlign w:val="bottom"/>
            <w:gridSpan w:val="2"/>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Market price: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Low</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2002</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440" w:type="dxa"/>
            <w:vAlign w:val="bottom"/>
            <w:gridSpan w:val="2"/>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2,284.0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2,602.9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2,885.9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2,838.1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earnings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2440" w:type="dxa"/>
            <w:vAlign w:val="bottom"/>
            <w:gridSpan w:val="2"/>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Market price: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Low</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rPr>
              <w:t>MANPOWER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6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2003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MEASURES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AND ORGANIC CONSTANT CURRENCY RECONCILIATION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financial results is provided below. (See Constant Currency on page 27 for further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IMPACT OF</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VARIANCE IN</w:t>
            </w:r>
          </w:p>
        </w:tc>
        <w:tc>
          <w:tcPr>
            <w:tcW w:w="17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ACQUISITIONS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REPORTED</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17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CONSTANT</w:t>
            </w: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(IN CONSTANT</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VARIANCE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7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5"/>
              </w:rPr>
              <w:t>CURRENCY</w:t>
            </w:r>
          </w:p>
        </w:tc>
        <w:tc>
          <w:tcPr>
            <w:tcW w:w="17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CURRENCY)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2002</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Revenues from Services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France</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Unit Profit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France</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Operations</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Manpower Inc.</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Net Earnings per Share - Diluted</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Revenues from Services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France</w:t>
            </w: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Unit Profit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France</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324.1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Manpower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Net Earnings per Share - Diluted</w:t>
            </w: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3980" w:type="dxa"/>
            <w:vAlign w:val="bottom"/>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MANPOWER INC.</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074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2003 ANNUAL REPORT</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-2976245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-2976245</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-2976245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-2976245</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-2976245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-2976245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-2976245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-2976245</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-2976245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-2976245</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-463550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-463550</wp:posOffset>
            </wp:positionV>
            <wp:extent cx="387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-463550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-463550</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-463550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-463550</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-463550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-463550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-463550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-463550</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12,184.5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10,610.9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10,483.8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10,842.8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9,770.1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2,136.8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Operating profit</w:t>
            </w:r>
            <w:r>
              <w:rPr>
                <w:rFonts w:ascii="Arial" w:cs="Arial" w:eastAsia="Arial" w:hAnsi="Arial"/>
                <w:sz w:val="22"/>
                <w:szCs w:val="22"/>
                <w:color w:val="auto"/>
                <w:vertAlign w:val="superscript"/>
              </w:rPr>
              <w:t>(a)</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earnings</w:t>
            </w:r>
            <w:r>
              <w:rPr>
                <w:rFonts w:ascii="Arial" w:cs="Arial" w:eastAsia="Arial" w:hAnsi="Arial"/>
                <w:sz w:val="22"/>
                <w:szCs w:val="22"/>
                <w:color w:val="auto"/>
                <w:vertAlign w:val="superscript"/>
              </w:rPr>
              <w:t>(a)</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Net earnings</w:t>
            </w:r>
            <w:r>
              <w:rPr>
                <w:rFonts w:ascii="Arial" w:cs="Arial" w:eastAsia="Arial" w:hAnsi="Arial"/>
                <w:sz w:val="22"/>
                <w:szCs w:val="22"/>
                <w:color w:val="auto"/>
                <w:vertAlign w:val="superscript"/>
              </w:rPr>
              <w:t>(a)</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earnings – diluted</w:t>
            </w:r>
            <w:r>
              <w:rPr>
                <w:rFonts w:ascii="Arial" w:cs="Arial" w:eastAsia="Arial" w:hAnsi="Arial"/>
                <w:sz w:val="22"/>
                <w:szCs w:val="22"/>
                <w:color w:val="auto"/>
                <w:vertAlign w:val="superscript"/>
              </w:rPr>
              <w:t>(a)</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assets</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4,384.9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3,701.7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3,238.6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3,041.6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2,718.7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-1315720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-1315720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-1315720</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-1315720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-1315720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-1315720</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-1315720</wp:posOffset>
            </wp:positionV>
            <wp:extent cx="174498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4498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-603885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-603885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-603885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-603885</wp:posOffset>
            </wp:positionV>
            <wp:extent cx="24136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4136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46736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4070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should be read in conjunction with the above summary.</w:t>
      </w:r>
    </w:p>
    <w:p>
      <w:pPr>
        <w:spacing w:after="0" w:line="77" w:lineRule="exact"/>
        <w:rPr>
          <w:sz w:val="20"/>
          <w:szCs w:val="20"/>
          <w:color w:val="auto"/>
        </w:rPr>
      </w:pPr>
    </w:p>
    <w:p>
      <w:pPr>
        <w:ind w:left="460" w:right="360" w:hanging="452"/>
        <w:spacing w:after="0" w:line="241" w:lineRule="auto"/>
        <w:tabs>
          <w:tab w:leader="none" w:pos="460"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On January 1, 2002, we adopted SFAS No. 142, “Goodwill and Other Intangible Assets,” which prohibits the amortization of goodwill and identifiable intangible assets with an indefinite life. (See notes 1 and 6 to the consolidated financial statements for further information.)</w:t>
      </w:r>
    </w:p>
    <w:p>
      <w:pPr>
        <w:spacing w:after="0" w:line="136"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075</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1">
            <w:col w:w="11420"/>
          </w:cols>
          <w:pgMar w:left="240" w:top="27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HEADQUARTERS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www.manpower.com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3315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Hackensack, NJ 07606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www.melloninvestor.com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NYSE Symbol: MAN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WEBSITE</w:t>
      </w:r>
    </w:p>
    <w:p>
      <w:pPr>
        <w:spacing w:after="0" w:line="77" w:lineRule="exact"/>
        <w:rPr>
          <w:sz w:val="20"/>
          <w:szCs w:val="20"/>
          <w:color w:val="auto"/>
        </w:rPr>
      </w:pPr>
    </w:p>
    <w:p>
      <w:pPr>
        <w:ind w:right="40"/>
        <w:spacing w:after="0" w:line="378" w:lineRule="auto"/>
        <w:rPr>
          <w:sz w:val="20"/>
          <w:szCs w:val="20"/>
          <w:color w:val="auto"/>
        </w:rPr>
      </w:pPr>
      <w:r>
        <w:rPr>
          <w:rFonts w:ascii="Arial" w:cs="Arial" w:eastAsia="Arial" w:hAnsi="Arial"/>
          <w:sz w:val="15"/>
          <w:szCs w:val="15"/>
          <w:color w:val="auto"/>
        </w:rPr>
        <w:t xml:space="preserve">The most current corporate and investor information can be found on the Manpower Inc. corporate website at </w:t>
      </w:r>
      <w:r>
        <w:rPr>
          <w:rFonts w:ascii="Arial" w:cs="Arial" w:eastAsia="Arial" w:hAnsi="Arial"/>
          <w:sz w:val="15"/>
          <w:szCs w:val="15"/>
          <w:b w:val="1"/>
          <w:bCs w:val="1"/>
          <w:color w:val="auto"/>
        </w:rPr>
        <w:t>www.manpower.com</w:t>
      </w:r>
      <w:r>
        <w:rPr>
          <w:rFonts w:ascii="Arial" w:cs="Arial" w:eastAsia="Arial" w:hAnsi="Arial"/>
          <w:sz w:val="15"/>
          <w:szCs w:val="15"/>
          <w:color w:val="auto"/>
        </w:rPr>
        <w:t xml:space="preserve">. Interested individuals may also choose to receive Manpower press releases and other information via e-mail by subscribing to our E-mail Alert service at </w:t>
      </w:r>
      <w:r>
        <w:rPr>
          <w:rFonts w:ascii="Arial" w:cs="Arial" w:eastAsia="Arial" w:hAnsi="Arial"/>
          <w:sz w:val="15"/>
          <w:szCs w:val="15"/>
          <w:b w:val="1"/>
          <w:bCs w:val="1"/>
          <w:color w:val="auto"/>
        </w:rPr>
        <w:t>www.investor.manpower.com</w:t>
      </w:r>
      <w:r>
        <w:rPr>
          <w:rFonts w:ascii="Arial" w:cs="Arial" w:eastAsia="Arial" w:hAnsi="Arial"/>
          <w:sz w:val="15"/>
          <w:szCs w:val="15"/>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Manpower’s governance structure is designed to ensure transparency in our operations and adherence to the regulations set forth by the U.S. Securities and Exchange Commission (SEC). Information on Manpower’s corporate governance structure and related policies can be found online at </w:t>
      </w:r>
      <w:r>
        <w:rPr>
          <w:rFonts w:ascii="Arial" w:cs="Arial" w:eastAsia="Arial" w:hAnsi="Arial"/>
          <w:sz w:val="18"/>
          <w:szCs w:val="18"/>
          <w:b w:val="1"/>
          <w:bCs w:val="1"/>
          <w:color w:val="auto"/>
        </w:rPr>
        <w:t>www.manpower.com</w:t>
      </w:r>
      <w:r>
        <w:rPr>
          <w:rFonts w:ascii="Arial" w:cs="Arial" w:eastAsia="Arial" w:hAnsi="Arial"/>
          <w:sz w:val="18"/>
          <w:szCs w:val="18"/>
          <w:color w:val="auto"/>
        </w:rPr>
        <w:t xml:space="preserve"> in the section titled, “About Manpower.”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January 29, 2004, the Corporate Governance Quotient indicated that Manpower outperformed 93.9% of the companies in the S&amp;P 400 and 98.3% of the companies in the Commercial Services &amp; Supplies group. The Corporate Governance Quotient index is issued by Institutional Shareholder Services, a respected authority on proxy voting and corporate governance.</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Governance Metrics International, an independent corporate governance rating agency, rated Manpower an 8 on a scale of 1 to 10, with 10 being the highest ranking, in January 2004. The average score of all companies rated by GMI is 6.5.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 copy of the Form 10-K filed with the Securities and Exchange Commission for the year ended December 31, 2003 is available without charge and can be requested online at </w:t>
      </w:r>
      <w:r>
        <w:rPr>
          <w:rFonts w:ascii="Arial" w:cs="Arial" w:eastAsia="Arial" w:hAnsi="Arial"/>
          <w:sz w:val="18"/>
          <w:szCs w:val="18"/>
          <w:b w:val="1"/>
          <w:bCs w:val="1"/>
          <w:color w:val="auto"/>
        </w:rPr>
        <w:t>www.investor.manpower.com</w:t>
      </w:r>
      <w:r>
        <w:rPr>
          <w:rFonts w:ascii="Arial" w:cs="Arial" w:eastAsia="Arial" w:hAnsi="Arial"/>
          <w:sz w:val="18"/>
          <w:szCs w:val="18"/>
          <w:color w:val="auto"/>
        </w:rPr>
        <w:t xml:space="preserve"> or by writing 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April 27, 2004 at 9:00 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International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12, 2004, Manpower Inc. common stock was held by approximately 7,600 record holders.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08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28"/>
        </w:trPr>
        <w:tc>
          <w:tcPr>
            <w:tcW w:w="372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080" w:type="dxa"/>
            <w:vAlign w:val="bottom"/>
          </w:tcPr>
          <w:p>
            <w:pPr>
              <w:spacing w:after="0"/>
              <w:rPr>
                <w:sz w:val="19"/>
                <w:szCs w:val="19"/>
                <w:color w:val="auto"/>
              </w:rPr>
            </w:pPr>
          </w:p>
        </w:tc>
      </w:tr>
    </w:tbl>
    <w:p>
      <w:pPr>
        <w:sectPr>
          <w:pgSz w:w="11900" w:h="16838" w:orient="portrait"/>
          <w:cols w:equalWidth="0" w:num="1">
            <w:col w:w="11280"/>
          </w:cols>
          <w:pgMar w:left="240" w:top="422" w:right="379" w:bottom="1440" w:gutter="0" w:footer="0" w:header="0"/>
        </w:sectPr>
      </w:pPr>
    </w:p>
    <w:bookmarkStart w:id="111" w:name="page112"/>
    <w:bookmarkEnd w:id="111"/>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 Thomas Bouchard </w:t>
      </w:r>
      <w:r>
        <w:rPr>
          <w:rFonts w:ascii="Arial" w:cs="Arial" w:eastAsia="Arial" w:hAnsi="Arial"/>
          <w:sz w:val="22"/>
          <w:szCs w:val="22"/>
          <w:b w:val="1"/>
          <w:bCs w:val="1"/>
          <w:color w:val="auto"/>
          <w:vertAlign w:val="superscript"/>
        </w:rPr>
        <w:t>1, 2 *</w:t>
      </w:r>
    </w:p>
    <w:p>
      <w:pPr>
        <w:spacing w:after="0"/>
        <w:rPr>
          <w:sz w:val="20"/>
          <w:szCs w:val="20"/>
          <w:color w:val="auto"/>
        </w:rPr>
      </w:pPr>
      <w:r>
        <w:rPr>
          <w:rFonts w:ascii="Arial" w:cs="Arial" w:eastAsia="Arial" w:hAnsi="Arial"/>
          <w:sz w:val="15"/>
          <w:szCs w:val="15"/>
          <w:color w:val="auto"/>
        </w:rPr>
        <w:t>Retired Senior Vice President, Human Resources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IBM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Stephanie A. Burns </w:t>
      </w:r>
      <w:r>
        <w:rPr>
          <w:rFonts w:ascii="Arial" w:cs="Arial" w:eastAsia="Arial" w:hAnsi="Arial"/>
          <w:sz w:val="22"/>
          <w:szCs w:val="22"/>
          <w:b w:val="1"/>
          <w:bCs w:val="1"/>
          <w:color w:val="auto"/>
          <w:vertAlign w:val="superscript"/>
        </w:rPr>
        <w:t>1, 3</w:t>
      </w:r>
    </w:p>
    <w:p>
      <w:pPr>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Dow Corning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Willie D. Davis </w:t>
      </w:r>
      <w:r>
        <w:rPr>
          <w:rFonts w:ascii="Arial" w:cs="Arial" w:eastAsia="Arial" w:hAnsi="Arial"/>
          <w:sz w:val="22"/>
          <w:szCs w:val="22"/>
          <w:b w:val="1"/>
          <w:bCs w:val="1"/>
          <w:color w:val="auto"/>
          <w:vertAlign w:val="superscript"/>
        </w:rPr>
        <w:t>1, 3</w:t>
      </w:r>
    </w:p>
    <w:p>
      <w:pPr>
        <w:spacing w:after="0"/>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Pro Broadcasting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Jack M. Greenberg </w:t>
      </w:r>
      <w:r>
        <w:rPr>
          <w:rFonts w:ascii="Arial" w:cs="Arial" w:eastAsia="Arial" w:hAnsi="Arial"/>
          <w:sz w:val="22"/>
          <w:szCs w:val="22"/>
          <w:b w:val="1"/>
          <w:bCs w:val="1"/>
          <w:color w:val="auto"/>
          <w:vertAlign w:val="superscript"/>
        </w:rPr>
        <w:t>2</w:t>
      </w:r>
    </w:p>
    <w:p>
      <w:pPr>
        <w:spacing w:after="0"/>
        <w:rPr>
          <w:sz w:val="20"/>
          <w:szCs w:val="20"/>
          <w:color w:val="auto"/>
        </w:rPr>
      </w:pPr>
      <w:r>
        <w:rPr>
          <w:rFonts w:ascii="Arial" w:cs="Arial" w:eastAsia="Arial" w:hAnsi="Arial"/>
          <w:sz w:val="18"/>
          <w:szCs w:val="18"/>
          <w:color w:val="auto"/>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A. Hueneke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Retired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Rozanne L. Ridgway </w:t>
      </w:r>
      <w:r>
        <w:rPr>
          <w:rFonts w:ascii="Arial" w:cs="Arial" w:eastAsia="Arial" w:hAnsi="Arial"/>
          <w:sz w:val="22"/>
          <w:szCs w:val="22"/>
          <w:b w:val="1"/>
          <w:bCs w:val="1"/>
          <w:color w:val="auto"/>
          <w:vertAlign w:val="superscript"/>
        </w:rPr>
        <w:t>2, 3</w:t>
      </w:r>
    </w:p>
    <w:p>
      <w:pPr>
        <w:spacing w:after="0"/>
        <w:rPr>
          <w:sz w:val="20"/>
          <w:szCs w:val="20"/>
          <w:color w:val="auto"/>
        </w:rPr>
      </w:pPr>
      <w:r>
        <w:rPr>
          <w:rFonts w:ascii="Arial" w:cs="Arial" w:eastAsia="Arial" w:hAnsi="Arial"/>
          <w:sz w:val="18"/>
          <w:szCs w:val="18"/>
          <w:color w:val="auto"/>
        </w:rPr>
        <w:t>Former Assistant Secretary of State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Europe and Canada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Dennis Stevenson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HBOS plc and Pearson plc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R. Walter </w:t>
      </w:r>
      <w:r>
        <w:rPr>
          <w:rFonts w:ascii="Arial" w:cs="Arial" w:eastAsia="Arial" w:hAnsi="Arial"/>
          <w:sz w:val="22"/>
          <w:szCs w:val="22"/>
          <w:b w:val="1"/>
          <w:bCs w:val="1"/>
          <w:color w:val="auto"/>
          <w:vertAlign w:val="superscript"/>
        </w:rPr>
        <w:t>2, 3 *</w:t>
      </w:r>
    </w:p>
    <w:p>
      <w:pPr>
        <w:spacing w:after="0"/>
        <w:rPr>
          <w:sz w:val="20"/>
          <w:szCs w:val="20"/>
          <w:color w:val="auto"/>
        </w:rPr>
      </w:pPr>
      <w:r>
        <w:rPr>
          <w:rFonts w:ascii="Arial" w:cs="Arial" w:eastAsia="Arial" w:hAnsi="Arial"/>
          <w:sz w:val="18"/>
          <w:szCs w:val="18"/>
          <w:color w:val="auto"/>
        </w:rPr>
        <w:t>Retired President and COO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AT&amp;T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J. Zore </w:t>
      </w:r>
      <w:r>
        <w:rPr>
          <w:rFonts w:ascii="Arial" w:cs="Arial" w:eastAsia="Arial" w:hAnsi="Arial"/>
          <w:sz w:val="22"/>
          <w:szCs w:val="22"/>
          <w:b w:val="1"/>
          <w:bCs w:val="1"/>
          <w:color w:val="auto"/>
          <w:vertAlign w:val="superscript"/>
        </w:rPr>
        <w:t>1*, 3</w:t>
      </w:r>
    </w:p>
    <w:p>
      <w:pPr>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5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Audit Committee</w:t>
      </w:r>
    </w:p>
    <w:p>
      <w:pPr>
        <w:spacing w:after="0" w:line="3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Executive Compensation Committee</w:t>
      </w:r>
    </w:p>
    <w:p>
      <w:pPr>
        <w:spacing w:after="0" w:line="5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Nominating and Governance Committee</w:t>
      </w:r>
    </w:p>
    <w:p>
      <w:pPr>
        <w:ind w:left="460" w:hanging="452"/>
        <w:spacing w:after="0" w:line="208"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Denotes Committee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-310515</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MANAGEMENT</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 CEO and President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Michael J. Van Handel</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 and CFO</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Barbara J. Beck</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United States and Canadian Operations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Jean-Pierre Lemonnier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France and Region</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Yoav Michaely</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Europe, Middle East and Africa (excluding France)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David Arkless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Corporate Affairs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Richard B. Davidson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Chief Information Officer</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Iain Herbertson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Asia Pacific</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Tammy Johns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Sales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Robert W. Lincoln, Jr.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Human Resources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Richard J. Pinola</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Right Management Consultants, Inc.</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Dominique Turcq</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Strategic Planning</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Michael Lynch</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International Support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jc w:val="right"/>
              <w:ind w:right="1772"/>
              <w:spacing w:after="0"/>
              <w:rPr>
                <w:sz w:val="20"/>
                <w:szCs w:val="20"/>
                <w:color w:val="auto"/>
              </w:rPr>
            </w:pPr>
            <w:r>
              <w:rPr>
                <w:rFonts w:ascii="Arial" w:cs="Arial" w:eastAsia="Arial" w:hAnsi="Arial"/>
                <w:sz w:val="18"/>
                <w:szCs w:val="18"/>
                <w:color w:val="auto"/>
                <w:w w:val="79"/>
              </w:rPr>
              <w:t>077</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MANPOWER INC.</w:t>
            </w:r>
          </w:p>
        </w:tc>
      </w:tr>
      <w:tr>
        <w:trPr>
          <w:trHeight w:val="228"/>
        </w:trPr>
        <w:tc>
          <w:tcPr>
            <w:tcW w:w="2120" w:type="dxa"/>
            <w:vAlign w:val="bottom"/>
          </w:tcPr>
          <w:p>
            <w:pPr>
              <w:spacing w:after="0"/>
              <w:rPr>
                <w:sz w:val="19"/>
                <w:szCs w:val="19"/>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2003 ANNUAL REPORT</w:t>
            </w:r>
          </w:p>
        </w:tc>
      </w:tr>
    </w:tbl>
    <w:p>
      <w:pPr>
        <w:sectPr>
          <w:pgSz w:w="11900" w:h="16838" w:orient="portrait"/>
          <w:cols w:equalWidth="0" w:num="2">
            <w:col w:w="4820" w:space="720"/>
            <w:col w:w="5880"/>
          </w:cols>
          <w:pgMar w:left="240" w:top="42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OPERATING UNITS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March 2004)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40" w:type="dxa"/>
            <w:vAlign w:val="bottom"/>
          </w:tcPr>
          <w:p>
            <w:pPr>
              <w:spacing w:after="0"/>
              <w:rPr>
                <w:sz w:val="20"/>
                <w:szCs w:val="20"/>
                <w:color w:val="auto"/>
              </w:rPr>
            </w:pPr>
            <w:r>
              <w:rPr>
                <w:rFonts w:ascii="Arial" w:cs="Arial" w:eastAsia="Arial" w:hAnsi="Arial"/>
                <w:sz w:val="18"/>
                <w:szCs w:val="18"/>
                <w:b w:val="1"/>
                <w:bCs w:val="1"/>
                <w:color w:val="auto"/>
                <w:w w:val="93"/>
              </w:rPr>
              <w:t xml:space="preserve">Manpower Inc . </w:t>
            </w:r>
            <w:r>
              <w:rPr>
                <w:rFonts w:ascii="Arial" w:cs="Arial" w:eastAsia="Arial" w:hAnsi="Arial"/>
                <w:sz w:val="18"/>
                <w:szCs w:val="18"/>
                <w:color w:val="auto"/>
                <w:w w:val="93"/>
              </w:rPr>
              <w:t>(NYSE: MAN) is a world leader in the employment services industry, offering customers a continuum of services to meet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3"/>
              </w:rPr>
              <w:t>their needs throughout the employment and business cycle. The company specializes in permanent, temporary and contract recruitment;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0"/>
              </w:rPr>
              <w:t>employee assessment; training; career transition and organizational consulting services. Manpower’s worldwide network of 4,300 offices in 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88"/>
              </w:rPr>
              <w:t>countries and territories enables the company to meet the needs of its 400,000 customers per year, including small and medium size enterprises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5"/>
              </w:rPr>
              <w:t>in all industry sectors, as well as the world’s largest multinational corporations. The focus of Manpower’s work is on raising productivity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1"/>
              </w:rPr>
              <w:t>through improved quality, efficiency and cost-reduction, enabling customers to concentrate on their core business activities. In addition to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1"/>
              </w:rPr>
              <w:t>Manpower brand, the company operates under the brand names of Right Management Consultants, Jefferson Wells, Elan, Brook Street and</w:t>
            </w: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6"/>
              </w:rPr>
              <w:t>[GRAPHIC]</w:t>
            </w:r>
          </w:p>
        </w:tc>
        <w:tc>
          <w:tcPr>
            <w:tcW w:w="0" w:type="dxa"/>
            <w:vAlign w:val="bottom"/>
          </w:tcPr>
          <w:p>
            <w:pPr>
              <w:spacing w:after="0"/>
              <w:rPr>
                <w:sz w:val="1"/>
                <w:szCs w:val="1"/>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color w:val="auto"/>
              </w:rPr>
              <w:t>Empower. More information on Manpower Inc. is available at www.manpower.com.</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240" w:type="dxa"/>
            <w:vAlign w:val="bottom"/>
          </w:tcPr>
          <w:p>
            <w:pPr>
              <w:spacing w:after="0"/>
              <w:rPr>
                <w:sz w:val="20"/>
                <w:szCs w:val="20"/>
                <w:color w:val="auto"/>
              </w:rPr>
            </w:pPr>
            <w:r>
              <w:rPr>
                <w:rFonts w:ascii="Arial" w:cs="Arial" w:eastAsia="Arial" w:hAnsi="Arial"/>
                <w:sz w:val="18"/>
                <w:szCs w:val="18"/>
                <w:b w:val="1"/>
                <w:bCs w:val="1"/>
                <w:color w:val="auto"/>
                <w:w w:val="94"/>
              </w:rPr>
              <w:t>Right Management Consultants</w:t>
            </w:r>
            <w:r>
              <w:rPr>
                <w:rFonts w:ascii="Arial" w:cs="Arial" w:eastAsia="Arial" w:hAnsi="Arial"/>
                <w:sz w:val="18"/>
                <w:szCs w:val="18"/>
                <w:color w:val="auto"/>
                <w:w w:val="94"/>
              </w:rPr>
              <w:t>, the world’s largest career transition and organizational consulting firm, was acquired by Manpower in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2"/>
              </w:rPr>
              <w:t>January of 2004. It offers its services to corporations of all sizes through a global network of more than 300 service locations in 35 countries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5"/>
              </w:rPr>
              <w:t>and via the Internet. The Empower Group, Manpower’s organizational performance consulting subsidiary headquartered in London, will</w:t>
            </w: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6"/>
              </w:rPr>
              <w:t>[GRAPHIC]</w:t>
            </w:r>
          </w:p>
        </w:tc>
        <w:tc>
          <w:tcPr>
            <w:tcW w:w="0" w:type="dxa"/>
            <w:vAlign w:val="bottom"/>
          </w:tcPr>
          <w:p>
            <w:pPr>
              <w:spacing w:after="0"/>
              <w:rPr>
                <w:sz w:val="1"/>
                <w:szCs w:val="1"/>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color w:val="auto"/>
                <w:w w:val="96"/>
              </w:rPr>
              <w:t>merge with Right Management Consultants in 2004. The Empower Group has operations in Asia Pacific, Europe and North America.</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240" w:type="dxa"/>
            <w:vAlign w:val="bottom"/>
          </w:tcPr>
          <w:p>
            <w:pPr>
              <w:spacing w:after="0"/>
              <w:rPr>
                <w:sz w:val="20"/>
                <w:szCs w:val="20"/>
                <w:color w:val="auto"/>
              </w:rPr>
            </w:pPr>
            <w:r>
              <w:rPr>
                <w:rFonts w:ascii="Arial" w:cs="Arial" w:eastAsia="Arial" w:hAnsi="Arial"/>
                <w:sz w:val="18"/>
                <w:szCs w:val="18"/>
                <w:b w:val="1"/>
                <w:bCs w:val="1"/>
                <w:color w:val="auto"/>
                <w:w w:val="92"/>
              </w:rPr>
              <w:t>Elan Group Ltd.</w:t>
            </w:r>
            <w:r>
              <w:rPr>
                <w:rFonts w:ascii="Arial" w:cs="Arial" w:eastAsia="Arial" w:hAnsi="Arial"/>
                <w:sz w:val="18"/>
                <w:szCs w:val="18"/>
                <w:color w:val="auto"/>
                <w:w w:val="92"/>
              </w:rPr>
              <w:t>, a fully-owned subsidiary of Manpower Inc., is the world’s leading IT and technical recruitment specialists. In addition to IT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w w:val="90"/>
              </w:rPr>
              <w:t>and technical recruitment, Elan provides complex Managed Service Solutions to clients, which enable them to recruit personnel efficiently and</w:t>
            </w: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6"/>
              </w:rPr>
              <w:t>[GRAPHIC]</w:t>
            </w:r>
          </w:p>
        </w:tc>
        <w:tc>
          <w:tcPr>
            <w:tcW w:w="0" w:type="dxa"/>
            <w:vAlign w:val="bottom"/>
          </w:tcPr>
          <w:p>
            <w:pPr>
              <w:spacing w:after="0"/>
              <w:rPr>
                <w:sz w:val="1"/>
                <w:szCs w:val="1"/>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color w:val="auto"/>
              </w:rPr>
              <w:t>achieve ongoing cost savings. Elan operates in 16 countries across Europe and Asia Pacific.</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240" w:type="dxa"/>
            <w:vAlign w:val="bottom"/>
          </w:tcPr>
          <w:p>
            <w:pPr>
              <w:spacing w:after="0"/>
              <w:rPr>
                <w:sz w:val="20"/>
                <w:szCs w:val="20"/>
                <w:color w:val="auto"/>
              </w:rPr>
            </w:pPr>
            <w:r>
              <w:rPr>
                <w:rFonts w:ascii="Arial" w:cs="Arial" w:eastAsia="Arial" w:hAnsi="Arial"/>
                <w:sz w:val="18"/>
                <w:szCs w:val="18"/>
                <w:b w:val="1"/>
                <w:bCs w:val="1"/>
                <w:color w:val="auto"/>
                <w:w w:val="96"/>
              </w:rPr>
              <w:t>Jefferson Wells International Inc.</w:t>
            </w:r>
            <w:r>
              <w:rPr>
                <w:rFonts w:ascii="Arial" w:cs="Arial" w:eastAsia="Arial" w:hAnsi="Arial"/>
                <w:sz w:val="18"/>
                <w:szCs w:val="18"/>
                <w:color w:val="auto"/>
                <w:w w:val="96"/>
              </w:rPr>
              <w:t>, a fully-owned subsidiary of Manpower Inc., is a rapidly growing professional services provider of</w:t>
            </w: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6"/>
              </w:rPr>
              <w:t>[GRAPHIC]</w:t>
            </w:r>
          </w:p>
        </w:tc>
        <w:tc>
          <w:tcPr>
            <w:tcW w:w="0" w:type="dxa"/>
            <w:vAlign w:val="bottom"/>
          </w:tcPr>
          <w:p>
            <w:pPr>
              <w:spacing w:after="0"/>
              <w:rPr>
                <w:sz w:val="1"/>
                <w:szCs w:val="1"/>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color w:val="auto"/>
                <w:w w:val="94"/>
              </w:rPr>
              <w:t>internal audit, accounting, technology and tax services. It was acquired in July of 2001, and has offices in the United States and Canada.</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240" w:type="dxa"/>
            <w:vAlign w:val="bottom"/>
          </w:tcPr>
          <w:p>
            <w:pPr>
              <w:spacing w:after="0"/>
              <w:rPr>
                <w:sz w:val="20"/>
                <w:szCs w:val="20"/>
                <w:color w:val="auto"/>
              </w:rPr>
            </w:pPr>
            <w:r>
              <w:rPr>
                <w:rFonts w:ascii="Arial" w:cs="Arial" w:eastAsia="Arial" w:hAnsi="Arial"/>
                <w:sz w:val="18"/>
                <w:szCs w:val="18"/>
                <w:b w:val="1"/>
                <w:bCs w:val="1"/>
                <w:color w:val="auto"/>
                <w:w w:val="94"/>
              </w:rPr>
              <w:t xml:space="preserve">Brook Street Bureau </w:t>
            </w:r>
            <w:r>
              <w:rPr>
                <w:rFonts w:ascii="Arial" w:cs="Arial" w:eastAsia="Arial" w:hAnsi="Arial"/>
                <w:sz w:val="18"/>
                <w:szCs w:val="18"/>
                <w:color w:val="auto"/>
                <w:w w:val="94"/>
              </w:rPr>
              <w:t>is a fully-owned subsidiary of Manpower Inc. in the United Kingdom. Its core business is the supply of temporary,</w:t>
            </w: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6"/>
              </w:rPr>
              <w:t>[GRAPHIC]</w:t>
            </w:r>
          </w:p>
        </w:tc>
        <w:tc>
          <w:tcPr>
            <w:tcW w:w="0" w:type="dxa"/>
            <w:vAlign w:val="bottom"/>
          </w:tcPr>
          <w:p>
            <w:pPr>
              <w:spacing w:after="0"/>
              <w:rPr>
                <w:sz w:val="1"/>
                <w:szCs w:val="1"/>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color w:val="auto"/>
              </w:rPr>
              <w:t>permanent and contract staff to office, secretarial and light industrial positions.</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240" w:type="dxa"/>
            <w:vAlign w:val="bottom"/>
          </w:tcPr>
          <w:p>
            <w:pPr>
              <w:ind w:left="5240"/>
              <w:spacing w:after="0"/>
              <w:rPr>
                <w:sz w:val="20"/>
                <w:szCs w:val="20"/>
                <w:color w:val="auto"/>
              </w:rPr>
            </w:pPr>
            <w:r>
              <w:rPr>
                <w:rFonts w:ascii="Arial" w:cs="Arial" w:eastAsia="Arial" w:hAnsi="Arial"/>
                <w:sz w:val="18"/>
                <w:szCs w:val="18"/>
                <w:b w:val="1"/>
                <w:bCs w:val="1"/>
                <w:color w:val="auto"/>
              </w:rPr>
              <w:t>[GRAPHIC]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MANPOWER OPERATIONS</w:t>
      </w:r>
    </w:p>
    <w:p>
      <w:pPr>
        <w:spacing w:after="0" w:line="7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Argentina, Australia, Austria, Belgium, Bolivia, Brazil, Canada, Chile, China (PRC), Colombia, Costa Rica, Czech Republic, Denmark, Ecuador, El Salvador, Estonia, Finland, France, Germany, Greece, Guadeloupe, Guatemala, Honduras, Hong Kong, Hungary, India, Ireland, Israel, Italy, Japan, Korea, Luxembourg, Malaysia, Martinique, Mexico, Monaco, Morocco, New Caledonia, New Zealand, Nicaragua, Netherlands, Norway, Panama, Paraguay, Peru, Philippines, Poland, Portugal, Puerto Rico, Reunion, Romania, Russia, Singapore, Slovakia, Slovenia, South Africa, Spain, Sweden, Switzerland, UK, Taiwan, Thailand, Tunisia, Turkey, Uruguay, USA, and Venezuela.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MANPOWER INC.</w:t>
            </w:r>
          </w:p>
        </w:tc>
        <w:tc>
          <w:tcPr>
            <w:tcW w:w="208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28"/>
        </w:trPr>
        <w:tc>
          <w:tcPr>
            <w:tcW w:w="3720" w:type="dxa"/>
            <w:vAlign w:val="bottom"/>
          </w:tcPr>
          <w:p>
            <w:pPr>
              <w:spacing w:after="0"/>
              <w:rPr>
                <w:sz w:val="20"/>
                <w:szCs w:val="20"/>
                <w:color w:val="auto"/>
              </w:rPr>
            </w:pPr>
            <w:r>
              <w:rPr>
                <w:rFonts w:ascii="Arial" w:cs="Arial" w:eastAsia="Arial" w:hAnsi="Arial"/>
                <w:sz w:val="18"/>
                <w:szCs w:val="18"/>
                <w:b w:val="1"/>
                <w:bCs w:val="1"/>
                <w:color w:val="auto"/>
              </w:rPr>
              <w:t>2003 ANNUAL REPORT</w:t>
            </w:r>
          </w:p>
        </w:tc>
        <w:tc>
          <w:tcPr>
            <w:tcW w:w="2080" w:type="dxa"/>
            <w:vAlign w:val="bottom"/>
          </w:tcPr>
          <w:p>
            <w:pPr>
              <w:spacing w:after="0"/>
              <w:rPr>
                <w:sz w:val="19"/>
                <w:szCs w:val="19"/>
                <w:color w:val="auto"/>
              </w:rPr>
            </w:pPr>
          </w:p>
        </w:tc>
      </w:tr>
    </w:tbl>
    <w:p>
      <w:pPr>
        <w:sectPr>
          <w:pgSz w:w="11900" w:h="16838" w:orient="portrait"/>
          <w:cols w:equalWidth="0" w:num="1">
            <w:col w:w="11380"/>
          </w:cols>
          <w:pgMar w:left="240" w:top="422" w:right="27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ectPr>
          <w:pgSz w:w="11900" w:h="16838" w:orient="portrait"/>
          <w:cols w:equalWidth="0" w:num="1">
            <w:col w:w="9019"/>
          </w:cols>
          <w:pgMar w:left="1440" w:top="27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ectPr>
          <w:pgSz w:w="11900" w:h="16838" w:orient="portrait"/>
          <w:cols w:equalWidth="0" w:num="1">
            <w:col w:w="9019"/>
          </w:cols>
          <w:pgMar w:left="1440" w:top="274" w:right="1440" w:bottom="1440"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[GRAPHIC]</w:t>
      </w:r>
    </w:p>
    <w:p>
      <w:pPr>
        <w:sectPr>
          <w:pgSz w:w="11900" w:h="16838" w:orient="portrait"/>
          <w:cols w:equalWidth="0" w:num="1">
            <w:col w:w="9019"/>
          </w:cols>
          <w:pgMar w:left="1440" w:top="274"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CODE OF BUSINESS CONDUCT AND ETHICS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(Revised December 9, 2003)</w:t>
      </w:r>
    </w:p>
    <w:p>
      <w:pPr>
        <w:spacing w:after="0" w:line="15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PURPOSE.</w:t>
      </w:r>
    </w:p>
    <w:p>
      <w:pPr>
        <w:spacing w:after="0" w:line="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purpose of this Code of Business Conduct and Ethics is to promote honest and ethical conduct, focus the Board of Directors and management of Manpower Inc. on areas of ethical risk, provide guidance to directors, officers and employees to help them recognize and deal with ethical issues, provide mechanisms to report unethical conduct and help to preserve the culture of honesty and accountability at the Company.</w:t>
      </w:r>
    </w:p>
    <w:p>
      <w:pPr>
        <w:spacing w:after="0" w:line="9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SCOPE AND ADMINISTRATION.</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Code applies to all directors, officers and employees of the Company and its domestic and foreign subsidiaries (each a “Covered Person”). This Code will be administered and interpreted by the Company’s compliance officer, Michael J. Lynch. The compliance officer is authorized to formulate and implement rules, procedures and educational programs designed to promote the effectiveness of this Code and respond to questions concerning this Code and its application to specific situations. The Company’s compliance officer will report as necessary to the Audit Committee of the Board of Directors regarding compliance by officers and employees with this Code and the Nominating and Governance Committee of the Board of Directors regarding compliance by non-management directors with this Code, but in each case no less frequently than annually. If questions exist with respect to this Code, they should be referred to the Company’s compliance officer at the earliest possible time.</w:t>
      </w:r>
    </w:p>
    <w:p>
      <w:pPr>
        <w:spacing w:after="0" w:line="10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with the prior knowledge and consent of the Company, no Covered Person will have a “conflict of interest” with the Company. A conflict of interest occurs when a Covered Person’s private interest interferes in any way – or even appears to interfere – with the interests of the Company as a whole. The following list will serve as a guide to the types of transactions and relationships that might cause a conflict of interest and that should be considered as covered by this Code:</w:t>
      </w:r>
    </w:p>
    <w:p>
      <w:pPr>
        <w:spacing w:after="0" w:line="49"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Actions taken by a Covered Person or interests that a Covered Person has that may make it difficult to perform his or her work for the Company objectively and effectively.</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 Ownership by a Covered Person or any member of his or her family of a substantial financial interest in any outside concern that either does a material amount of business, from the standpoint of either party, with the Company or any subsidiary or affiliate, whether as a supplier, dealer, or customer, or is a competitor of the Company or any subsidiary or affiliate.</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 Substantial management control by a Covered Person or any member of his or her family of any outside concern that either does a material amount of business, from the standpoint</w:t>
      </w:r>
    </w:p>
    <w:p>
      <w:pPr>
        <w:sectPr>
          <w:pgSz w:w="11900" w:h="16838" w:orient="portrait"/>
          <w:cols w:equalWidth="0" w:num="1">
            <w:col w:w="11420"/>
          </w:cols>
          <w:pgMar w:left="240" w:top="131" w:right="239" w:bottom="1440" w:gutter="0" w:footer="0" w:header="0"/>
        </w:sectPr>
      </w:pPr>
    </w:p>
    <w:bookmarkStart w:id="118" w:name="page119"/>
    <w:bookmarkEnd w:id="11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either party, with the Company or any subsidiary or affiliate, whether as a supplier, dealer, or customer, or is a competitor of the Company or any subsidiary or affiliate.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 Performance by a Covered Person of services to any outside concern or individual that either does a material amount of business, from the standpoint of either party, with the Company or any subsidiary or affiliate, whether as a supplier, dealer or customer, or is a competitor of the Company or any subsidiary or affiliate.</w:t>
      </w:r>
    </w:p>
    <w:p>
      <w:pPr>
        <w:spacing w:after="0" w:line="12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E. Representation of the Company by a Covered Person in any transaction in which the Covered Person or any member of his or her family has a substantial interest.</w:t>
      </w:r>
    </w:p>
    <w:p>
      <w:pPr>
        <w:spacing w:after="0" w:line="118"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F. Acceptance by a Covered Person or any member of his or her family of improper personal benefits as a result of the Covered Person’s position in the Company, such as gifts of more than token value, loans to, or guarantees of obligations of, the Covered Person or any member of his or her family (other than from established banking or financial institutions), excessive entertainment, or other substantial favors from any outside concern or individual which does or is seeking to do business with, or is a competitor of, the Company or any subsidiary or affiliate.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Disclosure or use of confidential information for the personal profit or advantage of the Covered Person or anyone else.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foregoing list is only a guide to assist Covered Persons in identifying potential conflicts of interest. The existence of a conflict of interest can be determined only upon review of the particular circumstances in the context of the Covered Person’s activities within the Company. Therefore, Covered Persons are required to report promptly to the Company’s compliance officer (or to the Chairman of the Audit Committee or the Nominating and Governance Committee of the Board of Directors to the extent a matter seems to involve the compliance officer) any material transaction or relationship of which they have knowledge that reasonably could be expected to give rise to such a conflict of interest.</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purposes of this Code, the term “family” will be deemed to include a Covered Person’s spouse, parents, grandparents, children, grandchildren, siblings, mothers and fathers-in-law, sons and daughters-in-law and brothers and sisters-in-law.</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CORPORATE OPPORTUNITIES.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Covered Persons are expected to perform their duties in a manner that advances the Company’s legitimate interests. Covered Persons are prohibited from:</w:t>
      </w:r>
    </w:p>
    <w:p>
      <w:pPr>
        <w:spacing w:after="0" w:line="10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Taking for themselves personally opportunities that are discovered through the use of the Company’s property or information or through their position with the Company;</w:t>
      </w:r>
    </w:p>
    <w:p>
      <w:pPr>
        <w:spacing w:after="0" w:line="118" w:lineRule="exact"/>
        <w:rPr>
          <w:sz w:val="20"/>
          <w:szCs w:val="20"/>
          <w:color w:val="auto"/>
        </w:rPr>
      </w:pPr>
    </w:p>
    <w:p>
      <w:pPr>
        <w:ind w:left="460" w:right="2680"/>
        <w:spacing w:after="0" w:line="422" w:lineRule="auto"/>
        <w:rPr>
          <w:sz w:val="20"/>
          <w:szCs w:val="20"/>
          <w:color w:val="auto"/>
        </w:rPr>
      </w:pPr>
      <w:r>
        <w:rPr>
          <w:rFonts w:ascii="Arial" w:cs="Arial" w:eastAsia="Arial" w:hAnsi="Arial"/>
          <w:sz w:val="18"/>
          <w:szCs w:val="18"/>
          <w:color w:val="auto"/>
        </w:rPr>
        <w:t>B. Using the Company’s property or information or their position with the Company for their own personal gain; and C. Competing with the Company.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19" w:name="page120"/>
    <w:bookmarkEnd w:id="119"/>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Trade secrets and other proprietary information of the Company and its customers and suppliers, employee data, information about the Company’s customers and suppliers, and all other non-public information that might be of use to the Company’s competitors or harmful to the Company or its customers, if disclosed, is confidential information. Confidential information should be protected by all Covered Persons and, except to the extent legally required or specifically authorized by an appropriate representative of the Company, should not be disclosed to persons inside or outside the Company who do not have a legitimate, work-related need to know such information. The loss of this information through inadvertent or improper disclosure could be harmful to the Company and its customers and suppliers.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FAIR DEALING.</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Covered Persons will not engage in unfair or illegal trade practices. Covered Persons are expected to deal fairly with the Company’s customers, suppliers, competitors and employees, and to win or award business based on excellence of service and competitive pricing, not through unethical or questionable business practices. No Covered Person will take unfair advantage of anyone through manipulation, concealment, abuse of privileged information, misrepresentation of material facts, or any other unfair-dealing practice.</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PROTECTION AND PROPER USE OF COMPANY ASSETS.</w:t>
      </w:r>
    </w:p>
    <w:p>
      <w:pPr>
        <w:spacing w:after="0" w:line="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All Covered Persons are expected to protect and help to ensure the efficient use of the Company’s assets, including trade secrets, proprietary information, equipment and other property created, obtained or compiled by or on behalf of, or during the Covered Person’s employment with, the Company. All Company assets should be used for a legitimate business purpose. The misuse or removal from Company facilities of Company assets is prohibited, unless specifically authorized by an appropriate representative of the Company. Theft, carelessness and waste of Company assets have a direct impact on the Company’s financial condition and results of operations.</w:t>
      </w:r>
    </w:p>
    <w:p>
      <w:pPr>
        <w:spacing w:after="0" w:line="1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VIII.</w:t>
        <w:tab/>
        <w:t>COMPLIANCE WITH LAWS, RULES AND REGULATIONS.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activities of the Company must always be in full compliance with all laws, rules and regulations of the jurisdictions in which the Company conducts its business. The Company expects all Covered Persons to follow the spirit as well as the letter of the law. In addition, Covered Persons are expected to fully comply with the Company’s Statement of Policy on Securities Trading.</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understands that Covered Persons may be uncertain as to whether a transaction or course of conduct complies with the laws, rules and regulations to which the Company may be subject. In these situations, it is the responsibility of the Covered Person to obtain advice from the compliance officer and to act in accordance with that advice. If a Covered Person is in such a situation and complies with these procedures, then actions taken in accordance with advice provided by the compliance officer will be deemed to be in compliance with the Code.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0" w:name="page121"/>
    <w:bookmarkEnd w:id="12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IX.</w:t>
        <w:tab/>
        <w:t>PUBLIC FILINGS AND COMMUNICATIONS.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chief executive officer and chief financial officer are ultimately responsible for promoting full, fair, accurate, timely and understandable disclosure in the reports and documents that the Company files with, or submits to, the Securities and Exchange Commission and in other public communications made by the Company (“Reports”). However, to the extent requested to provide information to be included in, or to participate in the preparation of, Reports, Covered Persons, including the Company’s controller and principal accounting officer, are responsible for providing such information and in preparing such Reports in a manner that will help to ensure the full, fair, accurate, timely and understandable disclosure of such information in the Reports. Covered Persons are expected to report concerns regarding questionable accounting or auditing matters.</w:t>
      </w:r>
    </w:p>
    <w:p>
      <w:pPr>
        <w:spacing w:after="0" w:line="10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REPORTING VIOLATIONS.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 committed to supporting Covered Persons in meeting the ethical standards of conduct set forth in this Code and expects all Covered Persons to uphold these standards. Covered Persons are encouraged to talk to supervisors, managers or the compliance officer when in doubt about the best course of action in a particular situation. If a Covered Person becomes aware of anything that occurs which could in any way be construed as a fraudulent or illegal act or otherwise in violation of this Code, the Covered Person is responsible for reporting such occurrence by contacting the Manpower Ethics Hotline at 1-800-210-3458 or the compliance officer at the earliest possible time. If any such violation seems to involve the compliance officer, the matter should be reported to the Chairman of the Audit Committee or Nominating and Governance Committee of the Board of Directors, as appropriate.</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Covered Persons are expected to cooperate in internal investigations of actual or apparent violations of this Code. To the fullest extent possible, efforts will be made to keep confidential the identity of any Covered Person who reports a violation. It is also the Company’s policy to prohibit retaliation against Covered Persons who report actual or apparent violations of this Code in good faith. However, Covered Persons who have participated in the wrongdoing or knowingly or recklessly provided false information may be subject to corrective action, up to, and including, dismissal.</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XI.</w:t>
        <w:tab/>
        <w:t>PENALTIES FOR VIOLATIONS.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Violations of this Code or failure to cooperate with an internal investigation of an actual or apparent violation of this Code may constitute grounds for corrective action, up to, and including, immediate dismissal.</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6"/>
          <w:szCs w:val="16"/>
          <w:color w:val="auto"/>
        </w:rPr>
        <w:t>COMPLIANCE REPORTING</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order to help ensure compliance with this Code, each of the following individuals will be required to complete and return a compliance report and certification on an annual basis:</w:t>
      </w:r>
    </w:p>
    <w:p>
      <w:pPr>
        <w:spacing w:after="0" w:line="3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Directors,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officers,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Officers located in the United States,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21" w:name="page122"/>
    <w:bookmarkEnd w:id="121"/>
    <w:p>
      <w:pPr>
        <w:ind w:left="900" w:right="20" w:hanging="446"/>
        <w:spacing w:after="0" w:line="29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Covered Persons who are required to complete the report and certification under the Company’s Foreign Corrupt Practices Act Policy (the “Policy”), including (a) country managers, (b) finance directors in regions and countries designated by the compliance officer in accordance with the Policy, (c) headquarters staff with international responsibility, and (d) personnel with responsibility for accounts with, or subject to approval by, foreign governments, agencies or instrumentalities as designated by the compliance officer in accordance with the Policy, and</w:t>
      </w:r>
    </w:p>
    <w:p>
      <w:pPr>
        <w:spacing w:after="0" w:line="18"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Covered Persons with positions or responsibilities similar to those listed above who are designated by the Company’s compliance officer from time to time.</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XIII.</w:t>
        <w:tab/>
        <w:t>WAIVER.</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waiver of the provisions of this Code for non-management directors of the Company may be made only by the Board of Directors or the Nominating and Governance Committee of the Board of Directors. Any waiver of the provisions of this Code for executive officers of the Company may be made only by the Board of Directors or the Audit Committee of the Board of Directors. Any other waiver of the provisions of this Code may be made by the Company’s chief executive officer, in consultation with the Company’s compliance officer. Any waivers granted to directors or executive officers of the Company will be promptly disclosed to the Company’s shareholders.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820" w:type="dxa"/>
            <w:vAlign w:val="bottom"/>
          </w:tcPr>
          <w:p>
            <w:pPr>
              <w:ind w:left="1080"/>
              <w:spacing w:after="0"/>
              <w:rPr>
                <w:sz w:val="20"/>
                <w:szCs w:val="20"/>
                <w:color w:val="auto"/>
              </w:rPr>
            </w:pPr>
            <w:r>
              <w:rPr>
                <w:rFonts w:ascii="Arial" w:cs="Arial" w:eastAsia="Arial" w:hAnsi="Arial"/>
                <w:sz w:val="18"/>
                <w:szCs w:val="18"/>
                <w:color w:val="auto"/>
                <w:w w:val="91"/>
              </w:rPr>
              <w:t>Exhibit 21</w:t>
            </w:r>
          </w:p>
        </w:tc>
      </w:tr>
      <w:tr>
        <w:trPr>
          <w:trHeight w:val="365"/>
        </w:trPr>
        <w:tc>
          <w:tcPr>
            <w:tcW w:w="1420" w:type="dxa"/>
            <w:vAlign w:val="bottom"/>
          </w:tcPr>
          <w:p>
            <w:pPr>
              <w:spacing w:after="0"/>
              <w:rPr>
                <w:sz w:val="24"/>
                <w:szCs w:val="24"/>
                <w:color w:val="auto"/>
              </w:rPr>
            </w:pPr>
          </w:p>
        </w:tc>
        <w:tc>
          <w:tcPr>
            <w:tcW w:w="8180" w:type="dxa"/>
            <w:vAlign w:val="bottom"/>
          </w:tcPr>
          <w:p>
            <w:pPr>
              <w:ind w:left="2760"/>
              <w:spacing w:after="0"/>
              <w:rPr>
                <w:sz w:val="20"/>
                <w:szCs w:val="20"/>
                <w:color w:val="auto"/>
              </w:rPr>
            </w:pPr>
            <w:r>
              <w:rPr>
                <w:rFonts w:ascii="Arial" w:cs="Arial" w:eastAsia="Arial" w:hAnsi="Arial"/>
                <w:sz w:val="18"/>
                <w:szCs w:val="18"/>
                <w:b w:val="1"/>
                <w:bCs w:val="1"/>
                <w:color w:val="auto"/>
              </w:rPr>
              <w:t>SUBSIDIARIES OF MANPOWER INC.</w:t>
            </w:r>
          </w:p>
        </w:tc>
        <w:tc>
          <w:tcPr>
            <w:tcW w:w="1820" w:type="dxa"/>
            <w:vAlign w:val="bottom"/>
          </w:tcPr>
          <w:p>
            <w:pPr>
              <w:spacing w:after="0"/>
              <w:rPr>
                <w:sz w:val="24"/>
                <w:szCs w:val="24"/>
                <w:color w:val="auto"/>
              </w:rPr>
            </w:pPr>
          </w:p>
        </w:tc>
      </w:tr>
      <w:tr>
        <w:trPr>
          <w:trHeight w:val="286"/>
        </w:trPr>
        <w:tc>
          <w:tcPr>
            <w:tcW w:w="14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in</w:t>
            </w:r>
          </w:p>
        </w:tc>
      </w:tr>
      <w:tr>
        <w:trPr>
          <w:trHeight w:val="174"/>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Corporation Name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State /Country of</w:t>
            </w:r>
          </w:p>
        </w:tc>
      </w:tr>
      <w:tr>
        <w:trPr>
          <w:trHeight w:val="95"/>
        </w:trPr>
        <w:tc>
          <w:tcPr>
            <w:tcW w:w="142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417"/>
        </w:trPr>
        <w:tc>
          <w:tcPr>
            <w:tcW w:w="9600" w:type="dxa"/>
            <w:vAlign w:val="bottom"/>
            <w:gridSpan w:val="2"/>
          </w:tcPr>
          <w:p>
            <w:pPr>
              <w:spacing w:after="0"/>
              <w:rPr>
                <w:sz w:val="20"/>
                <w:szCs w:val="20"/>
                <w:color w:val="auto"/>
              </w:rPr>
            </w:pPr>
            <w:r>
              <w:rPr>
                <w:rFonts w:ascii="Arial" w:cs="Arial" w:eastAsia="Arial" w:hAnsi="Arial"/>
                <w:sz w:val="18"/>
                <w:szCs w:val="18"/>
                <w:color w:val="auto"/>
              </w:rPr>
              <w:t>Huntsville Service Contractors,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Alabama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Benefits Argo</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Rural Power S.A.</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CH Systems Pty.Ltd.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Global Management Training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Leadership Partners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Primepower Management Services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The Empower Group (Queensland)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World Competitive Practices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Empower Corporate Research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Compower Pty. Limited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ICV International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Intellectual Capital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ORMS Group APS Pty Limited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Polson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The Empower Group Pty.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Workforce (Vic) Pty. Limited</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Human Power Projects GmbH</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GmbH</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Holding GmbH</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Unternehmens und Personalberatungs GmbH</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MTW Personaldienstleistungen GmbH</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Austria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Elan IT Resource S.A.</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Mulitskill S.A.</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Ltda. Sociedada Civil</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Participacoes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Manpower/V-TRAC International,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British Virgin Islands</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AMFO Members Insurance Company, Ltd.</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Inc./California Peninsula</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California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Jefferson Wells International (Canada),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CEL Management Consultancy (Shanghai) Co. Ltd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de Columbia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Colombia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Professional Ltd.</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Colombia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Uno A Servicios Especiales Ltda.</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Colombia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Costa Rica, S.A.</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Costa Rica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Republique Tcheque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Czech Republic</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Ironwood Capital Corporation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Jefferson Wells International,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CIS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Franchises,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Manpower Holdings,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Manpower International, Inc.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1420"/>
          </w:cols>
          <w:pgMar w:left="240" w:top="131" w:right="239"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U.S. Caden Corporation</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Computing A/S</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Empower A/S</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Europe Holdings Aps</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A/S (Denmark)</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Facilities Management A/S</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Contact Center Denmark</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Denmark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El Salvador, S.A. de C.V.</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El Salvador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OY</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Finland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Contract Center Oy</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Finland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Facility Management OY</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Finland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OY</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Finland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Empower Group OY</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Finland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SARL</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5"/>
              </w:rPr>
              <w:t>France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Fortec SARL</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5"/>
              </w:rPr>
              <w:t>France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France SAS</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5"/>
              </w:rPr>
              <w:t>France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Supplay S.A.</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5"/>
              </w:rPr>
              <w:t>France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Guadalupe</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6"/>
              </w:rPr>
              <w:t>Guadalupe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Adservice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Ambridge Group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Bankpower GmbH Personaldienstleistungen</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Consulting by Manpower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Computing (Deutschland)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Telecommunications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Engineering by Manpower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Deutschland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Finance – Personaldienstleistungen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GmbH Personaldienstleistungen</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Project Support by Manpower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PSA by Manpower GmbH</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9"/>
              </w:rPr>
              <w:t>Germany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Team S.A.</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4"/>
              </w:rPr>
              <w:t>Greece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Project Solutions S.A.</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4"/>
              </w:rPr>
              <w:t>Greece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S.A.</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6"/>
              </w:rPr>
              <w:t>Guatemala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Honduras, S.A.</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87"/>
              </w:rPr>
              <w:t>Honduras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Center for Effective Leadership (HK)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Hong Kong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Computing (Asia)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Hong Kong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(Hong Kong)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Hong Kong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Swift Recruitment Services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Hong Kong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Standard Management Consulting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Hong Kong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Munkaero Szervezesi KFT</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1"/>
              </w:rPr>
              <w:t>Hungary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Complete Business Services of Illinois, Inc.</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9"/>
              </w:rPr>
              <w:t>Illinois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Transpersonnel, Inc.</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9"/>
              </w:rPr>
              <w:t>Illinois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India Pvt. Ltd.</w:t>
            </w:r>
          </w:p>
        </w:tc>
        <w:tc>
          <w:tcPr>
            <w:tcW w:w="6640" w:type="dxa"/>
            <w:vAlign w:val="bottom"/>
          </w:tcPr>
          <w:p>
            <w:pPr>
              <w:jc w:val="center"/>
              <w:ind w:left="5712"/>
              <w:spacing w:after="0"/>
              <w:rPr>
                <w:sz w:val="20"/>
                <w:szCs w:val="20"/>
                <w:color w:val="auto"/>
              </w:rPr>
            </w:pPr>
            <w:r>
              <w:rPr>
                <w:rFonts w:ascii="Arial" w:cs="Arial" w:eastAsia="Arial" w:hAnsi="Arial"/>
                <w:sz w:val="18"/>
                <w:szCs w:val="18"/>
                <w:color w:val="auto"/>
                <w:w w:val="92"/>
              </w:rPr>
              <w:t>India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Recruitment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(Ireland) Group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(Ireland)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Skills Group Contract Services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Skills Group Financial Services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Skills Group International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90"/>
              </w:rPr>
              <w:t>Ireland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Adam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Adi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Career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Career – Management of Housing for Elderly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Career Harmony,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Hahaklai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M.I.T. (Manpower Information Technology)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M.P.H. Holdings Ltd.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Manpower Israel Holdings (1999) Limited</w:t>
            </w:r>
          </w:p>
        </w:tc>
        <w:tc>
          <w:tcPr>
            <w:tcW w:w="6640" w:type="dxa"/>
            <w:vAlign w:val="bottom"/>
          </w:tcPr>
          <w:p>
            <w:pPr>
              <w:jc w:val="center"/>
              <w:ind w:left="5732"/>
              <w:spacing w:after="0"/>
              <w:rPr>
                <w:sz w:val="20"/>
                <w:szCs w:val="20"/>
                <w:color w:val="auto"/>
              </w:rPr>
            </w:pPr>
            <w:r>
              <w:rPr>
                <w:rFonts w:ascii="Arial" w:cs="Arial" w:eastAsia="Arial" w:hAnsi="Arial"/>
                <w:sz w:val="18"/>
                <w:szCs w:val="18"/>
                <w:color w:val="auto"/>
                <w:w w:val="86"/>
              </w:rPr>
              <w:t>Israel</w:t>
            </w:r>
          </w:p>
        </w:tc>
      </w:tr>
      <w:tr>
        <w:trPr>
          <w:trHeight w:val="365"/>
        </w:trPr>
        <w:tc>
          <w:tcPr>
            <w:tcW w:w="4740" w:type="dxa"/>
            <w:vAlign w:val="bottom"/>
          </w:tcPr>
          <w:p>
            <w:pPr>
              <w:spacing w:after="0"/>
              <w:rPr>
                <w:sz w:val="24"/>
                <w:szCs w:val="24"/>
                <w:color w:val="auto"/>
              </w:rPr>
            </w:pPr>
          </w:p>
        </w:tc>
        <w:tc>
          <w:tcPr>
            <w:tcW w:w="6640" w:type="dxa"/>
            <w:vAlign w:val="bottom"/>
          </w:tcPr>
          <w:p>
            <w:pPr>
              <w:jc w:val="right"/>
              <w:ind w:right="553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80" w:right="27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(Israel)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Israel Limited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Miluot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Nativ 2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Quality Translations Partnership M.P. (1992)</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S.T.M Technologies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Target Market</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Telepower</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Unison Engineering Projects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Israel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Brook Street S.P.A. Selection and Recruiting</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Brook Street S.P.A. Temporary Services</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Elan IT Resource Italia Srl</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Consulting S.P.A.</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Formazione Spa</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Italia S.r.l.</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Management S.P.A.</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S.P.A.</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Seleform S.P.A.</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6"/>
              </w:rPr>
              <w:t>Italy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Adgrams, Inc.</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I.P.C. Corporation</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JobSearchpower Co.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JobSupportpower Co.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Japan Co. Limited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Mates Co.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Skillpartner Co. Ltd.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1"/>
              </w:rPr>
              <w:t>Japan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Jordanian American Manpower Company, W.L.L.</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7"/>
              </w:rPr>
              <w:t>Jordan</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Support Specialists of Topeka, Inc.</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Kansas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Korea, Inc.</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Korea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Korea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Aide Temporaire SARL</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Luxembourg</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Agensi Pekerjaan Manpower Recruitment Sdn Bhd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Malaysia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Staffing Services (Malaysia) Sdn Bhd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Malaysia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Techpower Consulting Sdn Bhd</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0"/>
              </w:rPr>
              <w:t>Malaysia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Antilles</w:t>
            </w:r>
          </w:p>
        </w:tc>
        <w:tc>
          <w:tcPr>
            <w:tcW w:w="6700" w:type="dxa"/>
            <w:vAlign w:val="bottom"/>
          </w:tcPr>
          <w:p>
            <w:pPr>
              <w:jc w:val="center"/>
              <w:ind w:left="5512"/>
              <w:spacing w:after="0"/>
              <w:rPr>
                <w:sz w:val="20"/>
                <w:szCs w:val="20"/>
                <w:color w:val="auto"/>
              </w:rPr>
            </w:pPr>
            <w:r>
              <w:rPr>
                <w:rFonts w:ascii="Arial" w:cs="Arial" w:eastAsia="Arial" w:hAnsi="Arial"/>
                <w:sz w:val="18"/>
                <w:szCs w:val="18"/>
                <w:color w:val="auto"/>
                <w:w w:val="92"/>
              </w:rPr>
              <w:t>Martinique</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Intelecto Tecnologico,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Corporativo,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Industrial,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Mensajeria,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Tecnologia Y Manufactura,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The Empower Group, S.A. 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Headpower,S.A.de C.V.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1"/>
              </w:rPr>
              <w:t>Mexico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Monaco SAM</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7"/>
              </w:rPr>
              <w:t>Monaco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Societe Marocaine De Travail Temporaire</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92"/>
              </w:rPr>
              <w:t>Morocco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Ambridge International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Elan Computing (Netherlands)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Industrie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Consultancy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Direkt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Management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Nederland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Services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Special Staffing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Manpower Uitzendorganisatie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Mobilans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MP Project Support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Ultraflex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Ultrasearch B.V.</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6"/>
              </w:rPr>
              <w:t>Netherlands</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Manpower Nouvelle Caledonie</w:t>
            </w:r>
          </w:p>
        </w:tc>
        <w:tc>
          <w:tcPr>
            <w:tcW w:w="6700" w:type="dxa"/>
            <w:vAlign w:val="bottom"/>
          </w:tcPr>
          <w:p>
            <w:pPr>
              <w:jc w:val="center"/>
              <w:ind w:left="5532"/>
              <w:spacing w:after="0"/>
              <w:rPr>
                <w:sz w:val="20"/>
                <w:szCs w:val="20"/>
                <w:color w:val="auto"/>
              </w:rPr>
            </w:pPr>
            <w:r>
              <w:rPr>
                <w:rFonts w:ascii="Arial" w:cs="Arial" w:eastAsia="Arial" w:hAnsi="Arial"/>
                <w:sz w:val="18"/>
                <w:szCs w:val="18"/>
                <w:color w:val="auto"/>
                <w:w w:val="88"/>
              </w:rPr>
              <w:t>New Caledonia</w:t>
            </w:r>
          </w:p>
        </w:tc>
      </w:tr>
      <w:tr>
        <w:trPr>
          <w:trHeight w:val="365"/>
        </w:trPr>
        <w:tc>
          <w:tcPr>
            <w:tcW w:w="4640" w:type="dxa"/>
            <w:vAlign w:val="bottom"/>
          </w:tcPr>
          <w:p>
            <w:pPr>
              <w:spacing w:after="0"/>
              <w:rPr>
                <w:sz w:val="24"/>
                <w:szCs w:val="24"/>
                <w:color w:val="auto"/>
              </w:rPr>
            </w:pPr>
          </w:p>
        </w:tc>
        <w:tc>
          <w:tcPr>
            <w:tcW w:w="6700" w:type="dxa"/>
            <w:vAlign w:val="bottom"/>
          </w:tcPr>
          <w:p>
            <w:pPr>
              <w:jc w:val="right"/>
              <w:ind w:right="54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40"/>
          </w:cols>
          <w:pgMar w:left="240" w:top="280" w:right="31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Brecker &amp; Merryman, Inc.</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2"/>
              </w:rPr>
              <w:t>New York</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Incorporated of New York</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2"/>
              </w:rPr>
              <w:t>New York</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Services (New Zealand)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8"/>
              </w:rPr>
              <w:t>New Zealand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Nicaruagua S.A.</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7"/>
              </w:rPr>
              <w:t>Nicaragua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Bankpower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Computing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Framnaes Installajon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 Mente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Contact Center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Facility Management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Norway Holdings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Quality People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Raadhuset Rekruttering &amp; Utuelgelse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Techpower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Techpower Telemark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The Empower Group A/S</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91"/>
              </w:rPr>
              <w:t>Norway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Tri County Business Services, Inc.</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9"/>
              </w:rPr>
              <w:t>Ohio</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Panama, S.A.</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3"/>
              </w:rPr>
              <w:t>Panama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Temporales Panama, S.A.</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3"/>
              </w:rPr>
              <w:t>Panama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Peru S.A.</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4"/>
              </w:rPr>
              <w:t>Peru</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Professional Services S.A.</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4"/>
              </w:rPr>
              <w:t>Peru</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Outsourcing Services Inc.</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9"/>
              </w:rPr>
              <w:t>Philippines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Prime Manpower Resources Development, Inc.</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9"/>
              </w:rPr>
              <w:t>Philippines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Polska SP. ZO. O</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9"/>
              </w:rPr>
              <w:t>Poland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Romania SRL</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8"/>
              </w:rPr>
              <w:t>Romania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Center for Effective Leadership (Asia) Pte.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5"/>
              </w:rPr>
              <w:t>Singapore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Customer Service Transformation Pte.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5"/>
              </w:rPr>
              <w:t>Singapore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Highly Effective Youth (Asia) Pte.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5"/>
              </w:rPr>
              <w:t>Singapore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Staffing Services (Singapore) Pte.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5"/>
              </w:rPr>
              <w:t>Singapore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The Empower Group (Asia)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5"/>
              </w:rPr>
              <w:t>Singapore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Slovakia</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91"/>
              </w:rPr>
              <w:t>Slovakia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Apel Servis d.o.o.</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89"/>
              </w:rPr>
              <w:t>Slovenia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Ambridge Technologies (Pty) Limited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91"/>
              </w:rPr>
              <w:t>South Africa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Reunion</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91"/>
              </w:rPr>
              <w:t>South Africa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S.A. (Pty) Ltd.</w:t>
            </w:r>
          </w:p>
        </w:tc>
        <w:tc>
          <w:tcPr>
            <w:tcW w:w="6780" w:type="dxa"/>
            <w:vAlign w:val="bottom"/>
          </w:tcPr>
          <w:p>
            <w:pPr>
              <w:jc w:val="center"/>
              <w:ind w:left="5752"/>
              <w:spacing w:after="0"/>
              <w:rPr>
                <w:sz w:val="20"/>
                <w:szCs w:val="20"/>
                <w:color w:val="auto"/>
              </w:rPr>
            </w:pPr>
            <w:r>
              <w:rPr>
                <w:rFonts w:ascii="Arial" w:cs="Arial" w:eastAsia="Arial" w:hAnsi="Arial"/>
                <w:sz w:val="18"/>
                <w:szCs w:val="18"/>
                <w:color w:val="auto"/>
                <w:w w:val="91"/>
              </w:rPr>
              <w:t>South Africa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By Manpower S.L.U.</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Spain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IT Resource S.L.U.</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Spain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Link Externalizacion de Servicios, S.L.U.</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Spain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Team E.T.T., S.A.U.</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Spain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IT Resources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Empower Solutions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GrowPower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JKW Servicenter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Boservice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Care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Contact Center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Construction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Facility Management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Industrieservice</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Outsourcing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Professional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Security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Servicenter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Sverige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Mariedals Byggtjanst</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MZTK Chefsrekrytering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The Empower Group AB</w:t>
            </w:r>
          </w:p>
        </w:tc>
        <w:tc>
          <w:tcPr>
            <w:tcW w:w="6780" w:type="dxa"/>
            <w:vAlign w:val="bottom"/>
          </w:tcPr>
          <w:p>
            <w:pPr>
              <w:jc w:val="center"/>
              <w:ind w:left="5732"/>
              <w:spacing w:after="0"/>
              <w:rPr>
                <w:sz w:val="20"/>
                <w:szCs w:val="20"/>
                <w:color w:val="auto"/>
              </w:rPr>
            </w:pPr>
            <w:r>
              <w:rPr>
                <w:rFonts w:ascii="Arial" w:cs="Arial" w:eastAsia="Arial" w:hAnsi="Arial"/>
                <w:sz w:val="18"/>
                <w:szCs w:val="18"/>
                <w:color w:val="auto"/>
                <w:w w:val="86"/>
              </w:rPr>
              <w:t>Sweden</w:t>
            </w:r>
          </w:p>
        </w:tc>
      </w:tr>
      <w:tr>
        <w:trPr>
          <w:trHeight w:val="365"/>
        </w:trPr>
        <w:tc>
          <w:tcPr>
            <w:tcW w:w="4600" w:type="dxa"/>
            <w:vAlign w:val="bottom"/>
          </w:tcPr>
          <w:p>
            <w:pPr>
              <w:spacing w:after="0"/>
              <w:rPr>
                <w:sz w:val="24"/>
                <w:szCs w:val="24"/>
                <w:color w:val="auto"/>
              </w:rPr>
            </w:pPr>
          </w:p>
        </w:tc>
        <w:tc>
          <w:tcPr>
            <w:tcW w:w="6780" w:type="dxa"/>
            <w:vAlign w:val="bottom"/>
          </w:tcPr>
          <w:p>
            <w:pPr>
              <w:jc w:val="right"/>
              <w:ind w:right="553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280" w:right="27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Nordea Bemanning AB</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86"/>
              </w:rPr>
              <w:t>Sweden</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Allegra Finanz AG</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Ambridge Professional Services GmbH</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Caden Corporation S.A.</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Computing (Schweiz) AG, Zurich</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Telecommunications GmbH</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M.S.A.</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AG</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Holding AG</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HR Management S.A.</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Worklink AG</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0"/>
              </w:rPr>
              <w:t>Switzerland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Services (Taiwan) Co.,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89"/>
              </w:rPr>
              <w:t>Taiwan</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Recruitment Solutions Co.,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2"/>
              </w:rPr>
              <w:t>Thailand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Skillpower Services (Thailand) Co.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2"/>
              </w:rPr>
              <w:t>Thailand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Surawongse Recruitment Co.,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2"/>
              </w:rPr>
              <w:t>Thailand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HR Power Service Co.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2"/>
              </w:rPr>
              <w:t>Thailand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Tunisie</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89"/>
              </w:rPr>
              <w:t>Tunisia</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Insan Kaynaklari Limited Sirketi</w:t>
            </w:r>
          </w:p>
        </w:tc>
        <w:tc>
          <w:tcPr>
            <w:tcW w:w="6880" w:type="dxa"/>
            <w:vAlign w:val="bottom"/>
          </w:tcPr>
          <w:p>
            <w:pPr>
              <w:jc w:val="center"/>
              <w:ind w:left="5572"/>
              <w:spacing w:after="0"/>
              <w:rPr>
                <w:sz w:val="20"/>
                <w:szCs w:val="20"/>
                <w:color w:val="auto"/>
              </w:rPr>
            </w:pPr>
            <w:r>
              <w:rPr>
                <w:rFonts w:ascii="Arial" w:cs="Arial" w:eastAsia="Arial" w:hAnsi="Arial"/>
                <w:sz w:val="18"/>
                <w:szCs w:val="18"/>
                <w:color w:val="auto"/>
                <w:w w:val="90"/>
              </w:rPr>
              <w:t>Turkey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Ambridge Contracting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Ambridge Projects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Ambridge Systems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Bafin (UK)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Bafin Holdings</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Bafin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Brook Street Bureau PLC</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Brook Street (UK)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BS Project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Challoners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DP Support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Computing (Midlands)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Computing (Northern)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Computing (Scotland)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Computing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Group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Resource Support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Telecommunications Group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Elan Telecommunications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Ferribush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Girlpower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Jobsite UK (Worldwide)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(Ireland)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(UK)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Contract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Holdings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IT Services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Nominees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Public Limited Company</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Resourcing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Services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Manpower Strategic Services</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Nicholas Andrews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Overdrive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Psyconsult International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Salespower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Screenactive Ltd.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SHL Group PLC</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Temp Finance &amp; Accounting Service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The Ambridge Group</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The Empower Group (UK) Limited</w:t>
            </w:r>
          </w:p>
        </w:tc>
        <w:tc>
          <w:tcPr>
            <w:tcW w:w="6880" w:type="dxa"/>
            <w:vAlign w:val="bottom"/>
          </w:tcPr>
          <w:p>
            <w:pPr>
              <w:jc w:val="center"/>
              <w:ind w:left="5592"/>
              <w:spacing w:after="0"/>
              <w:rPr>
                <w:sz w:val="20"/>
                <w:szCs w:val="20"/>
                <w:color w:val="auto"/>
              </w:rPr>
            </w:pPr>
            <w:r>
              <w:rPr>
                <w:rFonts w:ascii="Arial" w:cs="Arial" w:eastAsia="Arial" w:hAnsi="Arial"/>
                <w:sz w:val="18"/>
                <w:szCs w:val="18"/>
                <w:color w:val="auto"/>
                <w:w w:val="93"/>
              </w:rPr>
              <w:t>United Kingdom</w:t>
            </w:r>
          </w:p>
        </w:tc>
      </w:tr>
      <w:tr>
        <w:trPr>
          <w:trHeight w:val="365"/>
        </w:trPr>
        <w:tc>
          <w:tcPr>
            <w:tcW w:w="4460" w:type="dxa"/>
            <w:vAlign w:val="bottom"/>
          </w:tcPr>
          <w:p>
            <w:pPr>
              <w:spacing w:after="0"/>
              <w:rPr>
                <w:sz w:val="24"/>
                <w:szCs w:val="24"/>
                <w:color w:val="auto"/>
              </w:rPr>
            </w:pPr>
          </w:p>
        </w:tc>
        <w:tc>
          <w:tcPr>
            <w:tcW w:w="6880" w:type="dxa"/>
            <w:vAlign w:val="bottom"/>
          </w:tcPr>
          <w:p>
            <w:pPr>
              <w:jc w:val="right"/>
              <w:ind w:right="549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40"/>
          </w:cols>
          <w:pgMar w:left="240" w:top="280" w:right="31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Empower Group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House of Catalyst</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Skills Group International Limited (UK)</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Trotman Group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Trotman &amp; Company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Working Links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Aris Sociedad Anonima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8"/>
              </w:rPr>
              <w:t>Uruguay</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de Venezuela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Empresa de Trabajo Temporal,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Servicios Alleray,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Nominees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Indiana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Texas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Texas Holdings LLC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Resource Consulting Group,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Signature Graphics of Milwaukee,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365"/>
        </w:trPr>
        <w:tc>
          <w:tcPr>
            <w:tcW w:w="4520" w:type="dxa"/>
            <w:vAlign w:val="bottom"/>
          </w:tcPr>
          <w:p>
            <w:pPr>
              <w:spacing w:after="0"/>
              <w:rPr>
                <w:sz w:val="24"/>
                <w:szCs w:val="24"/>
                <w:color w:val="auto"/>
              </w:rPr>
            </w:pPr>
          </w:p>
        </w:tc>
        <w:tc>
          <w:tcPr>
            <w:tcW w:w="6820" w:type="dxa"/>
            <w:vAlign w:val="bottom"/>
          </w:tcPr>
          <w:p>
            <w:pPr>
              <w:jc w:val="right"/>
              <w:ind w:right="549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40"/>
          </w:cols>
          <w:pgMar w:left="240" w:top="280"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33-40441, 33-55264, 33-84736, 333-1040, 333-31021, 333-82459, 333-66656, 333-105205 and 333-112164), Form S-3 (File Nos. 33-89660, 333-6545 and 333-71040) and Form S-4 (File Nos. 333-650, 33-95896 and 333-87554) of Manpower Inc. of our report dated February 11, 2004 relating to the financial statements, which appears in the Annual Report to Shareholders, which is incorporated in this Annual Report on Form 10-K. We also consent to the incorporation by reference of our report dated February 11, 2004 relating to the financial statement schedule, which appears in this Form 10-K.</w:t>
      </w:r>
    </w:p>
    <w:p>
      <w:pPr>
        <w:spacing w:after="0" w:line="102"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2004</w:t>
      </w:r>
    </w:p>
    <w:p>
      <w:pPr>
        <w:sectPr>
          <w:pgSz w:w="11900" w:h="16838" w:orient="portrait"/>
          <w:cols w:equalWidth="0" w:num="1">
            <w:col w:w="11420"/>
          </w:cols>
          <w:pgMar w:left="240" w:top="13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2003,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1st day of February, 2004.</w:t>
      </w:r>
    </w:p>
    <w:p>
      <w:pPr>
        <w:sectPr>
          <w:pgSz w:w="11900" w:h="16838" w:orient="portrait"/>
          <w:cols w:equalWidth="0" w:num="1">
            <w:col w:w="11420"/>
          </w:cols>
          <w:pgMar w:left="240" w:top="131" w:right="23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ind w:left="80"/>
              <w:spacing w:after="0"/>
              <w:rPr>
                <w:sz w:val="20"/>
                <w:szCs w:val="20"/>
                <w:color w:val="auto"/>
              </w:rPr>
            </w:pPr>
            <w:r>
              <w:rPr>
                <w:rFonts w:ascii="Arial" w:cs="Arial" w:eastAsia="Arial" w:hAnsi="Arial"/>
                <w:sz w:val="18"/>
                <w:szCs w:val="18"/>
                <w:color w:val="auto"/>
              </w:rPr>
              <w:t>J. Thomas Bouchard</w:t>
            </w:r>
          </w:p>
        </w:tc>
      </w:tr>
      <w:tr>
        <w:trPr>
          <w:trHeight w:val="110"/>
        </w:trPr>
        <w:tc>
          <w:tcPr>
            <w:tcW w:w="5340" w:type="dxa"/>
            <w:vAlign w:val="bottom"/>
            <w:tcBorders>
              <w:bottom w:val="single" w:sz="8" w:color="auto"/>
            </w:tcBorders>
            <w:gridSpan w:val="2"/>
          </w:tcPr>
          <w:p>
            <w:pPr>
              <w:spacing w:after="0"/>
              <w:rPr>
                <w:sz w:val="9"/>
                <w:szCs w:val="9"/>
                <w:color w:val="auto"/>
              </w:rPr>
            </w:pPr>
          </w:p>
        </w:tc>
      </w:tr>
      <w:tr>
        <w:trPr>
          <w:trHeight w:val="263"/>
        </w:trPr>
        <w:tc>
          <w:tcPr>
            <w:tcW w:w="5340" w:type="dxa"/>
            <w:vAlign w:val="bottom"/>
            <w:gridSpan w:val="2"/>
          </w:tcPr>
          <w:p>
            <w:pPr>
              <w:spacing w:after="0"/>
              <w:rPr>
                <w:sz w:val="20"/>
                <w:szCs w:val="20"/>
                <w:color w:val="auto"/>
              </w:rPr>
            </w:pPr>
            <w:r>
              <w:rPr>
                <w:rFonts w:ascii="Arial" w:cs="Arial" w:eastAsia="Arial" w:hAnsi="Arial"/>
                <w:sz w:val="14"/>
                <w:szCs w:val="14"/>
                <w:color w:val="auto"/>
              </w:rPr>
              <w:t>J. Thomas Bouchard</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ind w:left="80"/>
              <w:spacing w:after="0"/>
              <w:rPr>
                <w:sz w:val="20"/>
                <w:szCs w:val="20"/>
                <w:color w:val="auto"/>
              </w:rPr>
            </w:pPr>
            <w:r>
              <w:rPr>
                <w:rFonts w:ascii="Arial" w:cs="Arial" w:eastAsia="Arial" w:hAnsi="Arial"/>
                <w:sz w:val="18"/>
                <w:szCs w:val="18"/>
                <w:color w:val="auto"/>
              </w:rPr>
              <w:t>Stephanie A. Burns</w:t>
            </w:r>
          </w:p>
        </w:tc>
      </w:tr>
      <w:tr>
        <w:trPr>
          <w:trHeight w:val="110"/>
        </w:trPr>
        <w:tc>
          <w:tcPr>
            <w:tcW w:w="5340" w:type="dxa"/>
            <w:vAlign w:val="bottom"/>
            <w:tcBorders>
              <w:bottom w:val="single" w:sz="8" w:color="auto"/>
            </w:tcBorders>
            <w:gridSpan w:val="2"/>
          </w:tcPr>
          <w:p>
            <w:pPr>
              <w:spacing w:after="0"/>
              <w:rPr>
                <w:sz w:val="9"/>
                <w:szCs w:val="9"/>
                <w:color w:val="auto"/>
              </w:rPr>
            </w:pPr>
          </w:p>
        </w:tc>
      </w:tr>
      <w:tr>
        <w:trPr>
          <w:trHeight w:val="263"/>
        </w:trPr>
        <w:tc>
          <w:tcPr>
            <w:tcW w:w="5340" w:type="dxa"/>
            <w:vAlign w:val="bottom"/>
            <w:gridSpan w:val="2"/>
          </w:tcPr>
          <w:p>
            <w:pPr>
              <w:spacing w:after="0"/>
              <w:rPr>
                <w:sz w:val="20"/>
                <w:szCs w:val="20"/>
                <w:color w:val="auto"/>
              </w:rPr>
            </w:pPr>
            <w:r>
              <w:rPr>
                <w:rFonts w:ascii="Arial" w:cs="Arial" w:eastAsia="Arial" w:hAnsi="Arial"/>
                <w:sz w:val="14"/>
                <w:szCs w:val="14"/>
                <w:color w:val="auto"/>
              </w:rPr>
              <w:t>Stephanie A. Burns</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ind w:left="80"/>
              <w:spacing w:after="0"/>
              <w:rPr>
                <w:sz w:val="20"/>
                <w:szCs w:val="20"/>
                <w:color w:val="auto"/>
              </w:rPr>
            </w:pPr>
            <w:r>
              <w:rPr>
                <w:rFonts w:ascii="Arial" w:cs="Arial" w:eastAsia="Arial" w:hAnsi="Arial"/>
                <w:sz w:val="18"/>
                <w:szCs w:val="18"/>
                <w:color w:val="auto"/>
              </w:rPr>
              <w:t>Willie D. Davis</w:t>
            </w:r>
          </w:p>
        </w:tc>
      </w:tr>
      <w:tr>
        <w:trPr>
          <w:trHeight w:val="110"/>
        </w:trPr>
        <w:tc>
          <w:tcPr>
            <w:tcW w:w="5340" w:type="dxa"/>
            <w:vAlign w:val="bottom"/>
            <w:tcBorders>
              <w:bottom w:val="single" w:sz="8" w:color="auto"/>
            </w:tcBorders>
            <w:gridSpan w:val="2"/>
          </w:tcPr>
          <w:p>
            <w:pPr>
              <w:spacing w:after="0"/>
              <w:rPr>
                <w:sz w:val="9"/>
                <w:szCs w:val="9"/>
                <w:color w:val="auto"/>
              </w:rPr>
            </w:pPr>
          </w:p>
        </w:tc>
      </w:tr>
      <w:tr>
        <w:trPr>
          <w:trHeight w:val="263"/>
        </w:trPr>
        <w:tc>
          <w:tcPr>
            <w:tcW w:w="5340" w:type="dxa"/>
            <w:vAlign w:val="bottom"/>
            <w:gridSpan w:val="2"/>
          </w:tcPr>
          <w:p>
            <w:pPr>
              <w:spacing w:after="0"/>
              <w:rPr>
                <w:sz w:val="20"/>
                <w:szCs w:val="20"/>
                <w:color w:val="auto"/>
              </w:rPr>
            </w:pPr>
            <w:r>
              <w:rPr>
                <w:rFonts w:ascii="Arial" w:cs="Arial" w:eastAsia="Arial" w:hAnsi="Arial"/>
                <w:sz w:val="14"/>
                <w:szCs w:val="14"/>
                <w:color w:val="auto"/>
              </w:rPr>
              <w:t>Willie D. Davis</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ind w:left="80"/>
              <w:spacing w:after="0"/>
              <w:rPr>
                <w:sz w:val="20"/>
                <w:szCs w:val="20"/>
                <w:color w:val="auto"/>
              </w:rPr>
            </w:pPr>
            <w:r>
              <w:rPr>
                <w:rFonts w:ascii="Arial" w:cs="Arial" w:eastAsia="Arial" w:hAnsi="Arial"/>
                <w:sz w:val="18"/>
                <w:szCs w:val="18"/>
                <w:color w:val="auto"/>
              </w:rPr>
              <w:t>Jack M. Greenberg</w:t>
            </w:r>
          </w:p>
        </w:tc>
      </w:tr>
      <w:tr>
        <w:trPr>
          <w:trHeight w:val="110"/>
        </w:trPr>
        <w:tc>
          <w:tcPr>
            <w:tcW w:w="5340" w:type="dxa"/>
            <w:vAlign w:val="bottom"/>
            <w:tcBorders>
              <w:bottom w:val="single" w:sz="8" w:color="auto"/>
            </w:tcBorders>
            <w:gridSpan w:val="2"/>
          </w:tcPr>
          <w:p>
            <w:pPr>
              <w:spacing w:after="0"/>
              <w:rPr>
                <w:sz w:val="9"/>
                <w:szCs w:val="9"/>
                <w:color w:val="auto"/>
              </w:rPr>
            </w:pPr>
          </w:p>
        </w:tc>
      </w:tr>
      <w:tr>
        <w:trPr>
          <w:trHeight w:val="263"/>
        </w:trPr>
        <w:tc>
          <w:tcPr>
            <w:tcW w:w="5340" w:type="dxa"/>
            <w:vAlign w:val="bottom"/>
            <w:gridSpan w:val="2"/>
          </w:tcPr>
          <w:p>
            <w:pPr>
              <w:spacing w:after="0"/>
              <w:rPr>
                <w:sz w:val="20"/>
                <w:szCs w:val="20"/>
                <w:color w:val="auto"/>
              </w:rPr>
            </w:pPr>
            <w:r>
              <w:rPr>
                <w:rFonts w:ascii="Arial" w:cs="Arial" w:eastAsia="Arial" w:hAnsi="Arial"/>
                <w:sz w:val="14"/>
                <w:szCs w:val="14"/>
                <w:color w:val="auto"/>
              </w:rPr>
              <w:t>Jack M. Greenberg</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ind w:left="80"/>
              <w:spacing w:after="0"/>
              <w:rPr>
                <w:sz w:val="20"/>
                <w:szCs w:val="20"/>
                <w:color w:val="auto"/>
              </w:rPr>
            </w:pPr>
            <w:r>
              <w:rPr>
                <w:rFonts w:ascii="Arial" w:cs="Arial" w:eastAsia="Arial" w:hAnsi="Arial"/>
                <w:sz w:val="18"/>
                <w:szCs w:val="18"/>
                <w:color w:val="auto"/>
              </w:rPr>
              <w:t>Terry A. Hueneke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3877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100" w:type="dxa"/>
            <w:vAlign w:val="bottom"/>
          </w:tcPr>
          <w:p>
            <w:pPr>
              <w:ind w:left="80"/>
              <w:spacing w:after="0"/>
              <w:rPr>
                <w:sz w:val="20"/>
                <w:szCs w:val="20"/>
                <w:color w:val="auto"/>
              </w:rPr>
            </w:pPr>
            <w:r>
              <w:rPr>
                <w:rFonts w:ascii="Arial" w:cs="Arial" w:eastAsia="Arial" w:hAnsi="Arial"/>
                <w:sz w:val="18"/>
                <w:szCs w:val="18"/>
                <w:color w:val="auto"/>
              </w:rPr>
              <w:t>Jeffrey A. Joerres</w:t>
            </w:r>
          </w:p>
        </w:tc>
      </w:tr>
      <w:tr>
        <w:trPr>
          <w:trHeight w:val="110"/>
        </w:trPr>
        <w:tc>
          <w:tcPr>
            <w:tcW w:w="5360" w:type="dxa"/>
            <w:vAlign w:val="bottom"/>
            <w:tcBorders>
              <w:bottom w:val="single" w:sz="8" w:color="auto"/>
            </w:tcBorders>
            <w:gridSpan w:val="2"/>
          </w:tcPr>
          <w:p>
            <w:pPr>
              <w:spacing w:after="0"/>
              <w:rPr>
                <w:sz w:val="9"/>
                <w:szCs w:val="9"/>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4"/>
                <w:szCs w:val="14"/>
                <w:color w:val="auto"/>
              </w:rPr>
              <w:t>Jeffrey A. Joerres</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100" w:type="dxa"/>
            <w:vAlign w:val="bottom"/>
          </w:tcPr>
          <w:p>
            <w:pPr>
              <w:ind w:left="80"/>
              <w:spacing w:after="0"/>
              <w:rPr>
                <w:sz w:val="20"/>
                <w:szCs w:val="20"/>
                <w:color w:val="auto"/>
              </w:rPr>
            </w:pPr>
            <w:r>
              <w:rPr>
                <w:rFonts w:ascii="Arial" w:cs="Arial" w:eastAsia="Arial" w:hAnsi="Arial"/>
                <w:sz w:val="18"/>
                <w:szCs w:val="18"/>
                <w:color w:val="auto"/>
              </w:rPr>
              <w:t>Rozanne L. Ridgway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34048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Rozanne L. Ridgway</w:t>
      </w:r>
    </w:p>
    <w:p>
      <w:pPr>
        <w:spacing w:after="0" w:line="2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Dennis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Dennis Stevenson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100" w:type="dxa"/>
            <w:vAlign w:val="bottom"/>
          </w:tcPr>
          <w:p>
            <w:pPr>
              <w:ind w:left="80"/>
              <w:spacing w:after="0"/>
              <w:rPr>
                <w:sz w:val="20"/>
                <w:szCs w:val="20"/>
                <w:color w:val="auto"/>
              </w:rPr>
            </w:pPr>
            <w:r>
              <w:rPr>
                <w:rFonts w:ascii="Arial" w:cs="Arial" w:eastAsia="Arial" w:hAnsi="Arial"/>
                <w:sz w:val="18"/>
                <w:szCs w:val="18"/>
                <w:color w:val="auto"/>
              </w:rPr>
              <w:t>John R. Walter</w:t>
            </w:r>
          </w:p>
        </w:tc>
      </w:tr>
      <w:tr>
        <w:trPr>
          <w:trHeight w:val="110"/>
        </w:trPr>
        <w:tc>
          <w:tcPr>
            <w:tcW w:w="5360" w:type="dxa"/>
            <w:vAlign w:val="bottom"/>
            <w:tcBorders>
              <w:bottom w:val="single" w:sz="8" w:color="auto"/>
            </w:tcBorders>
            <w:gridSpan w:val="2"/>
          </w:tcPr>
          <w:p>
            <w:pPr>
              <w:spacing w:after="0"/>
              <w:rPr>
                <w:sz w:val="9"/>
                <w:szCs w:val="9"/>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4"/>
                <w:szCs w:val="14"/>
                <w:color w:val="auto"/>
              </w:rPr>
              <w:t>John R. Walter</w:t>
            </w: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5100" w:type="dxa"/>
            <w:vAlign w:val="bottom"/>
          </w:tcPr>
          <w:p>
            <w:pPr>
              <w:ind w:left="80"/>
              <w:spacing w:after="0"/>
              <w:rPr>
                <w:sz w:val="20"/>
                <w:szCs w:val="20"/>
                <w:color w:val="auto"/>
              </w:rPr>
            </w:pPr>
            <w:r>
              <w:rPr>
                <w:rFonts w:ascii="Arial" w:cs="Arial" w:eastAsia="Arial" w:hAnsi="Arial"/>
                <w:sz w:val="18"/>
                <w:szCs w:val="18"/>
                <w:color w:val="auto"/>
              </w:rPr>
              <w:t>Edward J. Zore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340487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31" w:right="239" w:bottom="1440" w:gutter="0" w:footer="0" w:header="0"/>
          <w:type w:val="continuous"/>
        </w:sectPr>
      </w:pPr>
    </w:p>
    <w:p>
      <w:pPr>
        <w:spacing w:after="0" w:line="21" w:lineRule="exact"/>
        <w:rPr>
          <w:sz w:val="20"/>
          <w:szCs w:val="20"/>
          <w:color w:val="auto"/>
        </w:rPr>
      </w:pPr>
    </w:p>
    <w:p>
      <w:pPr>
        <w:spacing w:after="0"/>
        <w:tabs>
          <w:tab w:leader="none" w:pos="6040" w:val="left"/>
        </w:tabs>
        <w:rPr>
          <w:sz w:val="20"/>
          <w:szCs w:val="20"/>
          <w:color w:val="auto"/>
        </w:rPr>
      </w:pPr>
      <w:r>
        <w:rPr>
          <w:rFonts w:ascii="Arial" w:cs="Arial" w:eastAsia="Arial" w:hAnsi="Arial"/>
          <w:sz w:val="14"/>
          <w:szCs w:val="14"/>
          <w:color w:val="auto"/>
        </w:rPr>
        <w:t>Terry A. Hueneke</w:t>
      </w:r>
      <w:r>
        <w:rPr>
          <w:sz w:val="20"/>
          <w:szCs w:val="20"/>
          <w:color w:val="auto"/>
        </w:rPr>
        <w:tab/>
      </w:r>
      <w:r>
        <w:rPr>
          <w:rFonts w:ascii="Arial" w:cs="Arial" w:eastAsia="Arial" w:hAnsi="Arial"/>
          <w:sz w:val="12"/>
          <w:szCs w:val="12"/>
          <w:color w:val="auto"/>
        </w:rPr>
        <w:t>Edward J. Zore</w:t>
      </w:r>
    </w:p>
    <w:p>
      <w:pPr>
        <w:sectPr>
          <w:pgSz w:w="11900" w:h="16838" w:orient="portrait"/>
          <w:cols w:equalWidth="0" w:num="1">
            <w:col w:w="11420"/>
          </w:cols>
          <w:pgMar w:left="240" w:top="131"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0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24, 2004</w:t>
      </w:r>
    </w:p>
    <w:p>
      <w:pPr>
        <w:spacing w:after="0" w:line="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rPr>
          <w:sz w:val="20"/>
          <w:szCs w:val="20"/>
          <w:color w:val="auto"/>
        </w:rPr>
      </w:pPr>
      <w:r>
        <w:rPr>
          <w:rFonts w:ascii="Arial" w:cs="Arial" w:eastAsia="Arial" w:hAnsi="Arial"/>
          <w:sz w:val="14"/>
          <w:szCs w:val="14"/>
          <w:color w:val="auto"/>
        </w:rPr>
        <w:t>Chairman, Chief Executive Officer</w:t>
      </w:r>
    </w:p>
    <w:p>
      <w:pPr>
        <w:sectPr>
          <w:pgSz w:w="11900" w:h="16838" w:orient="portrait"/>
          <w:cols w:equalWidth="0" w:num="1">
            <w:col w:w="11420"/>
          </w:cols>
          <w:pgMar w:left="240" w:top="13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7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24, 2004</w:t>
      </w:r>
    </w:p>
    <w:p>
      <w:pPr>
        <w:spacing w:after="0" w:line="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221" w:lineRule="auto"/>
        <w:rPr>
          <w:sz w:val="20"/>
          <w:szCs w:val="20"/>
          <w:color w:val="auto"/>
        </w:rPr>
      </w:pPr>
      <w:r>
        <w:rPr>
          <w:rFonts w:ascii="Arial" w:cs="Arial" w:eastAsia="Arial" w:hAnsi="Arial"/>
          <w:sz w:val="14"/>
          <w:szCs w:val="14"/>
          <w:color w:val="auto"/>
        </w:rPr>
        <w:t>Executive Vice President,</w:t>
      </w:r>
    </w:p>
    <w:p>
      <w:pPr>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20"/>
          </w:cols>
          <w:pgMar w:left="240" w:top="13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2003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24, 2004</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rPr>
          <w:sz w:val="20"/>
          <w:szCs w:val="20"/>
          <w:color w:val="auto"/>
        </w:rPr>
      </w:pPr>
      <w:r>
        <w:rPr>
          <w:rFonts w:ascii="Arial" w:cs="Arial" w:eastAsia="Arial" w:hAnsi="Arial"/>
          <w:sz w:val="14"/>
          <w:szCs w:val="14"/>
          <w:color w:val="auto"/>
        </w:rPr>
        <w:t>Chairman, Chief Executive Officer</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3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2003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24, 2004</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221" w:lineRule="auto"/>
        <w:rPr>
          <w:sz w:val="20"/>
          <w:szCs w:val="20"/>
          <w:color w:val="auto"/>
        </w:rPr>
      </w:pPr>
      <w:r>
        <w:rPr>
          <w:rFonts w:ascii="Arial" w:cs="Arial" w:eastAsia="Arial" w:hAnsi="Arial"/>
          <w:sz w:val="14"/>
          <w:szCs w:val="14"/>
          <w:color w:val="auto"/>
        </w:rPr>
        <w:t>Executive Vice President,</w:t>
      </w:r>
    </w:p>
    <w:p>
      <w:pPr>
        <w:spacing w:after="0"/>
        <w:rPr>
          <w:sz w:val="20"/>
          <w:szCs w:val="20"/>
          <w:color w:val="auto"/>
        </w:rPr>
      </w:pPr>
      <w:r>
        <w:rPr>
          <w:rFonts w:ascii="Arial" w:cs="Arial" w:eastAsia="Arial" w:hAnsi="Arial"/>
          <w:sz w:val="14"/>
          <w:szCs w:val="14"/>
          <w:color w:val="auto"/>
        </w:rPr>
        <w:t>Chief Financial Officer</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Letter"/>
      <w:start w:val="1"/>
    </w:lvl>
    <w:lvl w:ilvl="1">
      <w:lvlJc w:val="left"/>
      <w:lvlText w:val="(%2)"/>
      <w:numFmt w:val="lowerRoman"/>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2"/>
    </w:lvl>
  </w:abstractNum>
  <w:abstractNum w:abstractNumId="15">
    <w:nsid w:val="3804823E"/>
    <w:multiLevelType w:val="hybridMultilevel"/>
    <w:lvl w:ilvl="0">
      <w:lvlJc w:val="left"/>
      <w:lvlText w:val="(%1)"/>
      <w:numFmt w:val="lowerLetter"/>
      <w:start w:val="3"/>
    </w:lvl>
  </w:abstractNum>
  <w:abstractNum w:abstractNumId="16">
    <w:nsid w:val="77465F01"/>
    <w:multiLevelType w:val="hybridMultilevel"/>
    <w:lvl w:ilvl="0">
      <w:lvlJc w:val="left"/>
      <w:lvlText w:val="%1"/>
      <w:numFmt w:val="decimal"/>
      <w:start w:val="13"/>
    </w:lvl>
  </w:abstractNum>
  <w:abstractNum w:abstractNumId="17">
    <w:nsid w:val="7724C67E"/>
    <w:multiLevelType w:val="hybridMultilevel"/>
    <w:lvl w:ilvl="0">
      <w:lvlJc w:val="left"/>
      <w:lvlText w:val="%1"/>
      <w:numFmt w:val="decimal"/>
      <w:start w:val="16"/>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7"/>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1."/>
      <w:numFmt w:val="decimal"/>
      <w:start w:val="3"/>
    </w:lvl>
    <w:lvl w:ilvl="1">
      <w:lvlJc w:val="left"/>
      <w:lvlText w:val="(%2)"/>
      <w:numFmt w:val="lowerLetter"/>
      <w:start w:val="1"/>
    </w:lvl>
  </w:abstractNum>
  <w:abstractNum w:abstractNumId="23">
    <w:nsid w:val="580BD78F"/>
    <w:multiLevelType w:val="hybridMultilevel"/>
    <w:lvl w:ilvl="0">
      <w:lvlJc w:val="left"/>
      <w:lvlText w:val="%1."/>
      <w:numFmt w:val="decimal"/>
      <w:start w:val="4"/>
    </w:lvl>
  </w:abstractNum>
  <w:abstractNum w:abstractNumId="24">
    <w:nsid w:val="153EA438"/>
    <w:multiLevelType w:val="hybridMultilevel"/>
    <w:lvl w:ilvl="0">
      <w:lvlJc w:val="left"/>
      <w:lvlText w:val="%1."/>
      <w:numFmt w:val="decimal"/>
      <w:start w:val="5"/>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decimal"/>
      <w:start w:val="6"/>
    </w:lvl>
  </w:abstractNum>
  <w:abstractNum w:abstractNumId="27">
    <w:nsid w:val="6A2342EC"/>
    <w:multiLevelType w:val="hybridMultilevel"/>
    <w:lvl w:ilvl="0">
      <w:lvlJc w:val="left"/>
      <w:lvlText w:val="(%1)"/>
      <w:numFmt w:val="upperLetter"/>
      <w:start w:val="1"/>
    </w:lvl>
  </w:abstractNum>
  <w:abstractNum w:abstractNumId="28">
    <w:nsid w:val="2A487CB0"/>
    <w:multiLevelType w:val="hybridMultilevel"/>
    <w:lvl w:ilvl="0">
      <w:lvlJc w:val="left"/>
      <w:lvlText w:val="%1"/>
      <w:numFmt w:val="decimal"/>
      <w:start w:val="26"/>
    </w:lvl>
  </w:abstractNum>
  <w:abstractNum w:abstractNumId="29">
    <w:nsid w:val="1D4ED43B"/>
    <w:multiLevelType w:val="hybridMultilevel"/>
    <w:lvl w:ilvl="0">
      <w:lvlJc w:val="left"/>
      <w:lvlText w:val="%1"/>
      <w:numFmt w:val="decimal"/>
      <w:start w:val="44"/>
    </w:lvl>
  </w:abstractNum>
  <w:abstractNum w:abstractNumId="30">
    <w:nsid w:val="725A06FB"/>
    <w:multiLevelType w:val="hybridMultilevel"/>
    <w:lvl w:ilvl="0">
      <w:lvlJc w:val="left"/>
      <w:lvlText w:val="%1"/>
      <w:numFmt w:val="decimal"/>
      <w:start w:val="73"/>
    </w:lvl>
  </w:abstractNum>
  <w:abstractNum w:abstractNumId="31">
    <w:nsid w:val="2CD89A32"/>
    <w:multiLevelType w:val="hybridMultilevel"/>
    <w:lvl w:ilvl="0">
      <w:lvlJc w:val="left"/>
      <w:lvlText w:val="%1"/>
      <w:numFmt w:val="decimal"/>
      <w:start w:val="78"/>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9"/>
    </w:lvl>
  </w:abstractNum>
  <w:abstractNum w:abstractNumId="36">
    <w:nsid w:val="6DE91B18"/>
    <w:multiLevelType w:val="hybridMultilevel"/>
    <w:lvl w:ilvl="0">
      <w:lvlJc w:val="left"/>
      <w:lvlText w:val="%1."/>
      <w:numFmt w:val="decimal"/>
      <w:start w:val="12"/>
    </w:lvl>
  </w:abstractNum>
  <w:abstractNum w:abstractNumId="37">
    <w:nsid w:val="38437FDB"/>
    <w:multiLevelType w:val="hybridMultilevel"/>
    <w:lvl w:ilvl="0">
      <w:lvlJc w:val="left"/>
      <w:lvlText w:val="%1."/>
      <w:numFmt w:val="decimal"/>
      <w:start w:val="13"/>
    </w:lvl>
  </w:abstractNum>
  <w:abstractNum w:abstractNumId="38">
    <w:nsid w:val="7644A45C"/>
    <w:multiLevelType w:val="hybridMultilevel"/>
    <w:lvl w:ilvl="0">
      <w:lvlJc w:val="left"/>
      <w:lvlText w:val="%1."/>
      <w:numFmt w:val="decimal"/>
      <w:start w:val="14"/>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bullet"/>
      <w:start w:val="1"/>
    </w:lvl>
  </w:abstractNum>
  <w:abstractNum w:abstractNumId="43">
    <w:nsid w:val="3DC240FB"/>
    <w:multiLevelType w:val="hybridMultilevel"/>
    <w:lvl w:ilvl="0">
      <w:lvlJc w:val="left"/>
      <w:lvlText w:val="2"/>
      <w:numFmt w:val="bullet"/>
      <w:start w:val="1"/>
    </w:lvl>
  </w:abstractNum>
  <w:abstractNum w:abstractNumId="44">
    <w:nsid w:val="1BA026FA"/>
    <w:multiLevelType w:val="hybridMultilevel"/>
    <w:lvl w:ilvl="0">
      <w:lvlJc w:val="left"/>
      <w:lvlText w:val="3"/>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upperLetter"/>
      <w:start w:val="9"/>
    </w:lvl>
  </w:abstractNum>
  <w:abstractNum w:abstractNumId="47">
    <w:nsid w:val="12E685FB"/>
    <w:multiLevelType w:val="hybridMultilevel"/>
    <w:lvl w:ilvl="0">
      <w:lvlJc w:val="left"/>
      <w:lvlText w:val="%1."/>
      <w:numFmt w:val="upperLetter"/>
      <w:start w:val="35"/>
    </w:lvl>
  </w:abstractNum>
  <w:abstractNum w:abstractNumId="48">
    <w:nsid w:val="70C6A529"/>
    <w:multiLevelType w:val="hybridMultilevel"/>
    <w:lvl w:ilvl="0">
      <w:lvlJc w:val="left"/>
      <w:lvlText w:val="%1."/>
      <w:numFmt w:val="upperLetter"/>
      <w:start w:val="61"/>
    </w:lvl>
  </w:abstractNum>
  <w:abstractNum w:abstractNumId="49">
    <w:nsid w:val="520EEDD1"/>
    <w:multiLevelType w:val="hybridMultilevel"/>
    <w:lvl w:ilvl="0">
      <w:lvlJc w:val="left"/>
      <w:lvlText w:val="%1."/>
      <w:numFmt w:val="upperLetter"/>
      <w:start w:val="22"/>
    </w:lvl>
  </w:abstractNum>
  <w:abstractNum w:abstractNumId="50">
    <w:nsid w:val="374A3FE6"/>
    <w:multiLevelType w:val="hybridMultilevel"/>
    <w:lvl w:ilvl="0">
      <w:lvlJc w:val="left"/>
      <w:lvlText w:val="%1."/>
      <w:numFmt w:val="upperLetter"/>
      <w:start w:val="24"/>
    </w:lvl>
  </w:abstractNum>
  <w:abstractNum w:abstractNumId="51">
    <w:nsid w:val="4F4EF005"/>
    <w:multiLevelType w:val="hybridMultilevel"/>
    <w:lvl w:ilvl="0">
      <w:lvlJc w:val="left"/>
      <w:lvlText w:val="%1."/>
      <w:numFmt w:val="upperLetter"/>
      <w:start w:val="1"/>
    </w:lvl>
  </w:abstractNum>
  <w:abstractNum w:abstractNumId="52">
    <w:nsid w:val="23F9C13C"/>
    <w:multiLevelType w:val="hybridMultilevel"/>
    <w:lvl w:ilvl="0">
      <w:lvlJc w:val="left"/>
      <w:lvlText w:val="%1."/>
      <w:numFmt w:val="upperLetter"/>
      <w:start w:val="4"/>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2019-12-11T21:48:43Z</dcterms:created>
  <dcterms:modified xsi:type="dcterms:W3CDTF">2019-12-11T21:48:43Z</dcterms:modified>
</cp:coreProperties>
</file>