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July 18, 2024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6"/>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33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11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45"/>
        </w:trPr>
        <w:tc>
          <w:tcPr>
            <w:tcW w:w="37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20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8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61"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753110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4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6"/>
          <w:szCs w:val="16"/>
          <w:color w:val="auto"/>
        </w:rPr>
        <w:t>On July 18, 2024, we issued a press release announcing our results of operations for the three and six months ended June 30, 2024 and 2023.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42"/>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7"/>
        </w:trPr>
        <w:tc>
          <w:tcPr>
            <w:tcW w:w="20" w:type="dxa"/>
            <w:vAlign w:val="bottom"/>
          </w:tcPr>
          <w:p>
            <w:pPr>
              <w:spacing w:after="0"/>
              <w:rPr>
                <w:sz w:val="13"/>
                <w:szCs w:val="13"/>
                <w:color w:val="auto"/>
              </w:rPr>
            </w:pPr>
          </w:p>
        </w:tc>
        <w:tc>
          <w:tcPr>
            <w:tcW w:w="7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FF"/>
              </w:rPr>
              <w:t>Press Release dated July 18, 2024</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93"/>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Presentation materials for July 18, 2024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EE"/>
            </w:tcBorders>
            <w:gridSpan w:val="2"/>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6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449"/>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Dated:July 18, 2024</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86"/>
        </w:trPr>
        <w:tc>
          <w:tcPr>
            <w:tcW w:w="72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860" w:type="dxa"/>
            <w:vAlign w:val="bottom"/>
          </w:tcPr>
          <w:p>
            <w:pPr>
              <w:ind w:left="280"/>
              <w:spacing w:after="0" w:line="182"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John T. McGinnis</w:t>
            </w:r>
          </w:p>
        </w:tc>
      </w:tr>
      <w:tr>
        <w:trPr>
          <w:trHeight w:val="203"/>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56"/>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
        <w:spacing w:after="0"/>
        <w:tabs>
          <w:tab w:leader="none" w:pos="6765"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244"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Nick Hengst</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+1.414.906.7356</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nicholas.hengst@manpowergroup.com</w:t>
      </w:r>
    </w:p>
    <w:p>
      <w:pPr>
        <w:spacing w:after="0" w:line="200" w:lineRule="exact"/>
        <w:rPr>
          <w:sz w:val="20"/>
          <w:szCs w:val="20"/>
          <w:color w:val="auto"/>
        </w:rPr>
      </w:pPr>
    </w:p>
    <w:p>
      <w:pPr>
        <w:spacing w:after="0" w:line="248"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2</w:t>
      </w:r>
      <w:r>
        <w:rPr>
          <w:rFonts w:ascii="Arial" w:cs="Arial" w:eastAsia="Arial" w:hAnsi="Arial"/>
          <w:sz w:val="25"/>
          <w:szCs w:val="25"/>
          <w:b w:val="1"/>
          <w:bCs w:val="1"/>
          <w:color w:val="auto"/>
          <w:vertAlign w:val="superscript"/>
        </w:rPr>
        <w:t>nd</w:t>
      </w:r>
      <w:r>
        <w:rPr>
          <w:rFonts w:ascii="Arial" w:cs="Arial" w:eastAsia="Arial" w:hAnsi="Arial"/>
          <w:sz w:val="19"/>
          <w:szCs w:val="19"/>
          <w:b w:val="1"/>
          <w:bCs w:val="1"/>
          <w:color w:val="auto"/>
        </w:rPr>
        <w:t xml:space="preserve"> Quarter 2024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$4.5 billion (-7% as reported, -3% constant currency)</w:t>
      </w:r>
    </w:p>
    <w:p>
      <w:pPr>
        <w:spacing w:after="0" w:line="83"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Continuation of challenging environment in North America and Europe during the quarter, solid demand in Latin America and Asia-Pacific region</w:t>
      </w:r>
    </w:p>
    <w:p>
      <w:pPr>
        <w:spacing w:after="0" w:line="29"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17.4%. Staffing margins remained solid; permanent recruitment levels stepped down slightly from the previous quarter</w:t>
      </w:r>
    </w:p>
    <w:p>
      <w:pPr>
        <w:spacing w:after="0" w:line="3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SG&amp;A reduced further during the quarter (-9% as reported, -7% constant currency, -5% constant currency as adjusted</w:t>
      </w:r>
      <w:r>
        <w:rPr>
          <w:rFonts w:ascii="Arial" w:cs="Arial" w:eastAsia="Arial" w:hAnsi="Arial"/>
          <w:sz w:val="23"/>
          <w:szCs w:val="23"/>
          <w:color w:val="auto"/>
          <w:vertAlign w:val="superscript"/>
        </w:rPr>
        <w:t>[1]</w:t>
      </w:r>
      <w:r>
        <w:rPr>
          <w:rFonts w:ascii="Arial" w:cs="Arial" w:eastAsia="Arial" w:hAnsi="Arial"/>
          <w:sz w:val="17"/>
          <w:szCs w:val="17"/>
          <w:color w:val="auto"/>
        </w:rPr>
        <w:t>)</w:t>
      </w:r>
    </w:p>
    <w:p>
      <w:pPr>
        <w:spacing w:after="0" w:line="44"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$27 million of common stock repurchased during the quarter</w:t>
      </w:r>
    </w:p>
    <w:p>
      <w:pPr>
        <w:spacing w:after="0" w:line="192" w:lineRule="exact"/>
        <w:rPr>
          <w:sz w:val="20"/>
          <w:szCs w:val="20"/>
          <w:color w:val="auto"/>
        </w:rPr>
      </w:pPr>
    </w:p>
    <w:p>
      <w:pPr>
        <w:jc w:val="both"/>
        <w:ind w:left="5" w:right="20"/>
        <w:spacing w:after="0" w:line="239" w:lineRule="auto"/>
        <w:rPr>
          <w:sz w:val="20"/>
          <w:szCs w:val="20"/>
          <w:color w:val="auto"/>
        </w:rPr>
      </w:pPr>
      <w:r>
        <w:rPr>
          <w:rFonts w:ascii="Arial" w:cs="Arial" w:eastAsia="Arial" w:hAnsi="Arial"/>
          <w:sz w:val="17"/>
          <w:szCs w:val="17"/>
          <w:b w:val="1"/>
          <w:bCs w:val="1"/>
          <w:color w:val="auto"/>
        </w:rPr>
        <w:t xml:space="preserve">MILWAUKEE, July 18, 2024 -- </w:t>
      </w:r>
      <w:r>
        <w:rPr>
          <w:rFonts w:ascii="Arial" w:cs="Arial" w:eastAsia="Arial" w:hAnsi="Arial"/>
          <w:sz w:val="17"/>
          <w:szCs w:val="17"/>
          <w:color w:val="auto"/>
        </w:rPr>
        <w:t>ManpowerGroup (NYSE: MAN) today reported net earnings of $ 1.24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2024 compared to net earnings of $1.29 per diluted share in the prior year period. Net earnings in the quarter were $60.1 million compared to net earnings of $65.2 million a year earlier. Revenues for the first quarter were $4.5 billion, a 7% decrease from the prior year period.</w:t>
      </w:r>
    </w:p>
    <w:p>
      <w:pPr>
        <w:spacing w:after="0" w:line="2" w:lineRule="exact"/>
        <w:rPr>
          <w:sz w:val="20"/>
          <w:szCs w:val="20"/>
          <w:color w:val="auto"/>
        </w:rPr>
      </w:pPr>
    </w:p>
    <w:p>
      <w:pPr>
        <w:jc w:val="both"/>
        <w:ind w:left="5" w:right="80" w:firstLine="315"/>
        <w:spacing w:after="0" w:line="216" w:lineRule="auto"/>
        <w:rPr>
          <w:sz w:val="20"/>
          <w:szCs w:val="20"/>
          <w:color w:val="auto"/>
        </w:rPr>
      </w:pPr>
      <w:r>
        <w:rPr>
          <w:rFonts w:ascii="Arial" w:cs="Arial" w:eastAsia="Arial" w:hAnsi="Arial"/>
          <w:sz w:val="17"/>
          <w:szCs w:val="17"/>
          <w:color w:val="auto"/>
        </w:rPr>
        <w:t>The quarter included final run-off losses related to the Proservia Germany business. These losses reduced earnings per share by $0.06 in the second quarter. Excluding these losses, earnings per share was $1.30 per diluted share in the quarter representing a decrease of 12% in constant currency.</w:t>
      </w:r>
      <w:r>
        <w:rPr>
          <w:rFonts w:ascii="Arial" w:cs="Arial" w:eastAsia="Arial" w:hAnsi="Arial"/>
          <w:sz w:val="23"/>
          <w:szCs w:val="23"/>
          <w:color w:val="auto"/>
          <w:vertAlign w:val="superscript"/>
        </w:rPr>
        <w:t>[2]</w:t>
      </w:r>
    </w:p>
    <w:p>
      <w:pPr>
        <w:spacing w:after="0" w:line="1" w:lineRule="exact"/>
        <w:rPr>
          <w:sz w:val="20"/>
          <w:szCs w:val="20"/>
          <w:color w:val="auto"/>
        </w:rPr>
      </w:pPr>
    </w:p>
    <w:p>
      <w:pPr>
        <w:ind w:left="5" w:right="40" w:firstLine="751"/>
        <w:spacing w:after="0" w:line="250" w:lineRule="auto"/>
        <w:rPr>
          <w:sz w:val="20"/>
          <w:szCs w:val="20"/>
          <w:color w:val="auto"/>
        </w:rPr>
      </w:pPr>
      <w:r>
        <w:rPr>
          <w:rFonts w:ascii="Arial" w:cs="Arial" w:eastAsia="Arial" w:hAnsi="Arial"/>
          <w:sz w:val="17"/>
          <w:szCs w:val="17"/>
          <w:color w:val="auto"/>
        </w:rPr>
        <w:t>Financial results in the quarter were also impacted by the U.S. dollar relative to foreign currencies compared to the prior year period. The second quarter earnings per share guidance estimated a negative 7 cents foreign currency impact and the actual impact was slightly worse at negative 8 cents. On a constant currency basis, revenues decreased 3% compared to the prior year period.</w:t>
      </w:r>
    </w:p>
    <w:p>
      <w:pPr>
        <w:spacing w:after="0" w:line="200" w:lineRule="exact"/>
        <w:rPr>
          <w:sz w:val="20"/>
          <w:szCs w:val="20"/>
          <w:color w:val="auto"/>
        </w:rPr>
      </w:pPr>
    </w:p>
    <w:p>
      <w:pPr>
        <w:spacing w:after="0" w:line="321" w:lineRule="exact"/>
        <w:rPr>
          <w:sz w:val="20"/>
          <w:szCs w:val="20"/>
          <w:color w:val="auto"/>
        </w:rPr>
      </w:pPr>
    </w:p>
    <w:p>
      <w:pPr>
        <w:ind w:left="145" w:hanging="145"/>
        <w:spacing w:after="0"/>
        <w:tabs>
          <w:tab w:leader="none" w:pos="145"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Adjusted to exclude restructuring costs in the prior year and Proservia Germany run-off costs in the current year.</w:t>
      </w:r>
    </w:p>
    <w:p>
      <w:pPr>
        <w:ind w:left="5" w:right="100" w:hanging="5"/>
        <w:spacing w:after="0" w:line="208" w:lineRule="auto"/>
        <w:tabs>
          <w:tab w:leader="none" w:pos="166"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restructuring costs and Argentina related currency translation losses which reduced earnings per share by $0.29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594995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4" w:name="page5"/>
    <w:bookmarkEnd w:id="4"/>
    <w:p>
      <w:pPr>
        <w:jc w:val="both"/>
        <w:ind w:left="5" w:firstLine="327"/>
        <w:spacing w:after="0"/>
        <w:rPr>
          <w:sz w:val="20"/>
          <w:szCs w:val="20"/>
          <w:color w:val="auto"/>
        </w:rPr>
      </w:pPr>
      <w:r>
        <w:rPr>
          <w:rFonts w:ascii="Arial" w:cs="Arial" w:eastAsia="Arial" w:hAnsi="Arial"/>
          <w:sz w:val="17"/>
          <w:szCs w:val="17"/>
          <w:color w:val="auto"/>
        </w:rPr>
        <w:t>Jonas Prising, ManpowerGroup Chairman &amp; CEO, said, “Employers in North America and Europe continue to remain cautious. Permanent recruitment activity softened slightly further from the previous quarter, while staffing and solutions activity remained relatively stable across most of our large markets. We continue to prioritize the execution of our strategic initiatives and driving sales activities while balancing costs to align with the current operating environment.</w:t>
      </w:r>
    </w:p>
    <w:p>
      <w:pPr>
        <w:spacing w:after="0" w:line="3" w:lineRule="exact"/>
        <w:rPr>
          <w:sz w:val="20"/>
          <w:szCs w:val="20"/>
          <w:color w:val="auto"/>
        </w:rPr>
      </w:pPr>
    </w:p>
    <w:p>
      <w:pPr>
        <w:jc w:val="both"/>
        <w:ind w:left="5" w:firstLine="751"/>
        <w:spacing w:after="0"/>
        <w:rPr>
          <w:sz w:val="20"/>
          <w:szCs w:val="20"/>
          <w:color w:val="auto"/>
        </w:rPr>
      </w:pPr>
      <w:r>
        <w:rPr>
          <w:rFonts w:ascii="Arial" w:cs="Arial" w:eastAsia="Arial" w:hAnsi="Arial"/>
          <w:sz w:val="17"/>
          <w:szCs w:val="17"/>
          <w:color w:val="auto"/>
        </w:rPr>
        <w:t>We anticipate diluted earnings per share in the third quarter will be between $1.25 and $1.35, which includes an estimated unfavorable currency impact of 5 cents. Our guidance excludes any restructuring costs and any Argentina related impact of non-cash currency translation losses.”</w:t>
      </w:r>
    </w:p>
    <w:p>
      <w:pPr>
        <w:spacing w:after="0" w:line="177" w:lineRule="exact"/>
        <w:rPr>
          <w:sz w:val="20"/>
          <w:szCs w:val="20"/>
          <w:color w:val="auto"/>
        </w:rPr>
      </w:pPr>
    </w:p>
    <w:p>
      <w:pPr>
        <w:jc w:val="both"/>
        <w:ind w:left="5" w:firstLine="751"/>
        <w:spacing w:after="0" w:line="223" w:lineRule="auto"/>
        <w:rPr>
          <w:sz w:val="20"/>
          <w:szCs w:val="20"/>
          <w:color w:val="auto"/>
        </w:rPr>
      </w:pPr>
      <w:r>
        <w:rPr>
          <w:rFonts w:ascii="Arial" w:cs="Arial" w:eastAsia="Arial" w:hAnsi="Arial"/>
          <w:sz w:val="17"/>
          <w:szCs w:val="17"/>
          <w:color w:val="auto"/>
        </w:rPr>
        <w:t>Net earnings for the six months ended June 30, 2024 were $99.8 million, or net earnings of $2.05 per diluted share compared to net earnings of $143.0 million, or net earnings of $2.80 per diluted share in the prior year, respectively. The current year to date period included run-off losses related to the Proservia Germany business and Argentina hyperinflationary related non-cash currency translation losses which reduced earnings per share by 20 cents. Excluding the net impact of these charges, earnings per share for the six-month period was $ 2.25 per diluted share representing a decrease of 26% in constant currency.</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Revenues for the six-month period were $8.9 billion, representing a decrease of 7% compared to the prior year or a decrease of 4% in constant currency. Earnings per share for the six-month period were negatively impacted by 12 cents due to changes in foreign currencies compared to the prior year.</w:t>
      </w:r>
    </w:p>
    <w:p>
      <w:pPr>
        <w:spacing w:after="0" w:line="1" w:lineRule="exact"/>
        <w:rPr>
          <w:sz w:val="20"/>
          <w:szCs w:val="20"/>
          <w:color w:val="auto"/>
        </w:rPr>
      </w:pPr>
    </w:p>
    <w:p>
      <w:pPr>
        <w:jc w:val="both"/>
        <w:ind w:left="5" w:firstLine="738"/>
        <w:spacing w:after="0" w:line="232" w:lineRule="auto"/>
        <w:rPr>
          <w:sz w:val="20"/>
          <w:szCs w:val="20"/>
          <w:color w:val="auto"/>
        </w:rPr>
      </w:pPr>
      <w:r>
        <w:rPr>
          <w:rFonts w:ascii="Arial" w:cs="Arial" w:eastAsia="Arial" w:hAnsi="Arial"/>
          <w:sz w:val="17"/>
          <w:szCs w:val="17"/>
          <w:color w:val="auto"/>
        </w:rPr>
        <w:t>In conjunction with its second quarter earnings release, ManpowerGroup will broadcast its conference call live over the Internet on July 18, 2024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745"/>
        <w:spacing w:after="0"/>
        <w:rPr>
          <w:sz w:val="20"/>
          <w:szCs w:val="20"/>
          <w:color w:val="auto"/>
        </w:rPr>
      </w:pPr>
      <w:r>
        <w:rPr>
          <w:rFonts w:ascii="Arial" w:cs="Arial" w:eastAsia="Arial" w:hAnsi="Arial"/>
          <w:sz w:val="17"/>
          <w:szCs w:val="17"/>
          <w:color w:val="auto"/>
        </w:rPr>
        <w:t>Supplemental financial information referenced in the conference call can be found at http://investor.manpowergroup.com/.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 w:right="100" w:hanging="5"/>
        <w:spacing w:after="0" w:line="208" w:lineRule="auto"/>
        <w:tabs>
          <w:tab w:leader="none" w:pos="166"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restructuring costs and Argentina related currency translation losses which reduced earnings per share by $0.39 which are also excluded when determining the year over year trend.</w:t>
      </w:r>
    </w:p>
    <w:p>
      <w:pPr>
        <w:ind w:left="5"/>
        <w:spacing w:after="0" w:line="231" w:lineRule="auto"/>
        <w:rPr>
          <w:rFonts w:ascii="Arial" w:cs="Arial" w:eastAsia="Arial" w:hAnsi="Arial"/>
          <w:sz w:val="21"/>
          <w:szCs w:val="21"/>
          <w:color w:val="auto"/>
          <w:vertAlign w:val="superscript"/>
        </w:rPr>
      </w:pPr>
      <w:r>
        <w:rPr>
          <w:rFonts w:ascii="Arial" w:cs="Arial" w:eastAsia="Arial" w:hAnsi="Arial"/>
          <w:sz w:val="16"/>
          <w:szCs w:val="16"/>
          <w:b w:val="1"/>
          <w:bCs w:val="1"/>
          <w:color w:val="auto"/>
        </w:rPr>
        <w:t>About ManpowerGroup</w:t>
      </w:r>
    </w:p>
    <w:p>
      <w:pPr>
        <w:ind w:left="5"/>
        <w:spacing w:after="0"/>
        <w:rPr>
          <w:rFonts w:ascii="Arial" w:cs="Arial" w:eastAsia="Arial" w:hAnsi="Arial"/>
          <w:sz w:val="21"/>
          <w:szCs w:val="21"/>
          <w:color w:val="auto"/>
          <w:vertAlign w:val="superscript"/>
        </w:rPr>
      </w:pPr>
      <w:r>
        <w:rPr>
          <w:rFonts w:ascii="Arial" w:cs="Arial" w:eastAsia="Arial" w:hAnsi="Arial"/>
          <w:sz w:val="16"/>
          <w:szCs w:val="16"/>
          <w:color w:val="auto"/>
        </w:rPr>
        <w:t>ManpowerGroup® (NYSE: MAN), the leading global workforce solutions company, helps organizations transform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479425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7" w:right="319" w:bottom="1440" w:gutter="0" w:footer="0" w:header="0"/>
        </w:sectPr>
      </w:pPr>
    </w:p>
    <w:bookmarkStart w:id="5" w:name="page6"/>
    <w:bookmarkEnd w:id="5"/>
    <w:p>
      <w:pPr>
        <w:jc w:val="both"/>
        <w:spacing w:after="0" w:line="230" w:lineRule="auto"/>
        <w:rPr>
          <w:sz w:val="20"/>
          <w:szCs w:val="20"/>
          <w:color w:val="auto"/>
        </w:rPr>
      </w:pPr>
      <w:r>
        <w:rPr>
          <w:rFonts w:ascii="Arial" w:cs="Arial" w:eastAsia="Arial" w:hAnsi="Arial"/>
          <w:sz w:val="16"/>
          <w:szCs w:val="16"/>
          <w:color w:val="auto"/>
        </w:rPr>
        <w:t>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2024 ManpowerGroup was named one of the World's Most Ethical Companies for the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time – all confirming our position as the brand of choice for in-demand talent. For more information, visit www.manpowergroup.com.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statements, including statements regarding economic and geopolitical uncertainty, trends in labor demand and the future strengthening of such demand, financial outlook, and the Company’s strategic initiatives and technology investments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2023, which information is incorporated herein by reference.</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608330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6" w:name="page7"/>
    <w:bookmarkEnd w:id="6"/>
    <w:p>
      <w:pPr>
        <w:jc w:val="center"/>
        <w:ind w:right="35"/>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4"/>
          </w:tcPr>
          <w:p>
            <w:pPr>
              <w:jc w:val="center"/>
              <w:ind w:left="66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4,520.7</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24"/>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-26.3 %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5.6 %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-3.5 %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-4.5 %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-4.4 %</w:t>
            </w: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-1899285</wp:posOffset>
            </wp:positionV>
            <wp:extent cx="7149465" cy="135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-1621790</wp:posOffset>
            </wp:positionV>
            <wp:extent cx="714946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-1343660</wp:posOffset>
            </wp:positionV>
            <wp:extent cx="714946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7149465" cy="135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49465" cy="157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-472440</wp:posOffset>
            </wp:positionV>
            <wp:extent cx="7149465" cy="157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-21590</wp:posOffset>
            </wp:positionV>
            <wp:extent cx="74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-6985</wp:posOffset>
            </wp:positionV>
            <wp:extent cx="749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749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749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jc w:val="both"/>
        <w:ind w:left="505" w:right="40" w:hanging="505"/>
        <w:spacing w:after="0" w:line="250" w:lineRule="auto"/>
        <w:tabs>
          <w:tab w:leader="none" w:pos="5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$4.0 million and $3.3 million for the three months ended June 30, 2024 and 2023, respectively. These fees are primarily based on revenues generated by the franchise offices, which were $287.7 million and $250.6 million for the three months ended June 30,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598170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880" w:right="279" w:bottom="1440" w:gutter="0" w:footer="0" w:header="0"/>
        </w:sectPr>
      </w:pPr>
    </w:p>
    <w:bookmarkStart w:id="7" w:name="page8"/>
    <w:bookmarkEnd w:id="7"/>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(a)</w:t>
            </w:r>
          </w:p>
        </w:tc>
        <w:tc>
          <w:tcPr>
            <w:tcW w:w="120" w:type="dxa"/>
            <w:vAlign w:val="bottom"/>
            <w:vMerge w:val="restart"/>
          </w:tcPr>
          <w:p>
            <w:pPr>
              <w:spacing w:after="0"/>
              <w:rPr>
                <w:sz w:val="17"/>
                <w:szCs w:val="17"/>
                <w:color w:val="auto"/>
              </w:rPr>
            </w:pPr>
          </w:p>
        </w:tc>
        <w:tc>
          <w:tcPr>
            <w:tcW w:w="400" w:type="dxa"/>
            <w:vAlign w:val="bottom"/>
            <w:gridSpan w:val="2"/>
            <w:vMerge w:val="restart"/>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0" w:type="dxa"/>
            <w:vAlign w:val="bottom"/>
            <w:tcBorders>
              <w:bottom w:val="single" w:sz="8" w:color="auto"/>
            </w:tcBorders>
            <w:gridSpan w:val="2"/>
            <w:vMerge w:val="continue"/>
          </w:tcPr>
          <w:p>
            <w:pPr>
              <w:spacing w:after="0"/>
              <w:rPr>
                <w:sz w:val="19"/>
                <w:szCs w:val="19"/>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4"/>
          </w:tcPr>
          <w:p>
            <w:pPr>
              <w:jc w:val="center"/>
              <w:ind w:left="66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400"/>
              <w:spacing w:after="0" w:line="236" w:lineRule="exact"/>
              <w:rPr>
                <w:sz w:val="20"/>
                <w:szCs w:val="20"/>
                <w:color w:val="auto"/>
              </w:rPr>
            </w:pPr>
            <w:r>
              <w:rPr>
                <w:rFonts w:ascii="Times New Roman" w:cs="Times New Roman" w:eastAsia="Times New Roman" w:hAnsi="Times New Roman"/>
                <w:sz w:val="16"/>
                <w:szCs w:val="16"/>
                <w:color w:val="auto"/>
              </w:rPr>
              <w:t xml:space="preserve">United States </w:t>
            </w:r>
            <w:r>
              <w:rPr>
                <w:rFonts w:ascii="Times New Roman" w:cs="Times New Roman" w:eastAsia="Times New Roman" w:hAnsi="Times New Roman"/>
                <w:sz w:val="21"/>
                <w:szCs w:val="21"/>
                <w:color w:val="auto"/>
                <w:vertAlign w:val="superscript"/>
              </w:rPr>
              <w:t>(b)</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20" w:type="dxa"/>
            <w:vAlign w:val="bottom"/>
          </w:tcPr>
          <w:p>
            <w:pPr>
              <w:spacing w:after="0"/>
              <w:rPr>
                <w:sz w:val="20"/>
                <w:szCs w:val="20"/>
                <w:color w:val="auto"/>
              </w:rPr>
            </w:pPr>
          </w:p>
        </w:tc>
        <w:tc>
          <w:tcPr>
            <w:tcW w:w="3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194"/>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-12.1 %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1"/>
        </w:trPr>
        <w:tc>
          <w:tcPr>
            <w:tcW w:w="5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4,541.1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7"/>
                <w:szCs w:val="17"/>
                <w:color w:val="auto"/>
              </w:rPr>
            </w:pPr>
          </w:p>
        </w:tc>
        <w:tc>
          <w:tcPr>
            <w:tcW w:w="3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18.7 %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0" w:type="dxa"/>
            <w:vAlign w:val="bottom"/>
          </w:tcPr>
          <w:p>
            <w:pPr>
              <w:spacing w:after="0"/>
              <w:rPr>
                <w:sz w:val="1"/>
                <w:szCs w:val="1"/>
                <w:color w:val="auto"/>
              </w:rPr>
            </w:pPr>
          </w:p>
        </w:tc>
      </w:tr>
      <w:tr>
        <w:trPr>
          <w:trHeight w:val="219"/>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-12.1 %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05"/>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-18.5 %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r>
        <w:trPr>
          <w:trHeight w:val="208"/>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28.3 %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75.6 %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73.1 %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(41.7 )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(35.5 )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9"/>
        </w:trPr>
        <w:tc>
          <w:tcPr>
            <w:tcW w:w="5400" w:type="dxa"/>
            <w:vAlign w:val="bottom"/>
          </w:tcPr>
          <w:p>
            <w:pPr>
              <w:spacing w:after="0" w:line="219" w:lineRule="exact"/>
              <w:rPr>
                <w:sz w:val="20"/>
                <w:szCs w:val="20"/>
                <w:color w:val="auto"/>
              </w:rPr>
            </w:pPr>
            <w:r>
              <w:rPr>
                <w:rFonts w:ascii="Times New Roman" w:cs="Times New Roman" w:eastAsia="Times New Roman" w:hAnsi="Times New Roman"/>
                <w:sz w:val="16"/>
                <w:szCs w:val="16"/>
                <w:color w:val="auto"/>
              </w:rPr>
              <w:t xml:space="preserve">Interest and other expenses, net </w:t>
            </w:r>
            <w:r>
              <w:rPr>
                <w:rFonts w:ascii="Times New Roman" w:cs="Times New Roman" w:eastAsia="Times New Roman" w:hAnsi="Times New Roman"/>
                <w:sz w:val="21"/>
                <w:szCs w:val="21"/>
                <w:color w:val="auto"/>
                <w:vertAlign w:val="superscript"/>
              </w:rPr>
              <w:t>(c)</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-4340225</wp:posOffset>
            </wp:positionV>
            <wp:extent cx="7149465" cy="13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-3784600</wp:posOffset>
            </wp:positionV>
            <wp:extent cx="714946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-3228340</wp:posOffset>
            </wp:positionV>
            <wp:extent cx="7149465" cy="13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-1546225</wp:posOffset>
            </wp:positionV>
            <wp:extent cx="714946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-434975</wp:posOffset>
            </wp:positionV>
            <wp:extent cx="7149465" cy="13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-4062095</wp:posOffset>
            </wp:positionV>
            <wp:extent cx="7149465"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-3514090</wp:posOffset>
            </wp:positionV>
            <wp:extent cx="7149465"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-2815590</wp:posOffset>
            </wp:positionV>
            <wp:extent cx="749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-2815590</wp:posOffset>
            </wp:positionV>
            <wp:extent cx="749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-2665095</wp:posOffset>
            </wp:positionV>
            <wp:extent cx="7149465" cy="157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-2101850</wp:posOffset>
            </wp:positionV>
            <wp:extent cx="7149465"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-1268730</wp:posOffset>
            </wp:positionV>
            <wp:extent cx="7149465"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-990600</wp:posOffset>
            </wp:positionV>
            <wp:extent cx="7149465"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-21590</wp:posOffset>
            </wp:positionV>
            <wp:extent cx="749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-6985</wp:posOffset>
            </wp:positionV>
            <wp:extent cx="749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749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749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ind w:left="506" w:right="280" w:hanging="506"/>
        <w:spacing w:after="0" w:line="247" w:lineRule="auto"/>
        <w:tabs>
          <w:tab w:leader="none" w:pos="36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our reportable segment, United States, is now adjusted to exclude Puerto Rico. All previously reported results have been restated to conform to the current year presentation.</w:t>
      </w:r>
    </w:p>
    <w:p>
      <w:pPr>
        <w:ind w:left="506" w:right="120" w:hanging="506"/>
        <w:spacing w:after="0" w:line="246" w:lineRule="auto"/>
        <w:tabs>
          <w:tab w:leader="none" w:pos="37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$3.2 million and $2.6 million for the three months ended June 30, 2024 and 2023, respectively. These fees are primarily based on revenues generated by the franchise offices, which were $99.8 million and $100.8 million for the three months ended June 30, 2024 and 2023, respectively.</w:t>
      </w:r>
    </w:p>
    <w:p>
      <w:pPr>
        <w:spacing w:after="0" w:line="1"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5"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7"/>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260" w:type="dxa"/>
            <w:vAlign w:val="bottom"/>
            <w:shd w:val="clear" w:color="auto" w:fill="CFF0FC"/>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FF0FC"/>
          </w:tcPr>
          <w:p>
            <w:pPr>
              <w:spacing w:after="0"/>
              <w:rPr>
                <w:sz w:val="17"/>
                <w:szCs w:val="17"/>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(8.4 )</w:t>
            </w: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Foreign exchange loss</w:t>
            </w:r>
          </w:p>
        </w:tc>
        <w:tc>
          <w:tcPr>
            <w:tcW w:w="1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Miscellaneous income</w:t>
            </w:r>
          </w:p>
        </w:tc>
        <w:tc>
          <w:tcPr>
            <w:tcW w:w="1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r>
      <w:tr>
        <w:trPr>
          <w:trHeight w:val="245"/>
        </w:trPr>
        <w:tc>
          <w:tcPr>
            <w:tcW w:w="73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952"/>
        </w:trPr>
        <w:tc>
          <w:tcPr>
            <w:tcW w:w="7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-652780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-637540</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-652780</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-637540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880" w:right="279" w:bottom="1440" w:gutter="0" w:footer="0" w:header="0"/>
        </w:sectPr>
      </w:pPr>
    </w:p>
    <w:bookmarkStart w:id="8" w:name="page9"/>
    <w:bookmarkEnd w:id="8"/>
    <w:p>
      <w:pPr>
        <w:jc w:val="center"/>
        <w:ind w:right="35"/>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8"/>
              </w:rPr>
              <w:t>Six Months Ended 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4"/>
          </w:tcPr>
          <w:p>
            <w:pPr>
              <w:jc w:val="center"/>
              <w:ind w:left="60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8,924.0</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24"/>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-25.9 %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-11.4 %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-27.3 %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-20.7 %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-30.2 %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-26.0 %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-26.9 %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-26.8 %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-22.5 %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-4.6 %</w:t>
            </w: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-1899285</wp:posOffset>
            </wp:positionV>
            <wp:extent cx="7149465" cy="13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-1621790</wp:posOffset>
            </wp:positionV>
            <wp:extent cx="7149465" cy="135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-1343660</wp:posOffset>
            </wp:positionV>
            <wp:extent cx="7149465" cy="135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7149465" cy="135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49465" cy="157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-472440</wp:posOffset>
            </wp:positionV>
            <wp:extent cx="7149465" cy="157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-21590</wp:posOffset>
            </wp:positionV>
            <wp:extent cx="749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-6985</wp:posOffset>
            </wp:positionV>
            <wp:extent cx="7493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7493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7493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jc w:val="both"/>
        <w:ind w:left="505" w:right="60" w:hanging="505"/>
        <w:spacing w:after="0" w:line="250" w:lineRule="auto"/>
        <w:tabs>
          <w:tab w:leader="none" w:pos="5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$7.3 million and $7.2 million for the six months ended June 30, 2024 and 2023, respectively. These fees are primarily based on revenues generated by the franchise offices, which were $564.9 million and $500.8 million for the six months ended June 30,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880" w:right="279" w:bottom="1440" w:gutter="0" w:footer="0" w:header="0"/>
        </w:sectPr>
      </w:pPr>
    </w:p>
    <w:bookmarkStart w:id="9" w:name="page10"/>
    <w:bookmarkEnd w:id="9"/>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8"/>
              </w:rPr>
              <w:t>Six Months Ended 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(a)</w:t>
            </w:r>
          </w:p>
        </w:tc>
        <w:tc>
          <w:tcPr>
            <w:tcW w:w="120" w:type="dxa"/>
            <w:vAlign w:val="bottom"/>
            <w:vMerge w:val="restart"/>
          </w:tcPr>
          <w:p>
            <w:pPr>
              <w:spacing w:after="0"/>
              <w:rPr>
                <w:sz w:val="17"/>
                <w:szCs w:val="17"/>
                <w:color w:val="auto"/>
              </w:rPr>
            </w:pPr>
          </w:p>
        </w:tc>
        <w:tc>
          <w:tcPr>
            <w:tcW w:w="400" w:type="dxa"/>
            <w:vAlign w:val="bottom"/>
            <w:gridSpan w:val="2"/>
            <w:vMerge w:val="restart"/>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0" w:type="dxa"/>
            <w:vAlign w:val="bottom"/>
            <w:tcBorders>
              <w:bottom w:val="single" w:sz="8" w:color="auto"/>
            </w:tcBorders>
            <w:gridSpan w:val="2"/>
            <w:vMerge w:val="continue"/>
          </w:tcPr>
          <w:p>
            <w:pPr>
              <w:spacing w:after="0"/>
              <w:rPr>
                <w:sz w:val="19"/>
                <w:szCs w:val="19"/>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4"/>
          </w:tcPr>
          <w:p>
            <w:pPr>
              <w:jc w:val="center"/>
              <w:ind w:left="64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400"/>
              <w:spacing w:after="0" w:line="236" w:lineRule="exact"/>
              <w:rPr>
                <w:sz w:val="20"/>
                <w:szCs w:val="20"/>
                <w:color w:val="auto"/>
              </w:rPr>
            </w:pPr>
            <w:r>
              <w:rPr>
                <w:rFonts w:ascii="Times New Roman" w:cs="Times New Roman" w:eastAsia="Times New Roman" w:hAnsi="Times New Roman"/>
                <w:sz w:val="16"/>
                <w:szCs w:val="16"/>
                <w:color w:val="auto"/>
              </w:rPr>
              <w:t xml:space="preserve">United States </w:t>
            </w:r>
            <w:r>
              <w:rPr>
                <w:rFonts w:ascii="Times New Roman" w:cs="Times New Roman" w:eastAsia="Times New Roman" w:hAnsi="Times New Roman"/>
                <w:sz w:val="21"/>
                <w:szCs w:val="21"/>
                <w:color w:val="auto"/>
                <w:vertAlign w:val="superscript"/>
              </w:rPr>
              <w:t>(b)</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1,377.4</w:t>
            </w:r>
          </w:p>
        </w:tc>
        <w:tc>
          <w:tcPr>
            <w:tcW w:w="120" w:type="dxa"/>
            <w:vAlign w:val="bottom"/>
          </w:tcPr>
          <w:p>
            <w:pPr>
              <w:spacing w:after="0"/>
              <w:rPr>
                <w:sz w:val="20"/>
                <w:szCs w:val="20"/>
                <w:color w:val="auto"/>
              </w:rPr>
            </w:pP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194"/>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-11.1 %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1"/>
        </w:trPr>
        <w:tc>
          <w:tcPr>
            <w:tcW w:w="5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8,964.2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9,649.1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(40.2 )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7"/>
                <w:szCs w:val="17"/>
                <w:color w:val="auto"/>
              </w:rPr>
            </w:pP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-25.9 %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0" w:type="dxa"/>
            <w:vAlign w:val="bottom"/>
          </w:tcPr>
          <w:p>
            <w:pPr>
              <w:spacing w:after="0"/>
              <w:rPr>
                <w:sz w:val="1"/>
                <w:szCs w:val="1"/>
                <w:color w:val="auto"/>
              </w:rPr>
            </w:pPr>
          </w:p>
        </w:tc>
      </w:tr>
      <w:tr>
        <w:trPr>
          <w:trHeight w:val="219"/>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-17.8 %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-22.5 %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r>
        <w:trPr>
          <w:trHeight w:val="205"/>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-22.2 %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0" w:type="dxa"/>
            <w:vAlign w:val="bottom"/>
          </w:tcPr>
          <w:p>
            <w:pPr>
              <w:spacing w:after="0"/>
              <w:rPr>
                <w:sz w:val="1"/>
                <w:szCs w:val="1"/>
                <w:color w:val="auto"/>
              </w:rPr>
            </w:pPr>
          </w:p>
        </w:tc>
      </w:tr>
      <w:tr>
        <w:trPr>
          <w:trHeight w:val="208"/>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-13.7 %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-16.1 %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49.4 %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(83.4 )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(73.4 )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(16.4 )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-25.9 %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0" w:type="dxa"/>
            <w:vAlign w:val="bottom"/>
          </w:tcPr>
          <w:p>
            <w:pPr>
              <w:spacing w:after="0"/>
              <w:rPr>
                <w:sz w:val="1"/>
                <w:szCs w:val="1"/>
                <w:color w:val="auto"/>
              </w:rPr>
            </w:pPr>
          </w:p>
        </w:tc>
      </w:tr>
      <w:tr>
        <w:trPr>
          <w:trHeight w:val="236"/>
        </w:trPr>
        <w:tc>
          <w:tcPr>
            <w:tcW w:w="540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Interest and other expenses, net </w:t>
            </w:r>
            <w:r>
              <w:rPr>
                <w:rFonts w:ascii="Times New Roman" w:cs="Times New Roman" w:eastAsia="Times New Roman" w:hAnsi="Times New Roman"/>
                <w:sz w:val="21"/>
                <w:szCs w:val="21"/>
                <w:color w:val="auto"/>
                <w:vertAlign w:val="superscript"/>
              </w:rPr>
              <w:t>(c)</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-4340225</wp:posOffset>
            </wp:positionV>
            <wp:extent cx="7149465" cy="135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-3784600</wp:posOffset>
            </wp:positionV>
            <wp:extent cx="7149465" cy="135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-3228340</wp:posOffset>
            </wp:positionV>
            <wp:extent cx="714946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-1546225</wp:posOffset>
            </wp:positionV>
            <wp:extent cx="7149465" cy="135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-434975</wp:posOffset>
            </wp:positionV>
            <wp:extent cx="7149465" cy="135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-4062095</wp:posOffset>
            </wp:positionV>
            <wp:extent cx="7149465"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-3514090</wp:posOffset>
            </wp:positionV>
            <wp:extent cx="7149465"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-2815590</wp:posOffset>
            </wp:positionV>
            <wp:extent cx="7493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-2815590</wp:posOffset>
            </wp:positionV>
            <wp:extent cx="7493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-2665095</wp:posOffset>
            </wp:positionV>
            <wp:extent cx="7149465" cy="157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-2101850</wp:posOffset>
            </wp:positionV>
            <wp:extent cx="7149465"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-1268730</wp:posOffset>
            </wp:positionV>
            <wp:extent cx="7149465"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-990600</wp:posOffset>
            </wp:positionV>
            <wp:extent cx="7149465"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-21590</wp:posOffset>
            </wp:positionV>
            <wp:extent cx="7493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-6985</wp:posOffset>
            </wp:positionV>
            <wp:extent cx="7493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749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749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ind w:left="506" w:right="280" w:hanging="506"/>
        <w:spacing w:after="0" w:line="247" w:lineRule="auto"/>
        <w:tabs>
          <w:tab w:leader="none" w:pos="36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our reportable segment, United States, is now adjusted to exclude Puerto Rico. All previously reported results have been restated to conform to the current year presentation.</w:t>
      </w:r>
    </w:p>
    <w:p>
      <w:pPr>
        <w:ind w:left="506" w:right="80" w:hanging="506"/>
        <w:spacing w:after="0" w:line="246" w:lineRule="auto"/>
        <w:tabs>
          <w:tab w:leader="none" w:pos="37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$5.6 million and $5.8 million for the six months ended June 30, 2024 and 2023, respectively. These fees are primarily based on revenues generated by the franchise offices, which were $187.2 million and $200.1 million for the six months ended June 30, 2024 and 2023, respectively.</w:t>
      </w:r>
    </w:p>
    <w:p>
      <w:pPr>
        <w:spacing w:after="0" w:line="1"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5"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7"/>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220" w:type="dxa"/>
            <w:vAlign w:val="bottom"/>
            <w:shd w:val="clear" w:color="auto" w:fill="CFF0FC"/>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shd w:val="clear" w:color="auto" w:fill="CFF0FC"/>
          </w:tcPr>
          <w:p>
            <w:pPr>
              <w:spacing w:after="0"/>
              <w:rPr>
                <w:sz w:val="17"/>
                <w:szCs w:val="17"/>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(16.5 )</w:t>
            </w: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Foreign exchange loss</w:t>
            </w: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Miscellaneous income</w:t>
            </w:r>
          </w:p>
        </w:tc>
        <w:tc>
          <w:tcPr>
            <w:tcW w:w="1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(11.1 )</w:t>
            </w:r>
          </w:p>
        </w:tc>
      </w:tr>
      <w:tr>
        <w:trPr>
          <w:trHeight w:val="245"/>
        </w:trPr>
        <w:tc>
          <w:tcPr>
            <w:tcW w:w="7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952"/>
        </w:trPr>
        <w:tc>
          <w:tcPr>
            <w:tcW w:w="7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-652780</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-637540</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-652780</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-637540</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880" w:right="279" w:bottom="1440" w:gutter="0" w:footer="0" w:header="0"/>
        </w:sectPr>
      </w:pPr>
    </w:p>
    <w:bookmarkStart w:id="10" w:name="page11"/>
    <w:bookmarkEnd w:id="10"/>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7360" w:type="dxa"/>
            <w:vAlign w:val="bottom"/>
          </w:tcPr>
          <w:p>
            <w:pPr>
              <w:spacing w:after="0"/>
              <w:rPr>
                <w:sz w:val="18"/>
                <w:szCs w:val="18"/>
                <w:color w:val="auto"/>
              </w:rPr>
            </w:pPr>
          </w:p>
        </w:tc>
        <w:tc>
          <w:tcPr>
            <w:tcW w:w="11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7"/>
        </w:trPr>
        <w:tc>
          <w:tcPr>
            <w:tcW w:w="7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(Unaudited)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80" w:type="dxa"/>
            <w:vAlign w:val="bottom"/>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4,830.0</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5,572.1</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other assets</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3,128.2</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tcPr>
          <w:p>
            <w:pPr>
              <w:spacing w:after="0"/>
              <w:rPr>
                <w:sz w:val="17"/>
                <w:szCs w:val="17"/>
                <w:color w:val="auto"/>
              </w:rPr>
            </w:pPr>
          </w:p>
        </w:tc>
      </w:tr>
      <w:tr>
        <w:trPr>
          <w:trHeight w:val="245"/>
        </w:trPr>
        <w:tc>
          <w:tcPr>
            <w:tcW w:w="73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Total assets</w:t>
            </w:r>
          </w:p>
        </w:tc>
        <w:tc>
          <w:tcPr>
            <w:tcW w:w="1180" w:type="dxa"/>
            <w:vAlign w:val="bottom"/>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8,453.6</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8,830.2</w:t>
            </w:r>
          </w:p>
        </w:tc>
        <w:tc>
          <w:tcPr>
            <w:tcW w:w="120" w:type="dxa"/>
            <w:vAlign w:val="bottom"/>
            <w:shd w:val="clear" w:color="auto" w:fill="CFF0FC"/>
          </w:tcPr>
          <w:p>
            <w:pPr>
              <w:spacing w:after="0"/>
              <w:rPr>
                <w:sz w:val="21"/>
                <w:szCs w:val="21"/>
                <w:color w:val="auto"/>
              </w:rPr>
            </w:pPr>
          </w:p>
        </w:tc>
      </w:tr>
      <w:tr>
        <w:trPr>
          <w:trHeight w:val="189"/>
        </w:trPr>
        <w:tc>
          <w:tcPr>
            <w:tcW w:w="7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r>
      <w:tr>
        <w:trPr>
          <w:trHeight w:val="215"/>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180" w:type="dxa"/>
            <w:vAlign w:val="bottom"/>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2,723.0</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4,799.7</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20" w:type="dxa"/>
            <w:vAlign w:val="bottom"/>
          </w:tcPr>
          <w:p>
            <w:pPr>
              <w:spacing w:after="0"/>
              <w:rPr>
                <w:sz w:val="18"/>
                <w:szCs w:val="18"/>
                <w:color w:val="auto"/>
              </w:rPr>
            </w:pPr>
          </w:p>
        </w:tc>
      </w:tr>
      <w:tr>
        <w:trPr>
          <w:trHeight w:val="208"/>
        </w:trPr>
        <w:tc>
          <w:tcPr>
            <w:tcW w:w="7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other liabilities</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1,796.4</w:t>
            </w:r>
          </w:p>
        </w:tc>
        <w:tc>
          <w:tcPr>
            <w:tcW w:w="120" w:type="dxa"/>
            <w:vAlign w:val="bottom"/>
            <w:shd w:val="clear" w:color="auto" w:fill="CFF0FC"/>
          </w:tcPr>
          <w:p>
            <w:pPr>
              <w:spacing w:after="0"/>
              <w:rPr>
                <w:sz w:val="18"/>
                <w:szCs w:val="18"/>
                <w:color w:val="auto"/>
              </w:rPr>
            </w:pP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3,813.0</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(500.4 )</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(466.0 )</w:t>
            </w: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Treasury stock, at cost</w:t>
            </w:r>
          </w:p>
        </w:tc>
        <w:tc>
          <w:tcPr>
            <w:tcW w:w="1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(4,727.5 )</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(4,639.8 )</w:t>
            </w:r>
          </w:p>
        </w:tc>
      </w:tr>
      <w:tr>
        <w:trPr>
          <w:trHeight w:val="205"/>
        </w:trPr>
        <w:tc>
          <w:tcPr>
            <w:tcW w:w="7360" w:type="dxa"/>
            <w:vAlign w:val="bottom"/>
            <w:tcBorders>
              <w:bottom w:val="single" w:sz="8" w:color="CFF0FC"/>
            </w:tcBorders>
            <w:shd w:val="clear" w:color="auto" w:fill="CFF0FC"/>
          </w:tcPr>
          <w:p>
            <w:pPr>
              <w:jc w:val="right"/>
              <w:ind w:right="4101"/>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11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2,136.9</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7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r>
      <w:tr>
        <w:trPr>
          <w:trHeight w:val="205"/>
        </w:trPr>
        <w:tc>
          <w:tcPr>
            <w:tcW w:w="7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2,145.9</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7360" w:type="dxa"/>
            <w:vAlign w:val="bottom"/>
          </w:tcPr>
          <w:p>
            <w:pPr>
              <w:jc w:val="right"/>
              <w:ind w:right="4101"/>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180" w:type="dxa"/>
            <w:vAlign w:val="bottom"/>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8,453.6</w:t>
            </w:r>
          </w:p>
        </w:tc>
        <w:tc>
          <w:tcPr>
            <w:tcW w:w="1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8,830.2</w:t>
            </w:r>
          </w:p>
        </w:tc>
        <w:tc>
          <w:tcPr>
            <w:tcW w:w="120" w:type="dxa"/>
            <w:vAlign w:val="bottom"/>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2"/>
        </w:trPr>
        <w:tc>
          <w:tcPr>
            <w:tcW w:w="7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5786755</wp:posOffset>
            </wp:positionH>
            <wp:positionV relativeFrom="paragraph">
              <wp:posOffset>-5751830</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-5751830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-4933315</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-4933315</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-4385310</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-4385310</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-4099560</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-4084955</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-4099560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-4084955</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-2995930</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-2995930</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-1080770</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-1080770</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-795655</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-795655</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1" w:name="page12"/>
    <w:bookmarkEnd w:id="11"/>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76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7600" w:type="dxa"/>
            <w:vAlign w:val="bottom"/>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4"/>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8"/>
              </w:rPr>
              <w:t>(Unaudited)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0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(70.1 )</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(63.2 )</w:t>
            </w:r>
          </w:p>
        </w:tc>
      </w:tr>
      <w:tr>
        <w:trPr>
          <w:trHeight w:val="213"/>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(229.0 )</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(369.1 )</w:t>
            </w:r>
          </w:p>
        </w:tc>
      </w:tr>
      <w:tr>
        <w:trPr>
          <w:trHeight w:val="20"/>
        </w:trPr>
        <w:tc>
          <w:tcPr>
            <w:tcW w:w="76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5"/>
        </w:trPr>
        <w:tc>
          <w:tcPr>
            <w:tcW w:w="76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(21.9 )</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(31.2 )</w:t>
            </w:r>
          </w:p>
        </w:tc>
      </w:tr>
      <w:tr>
        <w:trPr>
          <w:trHeight w:val="20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Capital expenditures</w:t>
            </w:r>
          </w:p>
        </w:tc>
        <w:tc>
          <w:tcPr>
            <w:tcW w:w="10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(23.7 )</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(34.6 )</w:t>
            </w:r>
          </w:p>
        </w:tc>
      </w:tr>
      <w:tr>
        <w:trPr>
          <w:trHeight w:val="213"/>
        </w:trPr>
        <w:tc>
          <w:tcPr>
            <w:tcW w:w="76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the sales of subsidiaries and property and equipment</w:t>
            </w:r>
          </w:p>
        </w:tc>
        <w:tc>
          <w:tcPr>
            <w:tcW w:w="10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6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(21.6 )</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(34.5 )</w:t>
            </w:r>
          </w:p>
        </w:tc>
      </w:tr>
      <w:tr>
        <w:trPr>
          <w:trHeight w:val="20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(9.5 )</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Net proceeds from revolving debt facility</w:t>
            </w: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10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10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(77.0 )</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(79.9 )</w:t>
            </w:r>
          </w:p>
        </w:tc>
      </w:tr>
      <w:tr>
        <w:trPr>
          <w:trHeight w:val="213"/>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Dividends paid</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(73.5 )</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(73.1 )</w:t>
            </w:r>
          </w:p>
        </w:tc>
      </w:tr>
      <w:tr>
        <w:trPr>
          <w:trHeight w:val="20"/>
        </w:trPr>
        <w:tc>
          <w:tcPr>
            <w:tcW w:w="76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5"/>
        </w:trPr>
        <w:tc>
          <w:tcPr>
            <w:tcW w:w="76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(38.6 )</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(167.3 )</w:t>
            </w:r>
          </w:p>
        </w:tc>
      </w:tr>
      <w:tr>
        <w:trPr>
          <w:trHeight w:val="20"/>
        </w:trPr>
        <w:tc>
          <w:tcPr>
            <w:tcW w:w="76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(30.3 )</w:t>
            </w: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5"/>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(112.4 )</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(231.4 )</w:t>
            </w:r>
          </w:p>
        </w:tc>
      </w:tr>
      <w:tr>
        <w:trPr>
          <w:trHeight w:val="213"/>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60" w:type="dxa"/>
            <w:vAlign w:val="bottom"/>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Pr>
          <w:p>
            <w:pPr>
              <w:spacing w:after="0"/>
              <w:rPr>
                <w:sz w:val="17"/>
                <w:szCs w:val="17"/>
                <w:color w:val="auto"/>
              </w:rPr>
            </w:pP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2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2"/>
        </w:trPr>
        <w:tc>
          <w:tcPr>
            <w:tcW w:w="7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-3551555</wp:posOffset>
            </wp:positionV>
            <wp:extent cx="7493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-3551555</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-2995930</wp:posOffset>
            </wp:positionV>
            <wp:extent cx="7493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-2995930</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-1358900</wp:posOffset>
            </wp:positionV>
            <wp:extent cx="7493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-1358900</wp:posOffset>
            </wp:positionV>
            <wp:extent cx="673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-1073150</wp:posOffset>
            </wp:positionV>
            <wp:extent cx="7493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-1073150</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-795655</wp:posOffset>
            </wp:positionV>
            <wp:extent cx="7493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-795655</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2024-07-18T06:54:00Z</dcterms:created>
  <dcterms:modified xsi:type="dcterms:W3CDTF">2024-07-18T06:54:00Z</dcterms:modified>
</cp:coreProperties>
</file>