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0"/>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9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060" w:type="dxa"/>
            <w:vAlign w:val="bottom"/>
            <w:gridSpan w:val="7"/>
            <w:vMerge w:val="restart"/>
          </w:tcPr>
          <w:p>
            <w:pPr>
              <w:jc w:val="center"/>
              <w:ind w:left="465"/>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60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0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6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920" w:type="dxa"/>
            <w:vAlign w:val="bottom"/>
          </w:tcPr>
          <w:p>
            <w:pPr>
              <w:spacing w:after="0"/>
              <w:rPr>
                <w:sz w:val="21"/>
                <w:szCs w:val="21"/>
                <w:color w:val="auto"/>
              </w:rPr>
            </w:pPr>
          </w:p>
        </w:tc>
        <w:tc>
          <w:tcPr>
            <w:tcW w:w="4560" w:type="dxa"/>
            <w:vAlign w:val="bottom"/>
            <w:gridSpan w:val="5"/>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JOERRES JEFFREY A</w:t>
              </w:r>
            </w:hyperlink>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0000EE"/>
            </w:tcBorders>
          </w:tcPr>
          <w:p>
            <w:pPr>
              <w:spacing w:after="0"/>
              <w:rPr>
                <w:sz w:val="2"/>
                <w:szCs w:val="2"/>
                <w:color w:val="auto"/>
              </w:rPr>
            </w:pPr>
          </w:p>
        </w:tc>
        <w:tc>
          <w:tcPr>
            <w:tcW w:w="1780" w:type="dxa"/>
            <w:vAlign w:val="bottom"/>
          </w:tcPr>
          <w:p>
            <w:pPr>
              <w:spacing w:after="0"/>
              <w:rPr>
                <w:sz w:val="2"/>
                <w:szCs w:val="2"/>
                <w:color w:val="auto"/>
              </w:rPr>
            </w:pPr>
          </w:p>
        </w:tc>
        <w:tc>
          <w:tcPr>
            <w:tcW w:w="218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180" w:type="dxa"/>
            <w:vAlign w:val="bottom"/>
            <w:gridSpan w:val="4"/>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180" w:type="dxa"/>
            <w:vAlign w:val="bottom"/>
            <w:gridSpan w:val="4"/>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vMerge w:val="restart"/>
          </w:tcPr>
          <w:p>
            <w:pPr>
              <w:ind w:left="40"/>
              <w:spacing w:after="0" w:line="157" w:lineRule="exact"/>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line="157"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580" w:type="dxa"/>
            <w:vAlign w:val="bottom"/>
            <w:vMerge w:val="continue"/>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vMerge w:val="continue"/>
          </w:tcPr>
          <w:p>
            <w:pPr>
              <w:spacing w:after="0"/>
              <w:rPr>
                <w:sz w:val="10"/>
                <w:szCs w:val="10"/>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3"/>
            <w:vMerge w:val="restart"/>
          </w:tcPr>
          <w:p>
            <w:pPr>
              <w:spacing w:after="0"/>
              <w:rPr>
                <w:sz w:val="20"/>
                <w:szCs w:val="20"/>
                <w:color w:val="auto"/>
              </w:rPr>
            </w:pPr>
            <w:r>
              <w:rPr>
                <w:rFonts w:ascii="Arial" w:cs="Arial" w:eastAsia="Arial" w:hAnsi="Arial"/>
                <w:sz w:val="18"/>
                <w:szCs w:val="18"/>
                <w:color w:val="0000FF"/>
              </w:rPr>
              <w:t>MANPOWER INC.</w:t>
            </w:r>
          </w:p>
        </w:tc>
        <w:tc>
          <w:tcPr>
            <w:tcW w:w="920" w:type="dxa"/>
            <w:vAlign w:val="bottom"/>
          </w:tcPr>
          <w:p>
            <w:pPr>
              <w:spacing w:after="0"/>
              <w:rPr>
                <w:sz w:val="20"/>
                <w:szCs w:val="20"/>
                <w:color w:val="auto"/>
              </w:rPr>
            </w:pPr>
          </w:p>
        </w:tc>
        <w:tc>
          <w:tcPr>
            <w:tcW w:w="2780" w:type="dxa"/>
            <w:vAlign w:val="bottom"/>
            <w:gridSpan w:val="4"/>
          </w:tcPr>
          <w:p>
            <w:pPr>
              <w:ind w:left="660"/>
              <w:spacing w:after="0"/>
              <w:rPr>
                <w:sz w:val="20"/>
                <w:szCs w:val="20"/>
                <w:color w:val="auto"/>
              </w:rPr>
            </w:pPr>
            <w:r>
              <w:rPr>
                <w:rFonts w:ascii="Arial" w:cs="Arial" w:eastAsia="Arial" w:hAnsi="Arial"/>
                <w:sz w:val="18"/>
                <w:szCs w:val="18"/>
                <w:color w:val="0000FF"/>
              </w:rPr>
              <w:t>12/31/2009</w:t>
            </w:r>
          </w:p>
        </w:tc>
        <w:tc>
          <w:tcPr>
            <w:tcW w:w="1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20" w:type="dxa"/>
            <w:vAlign w:val="bottom"/>
            <w:gridSpan w:val="4"/>
          </w:tcPr>
          <w:p>
            <w:pPr>
              <w:ind w:left="80"/>
              <w:spacing w:after="0"/>
              <w:rPr>
                <w:sz w:val="20"/>
                <w:szCs w:val="20"/>
                <w:color w:val="auto"/>
              </w:rPr>
            </w:pPr>
            <w:r>
              <w:rPr>
                <w:rFonts w:ascii="Arial" w:cs="Arial" w:eastAsia="Arial" w:hAnsi="Arial"/>
                <w:sz w:val="18"/>
                <w:szCs w:val="18"/>
                <w:color w:val="0000FF"/>
                <w:w w:val="99"/>
              </w:rPr>
              <w:t>Chairman, CEO and President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-1786255</wp:posOffset>
            </wp:positionV>
            <wp:extent cx="7272020" cy="6774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77481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100 MANPOWER PLACE</w:t>
      </w:r>
    </w:p>
    <w:p>
      <w:pPr>
        <w:sectPr>
          <w:pgSz w:w="11900" w:h="16838" w:orient="portrait"/>
          <w:cols w:equalWidth="0" w:num="1">
            <w:col w:w="11420"/>
          </w:cols>
          <w:pgMar w:left="240" w:top="226" w:right="239" w:bottom="1440" w:gutter="0" w:footer="0" w:header="0"/>
        </w:sect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53212</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4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2"/>
                <w:szCs w:val="12"/>
                <w:color w:val="auto"/>
              </w:rPr>
            </w:pPr>
          </w:p>
        </w:tc>
        <w:tc>
          <w:tcPr>
            <w:tcW w:w="500" w:type="dxa"/>
            <w:vAlign w:val="bottom"/>
          </w:tcPr>
          <w:p>
            <w:pPr>
              <w:jc w:val="right"/>
              <w:ind w:right="310"/>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 Disposed Of</w:t>
            </w:r>
          </w:p>
        </w:tc>
        <w:tc>
          <w:tcPr>
            <w:tcW w:w="12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12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4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rPr>
              <w:t>Code (Instr.</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jc w:val="right"/>
              <w:ind w:right="29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5"/>
                <w:szCs w:val="5"/>
                <w:color w:val="auto"/>
              </w:rPr>
            </w:pPr>
          </w:p>
        </w:tc>
        <w:tc>
          <w:tcPr>
            <w:tcW w:w="8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06/15/2009</w:t>
            </w:r>
          </w:p>
        </w:tc>
        <w:tc>
          <w:tcPr>
            <w:tcW w:w="8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left="170"/>
              <w:spacing w:after="0"/>
              <w:rPr>
                <w:sz w:val="20"/>
                <w:szCs w:val="20"/>
                <w:color w:val="auto"/>
              </w:rPr>
            </w:pPr>
            <w:r>
              <w:rPr>
                <w:rFonts w:ascii="Arial" w:cs="Arial" w:eastAsia="Arial" w:hAnsi="Arial"/>
                <w:sz w:val="16"/>
                <w:szCs w:val="16"/>
                <w:color w:val="0000FF"/>
                <w:w w:val="74"/>
              </w:rPr>
              <w:t>J</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84"/>
              </w:rPr>
              <w:t>4.6967</w:t>
            </w:r>
            <w:r>
              <w:rPr>
                <w:rFonts w:ascii="Arial" w:cs="Arial" w:eastAsia="Arial" w:hAnsi="Arial"/>
                <w:sz w:val="22"/>
                <w:szCs w:val="22"/>
                <w:color w:val="008000"/>
                <w:w w:val="84"/>
                <w:vertAlign w:val="superscript"/>
              </w:rPr>
              <w:t>(1)</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43.6815</w:t>
            </w:r>
          </w:p>
        </w:tc>
        <w:tc>
          <w:tcPr>
            <w:tcW w:w="1360" w:type="dxa"/>
            <w:vAlign w:val="bottom"/>
            <w:tcBorders>
              <w:bottom w:val="single" w:sz="8" w:color="2C2C2C"/>
            </w:tcBorders>
            <w:gridSpan w:val="3"/>
          </w:tcPr>
          <w:p>
            <w:pPr>
              <w:jc w:val="center"/>
              <w:ind w:left="27"/>
              <w:spacing w:after="0"/>
              <w:rPr>
                <w:sz w:val="20"/>
                <w:szCs w:val="20"/>
                <w:color w:val="auto"/>
              </w:rPr>
            </w:pPr>
            <w:r>
              <w:rPr>
                <w:rFonts w:ascii="Arial" w:cs="Arial" w:eastAsia="Arial" w:hAnsi="Arial"/>
                <w:sz w:val="18"/>
                <w:szCs w:val="18"/>
                <w:color w:val="0000FF"/>
                <w:w w:val="88"/>
              </w:rPr>
              <w:t>252,562.7713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06/15/2009</w:t>
            </w:r>
          </w:p>
        </w:tc>
        <w:tc>
          <w:tcPr>
            <w:tcW w:w="8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left="170"/>
              <w:spacing w:after="0"/>
              <w:rPr>
                <w:sz w:val="20"/>
                <w:szCs w:val="20"/>
                <w:color w:val="auto"/>
              </w:rPr>
            </w:pPr>
            <w:r>
              <w:rPr>
                <w:rFonts w:ascii="Arial" w:cs="Arial" w:eastAsia="Arial" w:hAnsi="Arial"/>
                <w:sz w:val="16"/>
                <w:szCs w:val="16"/>
                <w:color w:val="0000FF"/>
                <w:w w:val="74"/>
              </w:rPr>
              <w:t>J</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83"/>
              </w:rPr>
              <w:t>632.4398</w:t>
            </w:r>
            <w:r>
              <w:rPr>
                <w:rFonts w:ascii="Arial" w:cs="Arial" w:eastAsia="Arial" w:hAnsi="Arial"/>
                <w:sz w:val="22"/>
                <w:szCs w:val="22"/>
                <w:color w:val="008000"/>
                <w:w w:val="83"/>
                <w:vertAlign w:val="superscript"/>
              </w:rPr>
              <w:t>(2)</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tcPr>
          <w:p>
            <w:pPr>
              <w:jc w:val="center"/>
              <w:ind w:left="6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42.972</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27"/>
              <w:spacing w:after="0"/>
              <w:rPr>
                <w:sz w:val="20"/>
                <w:szCs w:val="20"/>
                <w:color w:val="auto"/>
              </w:rPr>
            </w:pPr>
            <w:r>
              <w:rPr>
                <w:rFonts w:ascii="Arial" w:cs="Arial" w:eastAsia="Arial" w:hAnsi="Arial"/>
                <w:sz w:val="18"/>
                <w:szCs w:val="18"/>
                <w:color w:val="0000FF"/>
                <w:w w:val="85"/>
              </w:rPr>
              <w:t>253,195.2111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12/15/2009</w:t>
            </w:r>
          </w:p>
        </w:tc>
        <w:tc>
          <w:tcPr>
            <w:tcW w:w="8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left="170"/>
              <w:spacing w:after="0"/>
              <w:rPr>
                <w:sz w:val="20"/>
                <w:szCs w:val="20"/>
                <w:color w:val="auto"/>
              </w:rPr>
            </w:pPr>
            <w:r>
              <w:rPr>
                <w:rFonts w:ascii="Arial" w:cs="Arial" w:eastAsia="Arial" w:hAnsi="Arial"/>
                <w:sz w:val="16"/>
                <w:szCs w:val="16"/>
                <w:color w:val="0000FF"/>
                <w:w w:val="74"/>
              </w:rPr>
              <w:t>J</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84"/>
              </w:rPr>
              <w:t>0.0012</w:t>
            </w:r>
            <w:r>
              <w:rPr>
                <w:rFonts w:ascii="Arial" w:cs="Arial" w:eastAsia="Arial" w:hAnsi="Arial"/>
                <w:sz w:val="22"/>
                <w:szCs w:val="22"/>
                <w:color w:val="008000"/>
                <w:w w:val="84"/>
                <w:vertAlign w:val="superscript"/>
              </w:rPr>
              <w:t>(1)</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tcPr>
          <w:p>
            <w:pPr>
              <w:jc w:val="center"/>
              <w:ind w:left="6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56.23</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27"/>
              <w:spacing w:after="0"/>
              <w:rPr>
                <w:sz w:val="20"/>
                <w:szCs w:val="20"/>
                <w:color w:val="auto"/>
              </w:rPr>
            </w:pPr>
            <w:r>
              <w:rPr>
                <w:rFonts w:ascii="Arial" w:cs="Arial" w:eastAsia="Arial" w:hAnsi="Arial"/>
                <w:sz w:val="18"/>
                <w:szCs w:val="18"/>
                <w:color w:val="0000FF"/>
                <w:w w:val="88"/>
              </w:rPr>
              <w:t>253,195.2123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12/15/2009</w:t>
            </w:r>
          </w:p>
        </w:tc>
        <w:tc>
          <w:tcPr>
            <w:tcW w:w="8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left="170"/>
              <w:spacing w:after="0"/>
              <w:rPr>
                <w:sz w:val="20"/>
                <w:szCs w:val="20"/>
                <w:color w:val="auto"/>
              </w:rPr>
            </w:pPr>
            <w:r>
              <w:rPr>
                <w:rFonts w:ascii="Arial" w:cs="Arial" w:eastAsia="Arial" w:hAnsi="Arial"/>
                <w:sz w:val="16"/>
                <w:szCs w:val="16"/>
                <w:color w:val="0000FF"/>
                <w:w w:val="74"/>
              </w:rPr>
              <w:t>J</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ind w:right="46"/>
              <w:spacing w:after="0"/>
              <w:rPr>
                <w:sz w:val="20"/>
                <w:szCs w:val="20"/>
                <w:color w:val="auto"/>
              </w:rPr>
            </w:pPr>
            <w:r>
              <w:rPr>
                <w:rFonts w:ascii="Arial" w:cs="Arial" w:eastAsia="Arial" w:hAnsi="Arial"/>
                <w:sz w:val="18"/>
                <w:szCs w:val="18"/>
                <w:color w:val="0000FF"/>
                <w:w w:val="83"/>
              </w:rPr>
              <w:t>482.6396</w:t>
            </w:r>
            <w:r>
              <w:rPr>
                <w:rFonts w:ascii="Arial" w:cs="Arial" w:eastAsia="Arial" w:hAnsi="Arial"/>
                <w:sz w:val="22"/>
                <w:szCs w:val="22"/>
                <w:color w:val="008000"/>
                <w:w w:val="83"/>
                <w:vertAlign w:val="superscript"/>
              </w:rPr>
              <w:t>(2)</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55.8744</w:t>
            </w:r>
          </w:p>
        </w:tc>
        <w:tc>
          <w:tcPr>
            <w:tcW w:w="1360" w:type="dxa"/>
            <w:vAlign w:val="bottom"/>
            <w:tcBorders>
              <w:bottom w:val="single" w:sz="8" w:color="2C2C2C"/>
            </w:tcBorders>
            <w:gridSpan w:val="3"/>
          </w:tcPr>
          <w:p>
            <w:pPr>
              <w:jc w:val="center"/>
              <w:ind w:left="27"/>
              <w:spacing w:after="0"/>
              <w:rPr>
                <w:sz w:val="20"/>
                <w:szCs w:val="20"/>
                <w:color w:val="auto"/>
              </w:rPr>
            </w:pPr>
            <w:r>
              <w:rPr>
                <w:rFonts w:ascii="Arial" w:cs="Arial" w:eastAsia="Arial" w:hAnsi="Arial"/>
                <w:sz w:val="18"/>
                <w:szCs w:val="18"/>
                <w:color w:val="0000FF"/>
                <w:w w:val="88"/>
              </w:rPr>
              <w:t>253,677.8519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vMerge w:val="restart"/>
          </w:tcPr>
          <w:p>
            <w:pPr>
              <w:jc w:val="center"/>
              <w:ind w:right="437"/>
              <w:spacing w:after="0"/>
              <w:rPr>
                <w:sz w:val="20"/>
                <w:szCs w:val="20"/>
                <w:color w:val="auto"/>
              </w:rPr>
            </w:pPr>
            <w:r>
              <w:rPr>
                <w:rFonts w:ascii="Arial" w:cs="Arial" w:eastAsia="Arial" w:hAnsi="Arial"/>
                <w:sz w:val="18"/>
                <w:szCs w:val="18"/>
                <w:color w:val="0000FF"/>
                <w:w w:val="86"/>
              </w:rPr>
              <w:t>300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trust in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3"/>
            <w:vMerge w:val="restart"/>
          </w:tcPr>
          <w:p>
            <w:pPr>
              <w:spacing w:after="0"/>
              <w:rPr>
                <w:sz w:val="20"/>
                <w:szCs w:val="20"/>
                <w:color w:val="auto"/>
              </w:rPr>
            </w:pPr>
            <w:r>
              <w:rPr>
                <w:rFonts w:ascii="Arial" w:cs="Arial" w:eastAsia="Arial" w:hAnsi="Arial"/>
                <w:sz w:val="18"/>
                <w:szCs w:val="18"/>
                <w:color w:val="0000FF"/>
                <w:w w:val="95"/>
              </w:rPr>
              <w:t>wife's name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4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5"/>
          </w:tcPr>
          <w:p>
            <w:pPr>
              <w:ind w:left="9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1"/>
          </w:tcPr>
          <w:p>
            <w:pPr>
              <w:ind w:left="6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14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2"/>
              </w:rPr>
              <w:t>Date</w:t>
            </w:r>
          </w:p>
        </w:tc>
        <w:tc>
          <w:tcPr>
            <w:tcW w:w="12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jc w:val="right"/>
              <w:ind w:right="7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of stock pursuant to dividend reinvestment under the Manpower 1990 Employee Stock Purchase Plan in accordance with Rule 16b-3(c).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of stock through reinvestment of dividends pursuant to Manpower Inc. Dividend Reinvestment Plan.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Kenneth C. Hunt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2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02/16/2010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7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7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right="2299" w:firstLine="648"/>
        <w:spacing w:after="0"/>
        <w:rPr>
          <w:sz w:val="20"/>
          <w:szCs w:val="20"/>
          <w:color w:val="auto"/>
        </w:rPr>
      </w:pPr>
      <w:r>
        <w:rPr>
          <w:rFonts w:ascii="Arial" w:cs="Arial" w:eastAsia="Arial" w:hAnsi="Arial"/>
          <w:sz w:val="22"/>
          <w:szCs w:val="22"/>
          <w:color w:val="auto"/>
        </w:rPr>
        <w:t>Know all by these present, that the undersigned constitutes and appoints each of Jeffrey A. Joerres, Michael J. Van Handel and Kenneth C. Hunt, signing singly, his true and lawful attorney-in-fact to:</w:t>
      </w:r>
    </w:p>
    <w:p>
      <w:pPr>
        <w:spacing w:after="0" w:line="254" w:lineRule="exact"/>
        <w:rPr>
          <w:sz w:val="20"/>
          <w:szCs w:val="20"/>
          <w:color w:val="auto"/>
        </w:rPr>
      </w:pPr>
    </w:p>
    <w:p>
      <w:pPr>
        <w:ind w:left="1300" w:right="1879" w:hanging="603"/>
        <w:spacing w:after="0" w:line="328"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59" w:lineRule="exact"/>
        <w:rPr>
          <w:rFonts w:ascii="Arial" w:cs="Arial" w:eastAsia="Arial" w:hAnsi="Arial"/>
          <w:sz w:val="19"/>
          <w:szCs w:val="19"/>
          <w:color w:val="auto"/>
        </w:rPr>
      </w:pPr>
    </w:p>
    <w:p>
      <w:pPr>
        <w:ind w:left="1300" w:right="1979" w:hanging="603"/>
        <w:spacing w:after="0" w:line="251"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ind w:left="1300" w:right="1819" w:hanging="603"/>
        <w:spacing w:after="0" w:line="287"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7" w:lineRule="exact"/>
        <w:rPr>
          <w:rFonts w:ascii="Arial" w:cs="Arial" w:eastAsia="Arial" w:hAnsi="Arial"/>
          <w:sz w:val="19"/>
          <w:szCs w:val="19"/>
          <w:color w:val="auto"/>
        </w:rPr>
      </w:pPr>
    </w:p>
    <w:p>
      <w:pPr>
        <w:ind w:left="1300" w:right="2139" w:hanging="603"/>
        <w:spacing w:after="0" w:line="279"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1"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 urable power of attorney and shall not be affected by subsequent disability or incapacity of the undersigned.</w:t>
      </w:r>
    </w:p>
    <w:p>
      <w:pPr>
        <w:spacing w:after="0" w:line="183" w:lineRule="exact"/>
        <w:rPr>
          <w:sz w:val="20"/>
          <w:szCs w:val="20"/>
          <w:color w:val="auto"/>
        </w:rPr>
      </w:pPr>
    </w:p>
    <w:p>
      <w:pPr>
        <w:ind w:right="2279"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28th day of April, 2009.</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127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2788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Jeffrey A. Joerres</w:t>
      </w:r>
    </w:p>
    <w:sectPr>
      <w:pgSz w:w="11900" w:h="16838" w:orient="portrait"/>
      <w:cols w:equalWidth="0" w:num="1">
        <w:col w:w="10219"/>
      </w:cols>
      <w:pgMar w:left="2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182537" TargetMode="External"/><Relationship Id="rId9"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2019-12-16T07:10:29Z</dcterms:created>
  <dcterms:modified xsi:type="dcterms:W3CDTF">2019-12-16T07:10:29Z</dcterms:modified>
</cp:coreProperties>
</file>